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170815</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182880</wp:posOffset>
            </wp:positionV>
            <wp:extent cx="8877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218440</wp:posOffset>
            </wp:positionV>
            <wp:extent cx="8877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8" w:lineRule="exact"/>
        <w:rPr>
          <w:sz w:val="24"/>
          <w:szCs w:val="24"/>
          <w:color w:val="auto"/>
        </w:rPr>
      </w:pPr>
    </w:p>
    <w:p>
      <w:pPr>
        <w:ind w:left="3900" w:right="1920" w:hanging="3826"/>
        <w:spacing w:after="0" w:line="548" w:lineRule="auto"/>
        <w:tabs>
          <w:tab w:leader="none" w:pos="35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spacing w:after="0" w:line="351" w:lineRule="exact"/>
        <w:rPr>
          <w:sz w:val="24"/>
          <w:szCs w:val="24"/>
          <w:color w:val="auto"/>
        </w:rPr>
      </w:pPr>
    </w:p>
    <w:p>
      <w:pPr>
        <w:ind w:left="360" w:hanging="286"/>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26"/>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-290830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39" w:lineRule="exact"/>
        <w:rPr>
          <w:sz w:val="24"/>
          <w:szCs w:val="24"/>
          <w:color w:val="auto"/>
        </w:rPr>
      </w:pPr>
    </w:p>
    <w:tbl>
      <w:tblPr>
        <w:tblLayout w:type="fixed"/>
        <w:tblInd w:w="108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8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(Exact Name of Registrant as Specified in its Charter)</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20" w:type="dxa"/>
            <w:vAlign w:val="bottom"/>
            <w:gridSpan w:val="6"/>
          </w:tcPr>
          <w:p>
            <w:pPr>
              <w:spacing w:after="0"/>
              <w:rPr>
                <w:sz w:val="24"/>
                <w:szCs w:val="2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420"/>
              <w:spacing w:after="0"/>
              <w:rPr>
                <w:sz w:val="20"/>
                <w:szCs w:val="20"/>
                <w:color w:val="auto"/>
              </w:rPr>
            </w:pPr>
            <w:r>
              <w:rPr>
                <w:rFonts w:ascii="Arial" w:cs="Arial" w:eastAsia="Arial" w:hAnsi="Arial"/>
                <w:sz w:val="18"/>
                <w:szCs w:val="18"/>
                <w:color w:val="auto"/>
                <w:w w:val="95"/>
              </w:rPr>
              <w:t>(State or</w:t>
            </w: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00" w:type="dxa"/>
            <w:vAlign w:val="bottom"/>
            <w:gridSpan w:val="2"/>
            <w:vMerge w:val="continue"/>
          </w:tcPr>
          <w:p>
            <w:pPr>
              <w:spacing w:after="0"/>
              <w:rPr>
                <w:sz w:val="16"/>
                <w:szCs w:val="16"/>
                <w:color w:val="auto"/>
              </w:rPr>
            </w:pPr>
          </w:p>
        </w:tc>
        <w:tc>
          <w:tcPr>
            <w:tcW w:w="5760" w:type="dxa"/>
            <w:vAlign w:val="bottom"/>
            <w:gridSpan w:val="7"/>
          </w:tcPr>
          <w:p>
            <w:pPr>
              <w:spacing w:after="0" w:line="195" w:lineRule="exact"/>
              <w:rPr>
                <w:sz w:val="20"/>
                <w:szCs w:val="20"/>
                <w:color w:val="auto"/>
              </w:rPr>
            </w:pPr>
            <w:r>
              <w:rPr>
                <w:rFonts w:ascii="Arial" w:cs="Arial" w:eastAsia="Arial" w:hAnsi="Arial"/>
                <w:sz w:val="18"/>
                <w:szCs w:val="18"/>
                <w:color w:val="auto"/>
              </w:rPr>
              <w:t>other jurisdiction of</w:t>
            </w:r>
          </w:p>
        </w:tc>
        <w:tc>
          <w:tcPr>
            <w:tcW w:w="1560" w:type="dxa"/>
            <w:vAlign w:val="bottom"/>
            <w:gridSpan w:val="5"/>
          </w:tcPr>
          <w:p>
            <w:pPr>
              <w:jc w:val="center"/>
              <w:ind w:left="130"/>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6860" w:type="dxa"/>
            <w:vAlign w:val="bottom"/>
            <w:gridSpan w:val="9"/>
          </w:tcPr>
          <w:p>
            <w:pPr>
              <w:jc w:val="center"/>
              <w:ind w:right="3920"/>
              <w:spacing w:after="0"/>
              <w:rPr>
                <w:sz w:val="20"/>
                <w:szCs w:val="20"/>
                <w:color w:val="auto"/>
              </w:rPr>
            </w:pPr>
            <w:r>
              <w:rPr>
                <w:rFonts w:ascii="Arial" w:cs="Arial" w:eastAsia="Arial" w:hAnsi="Arial"/>
                <w:sz w:val="18"/>
                <w:szCs w:val="18"/>
                <w:color w:val="auto"/>
                <w:w w:val="93"/>
              </w:rPr>
              <w:t>incorporation or organization)</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73"/>
        </w:trPr>
        <w:tc>
          <w:tcPr>
            <w:tcW w:w="686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w w:val="90"/>
              </w:rPr>
              <w:t>110 Wild Basin Road, Suite 100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5900" w:type="dxa"/>
            <w:vAlign w:val="bottom"/>
            <w:gridSpan w:val="8"/>
          </w:tcPr>
          <w:p>
            <w:pPr>
              <w:jc w:val="center"/>
              <w:ind w:right="4880"/>
              <w:spacing w:after="0" w:line="194" w:lineRule="exact"/>
              <w:rPr>
                <w:sz w:val="20"/>
                <w:szCs w:val="20"/>
                <w:color w:val="auto"/>
              </w:rPr>
            </w:pPr>
            <w:r>
              <w:rPr>
                <w:rFonts w:ascii="Arial" w:cs="Arial" w:eastAsia="Arial" w:hAnsi="Arial"/>
                <w:sz w:val="18"/>
                <w:szCs w:val="18"/>
                <w:b w:val="1"/>
                <w:bCs w:val="1"/>
                <w:color w:val="auto"/>
                <w:w w:val="87"/>
              </w:rPr>
              <w:t>Austin, Texas</w:t>
            </w:r>
          </w:p>
        </w:tc>
        <w:tc>
          <w:tcPr>
            <w:tcW w:w="132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(Address of</w:t>
            </w:r>
          </w:p>
        </w:tc>
        <w:tc>
          <w:tcPr>
            <w:tcW w:w="1020" w:type="dxa"/>
            <w:vAlign w:val="bottom"/>
            <w:gridSpan w:val="3"/>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vMerge w:val="continue"/>
          </w:tcPr>
          <w:p>
            <w:pPr>
              <w:spacing w:after="0"/>
              <w:rPr>
                <w:sz w:val="19"/>
                <w:szCs w:val="19"/>
                <w:color w:val="auto"/>
              </w:rPr>
            </w:pPr>
          </w:p>
        </w:tc>
        <w:tc>
          <w:tcPr>
            <w:tcW w:w="5900" w:type="dxa"/>
            <w:vAlign w:val="bottom"/>
            <w:gridSpan w:val="8"/>
          </w:tcPr>
          <w:p>
            <w:pPr>
              <w:spacing w:after="0"/>
              <w:rPr>
                <w:sz w:val="20"/>
                <w:szCs w:val="20"/>
                <w:color w:val="auto"/>
              </w:rPr>
            </w:pPr>
            <w:r>
              <w:rPr>
                <w:rFonts w:ascii="Arial" w:cs="Arial" w:eastAsia="Arial" w:hAnsi="Arial"/>
                <w:sz w:val="18"/>
                <w:szCs w:val="18"/>
                <w:color w:val="auto"/>
              </w:rPr>
              <w:t>Principal Executive Offices)</w:t>
            </w:r>
          </w:p>
        </w:tc>
        <w:tc>
          <w:tcPr>
            <w:tcW w:w="460" w:type="dxa"/>
            <w:vAlign w:val="bottom"/>
          </w:tcPr>
          <w:p>
            <w:pPr>
              <w:spacing w:after="0"/>
              <w:rPr>
                <w:sz w:val="19"/>
                <w:szCs w:val="19"/>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64"/>
        </w:trPr>
        <w:tc>
          <w:tcPr>
            <w:tcW w:w="5200" w:type="dxa"/>
            <w:vAlign w:val="bottom"/>
            <w:gridSpan w:val="7"/>
          </w:tcPr>
          <w:p>
            <w:pPr>
              <w:jc w:val="center"/>
              <w:ind w:left="399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color w:val="auto"/>
                <w:w w:val="97"/>
              </w:rPr>
              <w:t>including Area Code)</w:t>
            </w: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gridSpan w:val="3"/>
          </w:tcPr>
          <w:p>
            <w:pPr>
              <w:ind w:left="660"/>
              <w:spacing w:after="0"/>
              <w:rPr>
                <w:sz w:val="20"/>
                <w:szCs w:val="20"/>
                <w:color w:val="auto"/>
              </w:rPr>
            </w:pPr>
            <w:r>
              <w:rPr>
                <w:rFonts w:ascii="Arial" w:cs="Arial" w:eastAsia="Arial" w:hAnsi="Arial"/>
                <w:sz w:val="18"/>
                <w:szCs w:val="18"/>
                <w:color w:val="auto"/>
                <w:w w:val="95"/>
              </w:rPr>
              <w:t>(Registrant’s Telephone Number,</w:t>
            </w:r>
          </w:p>
        </w:tc>
        <w:tc>
          <w:tcPr>
            <w:tcW w:w="1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94" w:right="239" w:bottom="1440" w:gutter="0" w:footer="0" w:header="0"/>
        </w:sectPr>
      </w:pPr>
    </w:p>
    <w:p>
      <w:pPr>
        <w:spacing w:after="0" w:line="164"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4">
            <w:col w:w="2400" w:space="720"/>
            <w:col w:w="1720" w:space="720"/>
            <w:col w:w="2160" w:space="720"/>
            <w:col w:w="2980"/>
          </w:cols>
          <w:pgMar w:left="240" w:top="594" w:right="239" w:bottom="1440" w:gutter="0" w:footer="0" w:header="0"/>
          <w:type w:val="continuous"/>
        </w:sectPr>
      </w:pPr>
    </w:p>
    <w:p>
      <w:pPr>
        <w:spacing w:after="0" w:line="21"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8880" w:space="180"/>
            <w:col w:w="2360"/>
          </w:cols>
          <w:pgMar w:left="240" w:top="594" w:right="2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As of May 9, 2016, the registrant had outstanding 6,291,596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2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00" w:type="dxa"/>
            <w:vAlign w:val="bottom"/>
            <w:gridSpan w:val="8"/>
            <w:vMerge w:val="restart"/>
          </w:tcPr>
          <w:p>
            <w:pPr>
              <w:jc w:val="center"/>
              <w:ind w:right="250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00" w:type="dxa"/>
            <w:vAlign w:val="bottom"/>
            <w:gridSpan w:val="8"/>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68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2016 and December 31, 2015</w:t>
              </w:r>
            </w:hyperlink>
          </w:p>
        </w:tc>
        <w:tc>
          <w:tcPr>
            <w:tcW w:w="30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Loss for the Three Months ended March 31, 2016 and 2015</w:t>
              </w:r>
            </w:hyperlink>
          </w:p>
        </w:tc>
        <w:tc>
          <w:tcPr>
            <w:tcW w:w="10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Months Ended March 31, 2016 and 2015</w:t>
              </w:r>
            </w:hyperlink>
          </w:p>
        </w:tc>
        <w:tc>
          <w:tcPr>
            <w:tcW w:w="16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36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680" w:type="dxa"/>
            <w:vAlign w:val="bottom"/>
            <w:gridSpan w:val="1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Quantitative and Qualitative Disclosures About Market Risk</w:t>
              </w:r>
            </w:hyperlink>
          </w:p>
        </w:tc>
        <w:tc>
          <w:tcPr>
            <w:tcW w:w="2160" w:type="dxa"/>
            <w:vAlign w:val="bottom"/>
            <w:tcBorders>
              <w:top w:val="single" w:sz="8" w:color="0000EE"/>
            </w:tcBorders>
            <w:gridSpan w:val="2"/>
          </w:tcPr>
          <w:p>
            <w:pPr>
              <w:spacing w:after="0"/>
              <w:rPr>
                <w:sz w:val="17"/>
                <w:szCs w:val="17"/>
                <w:color w:val="auto"/>
              </w:rPr>
            </w:pPr>
          </w:p>
        </w:tc>
        <w:tc>
          <w:tcPr>
            <w:tcW w:w="28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680" w:type="dxa"/>
            <w:vAlign w:val="bottom"/>
            <w:gridSpan w:val="16"/>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Controls and Procedures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9"/>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8"/>
          </w:tcPr>
          <w:p>
            <w:pPr>
              <w:jc w:val="center"/>
              <w:ind w:right="252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5"/>
          </w:tcPr>
          <w:p>
            <w:pPr>
              <w:spacing w:after="0"/>
              <w:rPr>
                <w:rFonts w:ascii="Arial" w:cs="Arial" w:eastAsia="Arial" w:hAnsi="Arial"/>
                <w:sz w:val="18"/>
                <w:szCs w:val="18"/>
                <w:b w:val="1"/>
                <w:bCs w:val="1"/>
                <w:color w:val="0000EE"/>
                <w:w w:val="86"/>
              </w:rPr>
            </w:pPr>
            <w:hyperlink w:anchor="page23">
              <w:r>
                <w:rPr>
                  <w:rFonts w:ascii="Arial" w:cs="Arial" w:eastAsia="Arial" w:hAnsi="Arial"/>
                  <w:sz w:val="18"/>
                  <w:szCs w:val="18"/>
                  <w:b w:val="1"/>
                  <w:bCs w:val="1"/>
                  <w:color w:val="0000EE"/>
                  <w:w w:val="86"/>
                </w:rPr>
                <w:t>Legal Proceedings</w:t>
              </w:r>
            </w:hyperlink>
          </w:p>
        </w:tc>
        <w:tc>
          <w:tcPr>
            <w:tcW w:w="828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680" w:type="dxa"/>
            <w:vAlign w:val="bottom"/>
            <w:gridSpan w:val="16"/>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Risk Factors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680" w:type="dxa"/>
            <w:vAlign w:val="bottom"/>
            <w:gridSpan w:val="16"/>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Unregistered Sales of Equity Securities and Use of Proceeds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Defaults upon Senior Securities</w:t>
              </w:r>
            </w:hyperlink>
          </w:p>
        </w:tc>
        <w:tc>
          <w:tcPr>
            <w:tcW w:w="512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24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Exhibits</w:t>
              </w:r>
            </w:hyperlink>
          </w:p>
        </w:tc>
        <w:tc>
          <w:tcPr>
            <w:tcW w:w="728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99"/>
        </w:trPr>
        <w:tc>
          <w:tcPr>
            <w:tcW w:w="840" w:type="dxa"/>
            <w:vAlign w:val="bottom"/>
            <w:gridSpan w:val="2"/>
          </w:tcPr>
          <w:p>
            <w:pPr>
              <w:spacing w:after="0"/>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Signatures</w:t>
              </w:r>
            </w:hyperlink>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22"/>
        </w:trPr>
        <w:tc>
          <w:tcPr>
            <w:tcW w:w="8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6960" w:type="dxa"/>
            <w:vAlign w:val="bottom"/>
          </w:tcPr>
          <w:p>
            <w:pPr>
              <w:jc w:val="center"/>
              <w:ind w:left="183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ASURE SOFTWARE,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1280" w:type="dxa"/>
            <w:vAlign w:val="bottom"/>
          </w:tcPr>
          <w:p>
            <w:pPr>
              <w:spacing w:after="0"/>
              <w:rPr>
                <w:sz w:val="17"/>
                <w:szCs w:val="17"/>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spacing w:after="0"/>
              <w:rPr>
                <w:sz w:val="20"/>
                <w:szCs w:val="20"/>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color w:val="auto"/>
                <w:w w:val="91"/>
              </w:rPr>
              <w:t>(Amounts 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w w:val="90"/>
              </w:rPr>
              <w:t>December 31,</w:t>
            </w:r>
          </w:p>
        </w:tc>
      </w:tr>
      <w:tr>
        <w:trPr>
          <w:trHeight w:val="228"/>
        </w:trPr>
        <w:tc>
          <w:tcPr>
            <w:tcW w:w="128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5"/>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188"/>
        </w:trPr>
        <w:tc>
          <w:tcPr>
            <w:tcW w:w="8240" w:type="dxa"/>
            <w:vAlign w:val="bottom"/>
            <w:gridSpan w:val="2"/>
          </w:tcPr>
          <w:p>
            <w:pPr>
              <w:ind w:left="180"/>
              <w:spacing w:after="0" w:line="189" w:lineRule="exact"/>
              <w:rPr>
                <w:sz w:val="20"/>
                <w:szCs w:val="20"/>
                <w:color w:val="auto"/>
              </w:rPr>
            </w:pPr>
            <w:r>
              <w:rPr>
                <w:rFonts w:ascii="Arial" w:cs="Arial" w:eastAsia="Arial" w:hAnsi="Arial"/>
                <w:sz w:val="18"/>
                <w:szCs w:val="18"/>
                <w:color w:val="auto"/>
                <w:w w:val="91"/>
              </w:rPr>
              <w:t>Accounts and note receivable, net of allowance for doubtful accounts of $141 and $145 at March 31, 2016 and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December 31, 2015,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22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r>
      <w:tr>
        <w:trPr>
          <w:trHeight w:val="216"/>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 before funds held for clients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Funds held for clients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35,195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7,685</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17,436</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6,026</w:t>
            </w:r>
          </w:p>
        </w:tc>
      </w:tr>
      <w:tr>
        <w:trPr>
          <w:trHeight w:val="223"/>
        </w:trPr>
        <w:tc>
          <w:tcPr>
            <w:tcW w:w="8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78,709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33,817</w:t>
            </w:r>
          </w:p>
        </w:tc>
      </w:tr>
      <w:tr>
        <w:trPr>
          <w:trHeight w:val="21"/>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 net of debt issuance cost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r>
      <w:tr>
        <w:trPr>
          <w:trHeight w:val="223"/>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current liabilities before client fund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r>
      <w:tr>
        <w:trPr>
          <w:trHeight w:val="223"/>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48,433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16,278</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net of debt issuance cost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r>
      <w:tr>
        <w:trPr>
          <w:trHeight w:val="22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23"/>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28,037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76,470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30,099</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8"/>
        </w:trPr>
        <w:tc>
          <w:tcPr>
            <w:tcW w:w="82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w w:val="94"/>
              </w:rPr>
              <w:t>Common stock, $.01 par value; 11,000 shares authorized; 6,676 and 6,674 shares issued, 6,292 and 6,290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outstanding at March 31, 2016 and December 31, 2015, respectively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384 shares at March 31, 2016 and December 31, 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279,649</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(272,457)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(270,903)</w:t>
            </w:r>
          </w:p>
        </w:tc>
      </w:tr>
      <w:tr>
        <w:trPr>
          <w:trHeight w:val="22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23"/>
        </w:trPr>
        <w:tc>
          <w:tcPr>
            <w:tcW w:w="82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2,239</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3,718</w:t>
            </w:r>
          </w:p>
        </w:tc>
        <w:tc>
          <w:tcPr>
            <w:tcW w:w="100" w:type="dxa"/>
            <w:vAlign w:val="bottom"/>
            <w:tcBorders>
              <w:top w:val="single" w:sz="8" w:color="CCEEFF"/>
            </w:tcBorders>
          </w:tcPr>
          <w:p>
            <w:pPr>
              <w:spacing w:after="0"/>
              <w:rPr>
                <w:sz w:val="19"/>
                <w:szCs w:val="19"/>
                <w:color w:val="auto"/>
              </w:rPr>
            </w:pPr>
          </w:p>
        </w:tc>
      </w:tr>
      <w:tr>
        <w:trPr>
          <w:trHeight w:val="277"/>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78,709</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33,817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80" w:type="dxa"/>
            <w:vAlign w:val="bottom"/>
          </w:tcPr>
          <w:p>
            <w:pPr>
              <w:jc w:val="center"/>
              <w:ind w:left="1990"/>
              <w:spacing w:after="0"/>
              <w:rPr>
                <w:sz w:val="20"/>
                <w:szCs w:val="20"/>
                <w:color w:val="auto"/>
              </w:rPr>
            </w:pPr>
            <w:r>
              <w:rPr>
                <w:rFonts w:ascii="Arial" w:cs="Arial" w:eastAsia="Arial" w:hAnsi="Arial"/>
                <w:sz w:val="18"/>
                <w:szCs w:val="18"/>
                <w:b w:val="1"/>
                <w:bCs w:val="1"/>
                <w:color w:val="auto"/>
                <w:w w:val="98"/>
              </w:rPr>
              <w:t>ASURE SOFTWARE, INC.</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8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780" w:type="dxa"/>
            <w:vAlign w:val="bottom"/>
          </w:tcPr>
          <w:p>
            <w:pPr>
              <w:jc w:val="center"/>
              <w:ind w:left="1990"/>
              <w:spacing w:after="0" w:line="202" w:lineRule="exact"/>
              <w:rPr>
                <w:sz w:val="20"/>
                <w:szCs w:val="20"/>
                <w:color w:val="auto"/>
              </w:rPr>
            </w:pPr>
            <w:r>
              <w:rPr>
                <w:rFonts w:ascii="Arial" w:cs="Arial" w:eastAsia="Arial" w:hAnsi="Arial"/>
                <w:sz w:val="18"/>
                <w:szCs w:val="18"/>
                <w:color w:val="auto"/>
                <w:w w:val="88"/>
              </w:rPr>
              <w:t>(Amounts in thousands, except share and per share data)</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99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rPr>
              <w:t>FOR THE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Cloud revenue</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Professional services revenue</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6,722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1,730</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4,992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(523</w:t>
            </w: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income (loss)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Loss on debt refinancing</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gain (loss)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Interest expense and other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 amortization of original issue discount (OID)</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Acquisition costs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4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loss</w:t>
            </w: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(987)</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(1,510)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(1,519)</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(477)</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6,055,000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0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ASURE SOFTWARE, INC.</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3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300" w:type="dxa"/>
            <w:vAlign w:val="bottom"/>
          </w:tcPr>
          <w:p>
            <w:pPr>
              <w:jc w:val="center"/>
              <w:ind w:left="2470"/>
              <w:spacing w:after="0" w:line="202" w:lineRule="exact"/>
              <w:rPr>
                <w:sz w:val="20"/>
                <w:szCs w:val="20"/>
                <w:color w:val="auto"/>
              </w:rPr>
            </w:pPr>
            <w:r>
              <w:rPr>
                <w:rFonts w:ascii="Arial" w:cs="Arial" w:eastAsia="Arial" w:hAnsi="Arial"/>
                <w:sz w:val="18"/>
                <w:szCs w:val="18"/>
                <w:color w:val="auto"/>
                <w:w w:val="91"/>
              </w:rPr>
              <w:t>(Amounts in thousands)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00" w:type="dxa"/>
            <w:vAlign w:val="bottom"/>
          </w:tcPr>
          <w:p>
            <w:pPr>
              <w:jc w:val="center"/>
              <w:ind w:left="2470"/>
              <w:spacing w:after="0"/>
              <w:rPr>
                <w:sz w:val="20"/>
                <w:szCs w:val="20"/>
                <w:color w:val="auto"/>
              </w:rPr>
            </w:pPr>
            <w:r>
              <w:rPr>
                <w:rFonts w:ascii="Arial" w:cs="Arial" w:eastAsia="Arial" w:hAnsi="Arial"/>
                <w:sz w:val="18"/>
                <w:szCs w:val="18"/>
                <w:color w:val="auto"/>
                <w:w w:val="91"/>
              </w:rPr>
              <w:t>(Unaudited)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rPr>
              <w:t>FOR THE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20"/>
              <w:spacing w:after="0"/>
              <w:rPr>
                <w:sz w:val="20"/>
                <w:szCs w:val="20"/>
                <w:color w:val="auto"/>
              </w:rPr>
            </w:pPr>
            <w:r>
              <w:rPr>
                <w:rFonts w:ascii="Arial" w:cs="Arial" w:eastAsia="Arial" w:hAnsi="Arial"/>
                <w:sz w:val="18"/>
                <w:szCs w:val="18"/>
                <w:color w:val="auto"/>
              </w:rPr>
              <w:t>Provision for doubtful accounts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Accounts and note receivable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Disposals of property and equipment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Collection of note receivable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funds held for clients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(24,205)</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notes payable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Payments on notes payable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Debt financing fees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client fund obligations</w:t>
            </w:r>
          </w:p>
        </w:tc>
        <w:tc>
          <w:tcPr>
            <w:tcW w:w="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24,201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Effect of foreign exchange rates</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(605</w:t>
            </w: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553</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SUPPLEMENTAL INFORMATION:</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Asure Software, Inc., a Delaware corporation, is a provider of cloud-based software-as-a-service (“SaaS”) time and labor management and Agile Workplace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Dedham, Massachusetts; Traverse City, Michigan and London, United Kingdom.</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March 31, 2016 and December 31, 2015, the results of operations for the three months ended March 31, 2016 and 2015, and the cash flows for the three months ended March 31, 2016 and 2015.</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2015. The results for the interim periods are not necessarily indicative of results for a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of March 31, 2016, Asure’s principal sources of liquidity consisted of approximately $553 of cash and cash equivalents, future cash generated from operations and $3,000 available for borrowing under our Wells Fargo revolver discussed in Note 6 – Notes Payable. We believe that we have and/or will generate sufficient cash for our short- and long-term needs, including meeting the requirements of our term loan, and the related debt covenant requirements. We continue to seek reductions in our expenses as a percentage of revenue on an annual basis and thus may utilize our cash balances in the short-term to reduce long-term costs. Based on current internal projections, we believe that we have and/or will generate sufficient cash for our operational needs, including any required debt payments, for at least the next twelve months.</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Management is focused on growing our existing product offering, as well as our customer base, to increase our recurring revenues. We are also exploring additional strategic acquisitions in the near future, although we have no agreements to make any acquisition at this time. We expect to fund any future acquisitions with equity, available cash, future cash from operations, or debt from outside sources.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 or anticipated for receipt in the ordinary course of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In May 2014, the FASB issued FASB ASU No. 2014-09, “Revenue from Contracts with Customers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The guidance provides a five-step process to achieve that core principle. ASU 2014-09 requires disclosures enabling users of financial statements to understand the nature, amount, timing and uncertainty of revenue and cash flows arising from contracts with customers. Additionally, qualitative and quantitative disclosures are required about contracts with customers, significant judgments and changes in judgments, and assets recognized from the costs to obtain or fulfill a contract. In August 2015, the FASB issued FASB ASU No. 2015-14, “Revenue from Contracts with Customers (Topic 606): Deferral of the Effective Date”, which deferred the effective date of ASU 2014-09 by one year. ASU 2014-09 is now effective for annual reporting periods beginning after December 15, 2017, including interim periods within that reporting period, using one of two retrospective application methods. Early application is permitted only as of annual reporting periods beginning after December 15, 2016, including interim reporting periods within that reporting period. In March 2016, the FASB issued FASB ASU No. 2016-08, “Revenue from Contracts with Customers (Topic 606): Principal versus Agent Considerations (Reporting Revenue Gross versus Net)”. ASU 2016-08 clarifies the implementation guidance on principal versus agent considerations. In April 2016, the FASB issued ASU No. 2016-10, “Revenue from Contracts with Customers: Identifying Performance Obligations and Licensing.” ASU 2016-10 clarifies the implementation guidance in Topic 606 for identifying performance obligations and determining when to recognize revenue on licensing agreements for intellectual property. In May 2016, the FASB issued ASU No. 2016-11, “Revenue Recognition (Topic 605) and Derivatives and Hedging (Topic 815): Rescission of SEC Guidance Because of Accounting Standards Updates 2014-09 and 2014-16 Pursuant to Staff Announcements at the March 3, 2016 EITF Meeting.” ASU 2016-11 rescinds certain SEC staff comments previously made in regard to these ASU’s. We are currently evaluating the effect that the adoption of ASU 2014-09, ASU 2015-14, ASU 2016-08, ASU 2016- 10 and ASU 2016-11 will have on our consolidated financial statements.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(meet its obligations as they become due) within one year after the date that the financial statements are issued. If conditions or events raise substantial doubt about the entity’s ability to continue as a going concern, certain disclosures are required. This ASU is effective for annual reporting periods ending after December 15, 2016, and interim reporting periods thereafter. We adopted the provisions of ASU 2014-15 on January 1, 2016. This adoption did not have any impact on our consolidated financial statements.</w:t>
      </w:r>
    </w:p>
    <w:p>
      <w:pPr>
        <w:spacing w:after="0" w:line="2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Emerging Issues Task Force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provisions of each ASU are effective for fiscal years, and interim periods within those fiscal years, beginning after December 15, 2015. A reporting entity should apply each amendment retrospectively. We adopted ASU 2015-03 on January 1, 2016 for debt issuance costs on our term loan, on a retrospective basis. The impact of adopting ASU 2015-03 on our current period condensed consolidated financial statements was the classification of all deferred financing costs as a deduction to the corresponding debt in addition to the reclassification of deferred financing costs in other current and long term assets to short and long term notes payable as of December 31, 2015, within the condensed consolidated balance sheets to conform to the current period presentation. Other than these reclassifications and additional disclosures, the adoption of ASU 2015-03 did not have an impact on our consolidated financial position, results of operations or cash flows.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ASURE SOFTWARE,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July 2015, the FASB issued ASU 2015-11, “Simplifying the Measurement of Inventory”. Inventory within the scope of this update is required to be measured at the lower of its cost or net realizable value, with net realizable value being the estimated selling price in the ordinary course of business, less reasonably predictable costs of completion, disposal, and transportation. This ASU is effective prospectively for fiscal years and interim periods beginning after December 15, 2016, with early adoption permitted. We are currently assessing the impact of adopting this standards update on our consolidated financial statements.</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September 2015, the FASB issued ASU 2015-16, “Business Combinations: Simplifying the Accounting for Measurement-Period Adjustments,” which requires acquirers to recognize adjustments to provisional amounts identified during the reporting period in which the adjustment amounts are determined. Acquirers should record, in the same period’s financial statements, the effect on earnings of changes in depreciation, amortization, or other income effects, if any, as a result of the change to the provisional amounts, calculated as if the accounting had been completed at the acquisition date. Application of the standard, which should be applied prospectively, is required for the annual and interim periods beginning after December 15, 2015. We adopted the provisions of ASU 2015-16 on January 1, 2016. The adoption did not have a material impact on our results of operations or financial position.</w:t>
      </w:r>
    </w:p>
    <w:p>
      <w:pPr>
        <w:spacing w:after="0" w:line="14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November 2015, the FASB issued ASU No. 2015-17, Income Taxes: Balance Sheet Classification of Deferred Taxes, to require that deferred tax liabilities and assets be classified entirely as non-current. This amended guidance is effective for fiscal years beginning after December 15, 2016, including interim periods within those years. Early adoption is permitted, and the amended guidance may be applied prospectively to all deferred tax liabilities and assets or retrospectively to all periods presented. We are currently evaluating the effects and timing of the adoption of this new standard, which must be adopted by the first quarter of 2017.</w:t>
      </w:r>
    </w:p>
    <w:p>
      <w:pPr>
        <w:spacing w:after="0" w:line="2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February 2016, the FASB issued ASU No. 2016-02, "Leases (Topic 842)". The core principle of the standard is that a lessee should recognize the assets and liabilities that arise from leases. A lessee should recognize in its statement of financial position a liability to make lease payments (the lease liability) and a right-of-use asset representing its right to use the underlying asset for the lease term. We will be required to adopt the new standard in the first quarter of 2019. We are currently evaluating the impact this new standard will have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Although Asure has been, and in the future may be, the defendant or plaintiff in various actions arising in the normal course of business, as of March 31, 2016, we were not party to any pending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in U.S. generally accepted accounting principles and expands disclosures about fair value measurements.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2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39" w:lineRule="exact"/>
        <w:rPr>
          <w:sz w:val="20"/>
          <w:szCs w:val="20"/>
          <w:color w:val="auto"/>
        </w:rPr>
      </w:pPr>
    </w:p>
    <w:p>
      <w:pPr>
        <w:ind w:left="1680" w:right="40" w:hanging="1025"/>
        <w:spacing w:after="0" w:line="262"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56" w:lineRule="exact"/>
        <w:rPr>
          <w:sz w:val="20"/>
          <w:szCs w:val="20"/>
          <w:color w:val="auto"/>
        </w:rPr>
      </w:pPr>
    </w:p>
    <w:p>
      <w:pPr>
        <w:ind w:left="1680" w:right="40" w:hanging="1025"/>
        <w:spacing w:after="0" w:line="262"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ASURE SOFTWARE,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March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3"/>
              </w:rPr>
              <w:t>Fair Value Measure at March 31, 2016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553</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Contingent consideration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1"/>
              </w:rPr>
              <w:t>Fair Value Measure at December 31, 2015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connection with the acquisition of FotoPunch, Inc. (“FotoPunch”) in July 2014, we recorded contingent consideration based upon the expected achievement of certain milestone goals. We will record any changes to the fair value of contingent consideration due to changes in assumptions used in preparing the valuation model in selling, general and administrative expenses in the Consolidated Statements of Comprehensive Loss.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Contingent consideration is valued using a multi-scenario discounted cash flow method. The assumptions used in preparing the discounted cash flow method include estimates for outcomes if milestone goals are achieved and the probability of achieving each outcome. Management estimates probabilities and then applies them to management’s conservative case forecast, most likely case forecast and optimistic case forecast with the various scenarios. The Company has retained a third party expert to assist in determining the value of the contingent consideration.</w:t>
      </w:r>
    </w:p>
    <w:p>
      <w:pPr>
        <w:spacing w:after="0" w:line="1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valuation of contingent consideration for the FotoPunch acquisition is based on a Monte Carlo simulation model for fiscal 2016 to 2018, with fiscal 2016 being a partial year from January 1, 2016 to June 30, 2016. Management provided revenue projections (unobservable input) of $650, $2,203 and $3,925 for fiscal 2016 (partial year), fiscal 2017 and fiscal 2018, respectively. The fair value of this valuation is estimated on a quarterly basis through a collaborative effort by the Company's sales, marketing and finance departments. Significant changes in any of the unobservable inputs used in the fair value measurement of contingent consideration in isolation could result in a significantly lower or higher fair value. A change in projected revenue growth rates would be accompanied by a directionally similar change in fair value. Management evaluates the fair value on a quarterly basis based upon updated projections.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ASURE SOFTWARE,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contingent consideration:</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7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r>
      <w:tr>
        <w:trPr>
          <w:trHeight w:val="223"/>
        </w:trPr>
        <w:tc>
          <w:tcPr>
            <w:tcW w:w="78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1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held for clients</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Funds held for clients represent assets that, based upon the Company's intent, are restricted for use solely for the purposes of satisfying the obligations to remit funds relating to the Company’s payroll and payroll tax filing services, which are classified as client funds obligations on our Condensed Consolidated Balance Sheets. Funds held for clients are held in demand deposit accounts at major financial institutions and are classified as a current asset on our Condensed Consolidated Balance Sheets since these funds are held solely for the purposes of satisfying the client fund obligations.</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Client fund obligations represent the Company's contractual obligations to remit funds to satisfy clients' payroll and tax payment obligations and are recorded on the Condensed Consolidated Balance Sheets at the time that the Company impounds funds from clients. The client fund obligations represent liabilities that will be repaid within one year of the balance sheet date. The Company has reported client fund obligations as a current liability on the Condensed Consolidated Balance Sheets totaling $28,608 and $0 as of March 31, 2016 and December 31, 2015, respectively. The Company has classified funds held for clients as a current asset since these funds are held solely for the purposes of satisfying the client funds obligations. The Company has reported the cash flows related to the purchases of corporate and client funds marketable securities and related to the proceeds from the sales and maturities of corporate and client funds marketable securities on a gross basis in the investing section of the Condensed Statements of Consolidated Cash Flows. The Company has reported the cash inflows and outflows related to client fund investments with original maturities of ninety days or less on a net basis within the net increase in restricted cash and cash equivalents and other restricted assets held to satisfy client fund obligations in the investing section of the Statements of Consolidated Cash Flows. The Company has reported the cash flows related to the cash received from and paid on behalf of clients on a net basis within net increase in client funds obligations in the financing activities section of the Condensed Statements of Consolidated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Through the stock and asset purchases described below, we have entered into the human resource management, payroll processing and benefits administration services businesses, which we intend to integrate into our existing AsureForce® product line.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Employer Services, Inc. of Tampa, Florida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our credit agreement with Wells Fargo. The Note bears interest at an annual rate of 3.50% and matures in March 2018, with the first installment of principal due in March 2017 and the second installment of principal due in March 2018. The Stock Purchase Agreement contains certain customary representations, warranties, indemnities and covenants. Details regarding the financing of the acquisition are described in the below Notes Payable table. Transaction costs for this acquisition were $706 and we expensed them as incurred. The acquisition costs are included in other income(loss) in the Condensed Consolidated Income Statement for three months ended March 31, 2016.</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2016, we also acquired substantially all the assets of Mangrove COBRAsource Inc., a benefits administration services business which then was a wholly owned subsidiary of Mangrove. The aggregate consideration for the assets was $1,036, which Mangrove COBRAsource applied to pay off certain loan balances. The Asset Purchase Agreement contains certain customary representations, warranties, indemnities and covenants.</w:t>
      </w:r>
    </w:p>
    <w:p>
      <w:pPr>
        <w:spacing w:after="0" w:line="15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Following is the purchase price allocation for the acquisition of Mangrove. We based the preliminary fair value estimate for the assets acquired and liabilities assumed for this acquisition upon preliminary calculations and valuations. Our estimates and assumptions for this acquisition are subject to change as we obtain additional information for our estimates during the respective measurement periods (up to one year from the acquisition date). The primary areas of those preliminary estimates that we have not yet finalized relate to certain tangible assets and liabilities acquired, certain legal matters and income and non-income based taxes.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recorded the transaction using the acquisition method of accounting and recognized assets and liabilities assumed at their fair value as of the date of acquisition. The $8,700 of intangible assets subject to amortization consist of $1,200 allocated to Customer Relationships, $6,900 in Developed Technology and $600 for Trade Names. We estimated the fair value of the Customer Relationships and Developed Technology using the excess earnings method, a form of the income approach. We discounted cash flow projections using a rate of 18.1%, which reflects the risk associated with the intangible asset related to the other assets and the overall business operations to us. We estimated the fair value of the Trade Names using the relief from royalty method based upon a 1.2% royalty rate for the payroll division and 0.5% for the benefits administration services business.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believes significant synergies are expected to arise from this strategic acquisition. This factor contributed to a purchase price that was in excess of the fair value of the net assets acquired and, as a result, the Company recorded goodwill. A portion of acquired goodwill will be deductible for tax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ind w:left="660"/>
              <w:spacing w:after="0"/>
              <w:rPr>
                <w:sz w:val="20"/>
                <w:szCs w:val="20"/>
                <w:color w:val="auto"/>
              </w:rPr>
            </w:pPr>
            <w:r>
              <w:rPr>
                <w:rFonts w:ascii="Arial" w:cs="Arial" w:eastAsia="Arial" w:hAnsi="Arial"/>
                <w:sz w:val="18"/>
                <w:szCs w:val="18"/>
                <w:color w:val="auto"/>
                <w:w w:val="92"/>
              </w:rPr>
              <w:t>We based the allocations on fair values at the date of acquisition:</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3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Funds held for clients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assets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Intangibles</w:t>
            </w:r>
          </w:p>
        </w:tc>
        <w:tc>
          <w:tcPr>
            <w:tcW w:w="3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3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35,051</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Accounts payable</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Client fund obligations</w:t>
            </w:r>
          </w:p>
        </w:tc>
        <w:tc>
          <w:tcPr>
            <w:tcW w:w="3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3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17,051</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18,000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20" w:type="dxa"/>
            <w:vAlign w:val="bottom"/>
            <w:vMerge w:val="restart"/>
          </w:tcPr>
          <w:p>
            <w:pPr>
              <w:jc w:val="right"/>
              <w:ind w:right="2636"/>
              <w:spacing w:after="0"/>
              <w:rPr>
                <w:sz w:val="20"/>
                <w:szCs w:val="20"/>
                <w:color w:val="auto"/>
              </w:rPr>
            </w:pPr>
            <w:r>
              <w:rPr>
                <w:rFonts w:ascii="Arial" w:cs="Arial" w:eastAsia="Arial" w:hAnsi="Arial"/>
                <w:sz w:val="14"/>
                <w:szCs w:val="14"/>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or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following unaudited summary of pro forma combined results of operation for the three months ended March 31, 2016 and 2015 gives effect to the acquisition of Mangrove and the acquisition of assets of COBRAsource as if we had completed them on January 1, 2015. This pro forma summary does not reflect any operating efficiencies, cost savings or revenue enhancements that we may achieve by combining operations.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acquisitions taken place as January 1, 2015, nor is it indicative of future consolidated results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FOR THE</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FOR THE</w:t>
            </w:r>
          </w:p>
        </w:tc>
      </w:tr>
      <w:tr>
        <w:trPr>
          <w:trHeight w:val="203"/>
        </w:trPr>
        <w:tc>
          <w:tcPr>
            <w:tcW w:w="14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THREE</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THREE</w:t>
            </w:r>
          </w:p>
        </w:tc>
      </w:tr>
      <w:tr>
        <w:trPr>
          <w:trHeight w:val="203"/>
        </w:trPr>
        <w:tc>
          <w:tcPr>
            <w:tcW w:w="14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MONTHS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MONTHS</w:t>
            </w:r>
          </w:p>
        </w:tc>
      </w:tr>
      <w:tr>
        <w:trPr>
          <w:trHeight w:val="203"/>
        </w:trPr>
        <w:tc>
          <w:tcPr>
            <w:tcW w:w="14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ENDED</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ENDED</w:t>
            </w:r>
          </w:p>
        </w:tc>
      </w:tr>
      <w:tr>
        <w:trPr>
          <w:trHeight w:val="216"/>
        </w:trPr>
        <w:tc>
          <w:tcPr>
            <w:tcW w:w="14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MARCH 31,</w:t>
            </w:r>
          </w:p>
        </w:tc>
      </w:tr>
      <w:tr>
        <w:trPr>
          <w:trHeight w:val="241"/>
        </w:trPr>
        <w:tc>
          <w:tcPr>
            <w:tcW w:w="14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r>
      <w:tr>
        <w:trPr>
          <w:trHeight w:val="216"/>
        </w:trPr>
        <w:tc>
          <w:tcPr>
            <w:tcW w:w="14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r>
      <w:tr>
        <w:trPr>
          <w:trHeight w:val="216"/>
        </w:trPr>
        <w:tc>
          <w:tcPr>
            <w:tcW w:w="144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6,055</w:t>
            </w:r>
          </w:p>
        </w:tc>
      </w:tr>
      <w:tr>
        <w:trPr>
          <w:trHeight w:val="459"/>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NOTE 5 – GOODWILL AND OTHER INTANGIBLE ASSETS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the acquisition of PeopleCube in 2012 and the acquisitions of FotoPunch and Roomtag in 2014 and Mangrove in 2016.</w:t>
      </w:r>
    </w:p>
    <w:p>
      <w:pPr>
        <w:spacing w:after="0" w:line="156" w:lineRule="exact"/>
        <w:rPr>
          <w:sz w:val="20"/>
          <w:szCs w:val="20"/>
          <w:color w:val="auto"/>
        </w:rPr>
      </w:pPr>
    </w:p>
    <w:p>
      <w:pPr>
        <w:jc w:val="both"/>
        <w:ind w:firstLine="700"/>
        <w:spacing w:after="0" w:line="274"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nine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ind w:left="660"/>
              <w:spacing w:after="0"/>
              <w:rPr>
                <w:sz w:val="20"/>
                <w:szCs w:val="20"/>
                <w:color w:val="auto"/>
              </w:rPr>
            </w:pPr>
            <w:r>
              <w:rPr>
                <w:rFonts w:ascii="Arial" w:cs="Arial" w:eastAsia="Arial" w:hAnsi="Arial"/>
                <w:sz w:val="18"/>
                <w:szCs w:val="18"/>
                <w:color w:val="auto"/>
                <w:w w:val="99"/>
              </w:rPr>
              <w:t>The following table summarizes the changes in our goodwill:</w:t>
            </w:r>
          </w:p>
        </w:tc>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3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w w:val="95"/>
              </w:rPr>
              <w:t>Goodwill recognized upon acquisition of Mangrove</w:t>
            </w: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9,123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adjustments to goodwill</w:t>
            </w:r>
          </w:p>
        </w:tc>
        <w:tc>
          <w:tcPr>
            <w:tcW w:w="3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Balance at March 31, 2016</w:t>
            </w:r>
          </w:p>
        </w:tc>
        <w:tc>
          <w:tcPr>
            <w:tcW w:w="30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26,556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20" w:type="dxa"/>
            <w:vAlign w:val="bottom"/>
            <w:vMerge w:val="restart"/>
          </w:tcPr>
          <w:p>
            <w:pPr>
              <w:jc w:val="right"/>
              <w:ind w:right="2639"/>
              <w:spacing w:after="0"/>
              <w:rPr>
                <w:sz w:val="20"/>
                <w:szCs w:val="20"/>
                <w:color w:val="auto"/>
              </w:rPr>
            </w:pPr>
            <w:r>
              <w:rPr>
                <w:rFonts w:ascii="Arial" w:cs="Arial" w:eastAsia="Arial" w:hAnsi="Arial"/>
                <w:sz w:val="14"/>
                <w:szCs w:val="14"/>
                <w:color w:val="auto"/>
              </w:rPr>
              <w:t>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ASURE SOFTWARE,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gross carrying amount and accumulated amortization of our intangible assets as of March 31, 2016 and December 31, 2015 are as follows:</w:t>
      </w:r>
    </w:p>
    <w:p>
      <w:pPr>
        <w:spacing w:after="0" w:line="271"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2"/>
              </w:rPr>
              <w:t>March 31, 2016</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Amortization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68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Trade Names</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27,302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(13,060)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14,242</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3"/>
              </w:rPr>
              <w:t>December 31, 2015</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Intangible Asset</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Amortization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68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Trade Names</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(12,576)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6,026</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record amortization expense using the straight-line method over the estimated useful lives of the intangible assets, as noted above. Amortization expenses for the three months ended March 31, 2016 and 2015 were $377 and $505, respectively, included in Operating Expenses. Amortization expenses recorded in Cost of Sales were $107 and $106 for the three months ended March 31, 2016 and 2015, respectively.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 as of March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22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Calendar Years</w:t>
            </w: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2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2016</w:t>
            </w:r>
          </w:p>
        </w:tc>
        <w:tc>
          <w:tcPr>
            <w:tcW w:w="18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72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tcPr>
          <w:p>
            <w:pPr>
              <w:ind w:left="640"/>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2,245</w:t>
            </w: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2018</w:t>
            </w: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72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tcPr>
          <w:p>
            <w:pPr>
              <w:ind w:left="64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w:t>
            </w: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72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280" w:type="dxa"/>
            <w:vAlign w:val="bottom"/>
          </w:tcPr>
          <w:p>
            <w:pPr>
              <w:ind w:left="640"/>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w:t>
            </w:r>
          </w:p>
        </w:tc>
        <w:tc>
          <w:tcPr>
            <w:tcW w:w="7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57"/>
        </w:trPr>
        <w:tc>
          <w:tcPr>
            <w:tcW w:w="288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14,242</w:t>
            </w:r>
          </w:p>
        </w:tc>
        <w:tc>
          <w:tcPr>
            <w:tcW w:w="720" w:type="dxa"/>
            <w:vAlign w:val="bottom"/>
            <w:tcBorders>
              <w:bottom w:val="single" w:sz="8" w:color="CCEEFF"/>
            </w:tcBorders>
            <w:shd w:val="clear" w:color="auto" w:fill="CCEEFF"/>
          </w:tcPr>
          <w:p>
            <w:pPr>
              <w:spacing w:after="0"/>
              <w:rPr>
                <w:sz w:val="22"/>
                <w:szCs w:val="22"/>
                <w:color w:val="auto"/>
              </w:rPr>
            </w:pPr>
          </w:p>
        </w:tc>
        <w:tc>
          <w:tcPr>
            <w:tcW w:w="2840" w:type="dxa"/>
            <w:vAlign w:val="bottom"/>
          </w:tcPr>
          <w:p>
            <w:pPr>
              <w:spacing w:after="0"/>
              <w:rPr>
                <w:sz w:val="22"/>
                <w:szCs w:val="22"/>
                <w:color w:val="auto"/>
              </w:rPr>
            </w:pPr>
          </w:p>
        </w:tc>
      </w:tr>
      <w:tr>
        <w:trPr>
          <w:trHeight w:val="549"/>
        </w:trPr>
        <w:tc>
          <w:tcPr>
            <w:tcW w:w="2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6"/>
        </w:trPr>
        <w:tc>
          <w:tcPr>
            <w:tcW w:w="28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 as of</w:t>
            </w:r>
          </w:p>
        </w:tc>
      </w:tr>
      <w:tr>
        <w:trPr>
          <w:trHeight w:val="203"/>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7"/>
          </w:tcPr>
          <w:p>
            <w:pPr>
              <w:jc w:val="right"/>
              <w:ind w:right="470"/>
              <w:spacing w:after="0" w:line="202" w:lineRule="exact"/>
              <w:rPr>
                <w:sz w:val="20"/>
                <w:szCs w:val="20"/>
                <w:color w:val="auto"/>
              </w:rPr>
            </w:pPr>
            <w:r>
              <w:rPr>
                <w:rFonts w:ascii="Arial" w:cs="Arial" w:eastAsia="Arial" w:hAnsi="Arial"/>
                <w:sz w:val="18"/>
                <w:szCs w:val="18"/>
                <w:b w:val="1"/>
                <w:bCs w:val="1"/>
                <w:color w:val="auto"/>
                <w:w w:val="97"/>
              </w:rPr>
              <w:t>Stated Interest</w:t>
            </w:r>
          </w:p>
        </w:tc>
        <w:tc>
          <w:tcPr>
            <w:tcW w:w="13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6"/>
              </w:rPr>
              <w:t>Balance as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8"/>
              </w:rPr>
              <w:t>December 31,</w:t>
            </w:r>
          </w:p>
        </w:tc>
      </w:tr>
      <w:tr>
        <w:trPr>
          <w:trHeight w:val="228"/>
        </w:trPr>
        <w:tc>
          <w:tcPr>
            <w:tcW w:w="5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tcPr>
          <w:p>
            <w:pPr>
              <w:spacing w:after="0"/>
              <w:rPr>
                <w:sz w:val="19"/>
                <w:szCs w:val="19"/>
                <w:color w:val="auto"/>
              </w:rPr>
            </w:pP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Rate</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March 31, 2016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Payable- Mangrove acquisition</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3/18/2018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Term Loan - Wells Fargo</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3/31/2019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13,687</w:t>
            </w:r>
          </w:p>
        </w:tc>
      </w:tr>
      <w:tr>
        <w:trPr>
          <w:trHeight w:val="216"/>
        </w:trPr>
        <w:tc>
          <w:tcPr>
            <w:tcW w:w="51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Total 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80" w:type="dxa"/>
            <w:vAlign w:val="bottom"/>
            <w:tcBorders>
              <w:top w:val="single" w:sz="8" w:color="auto"/>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32,188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13,687</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gridSpan w:val="3"/>
          </w:tcPr>
          <w:p>
            <w:pPr>
              <w:ind w:left="340"/>
              <w:spacing w:after="0"/>
              <w:rPr>
                <w:sz w:val="20"/>
                <w:szCs w:val="20"/>
                <w:color w:val="auto"/>
              </w:rPr>
            </w:pPr>
            <w:r>
              <w:rPr>
                <w:rFonts w:ascii="Arial" w:cs="Arial" w:eastAsia="Arial" w:hAnsi="Arial"/>
                <w:sz w:val="18"/>
                <w:szCs w:val="18"/>
                <w:color w:val="auto"/>
              </w:rPr>
              <w:t>Short-term notes payable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4,964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12,656</w:t>
            </w:r>
          </w:p>
        </w:tc>
      </w:tr>
      <w:tr>
        <w:trPr>
          <w:trHeight w:val="419"/>
        </w:trPr>
        <w:tc>
          <w:tcPr>
            <w:tcW w:w="7720" w:type="dxa"/>
            <w:vAlign w:val="bottom"/>
            <w:gridSpan w:val="9"/>
          </w:tcPr>
          <w:p>
            <w:pPr>
              <w:ind w:left="660"/>
              <w:spacing w:after="0"/>
              <w:rPr>
                <w:sz w:val="20"/>
                <w:szCs w:val="20"/>
                <w:color w:val="auto"/>
              </w:rPr>
            </w:pPr>
            <w:r>
              <w:rPr>
                <w:rFonts w:ascii="Arial" w:cs="Arial" w:eastAsia="Arial" w:hAnsi="Arial"/>
                <w:sz w:val="18"/>
                <w:szCs w:val="18"/>
                <w:color w:val="auto"/>
                <w:w w:val="94"/>
              </w:rPr>
              <w:t>The following table summarizes the future principal payments related to our outstanding debt: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286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7"/>
              </w:rPr>
              <w:t>Gross Amount</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40" w:type="dxa"/>
            <w:vAlign w:val="bottom"/>
            <w:tcBorders>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5,455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Borders>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19,641</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Notes Payable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32,188</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Wells Fargo</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March 2014, we entered into a Credit Agreement with Wells Fargo Bank, N.A., as administrative agent, and the lenders that are party thereto. We used the proceeds of the term loan to finance the repayment of all amounts outstanding under our loan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agreement with Deerpath and the payment of certain fees, cost and expenses related to the Credit Agreement.</w:t>
      </w:r>
    </w:p>
    <w:p>
      <w:pPr>
        <w:spacing w:after="0" w:line="19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Credit Agreement provides for a term loan in the amount of $15,000. The term loan will mature in March 2019. The outstanding principal amount of the term loan is payable as follows:</w:t>
      </w:r>
    </w:p>
    <w:p>
      <w:pPr>
        <w:spacing w:after="0" w:line="156" w:lineRule="exact"/>
        <w:rPr>
          <w:sz w:val="20"/>
          <w:szCs w:val="20"/>
          <w:color w:val="auto"/>
        </w:rPr>
      </w:pPr>
    </w:p>
    <w:p>
      <w:pPr>
        <w:ind w:left="1300" w:hanging="129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$188 on June 30, 2014 and the last day of each fiscal quarter thereafter up to March 31, 2016;</w:t>
      </w:r>
    </w:p>
    <w:p>
      <w:pPr>
        <w:spacing w:after="0" w:line="23" w:lineRule="exact"/>
        <w:rPr>
          <w:rFonts w:ascii="Arial" w:cs="Arial" w:eastAsia="Arial" w:hAnsi="Arial"/>
          <w:sz w:val="18"/>
          <w:szCs w:val="18"/>
          <w:color w:val="auto"/>
        </w:rPr>
      </w:pPr>
    </w:p>
    <w:p>
      <w:pPr>
        <w:ind w:left="1300" w:hanging="129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$281 on June 30, 2016 and the last day of each fiscal quarter thereafter up to March 31, 2017; and</w:t>
      </w:r>
    </w:p>
    <w:p>
      <w:pPr>
        <w:spacing w:after="0" w:line="9" w:lineRule="exact"/>
        <w:rPr>
          <w:rFonts w:ascii="Arial" w:cs="Arial" w:eastAsia="Arial" w:hAnsi="Arial"/>
          <w:sz w:val="18"/>
          <w:szCs w:val="18"/>
          <w:color w:val="auto"/>
        </w:rPr>
      </w:pPr>
    </w:p>
    <w:p>
      <w:pPr>
        <w:ind w:left="1300" w:right="300" w:hanging="1292"/>
        <w:spacing w:after="0" w:line="261"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$375 on June 30, 2017 and the last day of each fiscal quarter thereafter, with a final payment of the remaining balance due on March 31, 2019</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Credit Agreement also provides for a revolving loan commitment in the aggregate amount of up to $3,000. The outstanding principal amount of the revolving loan is due and payable in March 2019. Additionally, the Credit Agreement provides for a $10,000 uncommitted incremental term loan facility to support permitted acquisitions. As of March 31, 2016, $0 was outstanding and $3,000 was available for borrowing under the revolver.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ASURE SOFTWARE,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term loan and revolving loan will bear interest, at our option, at (i) the greater of 1% or LIBOR, plus an applicable margin or (ii) a base rate (as defined in the Credit Agreement) plus an applicable margin. We have elected to use the LIBOR rate plus the applicable margin, which was has remained constant at 5% since the inception of the loan. Interest is payable quarterly and the margin varies based upon our leverage ratio. See table below of applicable margin rates prior to the amendment effective November 11, 2015.</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Base Rate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r>
      <w:tr>
        <w:trPr>
          <w:trHeight w:val="228"/>
        </w:trPr>
        <w:tc>
          <w:tcPr>
            <w:tcW w:w="20" w:type="dxa"/>
            <w:vAlign w:val="bottom"/>
          </w:tcPr>
          <w:p>
            <w:pPr>
              <w:spacing w:after="0"/>
              <w:rPr>
                <w:sz w:val="19"/>
                <w:szCs w:val="19"/>
                <w:color w:val="auto"/>
              </w:rPr>
            </w:pP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Total Leverage Ratio</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&gt; 2.75:1.0</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&lt; 2.75:1.0 but &gt; 2.25:1.0</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&lt; 2.25:1.0</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r>
    </w:tbl>
    <w:p>
      <w:pPr>
        <w:spacing w:after="0" w:line="18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As discussed below, the Credit Agreement was amended in November 2015. See table below of applicable margin rates as of November 11, 2015 through March 31, 2016.</w:t>
      </w:r>
    </w:p>
    <w:p>
      <w:pPr>
        <w:spacing w:after="0" w:line="188"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Base Rate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r>
      <w:tr>
        <w:trPr>
          <w:trHeight w:val="228"/>
        </w:trPr>
        <w:tc>
          <w:tcPr>
            <w:tcW w:w="20" w:type="dxa"/>
            <w:vAlign w:val="bottom"/>
          </w:tcPr>
          <w:p>
            <w:pPr>
              <w:spacing w:after="0"/>
              <w:rPr>
                <w:sz w:val="19"/>
                <w:szCs w:val="19"/>
                <w:color w:val="auto"/>
              </w:rPr>
            </w:pP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Total Leverage Ratio</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&gt; 3.25:1.0</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&lt; 3.25:1.0 but &gt; 2.75:1.0</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3.00%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&lt; 2.75:1.0 but &gt; 2.25:1.0</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&lt; 2.25:1.0</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2.00%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r>
    </w:tbl>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may voluntarily prepay the principal amount outstanding under the revolving loan at any time without penalty or premium. However, we must pay a premium if we make a voluntary prepayment of outstanding principal under the term loan during the first two years following the closing date or if we are required to prepay outstanding principal under the Credit Agreement with proceeds resulting from certain asset sales or debt incurrence. The premium is 1% or 0.5% of the principal amount being prepaid depending on whether the prepayment occurs on or before the first anniversary of the closing date or subsequent to the first anniversary date through the second anniversary of the closing date. In addition, we are required to repay outstanding principal on an annual basis with 50% of excess cash flow, certain over advances, asset sale proceeds, debt proceeds, and proceeds from judgements and settlements. As of March 31, 2016, none of these payments were due.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Under the Credit Agreement, we were required to maintain a fixed charge coverage ratio of not less than 1.5 to 1.0 beginning with the quarter ending June 30, 2014 and each calendar quarter thereafter, and a leverage ratio of not greater than 3.5 to 1.0 beginning with the quarter ending June 30, 2014 with the levels stepping down thereafter. We amended the Credit Agreement in August 2014, March 2015 and November 2015. The August 2014 amendment revised the leverage ratio beginning with the quarter ending September 30, 2014 to a leverage ratio of not greater than 3.6 to 1.0 with the levels stepping down thereafter. The March 2015 amendment authorized us to optionally prepay, subject to specified conditions, the Subordinated Note Payable to Roomtag and revised the leverage ratio beginning with the quarter ended March 31, 2015 to a leverage ratio of not greater than 3.5 to 1.0 with the levels stepping down thereafter. The November 2015 amendment increased the applicable margin relative to the LIBOR rate upon which we compute the interest payable. We agreed that if our leverage ratio is (a) less than or equal to 2.25:1, (b) greater than 2.25:1 but less than or equal to 2.75:1, (c) greater than 2.75:1 but less than or equal to 3.25:1 or (d) greater than 3.25:1, the applicable margin relative to the LIBOR rate would be 3.00, 3.50, 4.00 or 4.50 percentage points, respectively. We further agreed that until the leverage ratio testing period ending September 30, 2016, we will pay interest based on the 4.50 percentage point margin level.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We amended our Credit Agreement with Wells Fargo Bank, N.A., in March 2016. Under this amendment, we expanded our overall credit facility by $12,500 to $29,188. The amendment changes the applicable margin rates for determining the interest rate payable on the loan as follows:</w:t>
      </w:r>
    </w:p>
    <w:p>
      <w:pPr>
        <w:spacing w:after="0" w:line="125"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Base Rate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LIBOR Rate</w:t>
            </w:r>
          </w:p>
        </w:tc>
      </w:tr>
      <w:tr>
        <w:trPr>
          <w:trHeight w:val="228"/>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Leverage Ratio</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19"/>
                <w:szCs w:val="19"/>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2.75:1</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r>
      <w:tr>
        <w:trPr>
          <w:trHeight w:val="216"/>
        </w:trPr>
        <w:tc>
          <w:tcPr>
            <w:tcW w:w="2400" w:type="dxa"/>
            <w:vAlign w:val="bottom"/>
          </w:tcPr>
          <w:p>
            <w:pPr>
              <w:jc w:val="center"/>
              <w:spacing w:after="0"/>
              <w:rPr>
                <w:sz w:val="20"/>
                <w:szCs w:val="20"/>
                <w:color w:val="auto"/>
              </w:rPr>
            </w:pPr>
            <w:r>
              <w:rPr>
                <w:rFonts w:ascii="Arial" w:cs="Arial" w:eastAsia="Arial" w:hAnsi="Arial"/>
                <w:sz w:val="18"/>
                <w:szCs w:val="18"/>
                <w:color w:val="auto"/>
                <w:w w:val="91"/>
              </w:rPr>
              <w:t>&gt; 2.75:1 but ≤ 3.25:1</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4.00%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3.25:1</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r>
    </w:tbl>
    <w:p>
      <w:pPr>
        <w:spacing w:after="0" w:line="18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March 2016 amendment also amends our leverage ratio requirements under the Credit Agreement. We have now agreed to a leverage ratio not to exceed 5.00:1 at March 31, 2016, stepping down to 2.25:1 at December 31, 2018.</w:t>
      </w:r>
    </w:p>
    <w:p>
      <w:pPr>
        <w:spacing w:after="0" w:line="15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Credit Agreement contains customary affirmative and negative covenants, including, among others, limitations with respect to debt, liens, fundamental changes, sale of assets, prepayment of debt, investments, dividends, and transactions with affiliates.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March 31, 2016, we were in compliance with all covenants and all payments remain current. We expect to be in compliance or be able to obtain compliance through debt repayments with the available cash on hand or as we expect to be generated from ordinary course of operations over the next twelve months.</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Agreement contains customary events of default, including, among others, payment defaults, covenant defaults, judgment defaults, bankruptcy and insolvency events, cross defaults to certain indebtedness, incorrect representations or warranties, and change of control. In some cases, the defaults are subject to customary notice and grace period provisions. In March 2014 and in connection with the Credit Agreement, we and our wholly-owned active subsidiaries entered into a Guaranty and Security Agreement with Wells Fargo Bank. Under the Guaranty and Security Agreement, we and each of our wholly-owned active subsidiaries have guaranteed all obligations under the Credit Agreement and granted a security interest in substantially all of our and our subsidiaries’ assets.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Subordinated Notes Payable: Mangrove Acquisition Note</w:t>
      </w:r>
    </w:p>
    <w:p>
      <w:pPr>
        <w:spacing w:after="0" w:line="2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March 2016, we acquired all of the issued and outstanding shares of common stock (the “Shares”) of Mangrove. Pursuant to this stock purchase, we acquired the payroll division of Mangrove, which is engaged in the human resource management and payroll processing businesses. The aggregate consideration for the Shares consisted of (i) $11,348 in cash, a portion of which was used to pay certain obligations of Mangrove and (ii) a secured subordinated promissory note (the “Note”) in the principal amount of $6,000, subject to adjustment as provided in the Stock Purchase Agreement. We funded the cash payment with proceeds from our credit agreement with Wells Fargo. The Note bears interest at an annual rate of 3.50% and matures in March 2018, with the first installment of principal of $3,000 due in March 2017 and the second installment of principal of $3,000 due in March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BASED COMPENSATION</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Share based compensation for our stock option plans for the three months ended March 31, 2016 and 2015 were $39 and $37, respectively. We issued 1,500 shares of common stock related to exercises of stock options granted from our Stock Option Plan for the three months ended March 31, 2016 and 9,700 for the three months ended March 31, 2015, respectively.</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2014 to increase the number of shares reserved under the plan from 1,200,000 to 1,400,000. We have a total of 546,000 options granted and outstanding pursuant to the 2009 Plan as of March 31,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ASURE SOFTWARE,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LOSS</w:t>
      </w:r>
    </w:p>
    <w:p>
      <w:pPr>
        <w:spacing w:after="0" w:line="24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Comprehensive loss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net of tax:</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Other</w:t>
            </w: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0"/>
              </w:rPr>
              <w:t>Foreign</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8"/>
              </w:rPr>
              <w:t>Comprehensive</w:t>
            </w:r>
          </w:p>
        </w:tc>
      </w:tr>
      <w:tr>
        <w:trPr>
          <w:trHeight w:val="228"/>
        </w:trPr>
        <w:tc>
          <w:tcPr>
            <w:tcW w:w="536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Currency Items</w:t>
            </w:r>
          </w:p>
        </w:tc>
        <w:tc>
          <w:tcPr>
            <w:tcW w:w="14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Loss Items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188"/>
        </w:trPr>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loss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March 31,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tax benefit (expense) allocated to each component of other comprehensive income (loss):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92"/>
              </w:rPr>
              <w:t>Three Months Ended March 31, 2016</w:t>
            </w:r>
          </w:p>
        </w:tc>
        <w:tc>
          <w:tcPr>
            <w:tcW w:w="120" w:type="dxa"/>
            <w:vAlign w:val="bottom"/>
          </w:tcPr>
          <w:p>
            <w:pPr>
              <w:spacing w:after="0"/>
              <w:rPr>
                <w:sz w:val="19"/>
                <w:szCs w:val="19"/>
                <w:color w:val="auto"/>
              </w:rPr>
            </w:pPr>
          </w:p>
        </w:tc>
      </w:tr>
      <w:tr>
        <w:trPr>
          <w:trHeight w:val="223"/>
        </w:trPr>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Before Tax</w:t>
            </w:r>
          </w:p>
        </w:tc>
        <w:tc>
          <w:tcPr>
            <w:tcW w:w="18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Tax Benefit</w:t>
            </w:r>
          </w:p>
        </w:tc>
        <w:tc>
          <w:tcPr>
            <w:tcW w:w="20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Net of Tax</w:t>
            </w:r>
          </w:p>
        </w:tc>
        <w:tc>
          <w:tcPr>
            <w:tcW w:w="12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7"/>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546,000 and 971,000 shares as of March 31, 2016 and 2015, respectively, from the computation of the dilutive stock options because the effect of including the stock options would have been anti-dilutive.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for the three months ended March 31, 2016 and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Ended March 31,</w:t>
            </w: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Ended March 31,</w:t>
            </w:r>
          </w:p>
        </w:tc>
        <w:tc>
          <w:tcPr>
            <w:tcW w:w="144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Weighted-average shares of common stock outstanding</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6,055,000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Pr>
          <w:p>
            <w:pPr>
              <w:spacing w:after="0"/>
              <w:rPr>
                <w:sz w:val="22"/>
                <w:szCs w:val="22"/>
                <w:color w:val="auto"/>
              </w:rPr>
            </w:pPr>
          </w:p>
        </w:tc>
      </w:tr>
      <w:tr>
        <w:trPr>
          <w:trHeight w:val="589"/>
        </w:trPr>
        <w:tc>
          <w:tcPr>
            <w:tcW w:w="14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60" w:type="dxa"/>
            <w:vAlign w:val="bottom"/>
          </w:tcPr>
          <w:p>
            <w:pPr>
              <w:jc w:val="right"/>
              <w:ind w:right="10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These risks and uncertainties include — but are not limited to — adverse changes in the economy, financial markets, and credit markets; delays or reductions in information technology spending; the development of the market for cloud based workplace applications; product development; market acceptance of new products and product improvements; our ability to retain or increase our customer base; security breaches; errors, disruptions or delays in our services; privacy concerns; changes in the our sales cycle; competition, including pricing pressures, entry of new competitors, and new technologies; intellectual property enforcement and litigation; our ability to hire, retain and motivate employees; our ability to manage our growth; our ability to realize benefits from acquisitions; changes in sales may not be immediately reflected in our operating results due to our subscription model; changes in laws and regulations; and changes in accounting standards. Asure is under no obligation to update any of the forward-looking statements after the date of this Form 10-Q to conform such statements to actual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review of Asure’s financial position as of March 31, 2016 and December 31, 2015 and the results of operations and cash flows for the three months ended March 31, 2016 and 2015 should be read in conjunction with our 2015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Asure is a leading global provider of cloud-based software-as-a-service (“SaaS”) time and labor management and Agile Workplace management solutions that enable companies of all sizes and complexities to operate more efficiently and proactively manage costs associated with their most expensive assets: real estate, labor and technology.</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currently offer two main product lines, AsureSpace™ and AsureForce®. Our AsureSpace™ Agile Workplace management solutions enable organizations to manage their office environments and optimize real estate utilization. Our AsureForce® time and labor management solutions help organizations optimize labor and labor administration costs and activities. For both product lines, support and professional services are other key elements of our software and services business. As an extension of our perpetual software product offerings, Asure offers our customers maintenance and support contracts that provide ready access to qualified support staff, software patches and upgrades to our software products. We also provide installation of and training on our products, add-on software customization and other professional services on a global scale.</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following table sets forth, for the fiscal periods indicated, the percentage of total revenues represented by certain items in Asure’s Condensed Consolidated Statements of Comprehensive Loss:</w:t>
      </w:r>
    </w:p>
    <w:p>
      <w:pPr>
        <w:spacing w:after="0" w:line="192"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FOR THE THREE</w:t>
      </w:r>
    </w:p>
    <w:p>
      <w:pPr>
        <w:spacing w:after="0" w:line="11"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MONTHS ENDED</w:t>
      </w:r>
    </w:p>
    <w:p>
      <w:pPr>
        <w:jc w:val="center"/>
        <w:ind w:left="520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74.3</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73.9</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82.0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74.1</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loss, net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(23.1)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2016 AND 2015 (Amounts in thousands)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was derived from the following sources:</w:t>
      </w:r>
    </w:p>
    <w:p>
      <w:pPr>
        <w:spacing w:after="0" w:line="194"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FOR THE THREE</w:t>
      </w:r>
    </w:p>
    <w:p>
      <w:pPr>
        <w:spacing w:after="0" w:line="11"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MONTHS ENDED</w:t>
      </w:r>
    </w:p>
    <w:p>
      <w:pPr>
        <w:jc w:val="center"/>
        <w:ind w:left="1880"/>
        <w:spacing w:after="0" w:line="232"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 revenue</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Hardware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On premise software license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6,722</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6,332</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Revenue represents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Our product offerings are categorized into AsureSpace™ and AsureForce®. AsureSpace™ offers workplace management solutions that enable organizations to manage their office environments and optimize real estate utilization, and AsureForce® offers time and labor management solutions which help organizations optimize labor and labor administration costs and activities. Both product groupings include cloud revenue, hardware revenue, maintenance and support revenue, on premise software license revenue and professional services revenue. AsureSpace™ revenues include PeopleCube, Meeting Room Manager and Roomtag revenues. AsureForce® revenues include ADI, Legiant, iEmployee, FotoPunch and Mangrove revenues.</w:t>
      </w:r>
    </w:p>
    <w:p>
      <w:pPr>
        <w:spacing w:after="0" w:line="14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Revenue for the three months ended March 31, 2016 was $6,722, an increase of $390 or 6.2%, from the $6,332 reported for the three months ended March 31, 2015. Cloud revenue increased from the first quarter of 2015 due to our continued emphasis on selling integrated cloud based solutions. AsureSpace™ revenue for the three months ended March 31, 2016 was $3,734, a slight decrease of $49 or 1.3%, from the $3,783 recorded for the three months ended March 31, 2015. AsureSpace™ cloud and hardware revenues increased, offset by decreases in maintenance and support, on premise software license and professional services revenues. Cloud revenue increased $196, or 10.8%, and hardware revenue increased $90, or 36.9%, over the three months ended March 31, 2015. The largest decrease was in maintenance and support revenue of $255, or 23.7%, primarily caused by the movement of customers from on premise to on demand, cloud based solutions. AsureForce® revenue for the three months ended March 31, 2016 was $2,988, an increase of $439 or 17.2%, from the $2,549 recorded for the three months ended March 31, 2015. This increase was primarily due to the acquisition of Mangrove in March 2016, resulting in $368 of revenue in the first quarter of 2016. Cloud, hardware, on premise software license and professional services revenues increased, with the largest increases in cloud revenue of $294, or 18.9%, and professional services revenue of $155, or 176.1%, over the three months ended March 31, 2015. These increases were offset by a decrease in AsureForce® maintenance and support revenue of $71, or 14.6%, as compared to the three months ended March 31, 2015.</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Although our total customer base is widely spread across industries, our sales are concentrated in certain industry sectors, including corporate, education, healthcare, government, legal and non-profit. We continue to target small and medium sized businesses and divisions of larger enterprises in these same industries as prospective customers. Geographically, we sell our products worldwide, but sales are largely concentrated in the United States, Canada and Europe. Additionally, we have a distribution partner in Australia. As the overall workforce management solutions market continues to experience significant growth related to SaaS products, we will continue to focus on sales of Meeting Room Manager On Demand, PeopleCube and ADI SaaS products.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In addition to continuing to develop our workforce and Agile Workplace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us a product line that includes software to assist customers in driving integrated facility management of offices, conference rooms, video conferencing, events and training, alternative workspaces and lobby use. The 2014 acquisitions of FotoPunch and Roomtag support our vision to deliver innovative cloud-based Agile Workplace technologies. Our March 2016 acquisitions from Mangrove enable us to enter into the human resource management, payroll processing and benefits administration services businesses, which we intend to integrate into our existing AsureForce® product 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Consolidated gross margin for the three months ended March 31, 2016 was $4,992, an increase of $312, or 6.7%, from the $4,680 reported for the three months ended March 31, 2015. Gross margin as a percentage of revenues was 74.3% and 73.9% for the three months ended March 31, 2016 and 2015, respectively. We attribute the decrease in gross margin to a shift in the mix of our revenue between our higher margin and lower margin product 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Selling, general and administrative (“SG&amp;A”) expenses for the three months ended March 31, 2016 were $4,327, an increase of $878 or 25.5%, from the $3,449 reported for the three months ended March 31, 2015. SG&amp;A expenses as a percentage of revenues were 64.4% and 54.5% for the three months ended March 31, 2016 and 2015, respectively.</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We’ve reorganized our sales team in 2015 to increase our focus on larger deals in the enterprise and global markets, resulting in higher headcount and increased selling expenses, We continue to evaluate any unnecessary expenses and any increases in SG&amp;A are designed to enhance future revenue growth.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Research and development (“R&amp;D”) expenses for the three months ended March 31, 2015 were $811, an increase of $73, or 10.0%, from the $738 reported for the three months ended March 31, 2015. R&amp;D expenses as a percentage of revenues were 12.1% and 11.7% for the three months ended March 31, 2016 and 2015, respectively.</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continue to improve our products and technologies through organic improvements as well as through acquired intellectual property. We believe that our expanded investment in SaaS hosting, mobile and hardware technologies lays the ground work for broader market opportunities, and represents a key aspect of our competitive differentiation. Native mobile applications, QR Code integration, expanded web service integration and other technologies are all part of our initiatives.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Our development efforts for future releases and enhancements are driven by feedback received from our existing and potential customers and by gauging market trends. We believe we have the appropriate development team to design and further improve our workforce management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Amortization expenses for the three months ended March 31, 2016 were $377, a decrease of $128, or 25.3%, from the $505 reported for the three months ended March 31, 2015. Amortization expenses as a percentage of revenues were 5.6% and 8.0% for the three months ended March 31, 2016 and 2015,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and Loss</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Other loss for the three months ended March 31, 2016 was $987, an increase of $576, or 140.1%, from the $411 reported for the three months ended March 31, 2015. Other loss as a percentage of revenues was 14.7% and 6.5% for the three months ended March 31, 2016 and 2015, respectively. Other loss for the three months ended March 31, 2016 is composed primarily of $706 in one-time professional expenses related to the acquisition of Mangrove in March 2016 and interest expense on notes payable of $292. Other loss for the three months ended March 31, 2015 is composed primarily of interest expense on notes payable of $280 and a loss on lease termination of $110.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Income tax expense for the three months ended March 31, 2016 was $44, a decrease of $16, or 26.7%, from the $60 reported for the three months ended March 31, 2015.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incurred a net loss of $1,554, or $(0.25) per share, during the three months ended March 31, 2016, compared to a net loss of $483 or $(0.08) per share reported for the three months ended March 31, 2015. Net loss as a percentage of total revenues was 23.1% for the three months ended March 31, 2016 compared to net loss of 7.6% of total revenues for the three months ended March 31, 2015.</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and there can be no assurance that we can successfully grow our revenues or achieve profitability during the remainder of fiscal year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 (Amounts in thousands)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0"/>
        </w:trPr>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28"/>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(8,593)</w:t>
            </w:r>
          </w:p>
        </w:tc>
      </w:tr>
      <w:tr>
        <w:trPr>
          <w:trHeight w:val="230"/>
        </w:trPr>
        <w:tc>
          <w:tcPr>
            <w:tcW w:w="14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1,158</w:t>
            </w:r>
          </w:p>
        </w:tc>
      </w:tr>
      <w:tr>
        <w:trPr>
          <w:trHeight w:val="400"/>
        </w:trPr>
        <w:tc>
          <w:tcPr>
            <w:tcW w:w="1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228"/>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8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1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r>
      <w:tr>
        <w:trPr>
          <w:trHeight w:val="216"/>
        </w:trPr>
        <w:tc>
          <w:tcPr>
            <w:tcW w:w="1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(24,205)</w:t>
            </w: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r>
      <w:tr>
        <w:trPr>
          <w:trHeight w:val="216"/>
        </w:trPr>
        <w:tc>
          <w:tcPr>
            <w:tcW w:w="1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24,201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We had a working capital deficit of $13,238 at March 31, 2016, an increase in our deficit of $4,645 from the $8,593 deficit at December 31, 2015. The working capital deficit at March 31, 2016 and December 31, 2015 includes $10,523 and $10,803 of deferred revenue, respectively. Deferred revenue is an obligation to perform future services. We expect that deferred revenue will convert to future revenue as we perform our services, but this does not represent future payments. Deferred revenue can vary based on seasonality, expiration of initial multi-year contracts and deals that are billed after implementation rather than in advance of service delivery. We attribute the increase in our working capital deficit to an increase in our current notes payable of $3,787, due to the acquisition of Mangrove in the first quarter of 2016.</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u w:val="single" w:color="auto"/>
          <w:color w:val="auto"/>
        </w:rPr>
        <w:t>Operating Activities</w:t>
      </w:r>
      <w:r>
        <w:rPr>
          <w:rFonts w:ascii="Arial" w:cs="Arial" w:eastAsia="Arial" w:hAnsi="Arial"/>
          <w:sz w:val="18"/>
          <w:szCs w:val="18"/>
          <w:color w:val="auto"/>
        </w:rPr>
        <w:t>. Cash used in operating activities was $638 for the three months ended March 31, 2016. The $638 of cash used in operating activities during the first quarter of 2016 was primarily driven by net income (after adjustment for non-cash items) of $789, a decrease in accounts payable of $798 and a decrease in other accrued liabilities of $748. This was offset by increases in deferred revenue of $637, as well as decreases in accounts receivable of $723, prepaid expenses and other assets of $187, and inventory of $150, respectively. The $546 of cash provided by operating activities during the first quarter of 2015 was primarily driven by net income (after adjustment for non-cash items) of $362, an increase in accounts payable of $648 as well as a decrease in accounts receivable of $401. This was offset by an increase in prepaid expenses and other assets of $195, a decrease in accrued expenses and deferred revenue of $65 and $512,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Cash used in investing activities was $24,205 and $632 for the three months ended March 31, 2016 and March 31, 2015, respectively, due primarily to the acquisition of Mangrove and the increase in funds held for clients in the first quarter of 2016 and due to net purchases of property and equipment in the three months ended March 31, 2015.</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Cash provided by financing activities was $24,201 for the three months ended March 31, 2016. We incurred $12,500 of debt and $12,189 of client fund obligations, primarily due to the cash used in the acquisition of Mangrove and the increase in funds held for clients in the first quarter of 2016. This is offset by debt financing fees of $438. Cash provided by financing activities was $29 for the three months ended March 31, 2015. We incurred $1,000 of debt. This is offset by note payments of $887 and debt financing fees of $75.</w:t>
      </w:r>
    </w:p>
    <w:p>
      <w:pPr>
        <w:spacing w:after="0" w:line="21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u w:val="single" w:color="auto"/>
          <w:color w:val="auto"/>
        </w:rPr>
        <w:t>Sources of Liquidity</w:t>
      </w:r>
      <w:r>
        <w:rPr>
          <w:rFonts w:ascii="Arial" w:cs="Arial" w:eastAsia="Arial" w:hAnsi="Arial"/>
          <w:sz w:val="16"/>
          <w:szCs w:val="16"/>
          <w:color w:val="auto"/>
        </w:rPr>
        <w:t>. As of March 31, 2016, Asure’s principal sources of liquidity consisted of approximately $553 of cash and cash equivalents and future cash generated from operations. We believe that we have and/or will generate sufficient cash for our short- and long-term needs. Based on current internal projections, we believe that we have and/or will generate sufficient cash for our operational needs, including any required debt payments, for at least the next twelve months. We currently project that we can generate positive cash flows from our operating activities for at least the next twelve months.</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management team is focused on growing our existing software operations and is also seeking additional strategic acquisitions for the near future. At present, we plan to fund any future acquisition with equity, existing cash and cash equivalents cash generated from future operations and/or cash or debt raised from outside sources.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twelve months and to maintain compliance with the terms of our debt agreements and related covenants or to obtain compliance through debt repayments made with our available cash on hand or anticipated for receipt in the ordinary course of operations.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u w:val="single" w:color="auto"/>
          <w:color w:val="auto"/>
        </w:rPr>
        <w:t>Capital Resources</w:t>
      </w:r>
      <w:r>
        <w:rPr>
          <w:rFonts w:ascii="Arial" w:cs="Arial" w:eastAsia="Arial" w:hAnsi="Arial"/>
          <w:sz w:val="18"/>
          <w:szCs w:val="18"/>
          <w:color w:val="auto"/>
        </w:rPr>
        <w:t>. At March 31, 2016, we had $26,188 outstanding under our credit agreement with Wells Fargo. Available funds under the term credit facility were approximately $0 and under the revolving credit facility were approximately $3,000 at March 31, 2016. For further discussion regarding debt and financing arrangements, see Note 6 to the accompanying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2015. For additional information on critical accounting policies, refer to “Management’s Discussion and Analysis” in our 2015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March 31, 2016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period ended March 31, 2016, there were no changes in our internal control over financial reporting that have materially affected, or are reasonably likely to materially affect, our internal control over financial reporting.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0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3"/>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399"/>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99"/>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9"/>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9"/>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6"/>
              </w:rPr>
              <w:t>The following materials from Asure Software, Inc.’s Quarterly Report on Form 10-Q for the quarter ended March 31, 2016,</w:t>
            </w:r>
          </w:p>
        </w:tc>
      </w:tr>
    </w:tbl>
    <w:p>
      <w:pPr>
        <w:jc w:val="both"/>
        <w:ind w:left="208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680" w:type="dxa"/>
            <w:vAlign w:val="bottom"/>
            <w:gridSpan w:val="2"/>
          </w:tcPr>
          <w:p>
            <w:pPr>
              <w:ind w:left="1180"/>
              <w:spacing w:after="0"/>
              <w:rPr>
                <w:sz w:val="20"/>
                <w:szCs w:val="20"/>
                <w:color w:val="auto"/>
              </w:rPr>
            </w:pPr>
            <w:r>
              <w:rPr>
                <w:rFonts w:ascii="Arial" w:cs="Arial" w:eastAsia="Arial" w:hAnsi="Arial"/>
                <w:sz w:val="18"/>
                <w:szCs w:val="18"/>
                <w:b w:val="1"/>
                <w:bCs w:val="1"/>
                <w:color w:val="auto"/>
              </w:rPr>
              <w:t>ASURE SOFTWARE, INC.</w:t>
            </w:r>
          </w:p>
        </w:tc>
        <w:tc>
          <w:tcPr>
            <w:tcW w:w="3560" w:type="dxa"/>
            <w:vAlign w:val="bottom"/>
          </w:tcPr>
          <w:p>
            <w:pPr>
              <w:spacing w:after="0"/>
              <w:rPr>
                <w:sz w:val="20"/>
                <w:szCs w:val="20"/>
                <w:color w:val="auto"/>
              </w:rPr>
            </w:pPr>
          </w:p>
        </w:tc>
      </w:tr>
      <w:tr>
        <w:trPr>
          <w:trHeight w:val="601"/>
        </w:trPr>
        <w:tc>
          <w:tcPr>
            <w:tcW w:w="2180" w:type="dxa"/>
            <w:vAlign w:val="bottom"/>
          </w:tcPr>
          <w:p>
            <w:pPr>
              <w:spacing w:after="0"/>
              <w:rPr>
                <w:sz w:val="20"/>
                <w:szCs w:val="20"/>
                <w:color w:val="auto"/>
              </w:rPr>
            </w:pPr>
            <w:r>
              <w:rPr>
                <w:rFonts w:ascii="Arial" w:cs="Arial" w:eastAsia="Arial" w:hAnsi="Arial"/>
                <w:sz w:val="18"/>
                <w:szCs w:val="18"/>
                <w:color w:val="auto"/>
              </w:rPr>
              <w:t>May 12, 2016</w:t>
            </w:r>
          </w:p>
        </w:tc>
        <w:tc>
          <w:tcPr>
            <w:tcW w:w="2460" w:type="dxa"/>
            <w:vAlign w:val="bottom"/>
          </w:tcPr>
          <w:p>
            <w:pPr>
              <w:ind w:left="118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c>
          <w:tcPr>
            <w:tcW w:w="3560" w:type="dxa"/>
            <w:vAlign w:val="bottom"/>
          </w:tcPr>
          <w:p>
            <w:pPr>
              <w:spacing w:after="0"/>
              <w:rPr>
                <w:sz w:val="24"/>
                <w:szCs w:val="24"/>
                <w:color w:val="auto"/>
              </w:rPr>
            </w:pPr>
          </w:p>
        </w:tc>
      </w:tr>
      <w:tr>
        <w:trPr>
          <w:trHeight w:val="188"/>
        </w:trPr>
        <w:tc>
          <w:tcPr>
            <w:tcW w:w="2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spacing w:after="0" w:line="189" w:lineRule="exact"/>
              <w:rPr>
                <w:sz w:val="20"/>
                <w:szCs w:val="20"/>
                <w:color w:val="auto"/>
              </w:rPr>
            </w:pPr>
            <w:r>
              <w:rPr>
                <w:rFonts w:ascii="Arial" w:cs="Arial" w:eastAsia="Arial" w:hAnsi="Arial"/>
                <w:sz w:val="18"/>
                <w:szCs w:val="18"/>
                <w:color w:val="auto"/>
              </w:rPr>
              <w:t>Patrick Goepel</w:t>
            </w:r>
          </w:p>
        </w:tc>
        <w:tc>
          <w:tcPr>
            <w:tcW w:w="3560" w:type="dxa"/>
            <w:vAlign w:val="bottom"/>
          </w:tcPr>
          <w:p>
            <w:pPr>
              <w:spacing w:after="0"/>
              <w:rPr>
                <w:sz w:val="16"/>
                <w:szCs w:val="16"/>
                <w:color w:val="auto"/>
              </w:rPr>
            </w:pPr>
          </w:p>
        </w:tc>
      </w:tr>
      <w:tr>
        <w:trPr>
          <w:trHeight w:val="230"/>
        </w:trPr>
        <w:tc>
          <w:tcPr>
            <w:tcW w:w="2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560" w:type="dxa"/>
            <w:vAlign w:val="bottom"/>
          </w:tcPr>
          <w:p>
            <w:pPr>
              <w:spacing w:after="0"/>
              <w:rPr>
                <w:sz w:val="20"/>
                <w:szCs w:val="20"/>
                <w:color w:val="auto"/>
              </w:rPr>
            </w:pPr>
          </w:p>
        </w:tc>
      </w:tr>
      <w:tr>
        <w:trPr>
          <w:trHeight w:val="399"/>
        </w:trPr>
        <w:tc>
          <w:tcPr>
            <w:tcW w:w="2180" w:type="dxa"/>
            <w:vAlign w:val="bottom"/>
          </w:tcPr>
          <w:p>
            <w:pPr>
              <w:spacing w:after="0"/>
              <w:rPr>
                <w:sz w:val="20"/>
                <w:szCs w:val="20"/>
                <w:color w:val="auto"/>
              </w:rPr>
            </w:pPr>
            <w:r>
              <w:rPr>
                <w:rFonts w:ascii="Arial" w:cs="Arial" w:eastAsia="Arial" w:hAnsi="Arial"/>
                <w:sz w:val="18"/>
                <w:szCs w:val="18"/>
                <w:color w:val="auto"/>
              </w:rPr>
              <w:t>May 12, 2016</w:t>
            </w:r>
          </w:p>
        </w:tc>
        <w:tc>
          <w:tcPr>
            <w:tcW w:w="2460" w:type="dxa"/>
            <w:vAlign w:val="bottom"/>
          </w:tcPr>
          <w:p>
            <w:pPr>
              <w:ind w:left="118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WOLFE</w:t>
            </w:r>
          </w:p>
        </w:tc>
        <w:tc>
          <w:tcPr>
            <w:tcW w:w="3560" w:type="dxa"/>
            <w:vAlign w:val="bottom"/>
          </w:tcPr>
          <w:p>
            <w:pPr>
              <w:spacing w:after="0"/>
              <w:rPr>
                <w:sz w:val="24"/>
                <w:szCs w:val="24"/>
                <w:color w:val="auto"/>
              </w:rPr>
            </w:pPr>
          </w:p>
        </w:tc>
      </w:tr>
      <w:tr>
        <w:trPr>
          <w:trHeight w:val="188"/>
        </w:trPr>
        <w:tc>
          <w:tcPr>
            <w:tcW w:w="2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spacing w:after="0" w:line="189" w:lineRule="exact"/>
              <w:rPr>
                <w:sz w:val="20"/>
                <w:szCs w:val="20"/>
                <w:color w:val="auto"/>
              </w:rPr>
            </w:pPr>
            <w:r>
              <w:rPr>
                <w:rFonts w:ascii="Arial" w:cs="Arial" w:eastAsia="Arial" w:hAnsi="Arial"/>
                <w:sz w:val="18"/>
                <w:szCs w:val="18"/>
                <w:color w:val="auto"/>
              </w:rPr>
              <w:t>Brad Wolfe</w:t>
            </w:r>
          </w:p>
        </w:tc>
        <w:tc>
          <w:tcPr>
            <w:tcW w:w="3560" w:type="dxa"/>
            <w:vAlign w:val="bottom"/>
          </w:tcPr>
          <w:p>
            <w:pPr>
              <w:spacing w:after="0"/>
              <w:rPr>
                <w:sz w:val="16"/>
                <w:szCs w:val="16"/>
                <w:color w:val="auto"/>
              </w:rPr>
            </w:pPr>
          </w:p>
        </w:tc>
      </w:tr>
      <w:tr>
        <w:trPr>
          <w:trHeight w:val="230"/>
        </w:trPr>
        <w:tc>
          <w:tcPr>
            <w:tcW w:w="2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560" w:type="dxa"/>
            <w:vAlign w:val="bottom"/>
          </w:tcPr>
          <w:p>
            <w:pPr>
              <w:spacing w:after="0"/>
              <w:rPr>
                <w:sz w:val="20"/>
                <w:szCs w:val="20"/>
                <w:color w:val="auto"/>
              </w:rPr>
            </w:pPr>
          </w:p>
        </w:tc>
      </w:tr>
      <w:tr>
        <w:trPr>
          <w:trHeight w:val="744"/>
        </w:trPr>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20" w:type="dxa"/>
            <w:vAlign w:val="bottom"/>
          </w:tcPr>
          <w:p>
            <w:pPr>
              <w:ind w:left="1000"/>
              <w:spacing w:after="0"/>
              <w:rPr>
                <w:sz w:val="20"/>
                <w:szCs w:val="20"/>
                <w:color w:val="auto"/>
              </w:rPr>
            </w:pPr>
            <w:r>
              <w:rPr>
                <w:rFonts w:ascii="Arial" w:cs="Arial" w:eastAsia="Arial" w:hAnsi="Arial"/>
                <w:sz w:val="14"/>
                <w:szCs w:val="14"/>
                <w:color w:val="auto"/>
              </w:rPr>
              <w:t>24</w:t>
            </w:r>
          </w:p>
        </w:tc>
        <w:tc>
          <w:tcPr>
            <w:tcW w:w="3560" w:type="dxa"/>
            <w:vAlign w:val="bottom"/>
          </w:tcPr>
          <w:p>
            <w:pPr>
              <w:spacing w:after="0"/>
              <w:rPr>
                <w:sz w:val="24"/>
                <w:szCs w:val="24"/>
                <w:color w:val="auto"/>
              </w:rPr>
            </w:pPr>
          </w:p>
        </w:tc>
      </w:tr>
      <w:tr>
        <w:trPr>
          <w:trHeight w:val="46"/>
        </w:trPr>
        <w:tc>
          <w:tcPr>
            <w:tcW w:w="21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3"/>
          </w:tcPr>
          <w:p>
            <w:pPr>
              <w:ind w:left="2720"/>
              <w:spacing w:after="0"/>
              <w:rPr>
                <w:sz w:val="20"/>
                <w:szCs w:val="20"/>
                <w:color w:val="auto"/>
              </w:rPr>
            </w:pPr>
            <w:r>
              <w:rPr>
                <w:rFonts w:ascii="Arial" w:cs="Arial" w:eastAsia="Arial" w:hAnsi="Arial"/>
                <w:sz w:val="18"/>
                <w:szCs w:val="18"/>
                <w:b w:val="1"/>
                <w:bCs w:val="1"/>
                <w:color w:val="auto"/>
              </w:rPr>
              <w:t>INDEX TO EXHIBITS</w:t>
            </w:r>
          </w:p>
        </w:tc>
      </w:tr>
      <w:tr>
        <w:trPr>
          <w:trHeight w:val="39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auto"/>
            </w:tcBorders>
            <w:gridSpan w:val="3"/>
          </w:tcPr>
          <w:p>
            <w:pPr>
              <w:ind w:left="4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28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26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15"/>
                <w:szCs w:val="15"/>
                <w:color w:val="auto"/>
              </w:rPr>
            </w:pPr>
          </w:p>
        </w:tc>
      </w:tr>
      <w:tr>
        <w:trPr>
          <w:trHeight w:val="399"/>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Section 302 of the Sarbanes-Oxley Act of 2002.</w:t>
              </w:r>
            </w:hyperlink>
          </w:p>
        </w:tc>
        <w:tc>
          <w:tcPr>
            <w:tcW w:w="4060" w:type="dxa"/>
            <w:vAlign w:val="bottom"/>
            <w:gridSpan w:val="2"/>
          </w:tcPr>
          <w:p>
            <w:pPr>
              <w:spacing w:after="0"/>
              <w:rPr>
                <w:sz w:val="24"/>
                <w:szCs w:val="24"/>
                <w:color w:val="auto"/>
              </w:rPr>
            </w:pPr>
          </w:p>
        </w:tc>
      </w:tr>
      <w:tr>
        <w:trPr>
          <w:trHeight w:val="399"/>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9"/>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Certification pursuant to 18 U.S.C. Section 1350, as adopted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27"/>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w w:val="96"/>
              </w:rPr>
              <w:t>The following materials from Asure Software, Inc.’s Quarterly Report on Form 10-Q for the quarter ended March 31, 2016,</w:t>
            </w:r>
          </w:p>
        </w:tc>
      </w:tr>
    </w:tbl>
    <w:p>
      <w:pPr>
        <w:jc w:val="both"/>
        <w:ind w:left="2080" w:right="40"/>
        <w:spacing w:after="0" w:line="239"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Comprehensive Loss, (3) the Condensed Consolidated Statements of Cash Flows, and (4) Notes to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198" w:lineRule="exact"/>
        <w:rPr>
          <w:sz w:val="20"/>
          <w:szCs w:val="20"/>
          <w:color w:val="auto"/>
        </w:rPr>
      </w:pPr>
    </w:p>
    <w:p>
      <w:pPr>
        <w:ind w:left="520" w:hanging="18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198" w:lineRule="exact"/>
        <w:rPr>
          <w:rFonts w:ascii="Arial" w:cs="Arial" w:eastAsia="Arial" w:hAnsi="Arial"/>
          <w:sz w:val="18"/>
          <w:szCs w:val="18"/>
          <w:color w:val="auto"/>
        </w:rPr>
      </w:pPr>
    </w:p>
    <w:p>
      <w:pPr>
        <w:ind w:right="20" w:firstLine="332"/>
        <w:spacing w:after="0" w:line="324" w:lineRule="auto"/>
        <w:tabs>
          <w:tab w:leader="none" w:pos="519"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0" w:lineRule="exact"/>
        <w:rPr>
          <w:rFonts w:ascii="Arial" w:cs="Arial" w:eastAsia="Arial" w:hAnsi="Arial"/>
          <w:sz w:val="16"/>
          <w:szCs w:val="16"/>
          <w:color w:val="auto"/>
        </w:rPr>
      </w:pPr>
    </w:p>
    <w:p>
      <w:pPr>
        <w:ind w:firstLine="332"/>
        <w:spacing w:after="0" w:line="262" w:lineRule="auto"/>
        <w:tabs>
          <w:tab w:leader="none" w:pos="52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55" w:lineRule="exact"/>
        <w:rPr>
          <w:rFonts w:ascii="Arial" w:cs="Arial" w:eastAsia="Arial" w:hAnsi="Arial"/>
          <w:sz w:val="18"/>
          <w:szCs w:val="18"/>
          <w:color w:val="auto"/>
        </w:rPr>
      </w:pPr>
    </w:p>
    <w:p>
      <w:pPr>
        <w:jc w:val="both"/>
        <w:ind w:firstLine="332"/>
        <w:spacing w:after="0" w:line="248"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0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3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firstLine="656"/>
        <w:spacing w:after="0" w:line="291" w:lineRule="auto"/>
        <w:tabs>
          <w:tab w:leader="none" w:pos="934"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3" w:lineRule="exact"/>
        <w:rPr>
          <w:rFonts w:ascii="Arial" w:cs="Arial" w:eastAsia="Arial" w:hAnsi="Arial"/>
          <w:sz w:val="17"/>
          <w:szCs w:val="17"/>
          <w:color w:val="auto"/>
        </w:rPr>
      </w:pPr>
    </w:p>
    <w:p>
      <w:pPr>
        <w:jc w:val="both"/>
        <w:ind w:firstLine="656"/>
        <w:spacing w:after="0" w:line="248" w:lineRule="auto"/>
        <w:tabs>
          <w:tab w:leader="none" w:pos="91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2016) that has materially affected, or is reasonably likely to materially affect, the Company’s internal control over financial reporting; and</w:t>
      </w:r>
    </w:p>
    <w:p>
      <w:pPr>
        <w:spacing w:after="0" w:line="168" w:lineRule="exact"/>
        <w:rPr>
          <w:rFonts w:ascii="Arial" w:cs="Arial" w:eastAsia="Arial" w:hAnsi="Arial"/>
          <w:sz w:val="18"/>
          <w:szCs w:val="18"/>
          <w:color w:val="auto"/>
        </w:rPr>
      </w:pPr>
    </w:p>
    <w:p>
      <w:pPr>
        <w:ind w:firstLine="332"/>
        <w:spacing w:after="0" w:line="262" w:lineRule="auto"/>
        <w:tabs>
          <w:tab w:leader="none" w:pos="5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tabs>
          <w:tab w:leader="none" w:pos="3560" w:val="left"/>
          <w:tab w:leader="none" w:pos="4860" w:val="left"/>
        </w:tabs>
        <w:rPr>
          <w:sz w:val="20"/>
          <w:szCs w:val="20"/>
          <w:color w:val="auto"/>
        </w:rPr>
      </w:pPr>
      <w:r>
        <w:rPr>
          <w:rFonts w:ascii="Arial" w:cs="Arial" w:eastAsia="Arial" w:hAnsi="Arial"/>
          <w:sz w:val="18"/>
          <w:szCs w:val="18"/>
          <w:color w:val="auto"/>
        </w:rPr>
        <w:t>Date: May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6350</wp:posOffset>
            </wp:positionV>
            <wp:extent cx="2263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63775" cy="1714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Patrick Goepel</w:t>
      </w:r>
    </w:p>
    <w:p>
      <w:pPr>
        <w:spacing w:after="0" w:line="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Brad Wolfe, certify that:</w:t>
      </w:r>
    </w:p>
    <w:p>
      <w:pPr>
        <w:spacing w:after="0" w:line="198"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198" w:lineRule="exact"/>
        <w:rPr>
          <w:rFonts w:ascii="Arial" w:cs="Arial" w:eastAsia="Arial" w:hAnsi="Arial"/>
          <w:sz w:val="18"/>
          <w:szCs w:val="18"/>
          <w:color w:val="auto"/>
        </w:rPr>
      </w:pPr>
    </w:p>
    <w:p>
      <w:pPr>
        <w:ind w:right="20" w:firstLine="332"/>
        <w:spacing w:after="0" w:line="324" w:lineRule="auto"/>
        <w:tabs>
          <w:tab w:leader="none" w:pos="51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10" w:lineRule="exact"/>
        <w:rPr>
          <w:rFonts w:ascii="Arial" w:cs="Arial" w:eastAsia="Arial" w:hAnsi="Arial"/>
          <w:sz w:val="16"/>
          <w:szCs w:val="16"/>
          <w:color w:val="auto"/>
        </w:rPr>
      </w:pPr>
    </w:p>
    <w:p>
      <w:pPr>
        <w:ind w:firstLine="332"/>
        <w:spacing w:after="0" w:line="262" w:lineRule="auto"/>
        <w:tabs>
          <w:tab w:leader="none" w:pos="52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55" w:lineRule="exact"/>
        <w:rPr>
          <w:rFonts w:ascii="Arial" w:cs="Arial" w:eastAsia="Arial" w:hAnsi="Arial"/>
          <w:sz w:val="18"/>
          <w:szCs w:val="18"/>
          <w:color w:val="auto"/>
        </w:rPr>
      </w:pPr>
    </w:p>
    <w:p>
      <w:pPr>
        <w:jc w:val="both"/>
        <w:ind w:firstLine="332"/>
        <w:spacing w:after="0" w:line="248"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0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68" w:lineRule="exact"/>
        <w:rPr>
          <w:rFonts w:ascii="Arial" w:cs="Arial" w:eastAsia="Arial" w:hAnsi="Arial"/>
          <w:sz w:val="18"/>
          <w:szCs w:val="18"/>
          <w:color w:val="auto"/>
        </w:rPr>
      </w:pPr>
    </w:p>
    <w:p>
      <w:pPr>
        <w:jc w:val="both"/>
        <w:ind w:firstLine="656"/>
        <w:spacing w:after="0" w:line="248" w:lineRule="auto"/>
        <w:tabs>
          <w:tab w:leader="none" w:pos="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firstLine="656"/>
        <w:spacing w:after="0" w:line="291" w:lineRule="auto"/>
        <w:tabs>
          <w:tab w:leader="none" w:pos="934"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33" w:lineRule="exact"/>
        <w:rPr>
          <w:rFonts w:ascii="Arial" w:cs="Arial" w:eastAsia="Arial" w:hAnsi="Arial"/>
          <w:sz w:val="17"/>
          <w:szCs w:val="17"/>
          <w:color w:val="auto"/>
        </w:rPr>
      </w:pPr>
    </w:p>
    <w:p>
      <w:pPr>
        <w:jc w:val="both"/>
        <w:ind w:firstLine="656"/>
        <w:spacing w:after="0" w:line="248" w:lineRule="auto"/>
        <w:tabs>
          <w:tab w:leader="none" w:pos="91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March 31, 2016) that has materially affected, or is reasonably likely to materially affect, the Company’s internal control over financial reporting; and</w:t>
      </w:r>
    </w:p>
    <w:p>
      <w:pPr>
        <w:spacing w:after="0" w:line="168" w:lineRule="exact"/>
        <w:rPr>
          <w:rFonts w:ascii="Arial" w:cs="Arial" w:eastAsia="Arial" w:hAnsi="Arial"/>
          <w:sz w:val="18"/>
          <w:szCs w:val="18"/>
          <w:color w:val="auto"/>
        </w:rPr>
      </w:pPr>
    </w:p>
    <w:p>
      <w:pPr>
        <w:ind w:firstLine="332"/>
        <w:spacing w:after="0" w:line="262" w:lineRule="auto"/>
        <w:tabs>
          <w:tab w:leader="none" w:pos="5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55" w:lineRule="exact"/>
        <w:rPr>
          <w:rFonts w:ascii="Arial" w:cs="Arial" w:eastAsia="Arial" w:hAnsi="Arial"/>
          <w:sz w:val="18"/>
          <w:szCs w:val="18"/>
          <w:color w:val="auto"/>
        </w:rPr>
      </w:pPr>
    </w:p>
    <w:p>
      <w:pPr>
        <w:ind w:firstLine="656"/>
        <w:spacing w:after="0" w:line="262" w:lineRule="auto"/>
        <w:tabs>
          <w:tab w:leader="none" w:pos="9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tabs>
          <w:tab w:leader="none" w:pos="3640" w:val="left"/>
          <w:tab w:leader="none" w:pos="5000" w:val="left"/>
        </w:tabs>
        <w:rPr>
          <w:sz w:val="20"/>
          <w:szCs w:val="20"/>
          <w:color w:val="auto"/>
        </w:rPr>
      </w:pPr>
      <w:r>
        <w:rPr>
          <w:rFonts w:ascii="Arial" w:cs="Arial" w:eastAsia="Arial" w:hAnsi="Arial"/>
          <w:sz w:val="18"/>
          <w:szCs w:val="18"/>
          <w:color w:val="auto"/>
        </w:rPr>
        <w:t>Date: May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6350</wp:posOffset>
            </wp:positionV>
            <wp:extent cx="22466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Brad Wolfe</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21" w:lineRule="exact"/>
        <w:rPr>
          <w:sz w:val="20"/>
          <w:szCs w:val="20"/>
          <w:color w:val="auto"/>
        </w:rPr>
      </w:pPr>
    </w:p>
    <w:p>
      <w:pPr>
        <w:ind w:firstLine="332"/>
        <w:spacing w:after="0" w:line="262" w:lineRule="auto"/>
        <w:tabs>
          <w:tab w:leader="none" w:pos="52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2016 (the “Report”) fully complies with the requirements of section 13(a) or 15(d) of the Securities Exchange Act of 1934 as amended, and</w:t>
      </w:r>
    </w:p>
    <w:p>
      <w:pPr>
        <w:spacing w:after="0" w:line="155" w:lineRule="exact"/>
        <w:rPr>
          <w:rFonts w:ascii="Arial" w:cs="Arial" w:eastAsia="Arial" w:hAnsi="Arial"/>
          <w:sz w:val="18"/>
          <w:szCs w:val="18"/>
          <w:color w:val="auto"/>
        </w:rPr>
      </w:pPr>
    </w:p>
    <w:p>
      <w:pPr>
        <w:ind w:left="520" w:hanging="188"/>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tabs>
          <w:tab w:leader="none" w:pos="3900" w:val="left"/>
          <w:tab w:leader="none" w:pos="5180" w:val="left"/>
        </w:tabs>
        <w:rPr>
          <w:sz w:val="20"/>
          <w:szCs w:val="20"/>
          <w:color w:val="auto"/>
        </w:rPr>
      </w:pPr>
      <w:r>
        <w:rPr>
          <w:rFonts w:ascii="Arial" w:cs="Arial" w:eastAsia="Arial" w:hAnsi="Arial"/>
          <w:sz w:val="18"/>
          <w:szCs w:val="18"/>
          <w:color w:val="auto"/>
        </w:rPr>
        <w:t>Date: May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6350</wp:posOffset>
            </wp:positionV>
            <wp:extent cx="21183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18360" cy="1714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Patrick Goepel</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Brad Wolfe, do hereby certify, pursuant to 18 U.S.C. Section 1350, as adopted by Section 906 of the Sarbanes-Oxley Act of 2002, that:</w:t>
      </w:r>
    </w:p>
    <w:p>
      <w:pPr>
        <w:spacing w:after="0" w:line="221" w:lineRule="exact"/>
        <w:rPr>
          <w:sz w:val="20"/>
          <w:szCs w:val="20"/>
          <w:color w:val="auto"/>
        </w:rPr>
      </w:pPr>
    </w:p>
    <w:p>
      <w:pPr>
        <w:ind w:firstLine="332"/>
        <w:spacing w:after="0" w:line="262" w:lineRule="auto"/>
        <w:tabs>
          <w:tab w:leader="none" w:pos="52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2016 (the “Report”) fully complies with the requirements of section 13(a) or 15(d) of the Securities Exchange Act of 1934 as amended, and</w:t>
      </w:r>
    </w:p>
    <w:p>
      <w:pPr>
        <w:spacing w:after="0" w:line="155" w:lineRule="exact"/>
        <w:rPr>
          <w:rFonts w:ascii="Arial" w:cs="Arial" w:eastAsia="Arial" w:hAnsi="Arial"/>
          <w:sz w:val="18"/>
          <w:szCs w:val="18"/>
          <w:color w:val="auto"/>
        </w:rPr>
      </w:pPr>
    </w:p>
    <w:p>
      <w:pPr>
        <w:ind w:left="520" w:hanging="18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tabs>
          <w:tab w:leader="none" w:pos="3640" w:val="left"/>
          <w:tab w:leader="none" w:pos="5000" w:val="left"/>
        </w:tabs>
        <w:rPr>
          <w:sz w:val="20"/>
          <w:szCs w:val="20"/>
          <w:color w:val="auto"/>
        </w:rPr>
      </w:pPr>
      <w:r>
        <w:rPr>
          <w:rFonts w:ascii="Arial" w:cs="Arial" w:eastAsia="Arial" w:hAnsi="Arial"/>
          <w:sz w:val="18"/>
          <w:szCs w:val="18"/>
          <w:color w:val="auto"/>
        </w:rPr>
        <w:t>Date: May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6350</wp:posOffset>
            </wp:positionV>
            <wp:extent cx="22466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Brad Wolfe</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2019-12-29T12:06:30Z</dcterms:created>
  <dcterms:modified xsi:type="dcterms:W3CDTF">2019-12-29T12:06:30Z</dcterms:modified>
</cp:coreProperties>
</file>