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663d1_8k.htm"/>
      <w:bookmarkStart w:id="1" w:name="kstm262766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101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October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526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5524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1_edei--EntityRegistrantName_c2026"/>
      <w:bookmarkEnd w:id="4"/>
      <w:r>
        <w:rPr>
          <w:rFonts w:ascii="Times New Roman;Times;Serif" w:hAnsi="Times New Roman;Times;Serif"/>
          <w:b/>
          <w:i w:val="false"/>
          <w:caps w:val="false"/>
          <w:smallCaps w:val="false"/>
          <w:sz w:val="28"/>
          <w:u w:val="single"/>
        </w:rPr>
        <w:t>ASURE SOFTWARE,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28" w:type="dxa"/>
          <w:right w:w="0" w:type="dxa"/>
        </w:tblCellMar>
      </w:tblPr>
      <w:tblGrid>
        <w:gridCol w:w="3590"/>
        <w:gridCol w:w="60"/>
        <w:gridCol w:w="2210"/>
        <w:gridCol w:w="60"/>
        <w:gridCol w:w="2915"/>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1015"/>
            <w:bookmarkEnd w:id="6"/>
            <w:r>
              <w:rPr>
                <w:rFonts w:ascii="Times New Roman;Times;Serif" w:hAnsi="Times New Roman;Times;Serif"/>
                <w:b/>
                <w:i w:val="false"/>
                <w:caps w:val="false"/>
                <w:smallCaps w:val="false"/>
                <w:sz w:val="20"/>
              </w:rPr>
              <w:t>1-34522</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74-2415696</w:t>
            </w:r>
          </w:p>
        </w:tc>
      </w:tr>
      <w:tr>
        <w:trPr/>
        <w:tc>
          <w:tcPr>
            <w:tcW w:w="359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3350"/>
        <w:gridCol w:w="60"/>
        <w:gridCol w:w="60"/>
        <w:gridCol w:w="60"/>
        <w:gridCol w:w="920"/>
      </w:tblGrid>
      <w:tr>
        <w:trPr/>
        <w:tc>
          <w:tcPr>
            <w:tcW w:w="3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405 Colorado Street, </w:t>
            </w:r>
            <w:bookmarkStart w:id="9" w:name="xdx_900_edei--EntityAddressAddressLine2_"/>
            <w:bookmarkEnd w:id="9"/>
            <w:r>
              <w:rPr>
                <w:rFonts w:ascii="Times New Roman;Times;Serif" w:hAnsi="Times New Roman;Times;Serif"/>
                <w:b/>
                <w:i w:val="false"/>
                <w:caps w:val="false"/>
                <w:smallCaps w:val="false"/>
                <w:sz w:val="20"/>
              </w:rPr>
              <w:t xml:space="preserve">Suite 1800 </w:t>
            </w:r>
            <w:bookmarkStart w:id="10" w:name="xdx_90C_edei--EntityAddressCityOrTown_c2"/>
            <w:bookmarkEnd w:id="10"/>
            <w:r>
              <w:rPr>
                <w:rFonts w:ascii="Times New Roman;Times;Serif" w:hAnsi="Times New Roman;Times;Serif"/>
                <w:b/>
                <w:i w:val="false"/>
                <w:caps w:val="false"/>
                <w:smallCaps w:val="false"/>
                <w:sz w:val="20"/>
              </w:rPr>
              <w:t>Austin,</w:t>
              <w:br/>
            </w:r>
            <w:bookmarkStart w:id="11" w:name="xdx_90E_edei--EntityAddressStateOrProvin"/>
            <w:bookmarkEnd w:id="11"/>
            <w:r>
              <w:rPr>
                <w:rFonts w:ascii="Times New Roman;Times;Serif" w:hAnsi="Times New Roman;Times;Serif"/>
                <w:b/>
                <w:i w:val="false"/>
                <w:caps w:val="false"/>
                <w:smallCaps w:val="false"/>
                <w:sz w:val="20"/>
              </w:rPr>
              <w:t>Texas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F_edei--EntityAddressPostalZipCode"/>
            <w:bookmarkEnd w:id="12"/>
            <w:r>
              <w:rPr>
                <w:rFonts w:ascii="Times New Roman;Times;Serif" w:hAnsi="Times New Roman;Times;Serif"/>
                <w:b/>
                <w:i w:val="false"/>
                <w:caps w:val="false"/>
                <w:smallCaps w:val="false"/>
                <w:sz w:val="20"/>
              </w:rPr>
              <w:t>78701</w:t>
            </w:r>
          </w:p>
        </w:tc>
      </w:tr>
      <w:tr>
        <w:trPr/>
        <w:tc>
          <w:tcPr>
            <w:tcW w:w="3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B_edei--CityAreaCode_c20261015__20"/>
      <w:bookmarkEnd w:id="13"/>
      <w:r>
        <w:rPr>
          <w:rFonts w:ascii="Times New Roman;Times;Serif" w:hAnsi="Times New Roman;Times;Serif"/>
          <w:b/>
          <w:i w:val="false"/>
          <w:caps w:val="false"/>
          <w:smallCaps w:val="false"/>
          <w:sz w:val="20"/>
        </w:rPr>
        <w:t>512-</w:t>
      </w:r>
      <w:bookmarkStart w:id="14" w:name="xdx_908_edei--LocalPhoneNumber_c20261015"/>
      <w:bookmarkEnd w:id="14"/>
      <w:r>
        <w:rPr>
          <w:rFonts w:ascii="Times New Roman;Times;Serif" w:hAnsi="Times New Roman;Times;Serif"/>
          <w:b/>
          <w:i w:val="false"/>
          <w:caps w:val="false"/>
          <w:smallCaps w:val="false"/>
          <w:sz w:val="20"/>
        </w:rPr>
        <w:t>437-2700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9_edei--WrittenCommunications_c202"/>
            <w:bookmarkEnd w:id="15"/>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E_edei--SolicitingMaterial_c202610"/>
            <w:bookmarkEnd w:id="16"/>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TenderOffer"/>
            <w:bookmarkEnd w:id="17"/>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4_edei--PreCommencementIssuerTende"/>
            <w:bookmarkEnd w:id="18"/>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140" w:type="dxa"/>
        <w:jc w:val="left"/>
        <w:tblInd w:w="0" w:type="dxa"/>
        <w:tblLayout w:type="fixed"/>
        <w:tblCellMar>
          <w:top w:w="0" w:type="dxa"/>
          <w:left w:w="0" w:type="dxa"/>
          <w:bottom w:w="28" w:type="dxa"/>
          <w:right w:w="0" w:type="dxa"/>
        </w:tblCellMar>
      </w:tblPr>
      <w:tblGrid>
        <w:gridCol w:w="6425"/>
        <w:gridCol w:w="60"/>
        <w:gridCol w:w="845"/>
        <w:gridCol w:w="60"/>
        <w:gridCol w:w="2750"/>
      </w:tblGrid>
      <w:tr>
        <w:trPr/>
        <w:tc>
          <w:tcPr>
            <w:tcW w:w="64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642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1_edei--Security12bTitle_c20261015"/>
            <w:bookmarkEnd w:id="19"/>
            <w:r>
              <w:rPr>
                <w:rFonts w:ascii="Times New Roman;Times;Serif" w:hAnsi="Times New Roman;Times;Serif"/>
                <w:b/>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B_edei--TradingSymbol_c20261015__2"/>
            <w:bookmarkEnd w:id="20"/>
            <w:r>
              <w:rPr>
                <w:rFonts w:ascii="Times New Roman;Times;Serif" w:hAnsi="Times New Roman;Times;Serif"/>
                <w:b/>
                <w:i w:val="false"/>
                <w:caps w:val="false"/>
                <w:smallCaps w:val="false"/>
                <w:sz w:val="20"/>
              </w:rPr>
              <w:t>ASUR</w:t>
            </w:r>
          </w:p>
        </w:tc>
        <w:tc>
          <w:tcPr>
            <w:tcW w:w="60" w:type="dxa"/>
            <w:tcBorders/>
            <w:tcMar>
              <w:bottom w:w="0" w:type="dxa"/>
            </w:tcMar>
            <w:vAlign w:val="center"/>
          </w:tcPr>
          <w:p>
            <w:pPr>
              <w:pStyle w:val="TableContents"/>
              <w:bidi w:val="0"/>
              <w:spacing w:before="0" w:after="283"/>
              <w:jc w:val="left"/>
              <w:rPr/>
            </w:pPr>
            <w:r>
              <w:rPr/>
              <w:t> </w:t>
            </w:r>
          </w:p>
        </w:tc>
        <w:tc>
          <w:tcPr>
            <w:tcW w:w="2750" w:type="dxa"/>
            <w:tcBorders/>
            <w:tcMar>
              <w:bottom w:w="0" w:type="dxa"/>
            </w:tcMar>
            <w:vAlign w:val="center"/>
          </w:tcPr>
          <w:p>
            <w:pPr>
              <w:pStyle w:val="TableContents"/>
              <w:bidi w:val="0"/>
              <w:spacing w:before="0" w:after="283"/>
              <w:jc w:val="center"/>
              <w:rPr/>
            </w:pPr>
            <w:r>
              <w:rPr>
                <w:rFonts w:ascii="Times New Roman;Times;Serif" w:hAnsi="Times New Roman;Times;Serif"/>
                <w:b/>
                <w:i w:val="false"/>
                <w:caps w:val="false"/>
                <w:smallCaps w:val="false"/>
                <w:sz w:val="20"/>
              </w:rPr>
              <w:t xml:space="preserve">The </w:t>
            </w:r>
            <w:bookmarkStart w:id="21" w:name="xdx_90D_edei--SecurityExchangeName_c2026"/>
            <w:bookmarkEnd w:id="21"/>
            <w:r>
              <w:rPr>
                <w:rFonts w:ascii="Times New Roman;Times;Serif" w:hAnsi="Times New Roman;Times;Serif"/>
                <w:b/>
                <w:i w:val="false"/>
                <w:caps w:val="false"/>
                <w:smallCaps w:val="false"/>
                <w:sz w:val="20"/>
              </w:rPr>
              <w:t>Nasdaq</w:t>
            </w:r>
            <w:r>
              <w:rPr/>
              <w:t xml:space="preserve"> </w:t>
            </w:r>
            <w:r>
              <w:rPr>
                <w:b/>
              </w:rPr>
              <w:t>Capital Market</w:t>
            </w:r>
          </w:p>
        </w:tc>
      </w:tr>
      <w:tr>
        <w:trPr/>
        <w:tc>
          <w:tcPr>
            <w:tcW w:w="6425" w:type="dxa"/>
            <w:tcBorders/>
            <w:tcMar>
              <w:bottom w:w="0" w:type="dxa"/>
            </w:tcMar>
            <w:vAlign w:val="center"/>
          </w:tcPr>
          <w:p>
            <w:pPr>
              <w:pStyle w:val="TableContents"/>
              <w:bidi w:val="0"/>
              <w:spacing w:before="0" w:after="283"/>
              <w:jc w:val="center"/>
              <w:rPr>
                <w:b/>
              </w:rPr>
            </w:pPr>
            <w:bookmarkStart w:id="22" w:name="xdx_905_edei--Security12bTitle_c20261015"/>
            <w:bookmarkEnd w:id="22"/>
            <w:r>
              <w:rPr>
                <w:b/>
              </w:rPr>
              <w:t>Series A Junior Participating Preferred Share Purchase Rights</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center"/>
              <w:rPr>
                <w:b/>
              </w:rPr>
            </w:pPr>
            <w:bookmarkStart w:id="23" w:name="xdx_907_edei--NoTradingSymbolFlag_dxL_c2"/>
            <w:bookmarkEnd w:id="23"/>
            <w:r>
              <w:rPr>
                <w:b/>
              </w:rPr>
              <w:t>N/A</w:t>
            </w:r>
          </w:p>
        </w:tc>
        <w:tc>
          <w:tcPr>
            <w:tcW w:w="60" w:type="dxa"/>
            <w:tcBorders/>
            <w:tcMar>
              <w:bottom w:w="0" w:type="dxa"/>
            </w:tcMar>
            <w:vAlign w:val="center"/>
          </w:tcPr>
          <w:p>
            <w:pPr>
              <w:pStyle w:val="TableContents"/>
              <w:bidi w:val="0"/>
              <w:spacing w:before="0" w:after="283"/>
              <w:jc w:val="left"/>
              <w:rPr/>
            </w:pPr>
            <w:r>
              <w:rPr/>
              <w:t> </w:t>
            </w:r>
          </w:p>
        </w:tc>
        <w:tc>
          <w:tcPr>
            <w:tcW w:w="2750" w:type="dxa"/>
            <w:tcBorders/>
            <w:tcMar>
              <w:bottom w:w="0" w:type="dxa"/>
            </w:tcMar>
            <w:vAlign w:val="center"/>
          </w:tcPr>
          <w:p>
            <w:pPr>
              <w:pStyle w:val="TableContents"/>
              <w:bidi w:val="0"/>
              <w:spacing w:before="0" w:after="283"/>
              <w:jc w:val="center"/>
              <w:rPr>
                <w:b/>
              </w:rPr>
            </w:pPr>
            <w:r>
              <w:rPr>
                <w:b/>
              </w:rPr>
              <w:t>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Exchange Act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8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Asure Software, Inc. (the “Company”) entered into a Credit Agreement (the “Credit Agreement”) dated October 15, 2026, by and among the Company as the Borrower, certain subsidiaries of the Company as Guarantors, MUFG Bank, LTD (“MUFG”), as administrative agent, and the lenders from time to time party thereto (such lenders collectively with MUFG,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Credit Agreement, the Company may borrow up to $115 million from the Lenders (the “Senior Credit Facility”), comprising a (i) $85.0 million (the “Initial Loan Balance”) term loan facility, all of which was drawn by the Company on October 15, 2026 (the “Closing Date”), (ii) $10.0 million five-year revolving credit facility (the “Revolving Facility”), and (iii) $20.0 million delayed-draw term loan facility (the “DDTL Facility”). After the Closing Date, the Company is permitted to incur (a) additional term loans under a new term facility to be included in the Senior Credit Facility and/or (b) increases in the Revolving Credit Facility, in an aggregate principal amount not to exceed $30 million, subject to the terms and conditions set forth in the Credit Agreement. As of the date hereof, the Company has not drawn any amounts under the Revolving Facility or the DDTL Facility, and no letters of credit have been issued under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begin to make principal payments on the Initial Loan Balance in quarterly installments beginning on April 1, 2027, such that 2.5% of the Initial Loan Balance will be paid in the first year, 5.0% of the Initial Loan Balance will be paid in each of the second and third year, and 7.5% of the Initial Loan Balance will be paid in each of the fourth and fifth year, with the last payment being made on October 1, 2031, and the remaining Initial Loan Balance paid on the October 15, 2031 (the “Maturity Date”). The Company may, upon notice to MUFG pursuant to the Credit Agreement, voluntarily prepay amounts loaned under the Credit Agreement in whole or in part without premium or penalty, subject to certain conditions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conditions set forth in the Credit Agreement, the Revolving Facility is available through October 15, 2031 and the DDTL Facility is available through October 15,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interest rates that the Company will be charged under the Senior Credit Facility is generally equal to the Term SOFR (as defined in the Credit Agreement’)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 (as defined in the Credit Agreement) or, at the the Company’s option, the Base Rate (as defined in the Credit Agreement )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 The Applicable Rate generally adjusts quarterly based on the Company’s Consolidated Net Leverage Ratio. With respect to Term SOFR loans, the Borrower may select interest periods of one, three or six months. For the Initial Loan Balance, the Company selected a three month interest period for Term SOFR. The Initial Loan Balance is a Term SOFR Loan and the interest rate to be charged during the initial three month interest period is 7.04249%, calculated on the basis of a year of 360 days and actual days elapsed, reflecting a rate based on Term SOFR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three percent (3.00%), as provided in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customary events of default as described in the Credit Agreement, including insolvency of the Company, breaches of certain covenants and representations and warranties, and failures to pay. In such event, and for so long as it continues, the outstanding loan balance will bear interest at a rate per annum, subject to certain exceptions set forth in the Credit Agreement, (i) equal to two percent (2.00%) in excess of the rate otherwise applicable thereto, and (ii) with respect to any loan for which a rate is not specified or available, a rate per annum equal to the Base Rate (as defined in the Credit Agreement), plus (a) the Applicable Rate for revolving loans that are Base Rate Loans (as defined in the Credit Agreement), plus (b) two percent (2.00%), in each case, to the fullest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Credit Agreement, the Company covenants to maintain a (i) Consolidated Net Leverage Ratio (as defined in the Credit Agreement), as tested quarterly, no greater than 3.50 to 1.00 (subject to certain conditions set forth therein), and (ii) Consolidated Fixed Charge Coverage Ratio (as defined in the Credit Agreement), as tested quarterly, of not less than 1.25 to 1.00. The Senior Credit Facility is secured by substantially all of the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use the net proceeds of the amounts received at Closing to (i) repay all of its obligations under the MC Credit Agreement (as defined below) and Note (as defined below), (ii) for the payment of transaction fees in connection with entry into the Credit Agreement and (iii) Permitted Acquisitions (as defined in the Credit Agreement), including the acquisition of the assets of the SEUS Seller (as defined below) described in Item 8.01. The Company will use the proceeds of any amounts loaned after the closing for the payment of consideration in connection with Permitted Acquisitions and working capital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Credit Agreement does not purport to be complete and is qualified in its entirety by reference to the full and complete terms of the Credit Agreement, a copy of which is filed herewith as Exhibit 10.1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815"/>
        <w:gridCol w:w="3290"/>
      </w:tblGrid>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1.02</w:t>
            </w:r>
          </w:p>
        </w:tc>
        <w:tc>
          <w:tcPr>
            <w:tcW w:w="3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Termination of a Material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by the Company into the Credit Agreement, the Company terminated the Credit, Security and Guaranty Agreement (the “MC Credit Agreement”), by and among the Company, Asure Operations LLC, Asure Customer &amp; IP Holdco LLC, Asure Payroll Tax Management LLC, Asure Benefits Management LLC, Asure Treasury Management, LLC, MidCap Financial Trust (“MidCap”) and the lenders thereto and the secured promissory note (the “Note”) with MidCap, evidencing its obligations under the MC Credit Agreement. </w:t>
      </w:r>
      <w:r>
        <w:rPr>
          <w:rFonts w:ascii="Times New Roman;Times;Serif" w:hAnsi="Times New Roman;Times;Serif"/>
          <w:b w:val="false"/>
          <w:i w:val="false"/>
          <w:caps w:val="false"/>
          <w:smallCaps w:val="false"/>
          <w:sz w:val="20"/>
          <w:shd w:fill="FFFFFF" w:val="clear"/>
        </w:rPr>
        <w:t xml:space="preserve">In connection with the termination, the Company paid to MidCap for the benefit of lenders under the MC Credit Agreement an aggregate amount of approximately $62.6 million (the “Payoff Amount”) in full payment of its outstanding obligations under the </w:t>
      </w:r>
      <w:r>
        <w:rPr>
          <w:rFonts w:ascii="Times New Roman;Times;Serif" w:hAnsi="Times New Roman;Times;Serif"/>
          <w:b w:val="false"/>
          <w:i w:val="false"/>
          <w:caps w:val="false"/>
          <w:smallCaps w:val="false"/>
          <w:sz w:val="20"/>
        </w:rPr>
        <w:t xml:space="preserve">MC Credit Agreement </w:t>
      </w:r>
      <w:r>
        <w:rPr>
          <w:rFonts w:ascii="Times New Roman;Times;Serif" w:hAnsi="Times New Roman;Times;Serif"/>
          <w:b w:val="false"/>
          <w:i w:val="false"/>
          <w:caps w:val="false"/>
          <w:smallCaps w:val="false"/>
          <w:sz w:val="20"/>
          <w:shd w:fill="FFFFFF" w:val="clear"/>
        </w:rPr>
        <w:t>and Note. The Payoff Amount represented approximately $60.2 million outstanding of principal and interest on the unpaid principal balance, prepayment and termination fees in the amount of $2.4 million and an immaterial amount of fees and other expenses due to MidCap.</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30"/>
        <w:gridCol w:w="9300"/>
      </w:tblGrid>
      <w:tr>
        <w:trPr/>
        <w:tc>
          <w:tcPr>
            <w:tcW w:w="75"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2.03.</w:t>
            </w:r>
          </w:p>
        </w:tc>
        <w:tc>
          <w:tcPr>
            <w:tcW w:w="9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is incorporated herein by reference into this Item 2.03.</w:t>
      </w:r>
    </w:p>
    <w:p>
      <w:pPr>
        <w:pStyle w:val="TextBody"/>
        <w:bidi w:val="0"/>
        <w:spacing w:before="0" w:after="0"/>
        <w:ind w:left="0" w:right="0" w:hanging="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815"/>
        <w:gridCol w:w="3350"/>
      </w:tblGrid>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3.02</w:t>
            </w:r>
          </w:p>
        </w:tc>
        <w:tc>
          <w:tcPr>
            <w:tcW w:w="33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Unregistered Sales of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the Company issued 1,206,141 shares (the “Issued Shares”) of its Common Stock, $0.01 par value (the “Common Stock”), to the SEUS Seller (as defined below) as part of the purchase price consideration paid in connection with the acquisition of certain assets owned by the SEUS Seller. The Issued Shares were valued at $8.29 per share, or an aggregate of $10,000,000. The issuance and sale of the Issued Shares in connection with the acquisition is exempt from the registration requirements of the Securities Act of 1933, as amended, pursuant to Section 4(a)(2) thereof and Rule 506(b) of Regulation D thereunder.</w:t>
      </w:r>
    </w:p>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815"/>
        <w:gridCol w:w="1190"/>
      </w:tblGrid>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the Company acquired certain assets of a payroll processing business primarily located in the southeastern United States (the “SEUS Seller”). The aggregate purchase price that the Company paid for these assets was $26.5 million, apportioned as follows: (i) $13.5 million in cash at closing; (ii) the delivery of a promissory note in the amount of $3.0 million, which matures on April 15, 2028 and accrues interest at a rate of three percent (3.00%); and (iii) the Issued Shares. The purchase price for the acquisition is subject to future adjustments to the purchase price, including working capital. The information set forth under Item 3.02 is incorporated herein by reference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0"/>
        <w:gridCol w:w="60"/>
        <w:gridCol w:w="9375"/>
      </w:tblGrid>
      <w:tr>
        <w:trPr/>
        <w:tc>
          <w:tcPr>
            <w:tcW w:w="770"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75"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770" w:type="dxa"/>
            <w:tcBorders/>
            <w:tcMar>
              <w:bottom w:w="0" w:type="dxa"/>
            </w:tcMar>
            <w:vAlign w:val="center"/>
          </w:tcPr>
          <w:p>
            <w:pPr>
              <w:pStyle w:val="TableContents"/>
              <w:bidi w:val="0"/>
              <w:spacing w:before="0" w:after="283"/>
              <w:jc w:val="both"/>
              <w:rPr/>
            </w:pPr>
            <w:hyperlink w:anchor="tm2627663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both"/>
              <w:rPr/>
            </w:pPr>
            <w:r>
              <w:rPr/>
              <w:t> </w:t>
            </w:r>
          </w:p>
        </w:tc>
        <w:tc>
          <w:tcPr>
            <w:tcW w:w="9375" w:type="dxa"/>
            <w:tcBorders/>
            <w:tcMar>
              <w:bottom w:w="0" w:type="dxa"/>
            </w:tcMar>
            <w:vAlign w:val="center"/>
          </w:tcPr>
          <w:p>
            <w:pPr>
              <w:pStyle w:val="TableContents"/>
              <w:bidi w:val="0"/>
              <w:spacing w:before="0" w:after="283"/>
              <w:jc w:val="both"/>
              <w:rPr/>
            </w:pPr>
            <w:hyperlink w:anchor="tm2627663d1_ex10-1.htm">
              <w:r>
                <w:rPr>
                  <w:rStyle w:val="InternetLink"/>
                  <w:rFonts w:ascii="Times New Roman;Times;Serif" w:hAnsi="Times New Roman;Times;Serif"/>
                  <w:sz w:val="20"/>
                </w:rPr>
                <w:t>Credit Agreement, dated October 15, 2026, by and among Asure Software, Inc. as the Borrower, certain subsidiaries of the Borrower, MUFG Bank, LTD, and the Lender Parties.</w:t>
              </w:r>
            </w:hyperlink>
          </w:p>
        </w:tc>
      </w:tr>
      <w:tr>
        <w:trPr/>
        <w:tc>
          <w:tcPr>
            <w:tcW w:w="77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both"/>
              <w:rPr/>
            </w:pPr>
            <w:r>
              <w:rPr/>
              <w:t> </w:t>
            </w:r>
          </w:p>
        </w:tc>
        <w:tc>
          <w:tcPr>
            <w:tcW w:w="93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r>
        <w:trPr/>
        <w:tc>
          <w:tcPr>
            <w:tcW w:w="77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both"/>
              <w:rPr/>
            </w:pPr>
            <w:r>
              <w:rPr/>
              <w:t> </w:t>
            </w:r>
          </w:p>
        </w:tc>
        <w:tc>
          <w:tcPr>
            <w:tcW w:w="93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schedules and similar attachments to this agreement have been omitted pursuant to Item 601(a)(5) of Regulation S-K. The Company undertakes to furnish supplementally a copy of all omitted schedules and attachments to the Securities and Exchange Commission upon its request.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344" w:type="dxa"/>
        <w:jc w:val="left"/>
        <w:tblInd w:w="0" w:type="dxa"/>
        <w:tblLayout w:type="fixed"/>
        <w:tblCellMar>
          <w:top w:w="0" w:type="dxa"/>
          <w:left w:w="0" w:type="dxa"/>
          <w:bottom w:w="0" w:type="dxa"/>
          <w:right w:w="0" w:type="dxa"/>
        </w:tblCellMar>
      </w:tblPr>
      <w:tblGrid>
        <w:gridCol w:w="2030"/>
        <w:gridCol w:w="325"/>
        <w:gridCol w:w="1989"/>
      </w:tblGrid>
      <w:tr>
        <w:trPr/>
        <w:tc>
          <w:tcPr>
            <w:tcW w:w="2030"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ASURE SOFTWARE, INC.</w:t>
            </w:r>
          </w:p>
        </w:tc>
      </w:tr>
      <w:tr>
        <w:trPr/>
        <w:tc>
          <w:tcPr>
            <w:tcW w:w="203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rFonts w:ascii="Times New Roman;Times;Serif" w:hAnsi="Times New Roman;Times;Serif"/>
                <w:sz w:val="20"/>
              </w:rPr>
              <w:t>Dated: October 15</w:t>
            </w:r>
            <w:r>
              <w:rPr>
                <w:sz w:val="20"/>
              </w:rPr>
              <w:t>, 2026</w:t>
            </w:r>
          </w:p>
        </w:tc>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8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Patrick Goepel</w:t>
            </w:r>
          </w:p>
        </w:tc>
      </w:tr>
      <w:tr>
        <w:trPr/>
        <w:tc>
          <w:tcPr>
            <w:tcW w:w="203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5" w:name="tm2627663d1_ex10-1.htm"/>
      <w:bookmarkStart w:id="26" w:name="kstm2627663d1_ex101"/>
      <w:bookmarkEnd w:id="25"/>
      <w:bookmarkEnd w:id="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pPr>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15,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ASURE SOFTWARE, INC.</w:t>
      </w: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Borrower,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CERTAIN SUBSIDIARIES OF THE BORROWER PARTY HERETO</w:t>
      </w: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Guarantors,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MUFG BANK, LTD.</w:t>
      </w: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 Swingline Lender and L/C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LENDERS PARTY HERETO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MUFG BANK, LTD.</w:t>
      </w: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Sole Lead Arranger and Sole Bookrunner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0" w:type="dxa"/>
          <w:left w:w="0" w:type="dxa"/>
          <w:bottom w:w="0" w:type="dxa"/>
          <w:right w:w="0" w:type="dxa"/>
        </w:tblCellMar>
      </w:tblPr>
      <w:tblGrid>
        <w:gridCol w:w="455"/>
        <w:gridCol w:w="8030"/>
        <w:gridCol w:w="275"/>
      </w:tblGrid>
      <w:tr>
        <w:trPr/>
        <w:tc>
          <w:tcPr>
            <w:tcW w:w="8485" w:type="dxa"/>
            <w:gridSpan w:val="2"/>
            <w:tcBorders/>
            <w:vAlign w:val="center"/>
          </w:tcPr>
          <w:p>
            <w:pPr>
              <w:pStyle w:val="TableContents"/>
              <w:bidi w:val="0"/>
              <w:spacing w:before="0" w:after="283"/>
              <w:jc w:val="left"/>
              <w:rPr/>
            </w:pPr>
            <w:r>
              <w:rPr/>
              <w:t>Article I DEFINITIONS AND ACCOUNTING TERMS</w:t>
            </w:r>
          </w:p>
        </w:tc>
        <w:tc>
          <w:tcPr>
            <w:tcW w:w="275" w:type="dxa"/>
            <w:tcBorders/>
            <w:vAlign w:val="center"/>
          </w:tcPr>
          <w:p>
            <w:pPr>
              <w:pStyle w:val="TableContents"/>
              <w:bidi w:val="0"/>
              <w:spacing w:before="0" w:after="283"/>
              <w:jc w:val="right"/>
              <w:rPr/>
            </w:pPr>
            <w:r>
              <w:rPr/>
              <w:t>6</w:t>
            </w:r>
          </w:p>
        </w:tc>
      </w:tr>
      <w:tr>
        <w:trPr/>
        <w:tc>
          <w:tcPr>
            <w:tcW w:w="455" w:type="dxa"/>
            <w:tcBorders/>
            <w:vAlign w:val="center"/>
          </w:tcPr>
          <w:p>
            <w:pPr>
              <w:pStyle w:val="TableContents"/>
              <w:bidi w:val="0"/>
              <w:spacing w:before="0" w:after="283"/>
              <w:jc w:val="left"/>
              <w:rPr/>
            </w:pPr>
            <w:r>
              <w:rPr/>
              <w:t>1.01</w:t>
            </w:r>
          </w:p>
        </w:tc>
        <w:tc>
          <w:tcPr>
            <w:tcW w:w="8030" w:type="dxa"/>
            <w:tcBorders/>
            <w:vAlign w:val="center"/>
          </w:tcPr>
          <w:p>
            <w:pPr>
              <w:pStyle w:val="TableContents"/>
              <w:bidi w:val="0"/>
              <w:spacing w:before="0" w:after="283"/>
              <w:jc w:val="left"/>
              <w:rPr>
                <w:b/>
              </w:rPr>
            </w:pPr>
            <w:r>
              <w:rPr>
                <w:b/>
              </w:rPr>
              <w:t>Defined Terms</w:t>
            </w:r>
          </w:p>
        </w:tc>
        <w:tc>
          <w:tcPr>
            <w:tcW w:w="275" w:type="dxa"/>
            <w:tcBorders/>
            <w:vAlign w:val="center"/>
          </w:tcPr>
          <w:p>
            <w:pPr>
              <w:pStyle w:val="TableContents"/>
              <w:bidi w:val="0"/>
              <w:spacing w:before="0" w:after="283"/>
              <w:jc w:val="right"/>
              <w:rPr/>
            </w:pPr>
            <w:r>
              <w:rPr/>
              <w:t>6</w:t>
            </w:r>
          </w:p>
        </w:tc>
      </w:tr>
      <w:tr>
        <w:trPr/>
        <w:tc>
          <w:tcPr>
            <w:tcW w:w="455" w:type="dxa"/>
            <w:tcBorders/>
            <w:vAlign w:val="center"/>
          </w:tcPr>
          <w:p>
            <w:pPr>
              <w:pStyle w:val="TableContents"/>
              <w:bidi w:val="0"/>
              <w:spacing w:before="0" w:after="283"/>
              <w:jc w:val="left"/>
              <w:rPr/>
            </w:pPr>
            <w:r>
              <w:rPr/>
              <w:t>1.02</w:t>
            </w:r>
          </w:p>
        </w:tc>
        <w:tc>
          <w:tcPr>
            <w:tcW w:w="8030" w:type="dxa"/>
            <w:tcBorders/>
            <w:vAlign w:val="center"/>
          </w:tcPr>
          <w:p>
            <w:pPr>
              <w:pStyle w:val="TableContents"/>
              <w:bidi w:val="0"/>
              <w:spacing w:before="0" w:after="283"/>
              <w:jc w:val="left"/>
              <w:rPr>
                <w:b/>
              </w:rPr>
            </w:pPr>
            <w:r>
              <w:rPr>
                <w:b/>
              </w:rPr>
              <w:t>Other Interpretive Provisions</w:t>
            </w:r>
          </w:p>
        </w:tc>
        <w:tc>
          <w:tcPr>
            <w:tcW w:w="275" w:type="dxa"/>
            <w:tcBorders/>
            <w:vAlign w:val="center"/>
          </w:tcPr>
          <w:p>
            <w:pPr>
              <w:pStyle w:val="TableContents"/>
              <w:bidi w:val="0"/>
              <w:spacing w:before="0" w:after="283"/>
              <w:jc w:val="right"/>
              <w:rPr/>
            </w:pPr>
            <w:r>
              <w:rPr/>
              <w:t>46</w:t>
            </w:r>
          </w:p>
        </w:tc>
      </w:tr>
      <w:tr>
        <w:trPr/>
        <w:tc>
          <w:tcPr>
            <w:tcW w:w="455" w:type="dxa"/>
            <w:tcBorders/>
            <w:vAlign w:val="center"/>
          </w:tcPr>
          <w:p>
            <w:pPr>
              <w:pStyle w:val="TableContents"/>
              <w:bidi w:val="0"/>
              <w:spacing w:before="0" w:after="283"/>
              <w:jc w:val="left"/>
              <w:rPr/>
            </w:pPr>
            <w:r>
              <w:rPr/>
              <w:t>1.03</w:t>
            </w:r>
          </w:p>
        </w:tc>
        <w:tc>
          <w:tcPr>
            <w:tcW w:w="8030" w:type="dxa"/>
            <w:tcBorders/>
            <w:vAlign w:val="center"/>
          </w:tcPr>
          <w:p>
            <w:pPr>
              <w:pStyle w:val="TableContents"/>
              <w:bidi w:val="0"/>
              <w:spacing w:before="0" w:after="283"/>
              <w:jc w:val="left"/>
              <w:rPr>
                <w:b/>
              </w:rPr>
            </w:pPr>
            <w:r>
              <w:rPr>
                <w:b/>
              </w:rPr>
              <w:t>Accounting Terms</w:t>
            </w:r>
          </w:p>
        </w:tc>
        <w:tc>
          <w:tcPr>
            <w:tcW w:w="275" w:type="dxa"/>
            <w:tcBorders/>
            <w:vAlign w:val="center"/>
          </w:tcPr>
          <w:p>
            <w:pPr>
              <w:pStyle w:val="TableContents"/>
              <w:bidi w:val="0"/>
              <w:spacing w:before="0" w:after="283"/>
              <w:jc w:val="right"/>
              <w:rPr/>
            </w:pPr>
            <w:r>
              <w:rPr/>
              <w:t>47</w:t>
            </w:r>
          </w:p>
        </w:tc>
      </w:tr>
      <w:tr>
        <w:trPr/>
        <w:tc>
          <w:tcPr>
            <w:tcW w:w="455" w:type="dxa"/>
            <w:tcBorders/>
            <w:vAlign w:val="center"/>
          </w:tcPr>
          <w:p>
            <w:pPr>
              <w:pStyle w:val="TableContents"/>
              <w:bidi w:val="0"/>
              <w:spacing w:before="0" w:after="283"/>
              <w:jc w:val="left"/>
              <w:rPr/>
            </w:pPr>
            <w:r>
              <w:rPr/>
              <w:t>1.04</w:t>
            </w:r>
          </w:p>
        </w:tc>
        <w:tc>
          <w:tcPr>
            <w:tcW w:w="8030" w:type="dxa"/>
            <w:tcBorders/>
            <w:vAlign w:val="center"/>
          </w:tcPr>
          <w:p>
            <w:pPr>
              <w:pStyle w:val="TableContents"/>
              <w:bidi w:val="0"/>
              <w:spacing w:before="0" w:after="283"/>
              <w:jc w:val="left"/>
              <w:rPr>
                <w:b/>
              </w:rPr>
            </w:pPr>
            <w:r>
              <w:rPr>
                <w:b/>
              </w:rPr>
              <w:t>Rounding</w:t>
            </w:r>
          </w:p>
        </w:tc>
        <w:tc>
          <w:tcPr>
            <w:tcW w:w="275" w:type="dxa"/>
            <w:tcBorders/>
            <w:vAlign w:val="center"/>
          </w:tcPr>
          <w:p>
            <w:pPr>
              <w:pStyle w:val="TableContents"/>
              <w:bidi w:val="0"/>
              <w:spacing w:before="0" w:after="283"/>
              <w:jc w:val="right"/>
              <w:rPr/>
            </w:pPr>
            <w:r>
              <w:rPr/>
              <w:t>48</w:t>
            </w:r>
          </w:p>
        </w:tc>
      </w:tr>
      <w:tr>
        <w:trPr/>
        <w:tc>
          <w:tcPr>
            <w:tcW w:w="455" w:type="dxa"/>
            <w:tcBorders/>
            <w:vAlign w:val="center"/>
          </w:tcPr>
          <w:p>
            <w:pPr>
              <w:pStyle w:val="TableContents"/>
              <w:bidi w:val="0"/>
              <w:spacing w:before="0" w:after="283"/>
              <w:jc w:val="left"/>
              <w:rPr/>
            </w:pPr>
            <w:r>
              <w:rPr/>
              <w:t>1.05</w:t>
            </w:r>
          </w:p>
        </w:tc>
        <w:tc>
          <w:tcPr>
            <w:tcW w:w="8030" w:type="dxa"/>
            <w:tcBorders/>
            <w:vAlign w:val="center"/>
          </w:tcPr>
          <w:p>
            <w:pPr>
              <w:pStyle w:val="TableContents"/>
              <w:bidi w:val="0"/>
              <w:spacing w:before="0" w:after="283"/>
              <w:jc w:val="left"/>
              <w:rPr>
                <w:b/>
              </w:rPr>
            </w:pPr>
            <w:r>
              <w:rPr>
                <w:b/>
              </w:rPr>
              <w:t>Times of Day</w:t>
            </w:r>
          </w:p>
        </w:tc>
        <w:tc>
          <w:tcPr>
            <w:tcW w:w="275" w:type="dxa"/>
            <w:tcBorders/>
            <w:vAlign w:val="center"/>
          </w:tcPr>
          <w:p>
            <w:pPr>
              <w:pStyle w:val="TableContents"/>
              <w:bidi w:val="0"/>
              <w:spacing w:before="0" w:after="283"/>
              <w:jc w:val="right"/>
              <w:rPr/>
            </w:pPr>
            <w:r>
              <w:rPr/>
              <w:t>48</w:t>
            </w:r>
          </w:p>
        </w:tc>
      </w:tr>
      <w:tr>
        <w:trPr/>
        <w:tc>
          <w:tcPr>
            <w:tcW w:w="455" w:type="dxa"/>
            <w:tcBorders/>
            <w:vAlign w:val="center"/>
          </w:tcPr>
          <w:p>
            <w:pPr>
              <w:pStyle w:val="TableContents"/>
              <w:bidi w:val="0"/>
              <w:spacing w:before="0" w:after="283"/>
              <w:jc w:val="left"/>
              <w:rPr/>
            </w:pPr>
            <w:r>
              <w:rPr/>
              <w:t>1.06</w:t>
            </w:r>
          </w:p>
        </w:tc>
        <w:tc>
          <w:tcPr>
            <w:tcW w:w="8030" w:type="dxa"/>
            <w:tcBorders/>
            <w:vAlign w:val="center"/>
          </w:tcPr>
          <w:p>
            <w:pPr>
              <w:pStyle w:val="TableContents"/>
              <w:bidi w:val="0"/>
              <w:spacing w:before="0" w:after="283"/>
              <w:jc w:val="left"/>
              <w:rPr>
                <w:b/>
              </w:rPr>
            </w:pPr>
            <w:r>
              <w:rPr>
                <w:b/>
              </w:rPr>
              <w:t>Letter of Credit Amounts</w:t>
            </w:r>
          </w:p>
        </w:tc>
        <w:tc>
          <w:tcPr>
            <w:tcW w:w="275" w:type="dxa"/>
            <w:tcBorders/>
            <w:vAlign w:val="center"/>
          </w:tcPr>
          <w:p>
            <w:pPr>
              <w:pStyle w:val="TableContents"/>
              <w:bidi w:val="0"/>
              <w:spacing w:before="0" w:after="283"/>
              <w:jc w:val="right"/>
              <w:rPr/>
            </w:pPr>
            <w:r>
              <w:rPr/>
              <w:t>48</w:t>
            </w:r>
          </w:p>
        </w:tc>
      </w:tr>
      <w:tr>
        <w:trPr/>
        <w:tc>
          <w:tcPr>
            <w:tcW w:w="455" w:type="dxa"/>
            <w:tcBorders/>
            <w:vAlign w:val="center"/>
          </w:tcPr>
          <w:p>
            <w:pPr>
              <w:pStyle w:val="TableContents"/>
              <w:bidi w:val="0"/>
              <w:spacing w:before="0" w:after="283"/>
              <w:jc w:val="left"/>
              <w:rPr/>
            </w:pPr>
            <w:r>
              <w:rPr/>
              <w:t>1.07</w:t>
            </w:r>
          </w:p>
        </w:tc>
        <w:tc>
          <w:tcPr>
            <w:tcW w:w="8030" w:type="dxa"/>
            <w:tcBorders/>
            <w:vAlign w:val="center"/>
          </w:tcPr>
          <w:p>
            <w:pPr>
              <w:pStyle w:val="TableContents"/>
              <w:bidi w:val="0"/>
              <w:spacing w:before="0" w:after="283"/>
              <w:jc w:val="left"/>
              <w:rPr>
                <w:b/>
              </w:rPr>
            </w:pPr>
            <w:r>
              <w:rPr>
                <w:b/>
              </w:rPr>
              <w:t>Interest Rates</w:t>
            </w:r>
          </w:p>
        </w:tc>
        <w:tc>
          <w:tcPr>
            <w:tcW w:w="275" w:type="dxa"/>
            <w:tcBorders/>
            <w:vAlign w:val="center"/>
          </w:tcPr>
          <w:p>
            <w:pPr>
              <w:pStyle w:val="TableContents"/>
              <w:bidi w:val="0"/>
              <w:spacing w:before="0" w:after="283"/>
              <w:jc w:val="right"/>
              <w:rPr/>
            </w:pPr>
            <w:r>
              <w:rPr/>
              <w:t>48</w:t>
            </w:r>
          </w:p>
        </w:tc>
      </w:tr>
      <w:tr>
        <w:trPr/>
        <w:tc>
          <w:tcPr>
            <w:tcW w:w="455" w:type="dxa"/>
            <w:tcBorders/>
            <w:vAlign w:val="center"/>
          </w:tcPr>
          <w:p>
            <w:pPr>
              <w:pStyle w:val="TableContents"/>
              <w:bidi w:val="0"/>
              <w:spacing w:before="0" w:after="283"/>
              <w:jc w:val="left"/>
              <w:rPr/>
            </w:pPr>
            <w:r>
              <w:rPr/>
              <w:t>1.08</w:t>
            </w:r>
          </w:p>
        </w:tc>
        <w:tc>
          <w:tcPr>
            <w:tcW w:w="8030" w:type="dxa"/>
            <w:tcBorders/>
            <w:vAlign w:val="center"/>
          </w:tcPr>
          <w:p>
            <w:pPr>
              <w:pStyle w:val="TableContents"/>
              <w:bidi w:val="0"/>
              <w:spacing w:before="0" w:after="283"/>
              <w:jc w:val="left"/>
              <w:rPr>
                <w:b/>
              </w:rPr>
            </w:pPr>
            <w:r>
              <w:rPr>
                <w:b/>
              </w:rPr>
              <w:t>UCC Terms</w:t>
            </w:r>
          </w:p>
        </w:tc>
        <w:tc>
          <w:tcPr>
            <w:tcW w:w="275" w:type="dxa"/>
            <w:tcBorders/>
            <w:vAlign w:val="center"/>
          </w:tcPr>
          <w:p>
            <w:pPr>
              <w:pStyle w:val="TableContents"/>
              <w:bidi w:val="0"/>
              <w:spacing w:before="0" w:after="283"/>
              <w:ind w:left="0" w:right="0" w:hanging="720"/>
              <w:jc w:val="right"/>
              <w:rPr/>
            </w:pPr>
            <w:r>
              <w:rPr/>
              <w:t>49</w:t>
            </w:r>
          </w:p>
        </w:tc>
      </w:tr>
      <w:tr>
        <w:trPr/>
        <w:tc>
          <w:tcPr>
            <w:tcW w:w="8485" w:type="dxa"/>
            <w:gridSpan w:val="2"/>
            <w:tcBorders/>
            <w:vAlign w:val="center"/>
          </w:tcPr>
          <w:p>
            <w:pPr>
              <w:pStyle w:val="TableContents"/>
              <w:bidi w:val="0"/>
              <w:spacing w:before="0" w:after="283"/>
              <w:jc w:val="left"/>
              <w:rPr/>
            </w:pPr>
            <w:r>
              <w:rPr/>
              <w:t>Article II COMMITMENTS AND CREDIT EXTENSIONS</w:t>
            </w:r>
          </w:p>
        </w:tc>
        <w:tc>
          <w:tcPr>
            <w:tcW w:w="275" w:type="dxa"/>
            <w:tcBorders/>
            <w:vAlign w:val="center"/>
          </w:tcPr>
          <w:p>
            <w:pPr>
              <w:pStyle w:val="TableContents"/>
              <w:bidi w:val="0"/>
              <w:spacing w:before="0" w:after="283"/>
              <w:jc w:val="right"/>
              <w:rPr/>
            </w:pPr>
            <w:r>
              <w:rPr/>
              <w:t>49</w:t>
            </w:r>
          </w:p>
        </w:tc>
      </w:tr>
      <w:tr>
        <w:trPr/>
        <w:tc>
          <w:tcPr>
            <w:tcW w:w="455" w:type="dxa"/>
            <w:tcBorders/>
            <w:vAlign w:val="center"/>
          </w:tcPr>
          <w:p>
            <w:pPr>
              <w:pStyle w:val="TableContents"/>
              <w:bidi w:val="0"/>
              <w:spacing w:before="0" w:after="283"/>
              <w:jc w:val="left"/>
              <w:rPr/>
            </w:pPr>
            <w:r>
              <w:rPr/>
              <w:t>2.01</w:t>
            </w:r>
          </w:p>
        </w:tc>
        <w:tc>
          <w:tcPr>
            <w:tcW w:w="8030" w:type="dxa"/>
            <w:tcBorders/>
            <w:vAlign w:val="center"/>
          </w:tcPr>
          <w:p>
            <w:pPr>
              <w:pStyle w:val="TableContents"/>
              <w:bidi w:val="0"/>
              <w:spacing w:before="0" w:after="283"/>
              <w:jc w:val="left"/>
              <w:rPr>
                <w:b/>
              </w:rPr>
            </w:pPr>
            <w:r>
              <w:rPr>
                <w:b/>
              </w:rPr>
              <w:t>Loans</w:t>
            </w:r>
          </w:p>
        </w:tc>
        <w:tc>
          <w:tcPr>
            <w:tcW w:w="275" w:type="dxa"/>
            <w:tcBorders/>
            <w:vAlign w:val="center"/>
          </w:tcPr>
          <w:p>
            <w:pPr>
              <w:pStyle w:val="TableContents"/>
              <w:bidi w:val="0"/>
              <w:spacing w:before="0" w:after="283"/>
              <w:jc w:val="right"/>
              <w:rPr/>
            </w:pPr>
            <w:r>
              <w:rPr/>
              <w:t>49</w:t>
            </w:r>
          </w:p>
        </w:tc>
      </w:tr>
      <w:tr>
        <w:trPr/>
        <w:tc>
          <w:tcPr>
            <w:tcW w:w="455" w:type="dxa"/>
            <w:tcBorders/>
            <w:vAlign w:val="center"/>
          </w:tcPr>
          <w:p>
            <w:pPr>
              <w:pStyle w:val="TableContents"/>
              <w:bidi w:val="0"/>
              <w:spacing w:before="0" w:after="283"/>
              <w:jc w:val="left"/>
              <w:rPr/>
            </w:pPr>
            <w:r>
              <w:rPr/>
              <w:t>2.02</w:t>
            </w:r>
          </w:p>
        </w:tc>
        <w:tc>
          <w:tcPr>
            <w:tcW w:w="8030" w:type="dxa"/>
            <w:tcBorders/>
            <w:vAlign w:val="center"/>
          </w:tcPr>
          <w:p>
            <w:pPr>
              <w:pStyle w:val="TableContents"/>
              <w:bidi w:val="0"/>
              <w:spacing w:before="0" w:after="283"/>
              <w:jc w:val="left"/>
              <w:rPr>
                <w:b/>
              </w:rPr>
            </w:pPr>
            <w:r>
              <w:rPr>
                <w:b/>
              </w:rPr>
              <w:t>Borrowings, Conversions and Continuations of Loans</w:t>
            </w:r>
          </w:p>
        </w:tc>
        <w:tc>
          <w:tcPr>
            <w:tcW w:w="275" w:type="dxa"/>
            <w:tcBorders/>
            <w:vAlign w:val="center"/>
          </w:tcPr>
          <w:p>
            <w:pPr>
              <w:pStyle w:val="TableContents"/>
              <w:bidi w:val="0"/>
              <w:spacing w:before="0" w:after="283"/>
              <w:jc w:val="right"/>
              <w:rPr/>
            </w:pPr>
            <w:r>
              <w:rPr/>
              <w:t>49</w:t>
            </w:r>
          </w:p>
        </w:tc>
      </w:tr>
      <w:tr>
        <w:trPr/>
        <w:tc>
          <w:tcPr>
            <w:tcW w:w="455" w:type="dxa"/>
            <w:tcBorders/>
            <w:vAlign w:val="center"/>
          </w:tcPr>
          <w:p>
            <w:pPr>
              <w:pStyle w:val="TableContents"/>
              <w:bidi w:val="0"/>
              <w:spacing w:before="0" w:after="283"/>
              <w:jc w:val="left"/>
              <w:rPr/>
            </w:pPr>
            <w:r>
              <w:rPr/>
              <w:t>2.03</w:t>
            </w:r>
          </w:p>
        </w:tc>
        <w:tc>
          <w:tcPr>
            <w:tcW w:w="8030" w:type="dxa"/>
            <w:tcBorders/>
            <w:vAlign w:val="center"/>
          </w:tcPr>
          <w:p>
            <w:pPr>
              <w:pStyle w:val="TableContents"/>
              <w:bidi w:val="0"/>
              <w:spacing w:before="0" w:after="283"/>
              <w:jc w:val="left"/>
              <w:rPr>
                <w:b/>
              </w:rPr>
            </w:pPr>
            <w:r>
              <w:rPr>
                <w:b/>
              </w:rPr>
              <w:t>Letters of Credit</w:t>
            </w:r>
          </w:p>
        </w:tc>
        <w:tc>
          <w:tcPr>
            <w:tcW w:w="275" w:type="dxa"/>
            <w:tcBorders/>
            <w:vAlign w:val="center"/>
          </w:tcPr>
          <w:p>
            <w:pPr>
              <w:pStyle w:val="TableContents"/>
              <w:bidi w:val="0"/>
              <w:spacing w:before="0" w:after="283"/>
              <w:jc w:val="right"/>
              <w:rPr/>
            </w:pPr>
            <w:r>
              <w:rPr/>
              <w:t>51</w:t>
            </w:r>
          </w:p>
        </w:tc>
      </w:tr>
      <w:tr>
        <w:trPr/>
        <w:tc>
          <w:tcPr>
            <w:tcW w:w="455" w:type="dxa"/>
            <w:tcBorders/>
            <w:vAlign w:val="center"/>
          </w:tcPr>
          <w:p>
            <w:pPr>
              <w:pStyle w:val="TableContents"/>
              <w:bidi w:val="0"/>
              <w:spacing w:before="0" w:after="283"/>
              <w:jc w:val="left"/>
              <w:rPr/>
            </w:pPr>
            <w:r>
              <w:rPr/>
              <w:t>2.04</w:t>
            </w:r>
          </w:p>
        </w:tc>
        <w:tc>
          <w:tcPr>
            <w:tcW w:w="8030" w:type="dxa"/>
            <w:tcBorders/>
            <w:vAlign w:val="center"/>
          </w:tcPr>
          <w:p>
            <w:pPr>
              <w:pStyle w:val="TableContents"/>
              <w:bidi w:val="0"/>
              <w:spacing w:before="0" w:after="283"/>
              <w:jc w:val="left"/>
              <w:rPr>
                <w:b/>
              </w:rPr>
            </w:pPr>
            <w:r>
              <w:rPr>
                <w:b/>
              </w:rPr>
              <w:t>Swingline Loans</w:t>
            </w:r>
          </w:p>
        </w:tc>
        <w:tc>
          <w:tcPr>
            <w:tcW w:w="275" w:type="dxa"/>
            <w:tcBorders/>
            <w:vAlign w:val="center"/>
          </w:tcPr>
          <w:p>
            <w:pPr>
              <w:pStyle w:val="TableContents"/>
              <w:bidi w:val="0"/>
              <w:spacing w:before="0" w:after="283"/>
              <w:jc w:val="right"/>
              <w:rPr/>
            </w:pPr>
            <w:r>
              <w:rPr/>
              <w:t>60</w:t>
            </w:r>
          </w:p>
        </w:tc>
      </w:tr>
      <w:tr>
        <w:trPr/>
        <w:tc>
          <w:tcPr>
            <w:tcW w:w="455" w:type="dxa"/>
            <w:tcBorders/>
            <w:vAlign w:val="center"/>
          </w:tcPr>
          <w:p>
            <w:pPr>
              <w:pStyle w:val="TableContents"/>
              <w:bidi w:val="0"/>
              <w:spacing w:before="0" w:after="283"/>
              <w:jc w:val="left"/>
              <w:rPr/>
            </w:pPr>
            <w:r>
              <w:rPr/>
              <w:t>2.05</w:t>
            </w:r>
          </w:p>
        </w:tc>
        <w:tc>
          <w:tcPr>
            <w:tcW w:w="8030" w:type="dxa"/>
            <w:tcBorders/>
            <w:vAlign w:val="center"/>
          </w:tcPr>
          <w:p>
            <w:pPr>
              <w:pStyle w:val="TableContents"/>
              <w:bidi w:val="0"/>
              <w:spacing w:before="0" w:after="283"/>
              <w:jc w:val="left"/>
              <w:rPr>
                <w:b/>
              </w:rPr>
            </w:pPr>
            <w:r>
              <w:rPr>
                <w:b/>
              </w:rPr>
              <w:t>Prepayments</w:t>
            </w:r>
          </w:p>
        </w:tc>
        <w:tc>
          <w:tcPr>
            <w:tcW w:w="275" w:type="dxa"/>
            <w:tcBorders/>
            <w:vAlign w:val="center"/>
          </w:tcPr>
          <w:p>
            <w:pPr>
              <w:pStyle w:val="TableContents"/>
              <w:bidi w:val="0"/>
              <w:spacing w:before="0" w:after="283"/>
              <w:jc w:val="right"/>
              <w:rPr/>
            </w:pPr>
            <w:r>
              <w:rPr/>
              <w:t>63</w:t>
            </w:r>
          </w:p>
        </w:tc>
      </w:tr>
      <w:tr>
        <w:trPr/>
        <w:tc>
          <w:tcPr>
            <w:tcW w:w="455" w:type="dxa"/>
            <w:tcBorders/>
            <w:vAlign w:val="center"/>
          </w:tcPr>
          <w:p>
            <w:pPr>
              <w:pStyle w:val="TableContents"/>
              <w:bidi w:val="0"/>
              <w:spacing w:before="0" w:after="283"/>
              <w:jc w:val="left"/>
              <w:rPr/>
            </w:pPr>
            <w:r>
              <w:rPr/>
              <w:t>2.06</w:t>
            </w:r>
          </w:p>
        </w:tc>
        <w:tc>
          <w:tcPr>
            <w:tcW w:w="8030" w:type="dxa"/>
            <w:tcBorders/>
            <w:vAlign w:val="center"/>
          </w:tcPr>
          <w:p>
            <w:pPr>
              <w:pStyle w:val="TableContents"/>
              <w:bidi w:val="0"/>
              <w:spacing w:before="0" w:after="283"/>
              <w:jc w:val="left"/>
              <w:rPr>
                <w:b/>
              </w:rPr>
            </w:pPr>
            <w:r>
              <w:rPr>
                <w:b/>
              </w:rPr>
              <w:t>Termination or Reduction of Commitments</w:t>
            </w:r>
          </w:p>
        </w:tc>
        <w:tc>
          <w:tcPr>
            <w:tcW w:w="275" w:type="dxa"/>
            <w:tcBorders/>
            <w:vAlign w:val="center"/>
          </w:tcPr>
          <w:p>
            <w:pPr>
              <w:pStyle w:val="TableContents"/>
              <w:bidi w:val="0"/>
              <w:spacing w:before="0" w:after="283"/>
              <w:jc w:val="right"/>
              <w:rPr/>
            </w:pPr>
            <w:r>
              <w:rPr/>
              <w:t>65</w:t>
            </w:r>
          </w:p>
        </w:tc>
      </w:tr>
      <w:tr>
        <w:trPr/>
        <w:tc>
          <w:tcPr>
            <w:tcW w:w="455" w:type="dxa"/>
            <w:tcBorders/>
            <w:vAlign w:val="center"/>
          </w:tcPr>
          <w:p>
            <w:pPr>
              <w:pStyle w:val="TableContents"/>
              <w:bidi w:val="0"/>
              <w:spacing w:before="0" w:after="283"/>
              <w:jc w:val="left"/>
              <w:rPr/>
            </w:pPr>
            <w:r>
              <w:rPr/>
              <w:t>2.07</w:t>
            </w:r>
          </w:p>
        </w:tc>
        <w:tc>
          <w:tcPr>
            <w:tcW w:w="8030" w:type="dxa"/>
            <w:tcBorders/>
            <w:vAlign w:val="center"/>
          </w:tcPr>
          <w:p>
            <w:pPr>
              <w:pStyle w:val="TableContents"/>
              <w:bidi w:val="0"/>
              <w:spacing w:before="0" w:after="283"/>
              <w:jc w:val="left"/>
              <w:rPr>
                <w:b/>
              </w:rPr>
            </w:pPr>
            <w:r>
              <w:rPr>
                <w:b/>
              </w:rPr>
              <w:t>Repayment of Loans</w:t>
            </w:r>
          </w:p>
        </w:tc>
        <w:tc>
          <w:tcPr>
            <w:tcW w:w="275" w:type="dxa"/>
            <w:tcBorders/>
            <w:vAlign w:val="center"/>
          </w:tcPr>
          <w:p>
            <w:pPr>
              <w:pStyle w:val="TableContents"/>
              <w:bidi w:val="0"/>
              <w:spacing w:before="0" w:after="283"/>
              <w:jc w:val="right"/>
              <w:rPr/>
            </w:pPr>
            <w:r>
              <w:rPr/>
              <w:t>66</w:t>
            </w:r>
          </w:p>
        </w:tc>
      </w:tr>
      <w:tr>
        <w:trPr/>
        <w:tc>
          <w:tcPr>
            <w:tcW w:w="455" w:type="dxa"/>
            <w:tcBorders/>
            <w:vAlign w:val="center"/>
          </w:tcPr>
          <w:p>
            <w:pPr>
              <w:pStyle w:val="TableContents"/>
              <w:bidi w:val="0"/>
              <w:spacing w:before="0" w:after="283"/>
              <w:jc w:val="left"/>
              <w:rPr/>
            </w:pPr>
            <w:r>
              <w:rPr/>
              <w:t>2.08</w:t>
            </w:r>
          </w:p>
        </w:tc>
        <w:tc>
          <w:tcPr>
            <w:tcW w:w="8030" w:type="dxa"/>
            <w:tcBorders/>
            <w:vAlign w:val="center"/>
          </w:tcPr>
          <w:p>
            <w:pPr>
              <w:pStyle w:val="TableContents"/>
              <w:bidi w:val="0"/>
              <w:spacing w:before="0" w:after="283"/>
              <w:jc w:val="left"/>
              <w:rPr>
                <w:b/>
              </w:rPr>
            </w:pPr>
            <w:r>
              <w:rPr>
                <w:b/>
              </w:rPr>
              <w:t>Interest and Default Rate</w:t>
            </w:r>
          </w:p>
        </w:tc>
        <w:tc>
          <w:tcPr>
            <w:tcW w:w="275" w:type="dxa"/>
            <w:tcBorders/>
            <w:vAlign w:val="center"/>
          </w:tcPr>
          <w:p>
            <w:pPr>
              <w:pStyle w:val="TableContents"/>
              <w:bidi w:val="0"/>
              <w:spacing w:before="0" w:after="283"/>
              <w:jc w:val="right"/>
              <w:rPr/>
            </w:pPr>
            <w:r>
              <w:rPr/>
              <w:t>67</w:t>
            </w:r>
          </w:p>
        </w:tc>
      </w:tr>
      <w:tr>
        <w:trPr/>
        <w:tc>
          <w:tcPr>
            <w:tcW w:w="455" w:type="dxa"/>
            <w:tcBorders/>
            <w:vAlign w:val="center"/>
          </w:tcPr>
          <w:p>
            <w:pPr>
              <w:pStyle w:val="TableContents"/>
              <w:bidi w:val="0"/>
              <w:spacing w:before="0" w:after="283"/>
              <w:jc w:val="left"/>
              <w:rPr/>
            </w:pPr>
            <w:r>
              <w:rPr/>
              <w:t>2.09</w:t>
            </w:r>
          </w:p>
        </w:tc>
        <w:tc>
          <w:tcPr>
            <w:tcW w:w="8030" w:type="dxa"/>
            <w:tcBorders/>
            <w:vAlign w:val="center"/>
          </w:tcPr>
          <w:p>
            <w:pPr>
              <w:pStyle w:val="TableContents"/>
              <w:bidi w:val="0"/>
              <w:spacing w:before="0" w:after="283"/>
              <w:jc w:val="left"/>
              <w:rPr>
                <w:b/>
              </w:rPr>
            </w:pPr>
            <w:r>
              <w:rPr>
                <w:b/>
              </w:rPr>
              <w:t>Fees</w:t>
            </w:r>
          </w:p>
        </w:tc>
        <w:tc>
          <w:tcPr>
            <w:tcW w:w="275" w:type="dxa"/>
            <w:tcBorders/>
            <w:vAlign w:val="center"/>
          </w:tcPr>
          <w:p>
            <w:pPr>
              <w:pStyle w:val="TableContents"/>
              <w:bidi w:val="0"/>
              <w:spacing w:before="0" w:after="283"/>
              <w:jc w:val="right"/>
              <w:rPr/>
            </w:pPr>
            <w:r>
              <w:rPr/>
              <w:t>68</w:t>
            </w:r>
          </w:p>
        </w:tc>
      </w:tr>
      <w:tr>
        <w:trPr/>
        <w:tc>
          <w:tcPr>
            <w:tcW w:w="455" w:type="dxa"/>
            <w:tcBorders/>
            <w:vAlign w:val="center"/>
          </w:tcPr>
          <w:p>
            <w:pPr>
              <w:pStyle w:val="TableContents"/>
              <w:bidi w:val="0"/>
              <w:spacing w:before="0" w:after="283"/>
              <w:jc w:val="left"/>
              <w:rPr/>
            </w:pPr>
            <w:r>
              <w:rPr/>
              <w:t>2.10</w:t>
            </w:r>
          </w:p>
        </w:tc>
        <w:tc>
          <w:tcPr>
            <w:tcW w:w="8030" w:type="dxa"/>
            <w:tcBorders/>
            <w:vAlign w:val="center"/>
          </w:tcPr>
          <w:p>
            <w:pPr>
              <w:pStyle w:val="TableContents"/>
              <w:bidi w:val="0"/>
              <w:spacing w:before="0" w:after="283"/>
              <w:jc w:val="left"/>
              <w:rPr>
                <w:b/>
              </w:rPr>
            </w:pPr>
            <w:r>
              <w:rPr>
                <w:b/>
              </w:rPr>
              <w:t>Computation of Interest and Fees; Retroactive Adjustments of Applicable Rate</w:t>
            </w:r>
          </w:p>
        </w:tc>
        <w:tc>
          <w:tcPr>
            <w:tcW w:w="275" w:type="dxa"/>
            <w:tcBorders/>
            <w:vAlign w:val="center"/>
          </w:tcPr>
          <w:p>
            <w:pPr>
              <w:pStyle w:val="TableContents"/>
              <w:bidi w:val="0"/>
              <w:spacing w:before="0" w:after="283"/>
              <w:jc w:val="right"/>
              <w:rPr/>
            </w:pPr>
            <w:r>
              <w:rPr/>
              <w:t>69</w:t>
            </w:r>
          </w:p>
        </w:tc>
      </w:tr>
      <w:tr>
        <w:trPr/>
        <w:tc>
          <w:tcPr>
            <w:tcW w:w="455" w:type="dxa"/>
            <w:tcBorders/>
            <w:vAlign w:val="center"/>
          </w:tcPr>
          <w:p>
            <w:pPr>
              <w:pStyle w:val="TableContents"/>
              <w:bidi w:val="0"/>
              <w:spacing w:before="0" w:after="283"/>
              <w:jc w:val="left"/>
              <w:rPr/>
            </w:pPr>
            <w:r>
              <w:rPr/>
              <w:t>2.11</w:t>
            </w:r>
          </w:p>
        </w:tc>
        <w:tc>
          <w:tcPr>
            <w:tcW w:w="8030" w:type="dxa"/>
            <w:tcBorders/>
            <w:vAlign w:val="center"/>
          </w:tcPr>
          <w:p>
            <w:pPr>
              <w:pStyle w:val="TableContents"/>
              <w:bidi w:val="0"/>
              <w:spacing w:before="0" w:after="283"/>
              <w:jc w:val="left"/>
              <w:rPr>
                <w:b/>
              </w:rPr>
            </w:pPr>
            <w:r>
              <w:rPr>
                <w:b/>
              </w:rPr>
              <w:t>Evidence of Debt</w:t>
            </w:r>
          </w:p>
        </w:tc>
        <w:tc>
          <w:tcPr>
            <w:tcW w:w="275" w:type="dxa"/>
            <w:tcBorders/>
            <w:vAlign w:val="center"/>
          </w:tcPr>
          <w:p>
            <w:pPr>
              <w:pStyle w:val="TableContents"/>
              <w:bidi w:val="0"/>
              <w:spacing w:before="0" w:after="283"/>
              <w:jc w:val="right"/>
              <w:rPr/>
            </w:pPr>
            <w:r>
              <w:rPr/>
              <w:t>69</w:t>
            </w:r>
          </w:p>
        </w:tc>
      </w:tr>
      <w:tr>
        <w:trPr/>
        <w:tc>
          <w:tcPr>
            <w:tcW w:w="455" w:type="dxa"/>
            <w:tcBorders/>
            <w:vAlign w:val="center"/>
          </w:tcPr>
          <w:p>
            <w:pPr>
              <w:pStyle w:val="TableContents"/>
              <w:bidi w:val="0"/>
              <w:spacing w:before="0" w:after="283"/>
              <w:jc w:val="left"/>
              <w:rPr/>
            </w:pPr>
            <w:r>
              <w:rPr/>
              <w:t>2.12</w:t>
            </w:r>
          </w:p>
        </w:tc>
        <w:tc>
          <w:tcPr>
            <w:tcW w:w="8030" w:type="dxa"/>
            <w:tcBorders/>
            <w:vAlign w:val="center"/>
          </w:tcPr>
          <w:p>
            <w:pPr>
              <w:pStyle w:val="TableContents"/>
              <w:bidi w:val="0"/>
              <w:spacing w:before="0" w:after="283"/>
              <w:jc w:val="left"/>
              <w:rPr>
                <w:b/>
              </w:rPr>
            </w:pPr>
            <w:r>
              <w:rPr>
                <w:b/>
              </w:rPr>
              <w:t>Payments Generally; Administrative Agent’s Clawback</w:t>
            </w:r>
          </w:p>
        </w:tc>
        <w:tc>
          <w:tcPr>
            <w:tcW w:w="275" w:type="dxa"/>
            <w:tcBorders/>
            <w:vAlign w:val="center"/>
          </w:tcPr>
          <w:p>
            <w:pPr>
              <w:pStyle w:val="TableContents"/>
              <w:bidi w:val="0"/>
              <w:spacing w:before="0" w:after="283"/>
              <w:jc w:val="right"/>
              <w:rPr/>
            </w:pPr>
            <w:r>
              <w:rPr/>
              <w:t>70</w:t>
            </w:r>
          </w:p>
        </w:tc>
      </w:tr>
      <w:tr>
        <w:trPr/>
        <w:tc>
          <w:tcPr>
            <w:tcW w:w="455" w:type="dxa"/>
            <w:tcBorders/>
            <w:vAlign w:val="center"/>
          </w:tcPr>
          <w:p>
            <w:pPr>
              <w:pStyle w:val="TableContents"/>
              <w:bidi w:val="0"/>
              <w:spacing w:before="0" w:after="283"/>
              <w:jc w:val="left"/>
              <w:rPr/>
            </w:pPr>
            <w:r>
              <w:rPr/>
              <w:t>2.13</w:t>
            </w:r>
          </w:p>
        </w:tc>
        <w:tc>
          <w:tcPr>
            <w:tcW w:w="8030" w:type="dxa"/>
            <w:tcBorders/>
            <w:vAlign w:val="center"/>
          </w:tcPr>
          <w:p>
            <w:pPr>
              <w:pStyle w:val="TableContents"/>
              <w:bidi w:val="0"/>
              <w:spacing w:before="0" w:after="283"/>
              <w:jc w:val="left"/>
              <w:rPr>
                <w:b/>
              </w:rPr>
            </w:pPr>
            <w:r>
              <w:rPr>
                <w:b/>
              </w:rPr>
              <w:t>Sharing of Payments by Lenders</w:t>
            </w:r>
          </w:p>
        </w:tc>
        <w:tc>
          <w:tcPr>
            <w:tcW w:w="275" w:type="dxa"/>
            <w:tcBorders/>
            <w:vAlign w:val="center"/>
          </w:tcPr>
          <w:p>
            <w:pPr>
              <w:pStyle w:val="TableContents"/>
              <w:bidi w:val="0"/>
              <w:spacing w:before="0" w:after="283"/>
              <w:jc w:val="right"/>
              <w:rPr/>
            </w:pPr>
            <w:r>
              <w:rPr/>
              <w:t>72</w:t>
            </w:r>
          </w:p>
        </w:tc>
      </w:tr>
      <w:tr>
        <w:trPr/>
        <w:tc>
          <w:tcPr>
            <w:tcW w:w="455" w:type="dxa"/>
            <w:tcBorders/>
            <w:vAlign w:val="center"/>
          </w:tcPr>
          <w:p>
            <w:pPr>
              <w:pStyle w:val="TableContents"/>
              <w:bidi w:val="0"/>
              <w:spacing w:before="0" w:after="283"/>
              <w:jc w:val="left"/>
              <w:rPr/>
            </w:pPr>
            <w:r>
              <w:rPr/>
              <w:t>2.14</w:t>
            </w:r>
          </w:p>
        </w:tc>
        <w:tc>
          <w:tcPr>
            <w:tcW w:w="8030" w:type="dxa"/>
            <w:tcBorders/>
            <w:vAlign w:val="center"/>
          </w:tcPr>
          <w:p>
            <w:pPr>
              <w:pStyle w:val="TableContents"/>
              <w:bidi w:val="0"/>
              <w:spacing w:before="0" w:after="283"/>
              <w:jc w:val="left"/>
              <w:rPr>
                <w:b/>
              </w:rPr>
            </w:pPr>
            <w:r>
              <w:rPr>
                <w:b/>
              </w:rPr>
              <w:t>Cash Collateral</w:t>
            </w:r>
          </w:p>
        </w:tc>
        <w:tc>
          <w:tcPr>
            <w:tcW w:w="275" w:type="dxa"/>
            <w:tcBorders/>
            <w:vAlign w:val="center"/>
          </w:tcPr>
          <w:p>
            <w:pPr>
              <w:pStyle w:val="TableContents"/>
              <w:bidi w:val="0"/>
              <w:spacing w:before="0" w:after="283"/>
              <w:jc w:val="right"/>
              <w:rPr/>
            </w:pPr>
            <w:r>
              <w:rPr/>
              <w:t>73</w:t>
            </w:r>
          </w:p>
        </w:tc>
      </w:tr>
      <w:tr>
        <w:trPr/>
        <w:tc>
          <w:tcPr>
            <w:tcW w:w="455" w:type="dxa"/>
            <w:tcBorders/>
            <w:vAlign w:val="center"/>
          </w:tcPr>
          <w:p>
            <w:pPr>
              <w:pStyle w:val="TableContents"/>
              <w:bidi w:val="0"/>
              <w:spacing w:before="0" w:after="283"/>
              <w:jc w:val="left"/>
              <w:rPr/>
            </w:pPr>
            <w:r>
              <w:rPr/>
              <w:t>2.15</w:t>
            </w:r>
          </w:p>
        </w:tc>
        <w:tc>
          <w:tcPr>
            <w:tcW w:w="8030" w:type="dxa"/>
            <w:tcBorders/>
            <w:vAlign w:val="center"/>
          </w:tcPr>
          <w:p>
            <w:pPr>
              <w:pStyle w:val="TableContents"/>
              <w:bidi w:val="0"/>
              <w:spacing w:before="0" w:after="283"/>
              <w:jc w:val="left"/>
              <w:rPr>
                <w:b/>
              </w:rPr>
            </w:pPr>
            <w:r>
              <w:rPr>
                <w:b/>
              </w:rPr>
              <w:t>Defaulting Lenders</w:t>
            </w:r>
          </w:p>
        </w:tc>
        <w:tc>
          <w:tcPr>
            <w:tcW w:w="275" w:type="dxa"/>
            <w:tcBorders/>
            <w:vAlign w:val="center"/>
          </w:tcPr>
          <w:p>
            <w:pPr>
              <w:pStyle w:val="TableContents"/>
              <w:bidi w:val="0"/>
              <w:spacing w:before="0" w:after="283"/>
              <w:jc w:val="right"/>
              <w:rPr/>
            </w:pPr>
            <w:r>
              <w:rPr/>
              <w:t>74</w:t>
            </w:r>
          </w:p>
        </w:tc>
      </w:tr>
      <w:tr>
        <w:trPr/>
        <w:tc>
          <w:tcPr>
            <w:tcW w:w="455" w:type="dxa"/>
            <w:tcBorders/>
            <w:vAlign w:val="center"/>
          </w:tcPr>
          <w:p>
            <w:pPr>
              <w:pStyle w:val="TableContents"/>
              <w:bidi w:val="0"/>
              <w:spacing w:before="0" w:after="283"/>
              <w:jc w:val="left"/>
              <w:rPr/>
            </w:pPr>
            <w:r>
              <w:rPr/>
              <w:t>2.16</w:t>
            </w:r>
          </w:p>
        </w:tc>
        <w:tc>
          <w:tcPr>
            <w:tcW w:w="8030" w:type="dxa"/>
            <w:tcBorders/>
            <w:vAlign w:val="center"/>
          </w:tcPr>
          <w:p>
            <w:pPr>
              <w:pStyle w:val="TableContents"/>
              <w:bidi w:val="0"/>
              <w:spacing w:before="0" w:after="283"/>
              <w:jc w:val="left"/>
              <w:rPr>
                <w:b/>
              </w:rPr>
            </w:pPr>
            <w:r>
              <w:rPr>
                <w:b/>
              </w:rPr>
              <w:t>Increase in Commitments</w:t>
            </w:r>
          </w:p>
        </w:tc>
        <w:tc>
          <w:tcPr>
            <w:tcW w:w="275" w:type="dxa"/>
            <w:tcBorders/>
            <w:vAlign w:val="center"/>
          </w:tcPr>
          <w:p>
            <w:pPr>
              <w:pStyle w:val="TableContents"/>
              <w:bidi w:val="0"/>
              <w:spacing w:before="0" w:after="283"/>
              <w:ind w:left="0" w:right="0" w:hanging="720"/>
              <w:jc w:val="right"/>
              <w:rPr/>
            </w:pPr>
            <w:r>
              <w:rPr/>
              <w:t>76</w:t>
            </w:r>
          </w:p>
        </w:tc>
      </w:tr>
      <w:tr>
        <w:trPr/>
        <w:tc>
          <w:tcPr>
            <w:tcW w:w="8485" w:type="dxa"/>
            <w:gridSpan w:val="2"/>
            <w:tcBorders/>
            <w:vAlign w:val="center"/>
          </w:tcPr>
          <w:p>
            <w:pPr>
              <w:pStyle w:val="TableContents"/>
              <w:bidi w:val="0"/>
              <w:spacing w:before="0" w:after="283"/>
              <w:jc w:val="left"/>
              <w:rPr/>
            </w:pPr>
            <w:r>
              <w:rPr/>
              <w:t>Article III TAXES, YIELD PROTECTION AND ILLEGALITY</w:t>
            </w:r>
          </w:p>
        </w:tc>
        <w:tc>
          <w:tcPr>
            <w:tcW w:w="275" w:type="dxa"/>
            <w:tcBorders/>
            <w:vAlign w:val="center"/>
          </w:tcPr>
          <w:p>
            <w:pPr>
              <w:pStyle w:val="TableContents"/>
              <w:bidi w:val="0"/>
              <w:spacing w:before="0" w:after="283"/>
              <w:jc w:val="right"/>
              <w:rPr/>
            </w:pPr>
            <w:r>
              <w:rPr/>
              <w:t>79</w:t>
            </w:r>
          </w:p>
        </w:tc>
      </w:tr>
      <w:tr>
        <w:trPr/>
        <w:tc>
          <w:tcPr>
            <w:tcW w:w="455" w:type="dxa"/>
            <w:tcBorders/>
            <w:vAlign w:val="center"/>
          </w:tcPr>
          <w:p>
            <w:pPr>
              <w:pStyle w:val="TableContents"/>
              <w:bidi w:val="0"/>
              <w:spacing w:before="0" w:after="283"/>
              <w:jc w:val="left"/>
              <w:rPr/>
            </w:pPr>
            <w:r>
              <w:rPr/>
              <w:t>3.01</w:t>
            </w:r>
          </w:p>
        </w:tc>
        <w:tc>
          <w:tcPr>
            <w:tcW w:w="8030" w:type="dxa"/>
            <w:tcBorders/>
            <w:vAlign w:val="center"/>
          </w:tcPr>
          <w:p>
            <w:pPr>
              <w:pStyle w:val="TableContents"/>
              <w:bidi w:val="0"/>
              <w:spacing w:before="0" w:after="283"/>
              <w:jc w:val="left"/>
              <w:rPr>
                <w:b/>
              </w:rPr>
            </w:pPr>
            <w:r>
              <w:rPr>
                <w:b/>
              </w:rPr>
              <w:t>Taxes</w:t>
            </w:r>
          </w:p>
        </w:tc>
        <w:tc>
          <w:tcPr>
            <w:tcW w:w="275" w:type="dxa"/>
            <w:tcBorders/>
            <w:vAlign w:val="center"/>
          </w:tcPr>
          <w:p>
            <w:pPr>
              <w:pStyle w:val="TableContents"/>
              <w:bidi w:val="0"/>
              <w:spacing w:before="0" w:after="283"/>
              <w:jc w:val="right"/>
              <w:rPr/>
            </w:pPr>
            <w:r>
              <w:rPr/>
              <w:t>79</w:t>
            </w:r>
          </w:p>
        </w:tc>
      </w:tr>
      <w:tr>
        <w:trPr/>
        <w:tc>
          <w:tcPr>
            <w:tcW w:w="455" w:type="dxa"/>
            <w:tcBorders/>
            <w:vAlign w:val="center"/>
          </w:tcPr>
          <w:p>
            <w:pPr>
              <w:pStyle w:val="TableContents"/>
              <w:bidi w:val="0"/>
              <w:spacing w:before="0" w:after="283"/>
              <w:jc w:val="left"/>
              <w:rPr/>
            </w:pPr>
            <w:r>
              <w:rPr/>
              <w:t>3.02</w:t>
            </w:r>
          </w:p>
        </w:tc>
        <w:tc>
          <w:tcPr>
            <w:tcW w:w="8030" w:type="dxa"/>
            <w:tcBorders/>
            <w:vAlign w:val="center"/>
          </w:tcPr>
          <w:p>
            <w:pPr>
              <w:pStyle w:val="TableContents"/>
              <w:bidi w:val="0"/>
              <w:spacing w:before="0" w:after="283"/>
              <w:jc w:val="left"/>
              <w:rPr>
                <w:b/>
              </w:rPr>
            </w:pPr>
            <w:r>
              <w:rPr>
                <w:b/>
              </w:rPr>
              <w:t>Illegality</w:t>
            </w:r>
          </w:p>
        </w:tc>
        <w:tc>
          <w:tcPr>
            <w:tcW w:w="275" w:type="dxa"/>
            <w:tcBorders/>
            <w:vAlign w:val="center"/>
          </w:tcPr>
          <w:p>
            <w:pPr>
              <w:pStyle w:val="TableContents"/>
              <w:bidi w:val="0"/>
              <w:spacing w:before="0" w:after="283"/>
              <w:jc w:val="right"/>
              <w:rPr/>
            </w:pPr>
            <w:r>
              <w:rPr/>
              <w:t>83</w:t>
            </w:r>
          </w:p>
        </w:tc>
      </w:tr>
      <w:tr>
        <w:trPr/>
        <w:tc>
          <w:tcPr>
            <w:tcW w:w="455" w:type="dxa"/>
            <w:tcBorders/>
            <w:vAlign w:val="center"/>
          </w:tcPr>
          <w:p>
            <w:pPr>
              <w:pStyle w:val="TableContents"/>
              <w:bidi w:val="0"/>
              <w:spacing w:before="0" w:after="283"/>
              <w:jc w:val="left"/>
              <w:rPr/>
            </w:pPr>
            <w:r>
              <w:rPr/>
              <w:t>3.03</w:t>
            </w:r>
          </w:p>
        </w:tc>
        <w:tc>
          <w:tcPr>
            <w:tcW w:w="8030" w:type="dxa"/>
            <w:tcBorders/>
            <w:vAlign w:val="center"/>
          </w:tcPr>
          <w:p>
            <w:pPr>
              <w:pStyle w:val="TableContents"/>
              <w:bidi w:val="0"/>
              <w:spacing w:before="0" w:after="283"/>
              <w:jc w:val="left"/>
              <w:rPr>
                <w:b/>
              </w:rPr>
            </w:pPr>
            <w:r>
              <w:rPr>
                <w:b/>
              </w:rPr>
              <w:t>Inability to Determine Rates</w:t>
            </w:r>
          </w:p>
        </w:tc>
        <w:tc>
          <w:tcPr>
            <w:tcW w:w="275" w:type="dxa"/>
            <w:tcBorders/>
            <w:vAlign w:val="center"/>
          </w:tcPr>
          <w:p>
            <w:pPr>
              <w:pStyle w:val="TableContents"/>
              <w:bidi w:val="0"/>
              <w:spacing w:before="0" w:after="283"/>
              <w:jc w:val="right"/>
              <w:rPr/>
            </w:pPr>
            <w:r>
              <w:rPr/>
              <w:t>84</w:t>
            </w:r>
          </w:p>
        </w:tc>
      </w:tr>
      <w:tr>
        <w:trPr/>
        <w:tc>
          <w:tcPr>
            <w:tcW w:w="455" w:type="dxa"/>
            <w:tcBorders/>
            <w:vAlign w:val="center"/>
          </w:tcPr>
          <w:p>
            <w:pPr>
              <w:pStyle w:val="TableContents"/>
              <w:bidi w:val="0"/>
              <w:spacing w:before="0" w:after="283"/>
              <w:jc w:val="left"/>
              <w:rPr/>
            </w:pPr>
            <w:r>
              <w:rPr/>
              <w:t>3.04</w:t>
            </w:r>
          </w:p>
        </w:tc>
        <w:tc>
          <w:tcPr>
            <w:tcW w:w="8030" w:type="dxa"/>
            <w:tcBorders/>
            <w:vAlign w:val="center"/>
          </w:tcPr>
          <w:p>
            <w:pPr>
              <w:pStyle w:val="TableContents"/>
              <w:bidi w:val="0"/>
              <w:spacing w:before="0" w:after="283"/>
              <w:jc w:val="left"/>
              <w:rPr>
                <w:b/>
              </w:rPr>
            </w:pPr>
            <w:r>
              <w:rPr>
                <w:b/>
              </w:rPr>
              <w:t>Increased Costs</w:t>
            </w:r>
          </w:p>
        </w:tc>
        <w:tc>
          <w:tcPr>
            <w:tcW w:w="275" w:type="dxa"/>
            <w:tcBorders/>
            <w:vAlign w:val="center"/>
          </w:tcPr>
          <w:p>
            <w:pPr>
              <w:pStyle w:val="TableContents"/>
              <w:bidi w:val="0"/>
              <w:spacing w:before="0" w:after="283"/>
              <w:jc w:val="right"/>
              <w:rPr/>
            </w:pPr>
            <w:r>
              <w:rPr/>
              <w:t>86</w:t>
            </w:r>
          </w:p>
        </w:tc>
      </w:tr>
      <w:tr>
        <w:trPr/>
        <w:tc>
          <w:tcPr>
            <w:tcW w:w="455" w:type="dxa"/>
            <w:tcBorders/>
            <w:vAlign w:val="center"/>
          </w:tcPr>
          <w:p>
            <w:pPr>
              <w:pStyle w:val="TableContents"/>
              <w:bidi w:val="0"/>
              <w:spacing w:before="0" w:after="283"/>
              <w:jc w:val="left"/>
              <w:rPr/>
            </w:pPr>
            <w:r>
              <w:rPr/>
              <w:t>3.05</w:t>
            </w:r>
          </w:p>
        </w:tc>
        <w:tc>
          <w:tcPr>
            <w:tcW w:w="8030" w:type="dxa"/>
            <w:tcBorders/>
            <w:vAlign w:val="center"/>
          </w:tcPr>
          <w:p>
            <w:pPr>
              <w:pStyle w:val="TableContents"/>
              <w:bidi w:val="0"/>
              <w:spacing w:before="0" w:after="283"/>
              <w:jc w:val="left"/>
              <w:rPr>
                <w:b/>
              </w:rPr>
            </w:pPr>
            <w:r>
              <w:rPr>
                <w:b/>
              </w:rPr>
              <w:t>Compensation for Losses</w:t>
            </w:r>
          </w:p>
        </w:tc>
        <w:tc>
          <w:tcPr>
            <w:tcW w:w="275" w:type="dxa"/>
            <w:tcBorders/>
            <w:vAlign w:val="center"/>
          </w:tcPr>
          <w:p>
            <w:pPr>
              <w:pStyle w:val="TableContents"/>
              <w:bidi w:val="0"/>
              <w:spacing w:before="0" w:after="283"/>
              <w:jc w:val="right"/>
              <w:rPr/>
            </w:pPr>
            <w:r>
              <w:rPr/>
              <w:t>88</w:t>
            </w:r>
          </w:p>
        </w:tc>
      </w:tr>
      <w:tr>
        <w:trPr/>
        <w:tc>
          <w:tcPr>
            <w:tcW w:w="455" w:type="dxa"/>
            <w:tcBorders/>
            <w:vAlign w:val="center"/>
          </w:tcPr>
          <w:p>
            <w:pPr>
              <w:pStyle w:val="TableContents"/>
              <w:bidi w:val="0"/>
              <w:spacing w:before="0" w:after="283"/>
              <w:jc w:val="left"/>
              <w:rPr/>
            </w:pPr>
            <w:r>
              <w:rPr/>
              <w:t>3.06</w:t>
            </w:r>
          </w:p>
        </w:tc>
        <w:tc>
          <w:tcPr>
            <w:tcW w:w="8030" w:type="dxa"/>
            <w:tcBorders/>
            <w:vAlign w:val="center"/>
          </w:tcPr>
          <w:p>
            <w:pPr>
              <w:pStyle w:val="TableContents"/>
              <w:bidi w:val="0"/>
              <w:spacing w:before="0" w:after="283"/>
              <w:jc w:val="left"/>
              <w:rPr>
                <w:b/>
              </w:rPr>
            </w:pPr>
            <w:r>
              <w:rPr>
                <w:b/>
              </w:rPr>
              <w:t>Mitigation Obligations; Replacement of Lenders</w:t>
            </w:r>
          </w:p>
        </w:tc>
        <w:tc>
          <w:tcPr>
            <w:tcW w:w="275" w:type="dxa"/>
            <w:tcBorders/>
            <w:vAlign w:val="center"/>
          </w:tcPr>
          <w:p>
            <w:pPr>
              <w:pStyle w:val="TableContents"/>
              <w:bidi w:val="0"/>
              <w:spacing w:before="0" w:after="283"/>
              <w:jc w:val="right"/>
              <w:rPr/>
            </w:pPr>
            <w:r>
              <w:rPr/>
              <w:t>88</w:t>
            </w:r>
          </w:p>
        </w:tc>
      </w:tr>
      <w:tr>
        <w:trPr/>
        <w:tc>
          <w:tcPr>
            <w:tcW w:w="455" w:type="dxa"/>
            <w:tcBorders/>
            <w:vAlign w:val="center"/>
          </w:tcPr>
          <w:p>
            <w:pPr>
              <w:pStyle w:val="TableContents"/>
              <w:bidi w:val="0"/>
              <w:spacing w:before="0" w:after="283"/>
              <w:jc w:val="left"/>
              <w:rPr/>
            </w:pPr>
            <w:r>
              <w:rPr/>
              <w:t>3.07</w:t>
            </w:r>
          </w:p>
        </w:tc>
        <w:tc>
          <w:tcPr>
            <w:tcW w:w="8030" w:type="dxa"/>
            <w:tcBorders/>
            <w:vAlign w:val="center"/>
          </w:tcPr>
          <w:p>
            <w:pPr>
              <w:pStyle w:val="TableContents"/>
              <w:bidi w:val="0"/>
              <w:spacing w:before="0" w:after="283"/>
              <w:jc w:val="left"/>
              <w:rPr>
                <w:b/>
              </w:rPr>
            </w:pPr>
            <w:r>
              <w:rPr>
                <w:b/>
              </w:rPr>
              <w:t>Survival</w:t>
            </w:r>
          </w:p>
        </w:tc>
        <w:tc>
          <w:tcPr>
            <w:tcW w:w="275" w:type="dxa"/>
            <w:tcBorders/>
            <w:vAlign w:val="center"/>
          </w:tcPr>
          <w:p>
            <w:pPr>
              <w:pStyle w:val="TableContents"/>
              <w:bidi w:val="0"/>
              <w:spacing w:before="0" w:after="283"/>
              <w:ind w:left="0" w:right="0" w:hanging="720"/>
              <w:jc w:val="right"/>
              <w:rPr/>
            </w:pPr>
            <w:r>
              <w:rPr/>
              <w:t>88</w:t>
            </w:r>
          </w:p>
        </w:tc>
      </w:tr>
      <w:tr>
        <w:trPr/>
        <w:tc>
          <w:tcPr>
            <w:tcW w:w="8485" w:type="dxa"/>
            <w:gridSpan w:val="2"/>
            <w:tcBorders/>
            <w:vAlign w:val="center"/>
          </w:tcPr>
          <w:p>
            <w:pPr>
              <w:pStyle w:val="TableContents"/>
              <w:bidi w:val="0"/>
              <w:spacing w:before="0" w:after="283"/>
              <w:jc w:val="left"/>
              <w:rPr/>
            </w:pPr>
            <w:r>
              <w:rPr/>
              <w:t>Article IV CONDITIONS PRECEDENT TO CREDIT EXTENSIONS</w:t>
            </w:r>
          </w:p>
        </w:tc>
        <w:tc>
          <w:tcPr>
            <w:tcW w:w="27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4.01</w:t>
            </w:r>
          </w:p>
        </w:tc>
        <w:tc>
          <w:tcPr>
            <w:tcW w:w="8030" w:type="dxa"/>
            <w:tcBorders/>
            <w:vAlign w:val="center"/>
          </w:tcPr>
          <w:p>
            <w:pPr>
              <w:pStyle w:val="TableContents"/>
              <w:bidi w:val="0"/>
              <w:spacing w:before="0" w:after="283"/>
              <w:jc w:val="left"/>
              <w:rPr>
                <w:b/>
              </w:rPr>
            </w:pPr>
            <w:r>
              <w:rPr>
                <w:b/>
              </w:rPr>
              <w:t>Conditions of Initial Credit Extension</w:t>
            </w:r>
          </w:p>
        </w:tc>
        <w:tc>
          <w:tcPr>
            <w:tcW w:w="275" w:type="dxa"/>
            <w:tcBorders/>
            <w:vAlign w:val="center"/>
          </w:tcPr>
          <w:p>
            <w:pPr>
              <w:pStyle w:val="TableContents"/>
              <w:bidi w:val="0"/>
              <w:spacing w:before="0" w:after="283"/>
              <w:jc w:val="right"/>
              <w:rPr/>
            </w:pPr>
            <w:r>
              <w:rPr/>
              <w:t>89</w:t>
            </w:r>
          </w:p>
        </w:tc>
      </w:tr>
      <w:tr>
        <w:trPr/>
        <w:tc>
          <w:tcPr>
            <w:tcW w:w="455" w:type="dxa"/>
            <w:tcBorders/>
            <w:vAlign w:val="center"/>
          </w:tcPr>
          <w:p>
            <w:pPr>
              <w:pStyle w:val="TableContents"/>
              <w:bidi w:val="0"/>
              <w:spacing w:before="0" w:after="283"/>
              <w:jc w:val="left"/>
              <w:rPr/>
            </w:pPr>
            <w:r>
              <w:rPr/>
              <w:t>4.02</w:t>
            </w:r>
          </w:p>
        </w:tc>
        <w:tc>
          <w:tcPr>
            <w:tcW w:w="8030" w:type="dxa"/>
            <w:tcBorders/>
            <w:vAlign w:val="center"/>
          </w:tcPr>
          <w:p>
            <w:pPr>
              <w:pStyle w:val="TableContents"/>
              <w:bidi w:val="0"/>
              <w:spacing w:before="0" w:after="283"/>
              <w:jc w:val="left"/>
              <w:rPr>
                <w:b/>
              </w:rPr>
            </w:pPr>
            <w:r>
              <w:rPr>
                <w:b/>
              </w:rPr>
              <w:t>Conditions to all Credit Extensions</w:t>
            </w:r>
          </w:p>
        </w:tc>
        <w:tc>
          <w:tcPr>
            <w:tcW w:w="275" w:type="dxa"/>
            <w:tcBorders/>
            <w:vAlign w:val="center"/>
          </w:tcPr>
          <w:p>
            <w:pPr>
              <w:pStyle w:val="TableContents"/>
              <w:bidi w:val="0"/>
              <w:spacing w:before="0" w:after="283"/>
              <w:ind w:left="0" w:right="0" w:hanging="720"/>
              <w:jc w:val="right"/>
              <w:rPr/>
            </w:pPr>
            <w:r>
              <w:rPr/>
              <w:t>91</w:t>
            </w:r>
          </w:p>
        </w:tc>
      </w:tr>
      <w:tr>
        <w:trPr/>
        <w:tc>
          <w:tcPr>
            <w:tcW w:w="8485" w:type="dxa"/>
            <w:gridSpan w:val="2"/>
            <w:tcBorders/>
            <w:vAlign w:val="center"/>
          </w:tcPr>
          <w:p>
            <w:pPr>
              <w:pStyle w:val="TableContents"/>
              <w:bidi w:val="0"/>
              <w:spacing w:before="0" w:after="283"/>
              <w:jc w:val="left"/>
              <w:rPr/>
            </w:pPr>
            <w:r>
              <w:rPr/>
              <w:t>Article V REPRESENTATIONS AND WARRANTIES</w:t>
            </w:r>
          </w:p>
        </w:tc>
        <w:tc>
          <w:tcPr>
            <w:tcW w:w="275" w:type="dxa"/>
            <w:tcBorders/>
            <w:vAlign w:val="center"/>
          </w:tcPr>
          <w:p>
            <w:pPr>
              <w:pStyle w:val="TableContents"/>
              <w:bidi w:val="0"/>
              <w:spacing w:before="0" w:after="283"/>
              <w:jc w:val="right"/>
              <w:rPr/>
            </w:pPr>
            <w:r>
              <w:rPr/>
              <w:t>92</w:t>
            </w:r>
          </w:p>
        </w:tc>
      </w:tr>
      <w:tr>
        <w:trPr/>
        <w:tc>
          <w:tcPr>
            <w:tcW w:w="455" w:type="dxa"/>
            <w:tcBorders/>
            <w:vAlign w:val="center"/>
          </w:tcPr>
          <w:p>
            <w:pPr>
              <w:pStyle w:val="TableContents"/>
              <w:bidi w:val="0"/>
              <w:spacing w:before="0" w:after="283"/>
              <w:jc w:val="left"/>
              <w:rPr/>
            </w:pPr>
            <w:r>
              <w:rPr/>
              <w:t>5.01</w:t>
            </w:r>
          </w:p>
        </w:tc>
        <w:tc>
          <w:tcPr>
            <w:tcW w:w="8030" w:type="dxa"/>
            <w:tcBorders/>
            <w:vAlign w:val="center"/>
          </w:tcPr>
          <w:p>
            <w:pPr>
              <w:pStyle w:val="TableContents"/>
              <w:bidi w:val="0"/>
              <w:spacing w:before="0" w:after="283"/>
              <w:jc w:val="left"/>
              <w:rPr>
                <w:b/>
              </w:rPr>
            </w:pPr>
            <w:r>
              <w:rPr>
                <w:b/>
              </w:rPr>
              <w:t>Existence, Qualification and Power</w:t>
            </w:r>
          </w:p>
        </w:tc>
        <w:tc>
          <w:tcPr>
            <w:tcW w:w="275" w:type="dxa"/>
            <w:tcBorders/>
            <w:vAlign w:val="center"/>
          </w:tcPr>
          <w:p>
            <w:pPr>
              <w:pStyle w:val="TableContents"/>
              <w:bidi w:val="0"/>
              <w:spacing w:before="0" w:after="283"/>
              <w:jc w:val="right"/>
              <w:rPr/>
            </w:pPr>
            <w:r>
              <w:rPr/>
              <w:t>92</w:t>
            </w:r>
          </w:p>
        </w:tc>
      </w:tr>
      <w:tr>
        <w:trPr/>
        <w:tc>
          <w:tcPr>
            <w:tcW w:w="455" w:type="dxa"/>
            <w:tcBorders/>
            <w:vAlign w:val="center"/>
          </w:tcPr>
          <w:p>
            <w:pPr>
              <w:pStyle w:val="TableContents"/>
              <w:bidi w:val="0"/>
              <w:spacing w:before="0" w:after="283"/>
              <w:jc w:val="left"/>
              <w:rPr/>
            </w:pPr>
            <w:r>
              <w:rPr/>
              <w:t>5.02</w:t>
            </w:r>
          </w:p>
        </w:tc>
        <w:tc>
          <w:tcPr>
            <w:tcW w:w="8030" w:type="dxa"/>
            <w:tcBorders/>
            <w:vAlign w:val="center"/>
          </w:tcPr>
          <w:p>
            <w:pPr>
              <w:pStyle w:val="TableContents"/>
              <w:bidi w:val="0"/>
              <w:spacing w:before="0" w:after="283"/>
              <w:jc w:val="left"/>
              <w:rPr>
                <w:b/>
              </w:rPr>
            </w:pPr>
            <w:r>
              <w:rPr>
                <w:b/>
              </w:rPr>
              <w:t>Authorization; No Contravention</w:t>
            </w:r>
          </w:p>
        </w:tc>
        <w:tc>
          <w:tcPr>
            <w:tcW w:w="275" w:type="dxa"/>
            <w:tcBorders/>
            <w:vAlign w:val="center"/>
          </w:tcPr>
          <w:p>
            <w:pPr>
              <w:pStyle w:val="TableContents"/>
              <w:bidi w:val="0"/>
              <w:spacing w:before="0" w:after="283"/>
              <w:jc w:val="right"/>
              <w:rPr/>
            </w:pPr>
            <w:r>
              <w:rPr/>
              <w:t>93</w:t>
            </w:r>
          </w:p>
        </w:tc>
      </w:tr>
      <w:tr>
        <w:trPr/>
        <w:tc>
          <w:tcPr>
            <w:tcW w:w="455" w:type="dxa"/>
            <w:tcBorders/>
            <w:vAlign w:val="center"/>
          </w:tcPr>
          <w:p>
            <w:pPr>
              <w:pStyle w:val="TableContents"/>
              <w:bidi w:val="0"/>
              <w:spacing w:before="0" w:after="283"/>
              <w:jc w:val="left"/>
              <w:rPr/>
            </w:pPr>
            <w:r>
              <w:rPr/>
              <w:t>5.03</w:t>
            </w:r>
          </w:p>
        </w:tc>
        <w:tc>
          <w:tcPr>
            <w:tcW w:w="8030" w:type="dxa"/>
            <w:tcBorders/>
            <w:vAlign w:val="center"/>
          </w:tcPr>
          <w:p>
            <w:pPr>
              <w:pStyle w:val="TableContents"/>
              <w:bidi w:val="0"/>
              <w:spacing w:before="0" w:after="283"/>
              <w:jc w:val="left"/>
              <w:rPr>
                <w:b/>
              </w:rPr>
            </w:pPr>
            <w:r>
              <w:rPr>
                <w:b/>
              </w:rPr>
              <w:t>Governmental Authorization; Other Consents</w:t>
            </w:r>
          </w:p>
        </w:tc>
        <w:tc>
          <w:tcPr>
            <w:tcW w:w="275" w:type="dxa"/>
            <w:tcBorders/>
            <w:vAlign w:val="center"/>
          </w:tcPr>
          <w:p>
            <w:pPr>
              <w:pStyle w:val="TableContents"/>
              <w:bidi w:val="0"/>
              <w:spacing w:before="0" w:after="283"/>
              <w:jc w:val="right"/>
              <w:rPr/>
            </w:pPr>
            <w:r>
              <w:rPr/>
              <w:t>93</w:t>
            </w:r>
          </w:p>
        </w:tc>
      </w:tr>
      <w:tr>
        <w:trPr/>
        <w:tc>
          <w:tcPr>
            <w:tcW w:w="455" w:type="dxa"/>
            <w:tcBorders/>
            <w:vAlign w:val="center"/>
          </w:tcPr>
          <w:p>
            <w:pPr>
              <w:pStyle w:val="TableContents"/>
              <w:bidi w:val="0"/>
              <w:spacing w:before="0" w:after="283"/>
              <w:jc w:val="left"/>
              <w:rPr/>
            </w:pPr>
            <w:r>
              <w:rPr/>
              <w:t>5.04</w:t>
            </w:r>
          </w:p>
        </w:tc>
        <w:tc>
          <w:tcPr>
            <w:tcW w:w="8030" w:type="dxa"/>
            <w:tcBorders/>
            <w:vAlign w:val="center"/>
          </w:tcPr>
          <w:p>
            <w:pPr>
              <w:pStyle w:val="TableContents"/>
              <w:bidi w:val="0"/>
              <w:spacing w:before="0" w:after="283"/>
              <w:jc w:val="left"/>
              <w:rPr>
                <w:b/>
              </w:rPr>
            </w:pPr>
            <w:r>
              <w:rPr>
                <w:b/>
              </w:rPr>
              <w:t>Binding Effect</w:t>
            </w:r>
          </w:p>
        </w:tc>
        <w:tc>
          <w:tcPr>
            <w:tcW w:w="275" w:type="dxa"/>
            <w:tcBorders/>
            <w:vAlign w:val="center"/>
          </w:tcPr>
          <w:p>
            <w:pPr>
              <w:pStyle w:val="TableContents"/>
              <w:bidi w:val="0"/>
              <w:spacing w:before="0" w:after="283"/>
              <w:jc w:val="right"/>
              <w:rPr/>
            </w:pPr>
            <w:r>
              <w:rPr/>
              <w:t>93</w:t>
            </w:r>
          </w:p>
        </w:tc>
      </w:tr>
      <w:tr>
        <w:trPr/>
        <w:tc>
          <w:tcPr>
            <w:tcW w:w="455" w:type="dxa"/>
            <w:tcBorders/>
            <w:vAlign w:val="center"/>
          </w:tcPr>
          <w:p>
            <w:pPr>
              <w:pStyle w:val="TableContents"/>
              <w:bidi w:val="0"/>
              <w:spacing w:before="0" w:after="283"/>
              <w:jc w:val="left"/>
              <w:rPr/>
            </w:pPr>
            <w:r>
              <w:rPr/>
              <w:t>5.05</w:t>
            </w:r>
          </w:p>
        </w:tc>
        <w:tc>
          <w:tcPr>
            <w:tcW w:w="8030" w:type="dxa"/>
            <w:tcBorders/>
            <w:vAlign w:val="center"/>
          </w:tcPr>
          <w:p>
            <w:pPr>
              <w:pStyle w:val="TableContents"/>
              <w:bidi w:val="0"/>
              <w:spacing w:before="0" w:after="283"/>
              <w:jc w:val="left"/>
              <w:rPr>
                <w:b/>
              </w:rPr>
            </w:pPr>
            <w:r>
              <w:rPr>
                <w:b/>
              </w:rPr>
              <w:t>Financial Statements; No Material Adverse Effect</w:t>
            </w:r>
          </w:p>
        </w:tc>
        <w:tc>
          <w:tcPr>
            <w:tcW w:w="275" w:type="dxa"/>
            <w:tcBorders/>
            <w:vAlign w:val="center"/>
          </w:tcPr>
          <w:p>
            <w:pPr>
              <w:pStyle w:val="TableContents"/>
              <w:bidi w:val="0"/>
              <w:spacing w:before="0" w:after="283"/>
              <w:jc w:val="right"/>
              <w:rPr/>
            </w:pPr>
            <w:r>
              <w:rPr/>
              <w:t>93</w:t>
            </w:r>
          </w:p>
        </w:tc>
      </w:tr>
      <w:tr>
        <w:trPr/>
        <w:tc>
          <w:tcPr>
            <w:tcW w:w="455" w:type="dxa"/>
            <w:tcBorders/>
            <w:vAlign w:val="center"/>
          </w:tcPr>
          <w:p>
            <w:pPr>
              <w:pStyle w:val="TableContents"/>
              <w:bidi w:val="0"/>
              <w:spacing w:before="0" w:after="283"/>
              <w:jc w:val="left"/>
              <w:rPr/>
            </w:pPr>
            <w:r>
              <w:rPr/>
              <w:t>5.06</w:t>
            </w:r>
          </w:p>
        </w:tc>
        <w:tc>
          <w:tcPr>
            <w:tcW w:w="8030" w:type="dxa"/>
            <w:tcBorders/>
            <w:vAlign w:val="center"/>
          </w:tcPr>
          <w:p>
            <w:pPr>
              <w:pStyle w:val="TableContents"/>
              <w:bidi w:val="0"/>
              <w:spacing w:before="0" w:after="283"/>
              <w:jc w:val="left"/>
              <w:rPr>
                <w:b/>
              </w:rPr>
            </w:pPr>
            <w:r>
              <w:rPr>
                <w:b/>
              </w:rPr>
              <w:t>Litigation</w:t>
            </w:r>
          </w:p>
        </w:tc>
        <w:tc>
          <w:tcPr>
            <w:tcW w:w="275" w:type="dxa"/>
            <w:tcBorders/>
            <w:vAlign w:val="center"/>
          </w:tcPr>
          <w:p>
            <w:pPr>
              <w:pStyle w:val="TableContents"/>
              <w:bidi w:val="0"/>
              <w:spacing w:before="0" w:after="283"/>
              <w:jc w:val="right"/>
              <w:rPr/>
            </w:pPr>
            <w:r>
              <w:rPr/>
              <w:t>94</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355"/>
        <w:gridCol w:w="395"/>
      </w:tblGrid>
      <w:tr>
        <w:trPr/>
        <w:tc>
          <w:tcPr>
            <w:tcW w:w="455" w:type="dxa"/>
            <w:tcBorders/>
            <w:vAlign w:val="center"/>
          </w:tcPr>
          <w:p>
            <w:pPr>
              <w:pStyle w:val="TableContents"/>
              <w:bidi w:val="0"/>
              <w:spacing w:before="0" w:after="283"/>
              <w:jc w:val="left"/>
              <w:rPr/>
            </w:pPr>
            <w:r>
              <w:rPr/>
              <w:t>5.07</w:t>
            </w:r>
          </w:p>
        </w:tc>
        <w:tc>
          <w:tcPr>
            <w:tcW w:w="9355" w:type="dxa"/>
            <w:tcBorders/>
            <w:vAlign w:val="center"/>
          </w:tcPr>
          <w:p>
            <w:pPr>
              <w:pStyle w:val="TableContents"/>
              <w:bidi w:val="0"/>
              <w:spacing w:before="0" w:after="283"/>
              <w:jc w:val="left"/>
              <w:rPr>
                <w:b/>
              </w:rPr>
            </w:pPr>
            <w:r>
              <w:rPr>
                <w:b/>
              </w:rPr>
              <w:t>No Default</w:t>
            </w:r>
          </w:p>
        </w:tc>
        <w:tc>
          <w:tcPr>
            <w:tcW w:w="395" w:type="dxa"/>
            <w:tcBorders/>
            <w:vAlign w:val="center"/>
          </w:tcPr>
          <w:p>
            <w:pPr>
              <w:pStyle w:val="TableContents"/>
              <w:bidi w:val="0"/>
              <w:spacing w:before="0" w:after="283"/>
              <w:jc w:val="right"/>
              <w:rPr/>
            </w:pPr>
            <w:r>
              <w:rPr/>
              <w:t>94</w:t>
            </w:r>
          </w:p>
        </w:tc>
      </w:tr>
      <w:tr>
        <w:trPr/>
        <w:tc>
          <w:tcPr>
            <w:tcW w:w="455" w:type="dxa"/>
            <w:tcBorders/>
            <w:vAlign w:val="center"/>
          </w:tcPr>
          <w:p>
            <w:pPr>
              <w:pStyle w:val="TableContents"/>
              <w:bidi w:val="0"/>
              <w:spacing w:before="0" w:after="283"/>
              <w:jc w:val="left"/>
              <w:rPr/>
            </w:pPr>
            <w:r>
              <w:rPr/>
              <w:t>5.08</w:t>
            </w:r>
          </w:p>
        </w:tc>
        <w:tc>
          <w:tcPr>
            <w:tcW w:w="9355" w:type="dxa"/>
            <w:tcBorders/>
            <w:vAlign w:val="center"/>
          </w:tcPr>
          <w:p>
            <w:pPr>
              <w:pStyle w:val="TableContents"/>
              <w:bidi w:val="0"/>
              <w:spacing w:before="0" w:after="283"/>
              <w:jc w:val="left"/>
              <w:rPr>
                <w:b/>
              </w:rPr>
            </w:pPr>
            <w:r>
              <w:rPr>
                <w:b/>
              </w:rPr>
              <w:t>Ownership of Property</w:t>
            </w:r>
          </w:p>
        </w:tc>
        <w:tc>
          <w:tcPr>
            <w:tcW w:w="395" w:type="dxa"/>
            <w:tcBorders/>
            <w:vAlign w:val="center"/>
          </w:tcPr>
          <w:p>
            <w:pPr>
              <w:pStyle w:val="TableContents"/>
              <w:bidi w:val="0"/>
              <w:spacing w:before="0" w:after="283"/>
              <w:jc w:val="right"/>
              <w:rPr/>
            </w:pPr>
            <w:r>
              <w:rPr/>
              <w:t>94</w:t>
            </w:r>
          </w:p>
        </w:tc>
      </w:tr>
      <w:tr>
        <w:trPr/>
        <w:tc>
          <w:tcPr>
            <w:tcW w:w="455" w:type="dxa"/>
            <w:tcBorders/>
            <w:vAlign w:val="center"/>
          </w:tcPr>
          <w:p>
            <w:pPr>
              <w:pStyle w:val="TableContents"/>
              <w:bidi w:val="0"/>
              <w:spacing w:before="0" w:after="283"/>
              <w:jc w:val="left"/>
              <w:rPr/>
            </w:pPr>
            <w:r>
              <w:rPr/>
              <w:t>5.09</w:t>
            </w:r>
          </w:p>
        </w:tc>
        <w:tc>
          <w:tcPr>
            <w:tcW w:w="9355" w:type="dxa"/>
            <w:tcBorders/>
            <w:vAlign w:val="center"/>
          </w:tcPr>
          <w:p>
            <w:pPr>
              <w:pStyle w:val="TableContents"/>
              <w:bidi w:val="0"/>
              <w:spacing w:before="0" w:after="283"/>
              <w:jc w:val="left"/>
              <w:rPr>
                <w:b/>
              </w:rPr>
            </w:pPr>
            <w:r>
              <w:rPr>
                <w:b/>
              </w:rPr>
              <w:t>Environmental Matters</w:t>
            </w:r>
          </w:p>
        </w:tc>
        <w:tc>
          <w:tcPr>
            <w:tcW w:w="395" w:type="dxa"/>
            <w:tcBorders/>
            <w:vAlign w:val="center"/>
          </w:tcPr>
          <w:p>
            <w:pPr>
              <w:pStyle w:val="TableContents"/>
              <w:bidi w:val="0"/>
              <w:spacing w:before="0" w:after="283"/>
              <w:jc w:val="right"/>
              <w:rPr/>
            </w:pPr>
            <w:r>
              <w:rPr/>
              <w:t>94</w:t>
            </w:r>
          </w:p>
        </w:tc>
      </w:tr>
      <w:tr>
        <w:trPr/>
        <w:tc>
          <w:tcPr>
            <w:tcW w:w="455" w:type="dxa"/>
            <w:tcBorders/>
            <w:vAlign w:val="center"/>
          </w:tcPr>
          <w:p>
            <w:pPr>
              <w:pStyle w:val="TableContents"/>
              <w:bidi w:val="0"/>
              <w:spacing w:before="0" w:after="283"/>
              <w:jc w:val="left"/>
              <w:rPr/>
            </w:pPr>
            <w:r>
              <w:rPr/>
              <w:t>5.10</w:t>
            </w:r>
          </w:p>
        </w:tc>
        <w:tc>
          <w:tcPr>
            <w:tcW w:w="9355" w:type="dxa"/>
            <w:tcBorders/>
            <w:vAlign w:val="center"/>
          </w:tcPr>
          <w:p>
            <w:pPr>
              <w:pStyle w:val="TableContents"/>
              <w:bidi w:val="0"/>
              <w:spacing w:before="0" w:after="283"/>
              <w:jc w:val="left"/>
              <w:rPr>
                <w:b/>
              </w:rPr>
            </w:pPr>
            <w:r>
              <w:rPr>
                <w:b/>
              </w:rPr>
              <w:t>Insurance</w:t>
            </w:r>
          </w:p>
        </w:tc>
        <w:tc>
          <w:tcPr>
            <w:tcW w:w="395" w:type="dxa"/>
            <w:tcBorders/>
            <w:vAlign w:val="center"/>
          </w:tcPr>
          <w:p>
            <w:pPr>
              <w:pStyle w:val="TableContents"/>
              <w:bidi w:val="0"/>
              <w:spacing w:before="0" w:after="283"/>
              <w:jc w:val="right"/>
              <w:rPr/>
            </w:pPr>
            <w:r>
              <w:rPr/>
              <w:t>95</w:t>
            </w:r>
          </w:p>
        </w:tc>
      </w:tr>
      <w:tr>
        <w:trPr/>
        <w:tc>
          <w:tcPr>
            <w:tcW w:w="455" w:type="dxa"/>
            <w:tcBorders/>
            <w:vAlign w:val="center"/>
          </w:tcPr>
          <w:p>
            <w:pPr>
              <w:pStyle w:val="TableContents"/>
              <w:bidi w:val="0"/>
              <w:spacing w:before="0" w:after="283"/>
              <w:jc w:val="left"/>
              <w:rPr/>
            </w:pPr>
            <w:r>
              <w:rPr/>
              <w:t>5.11</w:t>
            </w:r>
          </w:p>
        </w:tc>
        <w:tc>
          <w:tcPr>
            <w:tcW w:w="9355" w:type="dxa"/>
            <w:tcBorders/>
            <w:vAlign w:val="center"/>
          </w:tcPr>
          <w:p>
            <w:pPr>
              <w:pStyle w:val="TableContents"/>
              <w:bidi w:val="0"/>
              <w:spacing w:before="0" w:after="283"/>
              <w:jc w:val="left"/>
              <w:rPr>
                <w:b/>
              </w:rPr>
            </w:pPr>
            <w:r>
              <w:rPr>
                <w:b/>
              </w:rPr>
              <w:t>Taxes</w:t>
            </w:r>
          </w:p>
        </w:tc>
        <w:tc>
          <w:tcPr>
            <w:tcW w:w="395" w:type="dxa"/>
            <w:tcBorders/>
            <w:vAlign w:val="center"/>
          </w:tcPr>
          <w:p>
            <w:pPr>
              <w:pStyle w:val="TableContents"/>
              <w:bidi w:val="0"/>
              <w:spacing w:before="0" w:after="283"/>
              <w:jc w:val="right"/>
              <w:rPr/>
            </w:pPr>
            <w:r>
              <w:rPr/>
              <w:t>96</w:t>
            </w:r>
          </w:p>
        </w:tc>
      </w:tr>
      <w:tr>
        <w:trPr/>
        <w:tc>
          <w:tcPr>
            <w:tcW w:w="455" w:type="dxa"/>
            <w:tcBorders/>
            <w:vAlign w:val="center"/>
          </w:tcPr>
          <w:p>
            <w:pPr>
              <w:pStyle w:val="TableContents"/>
              <w:bidi w:val="0"/>
              <w:spacing w:before="0" w:after="283"/>
              <w:jc w:val="left"/>
              <w:rPr/>
            </w:pPr>
            <w:r>
              <w:rPr/>
              <w:t>5.12</w:t>
            </w:r>
          </w:p>
        </w:tc>
        <w:tc>
          <w:tcPr>
            <w:tcW w:w="9355" w:type="dxa"/>
            <w:tcBorders/>
            <w:vAlign w:val="center"/>
          </w:tcPr>
          <w:p>
            <w:pPr>
              <w:pStyle w:val="TableContents"/>
              <w:bidi w:val="0"/>
              <w:spacing w:before="0" w:after="283"/>
              <w:jc w:val="left"/>
              <w:rPr>
                <w:b/>
              </w:rPr>
            </w:pPr>
            <w:r>
              <w:rPr>
                <w:b/>
              </w:rPr>
              <w:t>ERISA Compliance</w:t>
            </w:r>
          </w:p>
        </w:tc>
        <w:tc>
          <w:tcPr>
            <w:tcW w:w="395" w:type="dxa"/>
            <w:tcBorders/>
            <w:vAlign w:val="center"/>
          </w:tcPr>
          <w:p>
            <w:pPr>
              <w:pStyle w:val="TableContents"/>
              <w:bidi w:val="0"/>
              <w:spacing w:before="0" w:after="283"/>
              <w:jc w:val="right"/>
              <w:rPr/>
            </w:pPr>
            <w:r>
              <w:rPr/>
              <w:t>96</w:t>
            </w:r>
          </w:p>
        </w:tc>
      </w:tr>
      <w:tr>
        <w:trPr/>
        <w:tc>
          <w:tcPr>
            <w:tcW w:w="455" w:type="dxa"/>
            <w:tcBorders/>
            <w:vAlign w:val="center"/>
          </w:tcPr>
          <w:p>
            <w:pPr>
              <w:pStyle w:val="TableContents"/>
              <w:bidi w:val="0"/>
              <w:spacing w:before="0" w:after="283"/>
              <w:jc w:val="left"/>
              <w:rPr/>
            </w:pPr>
            <w:r>
              <w:rPr/>
              <w:t>5.13</w:t>
            </w:r>
          </w:p>
        </w:tc>
        <w:tc>
          <w:tcPr>
            <w:tcW w:w="9355" w:type="dxa"/>
            <w:tcBorders/>
            <w:vAlign w:val="center"/>
          </w:tcPr>
          <w:p>
            <w:pPr>
              <w:pStyle w:val="TableContents"/>
              <w:bidi w:val="0"/>
              <w:spacing w:before="0" w:after="283"/>
              <w:jc w:val="left"/>
              <w:rPr>
                <w:b/>
              </w:rPr>
            </w:pPr>
            <w:r>
              <w:rPr>
                <w:b/>
              </w:rPr>
              <w:t>Margin Regulations; Investment Company Act</w:t>
            </w:r>
          </w:p>
        </w:tc>
        <w:tc>
          <w:tcPr>
            <w:tcW w:w="395" w:type="dxa"/>
            <w:tcBorders/>
            <w:vAlign w:val="center"/>
          </w:tcPr>
          <w:p>
            <w:pPr>
              <w:pStyle w:val="TableContents"/>
              <w:bidi w:val="0"/>
              <w:spacing w:before="0" w:after="283"/>
              <w:jc w:val="right"/>
              <w:rPr/>
            </w:pPr>
            <w:r>
              <w:rPr/>
              <w:t>96</w:t>
            </w:r>
          </w:p>
        </w:tc>
      </w:tr>
      <w:tr>
        <w:trPr/>
        <w:tc>
          <w:tcPr>
            <w:tcW w:w="455" w:type="dxa"/>
            <w:tcBorders/>
            <w:vAlign w:val="center"/>
          </w:tcPr>
          <w:p>
            <w:pPr>
              <w:pStyle w:val="TableContents"/>
              <w:bidi w:val="0"/>
              <w:spacing w:before="0" w:after="283"/>
              <w:jc w:val="left"/>
              <w:rPr/>
            </w:pPr>
            <w:r>
              <w:rPr/>
              <w:t>5.14</w:t>
            </w:r>
          </w:p>
        </w:tc>
        <w:tc>
          <w:tcPr>
            <w:tcW w:w="9355" w:type="dxa"/>
            <w:tcBorders/>
            <w:vAlign w:val="center"/>
          </w:tcPr>
          <w:p>
            <w:pPr>
              <w:pStyle w:val="TableContents"/>
              <w:bidi w:val="0"/>
              <w:spacing w:before="0" w:after="283"/>
              <w:jc w:val="left"/>
              <w:rPr>
                <w:b/>
              </w:rPr>
            </w:pPr>
            <w:r>
              <w:rPr>
                <w:b/>
              </w:rPr>
              <w:t>Disclosure</w:t>
            </w:r>
          </w:p>
        </w:tc>
        <w:tc>
          <w:tcPr>
            <w:tcW w:w="395" w:type="dxa"/>
            <w:tcBorders/>
            <w:vAlign w:val="center"/>
          </w:tcPr>
          <w:p>
            <w:pPr>
              <w:pStyle w:val="TableContents"/>
              <w:bidi w:val="0"/>
              <w:spacing w:before="0" w:after="283"/>
              <w:jc w:val="right"/>
              <w:rPr/>
            </w:pPr>
            <w:r>
              <w:rPr/>
              <w:t>97</w:t>
            </w:r>
          </w:p>
        </w:tc>
      </w:tr>
      <w:tr>
        <w:trPr/>
        <w:tc>
          <w:tcPr>
            <w:tcW w:w="455" w:type="dxa"/>
            <w:tcBorders/>
            <w:vAlign w:val="center"/>
          </w:tcPr>
          <w:p>
            <w:pPr>
              <w:pStyle w:val="TableContents"/>
              <w:bidi w:val="0"/>
              <w:spacing w:before="0" w:after="283"/>
              <w:jc w:val="left"/>
              <w:rPr/>
            </w:pPr>
            <w:r>
              <w:rPr/>
              <w:t>5.15</w:t>
            </w:r>
          </w:p>
        </w:tc>
        <w:tc>
          <w:tcPr>
            <w:tcW w:w="9355" w:type="dxa"/>
            <w:tcBorders/>
            <w:vAlign w:val="center"/>
          </w:tcPr>
          <w:p>
            <w:pPr>
              <w:pStyle w:val="TableContents"/>
              <w:bidi w:val="0"/>
              <w:spacing w:before="0" w:after="283"/>
              <w:jc w:val="left"/>
              <w:rPr>
                <w:b/>
              </w:rPr>
            </w:pPr>
            <w:r>
              <w:rPr>
                <w:b/>
              </w:rPr>
              <w:t>Compliance with Laws, Regulatory Required Permits and Material Contractual Agreements</w:t>
            </w:r>
          </w:p>
        </w:tc>
        <w:tc>
          <w:tcPr>
            <w:tcW w:w="395" w:type="dxa"/>
            <w:tcBorders/>
            <w:vAlign w:val="center"/>
          </w:tcPr>
          <w:p>
            <w:pPr>
              <w:pStyle w:val="TableContents"/>
              <w:bidi w:val="0"/>
              <w:spacing w:before="0" w:after="283"/>
              <w:jc w:val="right"/>
              <w:rPr/>
            </w:pPr>
            <w:r>
              <w:rPr/>
              <w:t>97</w:t>
            </w:r>
          </w:p>
        </w:tc>
      </w:tr>
      <w:tr>
        <w:trPr/>
        <w:tc>
          <w:tcPr>
            <w:tcW w:w="455" w:type="dxa"/>
            <w:tcBorders/>
            <w:vAlign w:val="center"/>
          </w:tcPr>
          <w:p>
            <w:pPr>
              <w:pStyle w:val="TableContents"/>
              <w:bidi w:val="0"/>
              <w:spacing w:before="0" w:after="283"/>
              <w:jc w:val="left"/>
              <w:rPr/>
            </w:pPr>
            <w:r>
              <w:rPr/>
              <w:t>5.16</w:t>
            </w:r>
          </w:p>
        </w:tc>
        <w:tc>
          <w:tcPr>
            <w:tcW w:w="9355" w:type="dxa"/>
            <w:tcBorders/>
            <w:vAlign w:val="center"/>
          </w:tcPr>
          <w:p>
            <w:pPr>
              <w:pStyle w:val="TableContents"/>
              <w:bidi w:val="0"/>
              <w:spacing w:before="0" w:after="283"/>
              <w:jc w:val="left"/>
              <w:rPr>
                <w:b/>
              </w:rPr>
            </w:pPr>
            <w:r>
              <w:rPr>
                <w:b/>
              </w:rPr>
              <w:t>Solvency</w:t>
            </w:r>
          </w:p>
        </w:tc>
        <w:tc>
          <w:tcPr>
            <w:tcW w:w="395" w:type="dxa"/>
            <w:tcBorders/>
            <w:vAlign w:val="center"/>
          </w:tcPr>
          <w:p>
            <w:pPr>
              <w:pStyle w:val="TableContents"/>
              <w:bidi w:val="0"/>
              <w:spacing w:before="0" w:after="283"/>
              <w:jc w:val="right"/>
              <w:rPr/>
            </w:pPr>
            <w:r>
              <w:rPr/>
              <w:t>98</w:t>
            </w:r>
          </w:p>
        </w:tc>
      </w:tr>
      <w:tr>
        <w:trPr/>
        <w:tc>
          <w:tcPr>
            <w:tcW w:w="455" w:type="dxa"/>
            <w:tcBorders/>
            <w:vAlign w:val="center"/>
          </w:tcPr>
          <w:p>
            <w:pPr>
              <w:pStyle w:val="TableContents"/>
              <w:bidi w:val="0"/>
              <w:spacing w:before="0" w:after="283"/>
              <w:jc w:val="left"/>
              <w:rPr/>
            </w:pPr>
            <w:r>
              <w:rPr/>
              <w:t>5.17</w:t>
            </w:r>
          </w:p>
        </w:tc>
        <w:tc>
          <w:tcPr>
            <w:tcW w:w="9355" w:type="dxa"/>
            <w:tcBorders/>
            <w:vAlign w:val="center"/>
          </w:tcPr>
          <w:p>
            <w:pPr>
              <w:pStyle w:val="TableContents"/>
              <w:bidi w:val="0"/>
              <w:spacing w:before="0" w:after="283"/>
              <w:jc w:val="left"/>
              <w:rPr/>
            </w:pPr>
            <w:r>
              <w:rPr>
                <w:b/>
              </w:rPr>
              <w:t>Casualty, Etc</w:t>
            </w:r>
            <w:r>
              <w:rPr/>
              <w:t>.</w:t>
            </w:r>
          </w:p>
        </w:tc>
        <w:tc>
          <w:tcPr>
            <w:tcW w:w="395" w:type="dxa"/>
            <w:tcBorders/>
            <w:vAlign w:val="center"/>
          </w:tcPr>
          <w:p>
            <w:pPr>
              <w:pStyle w:val="TableContents"/>
              <w:bidi w:val="0"/>
              <w:spacing w:before="0" w:after="283"/>
              <w:jc w:val="right"/>
              <w:rPr/>
            </w:pPr>
            <w:r>
              <w:rPr/>
              <w:t>98</w:t>
            </w:r>
          </w:p>
        </w:tc>
      </w:tr>
      <w:tr>
        <w:trPr/>
        <w:tc>
          <w:tcPr>
            <w:tcW w:w="455" w:type="dxa"/>
            <w:tcBorders/>
            <w:vAlign w:val="center"/>
          </w:tcPr>
          <w:p>
            <w:pPr>
              <w:pStyle w:val="TableContents"/>
              <w:bidi w:val="0"/>
              <w:spacing w:before="0" w:after="283"/>
              <w:jc w:val="left"/>
              <w:rPr/>
            </w:pPr>
            <w:r>
              <w:rPr/>
              <w:t>5.18</w:t>
            </w:r>
          </w:p>
        </w:tc>
        <w:tc>
          <w:tcPr>
            <w:tcW w:w="9355" w:type="dxa"/>
            <w:tcBorders/>
            <w:vAlign w:val="center"/>
          </w:tcPr>
          <w:p>
            <w:pPr>
              <w:pStyle w:val="TableContents"/>
              <w:bidi w:val="0"/>
              <w:spacing w:before="0" w:after="283"/>
              <w:jc w:val="left"/>
              <w:rPr>
                <w:b/>
              </w:rPr>
            </w:pPr>
            <w:r>
              <w:rPr>
                <w:b/>
              </w:rPr>
              <w:t>Sanctions Concerns and Anti-Corruption Laws</w:t>
            </w:r>
          </w:p>
        </w:tc>
        <w:tc>
          <w:tcPr>
            <w:tcW w:w="395" w:type="dxa"/>
            <w:tcBorders/>
            <w:vAlign w:val="center"/>
          </w:tcPr>
          <w:p>
            <w:pPr>
              <w:pStyle w:val="TableContents"/>
              <w:bidi w:val="0"/>
              <w:spacing w:before="0" w:after="283"/>
              <w:jc w:val="right"/>
              <w:rPr/>
            </w:pPr>
            <w:r>
              <w:rPr/>
              <w:t>98</w:t>
            </w:r>
          </w:p>
        </w:tc>
      </w:tr>
      <w:tr>
        <w:trPr/>
        <w:tc>
          <w:tcPr>
            <w:tcW w:w="455" w:type="dxa"/>
            <w:tcBorders/>
            <w:vAlign w:val="center"/>
          </w:tcPr>
          <w:p>
            <w:pPr>
              <w:pStyle w:val="TableContents"/>
              <w:bidi w:val="0"/>
              <w:spacing w:before="0" w:after="283"/>
              <w:jc w:val="left"/>
              <w:rPr/>
            </w:pPr>
            <w:r>
              <w:rPr/>
              <w:t>5.19</w:t>
            </w:r>
          </w:p>
        </w:tc>
        <w:tc>
          <w:tcPr>
            <w:tcW w:w="9355" w:type="dxa"/>
            <w:tcBorders/>
            <w:vAlign w:val="center"/>
          </w:tcPr>
          <w:p>
            <w:pPr>
              <w:pStyle w:val="TableContents"/>
              <w:bidi w:val="0"/>
              <w:spacing w:before="0" w:after="283"/>
              <w:jc w:val="left"/>
              <w:rPr>
                <w:b/>
              </w:rPr>
            </w:pPr>
            <w:r>
              <w:rPr>
                <w:b/>
              </w:rPr>
              <w:t>Regulatory Matters</w:t>
            </w:r>
          </w:p>
        </w:tc>
        <w:tc>
          <w:tcPr>
            <w:tcW w:w="395" w:type="dxa"/>
            <w:tcBorders/>
            <w:vAlign w:val="center"/>
          </w:tcPr>
          <w:p>
            <w:pPr>
              <w:pStyle w:val="TableContents"/>
              <w:bidi w:val="0"/>
              <w:spacing w:before="0" w:after="283"/>
              <w:jc w:val="right"/>
              <w:rPr/>
            </w:pPr>
            <w:r>
              <w:rPr/>
              <w:t>98</w:t>
            </w:r>
          </w:p>
        </w:tc>
      </w:tr>
      <w:tr>
        <w:trPr/>
        <w:tc>
          <w:tcPr>
            <w:tcW w:w="455" w:type="dxa"/>
            <w:tcBorders/>
            <w:vAlign w:val="center"/>
          </w:tcPr>
          <w:p>
            <w:pPr>
              <w:pStyle w:val="TableContents"/>
              <w:bidi w:val="0"/>
              <w:spacing w:before="0" w:after="283"/>
              <w:jc w:val="left"/>
              <w:rPr/>
            </w:pPr>
            <w:r>
              <w:rPr/>
              <w:t>5.20</w:t>
            </w:r>
          </w:p>
        </w:tc>
        <w:tc>
          <w:tcPr>
            <w:tcW w:w="9355" w:type="dxa"/>
            <w:tcBorders/>
            <w:vAlign w:val="center"/>
          </w:tcPr>
          <w:p>
            <w:pPr>
              <w:pStyle w:val="TableContents"/>
              <w:bidi w:val="0"/>
              <w:spacing w:before="0" w:after="283"/>
              <w:jc w:val="left"/>
              <w:rPr>
                <w:b/>
              </w:rPr>
            </w:pPr>
            <w:r>
              <w:rPr>
                <w:b/>
              </w:rPr>
              <w:t>Subsidiaries; Equity Interests; Loan Parties</w:t>
            </w:r>
          </w:p>
        </w:tc>
        <w:tc>
          <w:tcPr>
            <w:tcW w:w="395" w:type="dxa"/>
            <w:tcBorders/>
            <w:vAlign w:val="center"/>
          </w:tcPr>
          <w:p>
            <w:pPr>
              <w:pStyle w:val="TableContents"/>
              <w:bidi w:val="0"/>
              <w:spacing w:before="0" w:after="283"/>
              <w:jc w:val="right"/>
              <w:rPr/>
            </w:pPr>
            <w:r>
              <w:rPr/>
              <w:t>99</w:t>
            </w:r>
          </w:p>
        </w:tc>
      </w:tr>
      <w:tr>
        <w:trPr/>
        <w:tc>
          <w:tcPr>
            <w:tcW w:w="455" w:type="dxa"/>
            <w:tcBorders/>
            <w:vAlign w:val="center"/>
          </w:tcPr>
          <w:p>
            <w:pPr>
              <w:pStyle w:val="TableContents"/>
              <w:bidi w:val="0"/>
              <w:spacing w:before="0" w:after="283"/>
              <w:jc w:val="left"/>
              <w:rPr/>
            </w:pPr>
            <w:r>
              <w:rPr/>
              <w:t>5.21</w:t>
            </w:r>
          </w:p>
        </w:tc>
        <w:tc>
          <w:tcPr>
            <w:tcW w:w="9355" w:type="dxa"/>
            <w:tcBorders/>
            <w:vAlign w:val="center"/>
          </w:tcPr>
          <w:p>
            <w:pPr>
              <w:pStyle w:val="TableContents"/>
              <w:bidi w:val="0"/>
              <w:spacing w:before="0" w:after="283"/>
              <w:jc w:val="left"/>
              <w:rPr>
                <w:b/>
              </w:rPr>
            </w:pPr>
            <w:r>
              <w:rPr>
                <w:b/>
              </w:rPr>
              <w:t>Collateral Representations</w:t>
            </w:r>
          </w:p>
        </w:tc>
        <w:tc>
          <w:tcPr>
            <w:tcW w:w="395" w:type="dxa"/>
            <w:tcBorders/>
            <w:vAlign w:val="center"/>
          </w:tcPr>
          <w:p>
            <w:pPr>
              <w:pStyle w:val="TableContents"/>
              <w:bidi w:val="0"/>
              <w:spacing w:before="0" w:after="283"/>
              <w:jc w:val="right"/>
              <w:rPr/>
            </w:pPr>
            <w:r>
              <w:rPr/>
              <w:t>99</w:t>
            </w:r>
          </w:p>
        </w:tc>
      </w:tr>
      <w:tr>
        <w:trPr/>
        <w:tc>
          <w:tcPr>
            <w:tcW w:w="455" w:type="dxa"/>
            <w:tcBorders/>
            <w:vAlign w:val="center"/>
          </w:tcPr>
          <w:p>
            <w:pPr>
              <w:pStyle w:val="TableContents"/>
              <w:bidi w:val="0"/>
              <w:spacing w:before="0" w:after="283"/>
              <w:jc w:val="left"/>
              <w:rPr/>
            </w:pPr>
            <w:r>
              <w:rPr/>
              <w:t>5.22</w:t>
            </w:r>
          </w:p>
        </w:tc>
        <w:tc>
          <w:tcPr>
            <w:tcW w:w="9355" w:type="dxa"/>
            <w:tcBorders/>
            <w:vAlign w:val="center"/>
          </w:tcPr>
          <w:p>
            <w:pPr>
              <w:pStyle w:val="TableContents"/>
              <w:bidi w:val="0"/>
              <w:spacing w:before="0" w:after="283"/>
              <w:jc w:val="left"/>
              <w:rPr>
                <w:b/>
              </w:rPr>
            </w:pPr>
            <w:r>
              <w:rPr>
                <w:b/>
              </w:rPr>
              <w:t>Affected Financial Institutions</w:t>
            </w:r>
          </w:p>
        </w:tc>
        <w:tc>
          <w:tcPr>
            <w:tcW w:w="395" w:type="dxa"/>
            <w:tcBorders/>
            <w:vAlign w:val="center"/>
          </w:tcPr>
          <w:p>
            <w:pPr>
              <w:pStyle w:val="TableContents"/>
              <w:bidi w:val="0"/>
              <w:spacing w:before="0" w:after="283"/>
              <w:jc w:val="right"/>
              <w:rPr/>
            </w:pPr>
            <w:r>
              <w:rPr/>
              <w:t>100</w:t>
            </w:r>
          </w:p>
        </w:tc>
      </w:tr>
      <w:tr>
        <w:trPr/>
        <w:tc>
          <w:tcPr>
            <w:tcW w:w="455" w:type="dxa"/>
            <w:tcBorders/>
            <w:vAlign w:val="center"/>
          </w:tcPr>
          <w:p>
            <w:pPr>
              <w:pStyle w:val="TableContents"/>
              <w:bidi w:val="0"/>
              <w:spacing w:before="0" w:after="283"/>
              <w:jc w:val="left"/>
              <w:rPr/>
            </w:pPr>
            <w:r>
              <w:rPr/>
              <w:t>5.23</w:t>
            </w:r>
          </w:p>
        </w:tc>
        <w:tc>
          <w:tcPr>
            <w:tcW w:w="9355" w:type="dxa"/>
            <w:tcBorders/>
            <w:vAlign w:val="center"/>
          </w:tcPr>
          <w:p>
            <w:pPr>
              <w:pStyle w:val="TableContents"/>
              <w:bidi w:val="0"/>
              <w:spacing w:before="0" w:after="283"/>
              <w:jc w:val="left"/>
              <w:rPr>
                <w:b/>
              </w:rPr>
            </w:pPr>
            <w:r>
              <w:rPr>
                <w:b/>
              </w:rPr>
              <w:t>Covered Entities</w:t>
            </w:r>
          </w:p>
        </w:tc>
        <w:tc>
          <w:tcPr>
            <w:tcW w:w="395" w:type="dxa"/>
            <w:tcBorders/>
            <w:vAlign w:val="center"/>
          </w:tcPr>
          <w:p>
            <w:pPr>
              <w:pStyle w:val="TableContents"/>
              <w:bidi w:val="0"/>
              <w:spacing w:before="0" w:after="283"/>
              <w:jc w:val="right"/>
              <w:rPr/>
            </w:pPr>
            <w:r>
              <w:rPr/>
              <w:t>101</w:t>
            </w:r>
          </w:p>
        </w:tc>
      </w:tr>
      <w:tr>
        <w:trPr/>
        <w:tc>
          <w:tcPr>
            <w:tcW w:w="455" w:type="dxa"/>
            <w:tcBorders/>
            <w:vAlign w:val="center"/>
          </w:tcPr>
          <w:p>
            <w:pPr>
              <w:pStyle w:val="TableContents"/>
              <w:bidi w:val="0"/>
              <w:spacing w:before="0" w:after="283"/>
              <w:jc w:val="left"/>
              <w:rPr/>
            </w:pPr>
            <w:r>
              <w:rPr/>
              <w:t>5.24</w:t>
            </w:r>
          </w:p>
        </w:tc>
        <w:tc>
          <w:tcPr>
            <w:tcW w:w="9355" w:type="dxa"/>
            <w:tcBorders/>
            <w:vAlign w:val="center"/>
          </w:tcPr>
          <w:p>
            <w:pPr>
              <w:pStyle w:val="TableContents"/>
              <w:bidi w:val="0"/>
              <w:spacing w:before="0" w:after="283"/>
              <w:jc w:val="left"/>
              <w:rPr>
                <w:b/>
              </w:rPr>
            </w:pPr>
            <w:r>
              <w:rPr>
                <w:b/>
              </w:rPr>
              <w:t>Beneficial Ownership Certification</w:t>
            </w:r>
          </w:p>
        </w:tc>
        <w:tc>
          <w:tcPr>
            <w:tcW w:w="395" w:type="dxa"/>
            <w:tcBorders/>
            <w:vAlign w:val="center"/>
          </w:tcPr>
          <w:p>
            <w:pPr>
              <w:pStyle w:val="TableContents"/>
              <w:bidi w:val="0"/>
              <w:spacing w:before="0" w:after="283"/>
              <w:jc w:val="right"/>
              <w:rPr/>
            </w:pPr>
            <w:r>
              <w:rPr/>
              <w:t>101</w:t>
            </w:r>
          </w:p>
        </w:tc>
      </w:tr>
      <w:tr>
        <w:trPr/>
        <w:tc>
          <w:tcPr>
            <w:tcW w:w="455" w:type="dxa"/>
            <w:tcBorders/>
            <w:vAlign w:val="center"/>
          </w:tcPr>
          <w:p>
            <w:pPr>
              <w:pStyle w:val="TableContents"/>
              <w:bidi w:val="0"/>
              <w:spacing w:before="0" w:after="283"/>
              <w:jc w:val="left"/>
              <w:rPr/>
            </w:pPr>
            <w:r>
              <w:rPr/>
              <w:t>5.25</w:t>
            </w:r>
          </w:p>
        </w:tc>
        <w:tc>
          <w:tcPr>
            <w:tcW w:w="9355" w:type="dxa"/>
            <w:tcBorders/>
            <w:vAlign w:val="center"/>
          </w:tcPr>
          <w:p>
            <w:pPr>
              <w:pStyle w:val="TableContents"/>
              <w:bidi w:val="0"/>
              <w:spacing w:before="0" w:after="283"/>
              <w:jc w:val="left"/>
              <w:rPr/>
            </w:pPr>
            <w:r>
              <w:rPr>
                <w:b/>
              </w:rPr>
              <w:t>Intellectual Property; Licenses; Etc</w:t>
            </w:r>
            <w:r>
              <w:rPr/>
              <w:t>.</w:t>
            </w:r>
          </w:p>
        </w:tc>
        <w:tc>
          <w:tcPr>
            <w:tcW w:w="395" w:type="dxa"/>
            <w:tcBorders/>
            <w:vAlign w:val="center"/>
          </w:tcPr>
          <w:p>
            <w:pPr>
              <w:pStyle w:val="TableContents"/>
              <w:bidi w:val="0"/>
              <w:spacing w:before="0" w:after="283"/>
              <w:jc w:val="right"/>
              <w:rPr/>
            </w:pPr>
            <w:r>
              <w:rPr/>
              <w:t>101</w:t>
            </w:r>
          </w:p>
        </w:tc>
      </w:tr>
      <w:tr>
        <w:trPr/>
        <w:tc>
          <w:tcPr>
            <w:tcW w:w="455" w:type="dxa"/>
            <w:tcBorders/>
            <w:vAlign w:val="center"/>
          </w:tcPr>
          <w:p>
            <w:pPr>
              <w:pStyle w:val="TableContents"/>
              <w:bidi w:val="0"/>
              <w:spacing w:before="0" w:after="283"/>
              <w:jc w:val="left"/>
              <w:rPr/>
            </w:pPr>
            <w:r>
              <w:rPr/>
              <w:t>5.26</w:t>
            </w:r>
          </w:p>
        </w:tc>
        <w:tc>
          <w:tcPr>
            <w:tcW w:w="9355" w:type="dxa"/>
            <w:tcBorders/>
            <w:vAlign w:val="center"/>
          </w:tcPr>
          <w:p>
            <w:pPr>
              <w:pStyle w:val="TableContents"/>
              <w:bidi w:val="0"/>
              <w:spacing w:before="0" w:after="283"/>
              <w:jc w:val="left"/>
              <w:rPr>
                <w:b/>
              </w:rPr>
            </w:pPr>
            <w:r>
              <w:rPr>
                <w:b/>
              </w:rPr>
              <w:t>Labor Matters</w:t>
            </w:r>
          </w:p>
        </w:tc>
        <w:tc>
          <w:tcPr>
            <w:tcW w:w="395" w:type="dxa"/>
            <w:tcBorders/>
            <w:vAlign w:val="center"/>
          </w:tcPr>
          <w:p>
            <w:pPr>
              <w:pStyle w:val="TableContents"/>
              <w:bidi w:val="0"/>
              <w:spacing w:before="0" w:after="283"/>
              <w:jc w:val="right"/>
              <w:rPr/>
            </w:pPr>
            <w:r>
              <w:rPr/>
              <w:t>101</w:t>
            </w:r>
          </w:p>
        </w:tc>
      </w:tr>
      <w:tr>
        <w:trPr/>
        <w:tc>
          <w:tcPr>
            <w:tcW w:w="455" w:type="dxa"/>
            <w:tcBorders/>
            <w:vAlign w:val="center"/>
          </w:tcPr>
          <w:p>
            <w:pPr>
              <w:pStyle w:val="TableContents"/>
              <w:bidi w:val="0"/>
              <w:spacing w:before="0" w:after="283"/>
              <w:jc w:val="left"/>
              <w:rPr/>
            </w:pPr>
            <w:r>
              <w:rPr/>
              <w:t>5.27</w:t>
            </w:r>
          </w:p>
        </w:tc>
        <w:tc>
          <w:tcPr>
            <w:tcW w:w="9355" w:type="dxa"/>
            <w:tcBorders/>
            <w:vAlign w:val="center"/>
          </w:tcPr>
          <w:p>
            <w:pPr>
              <w:pStyle w:val="TableContents"/>
              <w:bidi w:val="0"/>
              <w:spacing w:before="0" w:after="283"/>
              <w:jc w:val="left"/>
              <w:rPr>
                <w:b/>
              </w:rPr>
            </w:pPr>
            <w:r>
              <w:rPr>
                <w:b/>
              </w:rPr>
              <w:t>Designation as Senior Indebtedness</w:t>
            </w:r>
          </w:p>
        </w:tc>
        <w:tc>
          <w:tcPr>
            <w:tcW w:w="395" w:type="dxa"/>
            <w:tcBorders/>
            <w:vAlign w:val="center"/>
          </w:tcPr>
          <w:p>
            <w:pPr>
              <w:pStyle w:val="TableContents"/>
              <w:bidi w:val="0"/>
              <w:spacing w:before="0" w:after="283"/>
              <w:jc w:val="right"/>
              <w:rPr/>
            </w:pPr>
            <w:r>
              <w:rPr/>
              <w:t>101</w:t>
            </w:r>
          </w:p>
        </w:tc>
      </w:tr>
      <w:tr>
        <w:trPr/>
        <w:tc>
          <w:tcPr>
            <w:tcW w:w="455" w:type="dxa"/>
            <w:tcBorders/>
            <w:vAlign w:val="center"/>
          </w:tcPr>
          <w:p>
            <w:pPr>
              <w:pStyle w:val="TableContents"/>
              <w:bidi w:val="0"/>
              <w:spacing w:before="0" w:after="283"/>
              <w:jc w:val="left"/>
              <w:rPr/>
            </w:pPr>
            <w:r>
              <w:rPr/>
              <w:t>5.28</w:t>
            </w:r>
          </w:p>
        </w:tc>
        <w:tc>
          <w:tcPr>
            <w:tcW w:w="9355" w:type="dxa"/>
            <w:tcBorders/>
            <w:vAlign w:val="center"/>
          </w:tcPr>
          <w:p>
            <w:pPr>
              <w:pStyle w:val="TableContents"/>
              <w:bidi w:val="0"/>
              <w:spacing w:before="0" w:after="283"/>
              <w:jc w:val="left"/>
              <w:rPr>
                <w:b/>
              </w:rPr>
            </w:pPr>
            <w:r>
              <w:rPr>
                <w:b/>
              </w:rPr>
              <w:t>Material Agreements</w:t>
            </w:r>
          </w:p>
        </w:tc>
        <w:tc>
          <w:tcPr>
            <w:tcW w:w="395" w:type="dxa"/>
            <w:tcBorders/>
            <w:vAlign w:val="center"/>
          </w:tcPr>
          <w:p>
            <w:pPr>
              <w:pStyle w:val="TableContents"/>
              <w:bidi w:val="0"/>
              <w:spacing w:before="0" w:after="283"/>
              <w:jc w:val="right"/>
              <w:rPr/>
            </w:pPr>
            <w:r>
              <w:rPr/>
              <w:t>101</w:t>
            </w:r>
          </w:p>
        </w:tc>
      </w:tr>
      <w:tr>
        <w:trPr/>
        <w:tc>
          <w:tcPr>
            <w:tcW w:w="455" w:type="dxa"/>
            <w:tcBorders/>
            <w:vAlign w:val="center"/>
          </w:tcPr>
          <w:p>
            <w:pPr>
              <w:pStyle w:val="TableContents"/>
              <w:bidi w:val="0"/>
              <w:spacing w:before="0" w:after="283"/>
              <w:jc w:val="left"/>
              <w:rPr/>
            </w:pPr>
            <w:r>
              <w:rPr/>
              <w:t>5.29</w:t>
            </w:r>
          </w:p>
        </w:tc>
        <w:tc>
          <w:tcPr>
            <w:tcW w:w="9355" w:type="dxa"/>
            <w:tcBorders/>
            <w:vAlign w:val="center"/>
          </w:tcPr>
          <w:p>
            <w:pPr>
              <w:pStyle w:val="TableContents"/>
              <w:bidi w:val="0"/>
              <w:spacing w:before="0" w:after="283"/>
              <w:jc w:val="left"/>
              <w:rPr>
                <w:b/>
              </w:rPr>
            </w:pPr>
            <w:r>
              <w:rPr>
                <w:b/>
              </w:rPr>
              <w:t>Outbound Investment Rule</w:t>
            </w:r>
          </w:p>
        </w:tc>
        <w:tc>
          <w:tcPr>
            <w:tcW w:w="395" w:type="dxa"/>
            <w:tcBorders/>
            <w:vAlign w:val="center"/>
          </w:tcPr>
          <w:p>
            <w:pPr>
              <w:pStyle w:val="TableContents"/>
              <w:bidi w:val="0"/>
              <w:spacing w:before="0" w:after="283"/>
              <w:jc w:val="right"/>
              <w:rPr/>
            </w:pPr>
            <w:r>
              <w:rPr/>
              <w:t>102</w:t>
            </w:r>
          </w:p>
        </w:tc>
      </w:tr>
      <w:tr>
        <w:trPr/>
        <w:tc>
          <w:tcPr>
            <w:tcW w:w="455" w:type="dxa"/>
            <w:tcBorders/>
            <w:vAlign w:val="center"/>
          </w:tcPr>
          <w:p>
            <w:pPr>
              <w:pStyle w:val="TableContents"/>
              <w:bidi w:val="0"/>
              <w:spacing w:before="0" w:after="283"/>
              <w:jc w:val="left"/>
              <w:rPr/>
            </w:pPr>
            <w:r>
              <w:rPr/>
              <w:t>5.30</w:t>
            </w:r>
          </w:p>
        </w:tc>
        <w:tc>
          <w:tcPr>
            <w:tcW w:w="9355" w:type="dxa"/>
            <w:tcBorders/>
            <w:vAlign w:val="center"/>
          </w:tcPr>
          <w:p>
            <w:pPr>
              <w:pStyle w:val="TableContents"/>
              <w:bidi w:val="0"/>
              <w:spacing w:before="0" w:after="283"/>
              <w:jc w:val="left"/>
              <w:rPr>
                <w:b/>
              </w:rPr>
            </w:pPr>
            <w:r>
              <w:rPr>
                <w:b/>
              </w:rPr>
              <w:t>Data Privacy and Cybersecurity</w:t>
            </w:r>
          </w:p>
        </w:tc>
        <w:tc>
          <w:tcPr>
            <w:tcW w:w="395" w:type="dxa"/>
            <w:tcBorders/>
            <w:vAlign w:val="center"/>
          </w:tcPr>
          <w:p>
            <w:pPr>
              <w:pStyle w:val="TableContents"/>
              <w:bidi w:val="0"/>
              <w:spacing w:before="0" w:after="283"/>
              <w:jc w:val="right"/>
              <w:rPr/>
            </w:pPr>
            <w:r>
              <w:rPr/>
              <w:t>102</w:t>
            </w:r>
          </w:p>
        </w:tc>
      </w:tr>
      <w:tr>
        <w:trPr/>
        <w:tc>
          <w:tcPr>
            <w:tcW w:w="455" w:type="dxa"/>
            <w:tcBorders/>
            <w:vAlign w:val="center"/>
          </w:tcPr>
          <w:p>
            <w:pPr>
              <w:pStyle w:val="TableContents"/>
              <w:bidi w:val="0"/>
              <w:spacing w:before="0" w:after="283"/>
              <w:jc w:val="left"/>
              <w:rPr/>
            </w:pPr>
            <w:r>
              <w:rPr/>
              <w:t>5.31</w:t>
            </w:r>
          </w:p>
        </w:tc>
        <w:tc>
          <w:tcPr>
            <w:tcW w:w="9355" w:type="dxa"/>
            <w:tcBorders/>
            <w:vAlign w:val="center"/>
          </w:tcPr>
          <w:p>
            <w:pPr>
              <w:pStyle w:val="TableContents"/>
              <w:bidi w:val="0"/>
              <w:spacing w:before="0" w:after="283"/>
              <w:jc w:val="left"/>
              <w:rPr>
                <w:b/>
              </w:rPr>
            </w:pPr>
            <w:r>
              <w:rPr>
                <w:b/>
              </w:rPr>
              <w:t>Benefits Administration and ERISA</w:t>
            </w:r>
          </w:p>
        </w:tc>
        <w:tc>
          <w:tcPr>
            <w:tcW w:w="395" w:type="dxa"/>
            <w:tcBorders/>
            <w:vAlign w:val="center"/>
          </w:tcPr>
          <w:p>
            <w:pPr>
              <w:pStyle w:val="TableContents"/>
              <w:bidi w:val="0"/>
              <w:spacing w:before="0" w:after="283"/>
              <w:ind w:left="0" w:right="0" w:hanging="720"/>
              <w:jc w:val="right"/>
              <w:rPr/>
            </w:pPr>
            <w:r>
              <w:rPr/>
              <w:t>102</w:t>
            </w:r>
          </w:p>
        </w:tc>
      </w:tr>
      <w:tr>
        <w:trPr/>
        <w:tc>
          <w:tcPr>
            <w:tcW w:w="9810" w:type="dxa"/>
            <w:gridSpan w:val="2"/>
            <w:tcBorders/>
            <w:vAlign w:val="center"/>
          </w:tcPr>
          <w:p>
            <w:pPr>
              <w:pStyle w:val="TableContents"/>
              <w:bidi w:val="0"/>
              <w:spacing w:before="0" w:after="283"/>
              <w:jc w:val="left"/>
              <w:rPr/>
            </w:pPr>
            <w:r>
              <w:rPr/>
              <w:t>Article VI AFFIRMATIVE COVENANTS</w:t>
            </w:r>
          </w:p>
        </w:tc>
        <w:tc>
          <w:tcPr>
            <w:tcW w:w="395" w:type="dxa"/>
            <w:tcBorders/>
            <w:vAlign w:val="center"/>
          </w:tcPr>
          <w:p>
            <w:pPr>
              <w:pStyle w:val="TableContents"/>
              <w:bidi w:val="0"/>
              <w:spacing w:before="0" w:after="283"/>
              <w:jc w:val="right"/>
              <w:rPr/>
            </w:pPr>
            <w:r>
              <w:rPr/>
              <w:t>103</w:t>
            </w:r>
          </w:p>
        </w:tc>
      </w:tr>
      <w:tr>
        <w:trPr/>
        <w:tc>
          <w:tcPr>
            <w:tcW w:w="455" w:type="dxa"/>
            <w:tcBorders/>
            <w:vAlign w:val="center"/>
          </w:tcPr>
          <w:p>
            <w:pPr>
              <w:pStyle w:val="TableContents"/>
              <w:bidi w:val="0"/>
              <w:spacing w:before="0" w:after="283"/>
              <w:jc w:val="left"/>
              <w:rPr/>
            </w:pPr>
            <w:r>
              <w:rPr/>
              <w:t>6.01</w:t>
            </w:r>
          </w:p>
        </w:tc>
        <w:tc>
          <w:tcPr>
            <w:tcW w:w="9355" w:type="dxa"/>
            <w:tcBorders/>
            <w:vAlign w:val="center"/>
          </w:tcPr>
          <w:p>
            <w:pPr>
              <w:pStyle w:val="TableContents"/>
              <w:bidi w:val="0"/>
              <w:spacing w:before="0" w:after="283"/>
              <w:jc w:val="left"/>
              <w:rPr>
                <w:b/>
              </w:rPr>
            </w:pPr>
            <w:r>
              <w:rPr>
                <w:b/>
              </w:rPr>
              <w:t>Financial Statements</w:t>
            </w:r>
          </w:p>
        </w:tc>
        <w:tc>
          <w:tcPr>
            <w:tcW w:w="395" w:type="dxa"/>
            <w:tcBorders/>
            <w:vAlign w:val="center"/>
          </w:tcPr>
          <w:p>
            <w:pPr>
              <w:pStyle w:val="TableContents"/>
              <w:bidi w:val="0"/>
              <w:spacing w:before="0" w:after="283"/>
              <w:jc w:val="right"/>
              <w:rPr/>
            </w:pPr>
            <w:r>
              <w:rPr/>
              <w:t>103</w:t>
            </w:r>
          </w:p>
        </w:tc>
      </w:tr>
      <w:tr>
        <w:trPr/>
        <w:tc>
          <w:tcPr>
            <w:tcW w:w="455" w:type="dxa"/>
            <w:tcBorders/>
            <w:vAlign w:val="center"/>
          </w:tcPr>
          <w:p>
            <w:pPr>
              <w:pStyle w:val="TableContents"/>
              <w:bidi w:val="0"/>
              <w:spacing w:before="0" w:after="283"/>
              <w:jc w:val="left"/>
              <w:rPr/>
            </w:pPr>
            <w:r>
              <w:rPr/>
              <w:t>6.02</w:t>
            </w:r>
          </w:p>
        </w:tc>
        <w:tc>
          <w:tcPr>
            <w:tcW w:w="9355" w:type="dxa"/>
            <w:tcBorders/>
            <w:vAlign w:val="center"/>
          </w:tcPr>
          <w:p>
            <w:pPr>
              <w:pStyle w:val="TableContents"/>
              <w:bidi w:val="0"/>
              <w:spacing w:before="0" w:after="283"/>
              <w:jc w:val="left"/>
              <w:rPr>
                <w:b/>
              </w:rPr>
            </w:pPr>
            <w:r>
              <w:rPr>
                <w:b/>
              </w:rPr>
              <w:t>Certificates; Other Information</w:t>
            </w:r>
          </w:p>
        </w:tc>
        <w:tc>
          <w:tcPr>
            <w:tcW w:w="395" w:type="dxa"/>
            <w:tcBorders/>
            <w:vAlign w:val="center"/>
          </w:tcPr>
          <w:p>
            <w:pPr>
              <w:pStyle w:val="TableContents"/>
              <w:bidi w:val="0"/>
              <w:spacing w:before="0" w:after="283"/>
              <w:jc w:val="right"/>
              <w:rPr/>
            </w:pPr>
            <w:r>
              <w:rPr/>
              <w:t>104</w:t>
            </w:r>
          </w:p>
        </w:tc>
      </w:tr>
      <w:tr>
        <w:trPr/>
        <w:tc>
          <w:tcPr>
            <w:tcW w:w="455" w:type="dxa"/>
            <w:tcBorders/>
            <w:vAlign w:val="center"/>
          </w:tcPr>
          <w:p>
            <w:pPr>
              <w:pStyle w:val="TableContents"/>
              <w:bidi w:val="0"/>
              <w:spacing w:before="0" w:after="283"/>
              <w:jc w:val="left"/>
              <w:rPr/>
            </w:pPr>
            <w:r>
              <w:rPr/>
              <w:t>6.03</w:t>
            </w:r>
          </w:p>
        </w:tc>
        <w:tc>
          <w:tcPr>
            <w:tcW w:w="9355" w:type="dxa"/>
            <w:tcBorders/>
            <w:vAlign w:val="center"/>
          </w:tcPr>
          <w:p>
            <w:pPr>
              <w:pStyle w:val="TableContents"/>
              <w:bidi w:val="0"/>
              <w:spacing w:before="0" w:after="283"/>
              <w:jc w:val="left"/>
              <w:rPr>
                <w:b/>
              </w:rPr>
            </w:pPr>
            <w:r>
              <w:rPr>
                <w:b/>
              </w:rPr>
              <w:t>Notices</w:t>
            </w:r>
          </w:p>
        </w:tc>
        <w:tc>
          <w:tcPr>
            <w:tcW w:w="395" w:type="dxa"/>
            <w:tcBorders/>
            <w:vAlign w:val="center"/>
          </w:tcPr>
          <w:p>
            <w:pPr>
              <w:pStyle w:val="TableContents"/>
              <w:bidi w:val="0"/>
              <w:spacing w:before="0" w:after="283"/>
              <w:jc w:val="right"/>
              <w:rPr/>
            </w:pPr>
            <w:r>
              <w:rPr/>
              <w:t>107</w:t>
            </w:r>
          </w:p>
        </w:tc>
      </w:tr>
      <w:tr>
        <w:trPr/>
        <w:tc>
          <w:tcPr>
            <w:tcW w:w="455" w:type="dxa"/>
            <w:tcBorders/>
            <w:vAlign w:val="center"/>
          </w:tcPr>
          <w:p>
            <w:pPr>
              <w:pStyle w:val="TableContents"/>
              <w:bidi w:val="0"/>
              <w:spacing w:before="0" w:after="283"/>
              <w:jc w:val="left"/>
              <w:rPr/>
            </w:pPr>
            <w:r>
              <w:rPr/>
              <w:t>6.04</w:t>
            </w:r>
          </w:p>
        </w:tc>
        <w:tc>
          <w:tcPr>
            <w:tcW w:w="9355" w:type="dxa"/>
            <w:tcBorders/>
            <w:vAlign w:val="center"/>
          </w:tcPr>
          <w:p>
            <w:pPr>
              <w:pStyle w:val="TableContents"/>
              <w:bidi w:val="0"/>
              <w:spacing w:before="0" w:after="283"/>
              <w:jc w:val="left"/>
              <w:rPr>
                <w:b/>
              </w:rPr>
            </w:pPr>
            <w:r>
              <w:rPr>
                <w:b/>
              </w:rPr>
              <w:t>Payment of Obligations</w:t>
            </w:r>
          </w:p>
        </w:tc>
        <w:tc>
          <w:tcPr>
            <w:tcW w:w="395" w:type="dxa"/>
            <w:tcBorders/>
            <w:vAlign w:val="center"/>
          </w:tcPr>
          <w:p>
            <w:pPr>
              <w:pStyle w:val="TableContents"/>
              <w:bidi w:val="0"/>
              <w:spacing w:before="0" w:after="283"/>
              <w:jc w:val="right"/>
              <w:rPr/>
            </w:pPr>
            <w:r>
              <w:rPr/>
              <w:t>108</w:t>
            </w:r>
          </w:p>
        </w:tc>
      </w:tr>
      <w:tr>
        <w:trPr/>
        <w:tc>
          <w:tcPr>
            <w:tcW w:w="455" w:type="dxa"/>
            <w:tcBorders/>
            <w:vAlign w:val="center"/>
          </w:tcPr>
          <w:p>
            <w:pPr>
              <w:pStyle w:val="TableContents"/>
              <w:bidi w:val="0"/>
              <w:spacing w:before="0" w:after="283"/>
              <w:jc w:val="left"/>
              <w:rPr/>
            </w:pPr>
            <w:r>
              <w:rPr/>
              <w:t>6.05</w:t>
            </w:r>
          </w:p>
        </w:tc>
        <w:tc>
          <w:tcPr>
            <w:tcW w:w="9355" w:type="dxa"/>
            <w:tcBorders/>
            <w:vAlign w:val="center"/>
          </w:tcPr>
          <w:p>
            <w:pPr>
              <w:pStyle w:val="TableContents"/>
              <w:bidi w:val="0"/>
              <w:spacing w:before="0" w:after="283"/>
              <w:jc w:val="left"/>
              <w:rPr/>
            </w:pPr>
            <w:r>
              <w:rPr>
                <w:b/>
              </w:rPr>
              <w:t>Preservation of Existence, Etc</w:t>
            </w:r>
            <w:r>
              <w:rPr/>
              <w:t>.</w:t>
            </w:r>
          </w:p>
        </w:tc>
        <w:tc>
          <w:tcPr>
            <w:tcW w:w="395" w:type="dxa"/>
            <w:tcBorders/>
            <w:vAlign w:val="center"/>
          </w:tcPr>
          <w:p>
            <w:pPr>
              <w:pStyle w:val="TableContents"/>
              <w:bidi w:val="0"/>
              <w:spacing w:before="0" w:after="283"/>
              <w:jc w:val="right"/>
              <w:rPr/>
            </w:pPr>
            <w:r>
              <w:rPr/>
              <w:t>108</w:t>
            </w:r>
          </w:p>
        </w:tc>
      </w:tr>
      <w:tr>
        <w:trPr/>
        <w:tc>
          <w:tcPr>
            <w:tcW w:w="455" w:type="dxa"/>
            <w:tcBorders/>
            <w:vAlign w:val="center"/>
          </w:tcPr>
          <w:p>
            <w:pPr>
              <w:pStyle w:val="TableContents"/>
              <w:bidi w:val="0"/>
              <w:spacing w:before="0" w:after="283"/>
              <w:jc w:val="left"/>
              <w:rPr/>
            </w:pPr>
            <w:r>
              <w:rPr/>
              <w:t>6.06</w:t>
            </w:r>
          </w:p>
        </w:tc>
        <w:tc>
          <w:tcPr>
            <w:tcW w:w="9355" w:type="dxa"/>
            <w:tcBorders/>
            <w:vAlign w:val="center"/>
          </w:tcPr>
          <w:p>
            <w:pPr>
              <w:pStyle w:val="TableContents"/>
              <w:bidi w:val="0"/>
              <w:spacing w:before="0" w:after="283"/>
              <w:jc w:val="left"/>
              <w:rPr>
                <w:b/>
              </w:rPr>
            </w:pPr>
            <w:r>
              <w:rPr>
                <w:b/>
              </w:rPr>
              <w:t>Maintenance of Properties</w:t>
            </w:r>
          </w:p>
        </w:tc>
        <w:tc>
          <w:tcPr>
            <w:tcW w:w="395" w:type="dxa"/>
            <w:tcBorders/>
            <w:vAlign w:val="center"/>
          </w:tcPr>
          <w:p>
            <w:pPr>
              <w:pStyle w:val="TableContents"/>
              <w:bidi w:val="0"/>
              <w:spacing w:before="0" w:after="283"/>
              <w:jc w:val="right"/>
              <w:rPr/>
            </w:pPr>
            <w:r>
              <w:rPr/>
              <w:t>108</w:t>
            </w:r>
          </w:p>
        </w:tc>
      </w:tr>
      <w:tr>
        <w:trPr/>
        <w:tc>
          <w:tcPr>
            <w:tcW w:w="455" w:type="dxa"/>
            <w:tcBorders/>
            <w:vAlign w:val="center"/>
          </w:tcPr>
          <w:p>
            <w:pPr>
              <w:pStyle w:val="TableContents"/>
              <w:bidi w:val="0"/>
              <w:spacing w:before="0" w:after="283"/>
              <w:jc w:val="left"/>
              <w:rPr/>
            </w:pPr>
            <w:r>
              <w:rPr/>
              <w:t>6.07</w:t>
            </w:r>
          </w:p>
        </w:tc>
        <w:tc>
          <w:tcPr>
            <w:tcW w:w="9355" w:type="dxa"/>
            <w:tcBorders/>
            <w:vAlign w:val="center"/>
          </w:tcPr>
          <w:p>
            <w:pPr>
              <w:pStyle w:val="TableContents"/>
              <w:bidi w:val="0"/>
              <w:spacing w:before="0" w:after="283"/>
              <w:jc w:val="left"/>
              <w:rPr>
                <w:b/>
              </w:rPr>
            </w:pPr>
            <w:r>
              <w:rPr>
                <w:b/>
              </w:rPr>
              <w:t>Maintenance of Insurance</w:t>
            </w:r>
          </w:p>
        </w:tc>
        <w:tc>
          <w:tcPr>
            <w:tcW w:w="395" w:type="dxa"/>
            <w:tcBorders/>
            <w:vAlign w:val="center"/>
          </w:tcPr>
          <w:p>
            <w:pPr>
              <w:pStyle w:val="TableContents"/>
              <w:bidi w:val="0"/>
              <w:spacing w:before="0" w:after="283"/>
              <w:jc w:val="right"/>
              <w:rPr/>
            </w:pPr>
            <w:r>
              <w:rPr/>
              <w:t>109</w:t>
            </w:r>
          </w:p>
        </w:tc>
      </w:tr>
      <w:tr>
        <w:trPr/>
        <w:tc>
          <w:tcPr>
            <w:tcW w:w="455" w:type="dxa"/>
            <w:tcBorders/>
            <w:vAlign w:val="center"/>
          </w:tcPr>
          <w:p>
            <w:pPr>
              <w:pStyle w:val="TableContents"/>
              <w:bidi w:val="0"/>
              <w:spacing w:before="0" w:after="283"/>
              <w:jc w:val="left"/>
              <w:rPr/>
            </w:pPr>
            <w:r>
              <w:rPr/>
              <w:t>6.08</w:t>
            </w:r>
          </w:p>
        </w:tc>
        <w:tc>
          <w:tcPr>
            <w:tcW w:w="9355" w:type="dxa"/>
            <w:tcBorders/>
            <w:vAlign w:val="center"/>
          </w:tcPr>
          <w:p>
            <w:pPr>
              <w:pStyle w:val="TableContents"/>
              <w:bidi w:val="0"/>
              <w:spacing w:before="0" w:after="283"/>
              <w:jc w:val="left"/>
              <w:rPr>
                <w:b/>
              </w:rPr>
            </w:pPr>
            <w:r>
              <w:rPr>
                <w:b/>
              </w:rPr>
              <w:t>Compliance with Laws</w:t>
            </w:r>
          </w:p>
        </w:tc>
        <w:tc>
          <w:tcPr>
            <w:tcW w:w="395" w:type="dxa"/>
            <w:tcBorders/>
            <w:vAlign w:val="center"/>
          </w:tcPr>
          <w:p>
            <w:pPr>
              <w:pStyle w:val="TableContents"/>
              <w:bidi w:val="0"/>
              <w:spacing w:before="0" w:after="283"/>
              <w:jc w:val="right"/>
              <w:rPr/>
            </w:pPr>
            <w:r>
              <w:rPr/>
              <w:t>110</w:t>
            </w:r>
          </w:p>
        </w:tc>
      </w:tr>
      <w:tr>
        <w:trPr/>
        <w:tc>
          <w:tcPr>
            <w:tcW w:w="455" w:type="dxa"/>
            <w:tcBorders/>
            <w:vAlign w:val="center"/>
          </w:tcPr>
          <w:p>
            <w:pPr>
              <w:pStyle w:val="TableContents"/>
              <w:bidi w:val="0"/>
              <w:spacing w:before="0" w:after="283"/>
              <w:jc w:val="left"/>
              <w:rPr/>
            </w:pPr>
            <w:r>
              <w:rPr/>
              <w:t>6.09</w:t>
            </w:r>
          </w:p>
        </w:tc>
        <w:tc>
          <w:tcPr>
            <w:tcW w:w="9355" w:type="dxa"/>
            <w:tcBorders/>
            <w:vAlign w:val="center"/>
          </w:tcPr>
          <w:p>
            <w:pPr>
              <w:pStyle w:val="TableContents"/>
              <w:bidi w:val="0"/>
              <w:spacing w:before="0" w:after="283"/>
              <w:jc w:val="left"/>
              <w:rPr>
                <w:b/>
              </w:rPr>
            </w:pPr>
            <w:r>
              <w:rPr>
                <w:b/>
              </w:rPr>
              <w:t>Books and Records</w:t>
            </w:r>
          </w:p>
        </w:tc>
        <w:tc>
          <w:tcPr>
            <w:tcW w:w="395" w:type="dxa"/>
            <w:tcBorders/>
            <w:vAlign w:val="center"/>
          </w:tcPr>
          <w:p>
            <w:pPr>
              <w:pStyle w:val="TableContents"/>
              <w:bidi w:val="0"/>
              <w:spacing w:before="0" w:after="283"/>
              <w:jc w:val="right"/>
              <w:rPr/>
            </w:pPr>
            <w:r>
              <w:rPr/>
              <w:t>110</w:t>
            </w:r>
          </w:p>
        </w:tc>
      </w:tr>
      <w:tr>
        <w:trPr/>
        <w:tc>
          <w:tcPr>
            <w:tcW w:w="455" w:type="dxa"/>
            <w:tcBorders/>
            <w:vAlign w:val="center"/>
          </w:tcPr>
          <w:p>
            <w:pPr>
              <w:pStyle w:val="TableContents"/>
              <w:bidi w:val="0"/>
              <w:spacing w:before="0" w:after="283"/>
              <w:jc w:val="left"/>
              <w:rPr/>
            </w:pPr>
            <w:r>
              <w:rPr/>
              <w:t>6.10</w:t>
            </w:r>
          </w:p>
        </w:tc>
        <w:tc>
          <w:tcPr>
            <w:tcW w:w="9355" w:type="dxa"/>
            <w:tcBorders/>
            <w:vAlign w:val="center"/>
          </w:tcPr>
          <w:p>
            <w:pPr>
              <w:pStyle w:val="TableContents"/>
              <w:bidi w:val="0"/>
              <w:spacing w:before="0" w:after="283"/>
              <w:jc w:val="left"/>
              <w:rPr>
                <w:b/>
              </w:rPr>
            </w:pPr>
            <w:r>
              <w:rPr>
                <w:b/>
              </w:rPr>
              <w:t>Inspection Rights</w:t>
            </w:r>
          </w:p>
        </w:tc>
        <w:tc>
          <w:tcPr>
            <w:tcW w:w="395" w:type="dxa"/>
            <w:tcBorders/>
            <w:vAlign w:val="center"/>
          </w:tcPr>
          <w:p>
            <w:pPr>
              <w:pStyle w:val="TableContents"/>
              <w:bidi w:val="0"/>
              <w:spacing w:before="0" w:after="283"/>
              <w:jc w:val="right"/>
              <w:rPr/>
            </w:pPr>
            <w:r>
              <w:rPr/>
              <w:t>110</w:t>
            </w:r>
          </w:p>
        </w:tc>
      </w:tr>
      <w:tr>
        <w:trPr/>
        <w:tc>
          <w:tcPr>
            <w:tcW w:w="455" w:type="dxa"/>
            <w:tcBorders/>
            <w:vAlign w:val="center"/>
          </w:tcPr>
          <w:p>
            <w:pPr>
              <w:pStyle w:val="TableContents"/>
              <w:bidi w:val="0"/>
              <w:spacing w:before="0" w:after="283"/>
              <w:jc w:val="left"/>
              <w:rPr/>
            </w:pPr>
            <w:r>
              <w:rPr/>
              <w:t>6.11</w:t>
            </w:r>
          </w:p>
        </w:tc>
        <w:tc>
          <w:tcPr>
            <w:tcW w:w="9355" w:type="dxa"/>
            <w:tcBorders/>
            <w:vAlign w:val="center"/>
          </w:tcPr>
          <w:p>
            <w:pPr>
              <w:pStyle w:val="TableContents"/>
              <w:bidi w:val="0"/>
              <w:spacing w:before="0" w:after="283"/>
              <w:jc w:val="left"/>
              <w:rPr>
                <w:b/>
              </w:rPr>
            </w:pPr>
            <w:r>
              <w:rPr>
                <w:b/>
              </w:rPr>
              <w:t>Use of Proceeds</w:t>
            </w:r>
          </w:p>
        </w:tc>
        <w:tc>
          <w:tcPr>
            <w:tcW w:w="395" w:type="dxa"/>
            <w:tcBorders/>
            <w:vAlign w:val="center"/>
          </w:tcPr>
          <w:p>
            <w:pPr>
              <w:pStyle w:val="TableContents"/>
              <w:bidi w:val="0"/>
              <w:spacing w:before="0" w:after="283"/>
              <w:jc w:val="right"/>
              <w:rPr/>
            </w:pPr>
            <w:r>
              <w:rPr/>
              <w:t>111</w:t>
            </w:r>
          </w:p>
        </w:tc>
      </w:tr>
      <w:tr>
        <w:trPr/>
        <w:tc>
          <w:tcPr>
            <w:tcW w:w="455" w:type="dxa"/>
            <w:tcBorders/>
            <w:vAlign w:val="center"/>
          </w:tcPr>
          <w:p>
            <w:pPr>
              <w:pStyle w:val="TableContents"/>
              <w:bidi w:val="0"/>
              <w:spacing w:before="0" w:after="283"/>
              <w:jc w:val="left"/>
              <w:rPr/>
            </w:pPr>
            <w:r>
              <w:rPr/>
              <w:t>6.12</w:t>
            </w:r>
          </w:p>
        </w:tc>
        <w:tc>
          <w:tcPr>
            <w:tcW w:w="9355" w:type="dxa"/>
            <w:tcBorders/>
            <w:vAlign w:val="center"/>
          </w:tcPr>
          <w:p>
            <w:pPr>
              <w:pStyle w:val="TableContents"/>
              <w:bidi w:val="0"/>
              <w:spacing w:before="0" w:after="283"/>
              <w:jc w:val="left"/>
              <w:rPr>
                <w:b/>
              </w:rPr>
            </w:pPr>
            <w:r>
              <w:rPr>
                <w:b/>
              </w:rPr>
              <w:t>Covenant to Guarantee Obligations</w:t>
            </w:r>
          </w:p>
        </w:tc>
        <w:tc>
          <w:tcPr>
            <w:tcW w:w="395" w:type="dxa"/>
            <w:tcBorders/>
            <w:vAlign w:val="center"/>
          </w:tcPr>
          <w:p>
            <w:pPr>
              <w:pStyle w:val="TableContents"/>
              <w:bidi w:val="0"/>
              <w:spacing w:before="0" w:after="283"/>
              <w:jc w:val="right"/>
              <w:rPr/>
            </w:pPr>
            <w:r>
              <w:rPr/>
              <w:t>111</w:t>
            </w:r>
          </w:p>
        </w:tc>
      </w:tr>
      <w:tr>
        <w:trPr/>
        <w:tc>
          <w:tcPr>
            <w:tcW w:w="455" w:type="dxa"/>
            <w:tcBorders/>
            <w:vAlign w:val="center"/>
          </w:tcPr>
          <w:p>
            <w:pPr>
              <w:pStyle w:val="TableContents"/>
              <w:bidi w:val="0"/>
              <w:spacing w:before="0" w:after="283"/>
              <w:jc w:val="left"/>
              <w:rPr/>
            </w:pPr>
            <w:r>
              <w:rPr/>
              <w:t>6.13</w:t>
            </w:r>
          </w:p>
        </w:tc>
        <w:tc>
          <w:tcPr>
            <w:tcW w:w="9355" w:type="dxa"/>
            <w:tcBorders/>
            <w:vAlign w:val="center"/>
          </w:tcPr>
          <w:p>
            <w:pPr>
              <w:pStyle w:val="TableContents"/>
              <w:bidi w:val="0"/>
              <w:spacing w:before="0" w:after="283"/>
              <w:jc w:val="left"/>
              <w:rPr>
                <w:b/>
              </w:rPr>
            </w:pPr>
            <w:r>
              <w:rPr>
                <w:b/>
              </w:rPr>
              <w:t>Covenant to Give Security</w:t>
            </w:r>
          </w:p>
        </w:tc>
        <w:tc>
          <w:tcPr>
            <w:tcW w:w="395" w:type="dxa"/>
            <w:tcBorders/>
            <w:vAlign w:val="center"/>
          </w:tcPr>
          <w:p>
            <w:pPr>
              <w:pStyle w:val="TableContents"/>
              <w:bidi w:val="0"/>
              <w:spacing w:before="0" w:after="283"/>
              <w:jc w:val="right"/>
              <w:rPr/>
            </w:pPr>
            <w:r>
              <w:rPr/>
              <w:t>111</w:t>
            </w:r>
          </w:p>
        </w:tc>
      </w:tr>
      <w:tr>
        <w:trPr/>
        <w:tc>
          <w:tcPr>
            <w:tcW w:w="455" w:type="dxa"/>
            <w:tcBorders/>
            <w:vAlign w:val="center"/>
          </w:tcPr>
          <w:p>
            <w:pPr>
              <w:pStyle w:val="TableContents"/>
              <w:bidi w:val="0"/>
              <w:spacing w:before="0" w:after="283"/>
              <w:jc w:val="left"/>
              <w:rPr/>
            </w:pPr>
            <w:r>
              <w:rPr/>
              <w:t>6.14</w:t>
            </w:r>
          </w:p>
        </w:tc>
        <w:tc>
          <w:tcPr>
            <w:tcW w:w="9355" w:type="dxa"/>
            <w:tcBorders/>
            <w:vAlign w:val="center"/>
          </w:tcPr>
          <w:p>
            <w:pPr>
              <w:pStyle w:val="TableContents"/>
              <w:bidi w:val="0"/>
              <w:spacing w:before="0" w:after="283"/>
              <w:jc w:val="left"/>
              <w:rPr>
                <w:b/>
              </w:rPr>
            </w:pPr>
            <w:r>
              <w:rPr>
                <w:b/>
              </w:rPr>
              <w:t>Anti-Corruption Laws; Sanctions</w:t>
            </w:r>
          </w:p>
        </w:tc>
        <w:tc>
          <w:tcPr>
            <w:tcW w:w="395" w:type="dxa"/>
            <w:tcBorders/>
            <w:vAlign w:val="center"/>
          </w:tcPr>
          <w:p>
            <w:pPr>
              <w:pStyle w:val="TableContents"/>
              <w:bidi w:val="0"/>
              <w:spacing w:before="0" w:after="283"/>
              <w:jc w:val="right"/>
              <w:rPr/>
            </w:pPr>
            <w:r>
              <w:rPr/>
              <w:t>112</w:t>
            </w:r>
          </w:p>
        </w:tc>
      </w:tr>
      <w:tr>
        <w:trPr/>
        <w:tc>
          <w:tcPr>
            <w:tcW w:w="455" w:type="dxa"/>
            <w:tcBorders/>
            <w:vAlign w:val="center"/>
          </w:tcPr>
          <w:p>
            <w:pPr>
              <w:pStyle w:val="TableContents"/>
              <w:bidi w:val="0"/>
              <w:spacing w:before="0" w:after="283"/>
              <w:jc w:val="left"/>
              <w:rPr/>
            </w:pPr>
            <w:r>
              <w:rPr/>
              <w:t>6.15</w:t>
            </w:r>
          </w:p>
        </w:tc>
        <w:tc>
          <w:tcPr>
            <w:tcW w:w="9355" w:type="dxa"/>
            <w:tcBorders/>
            <w:vAlign w:val="center"/>
          </w:tcPr>
          <w:p>
            <w:pPr>
              <w:pStyle w:val="TableContents"/>
              <w:bidi w:val="0"/>
              <w:spacing w:before="0" w:after="283"/>
              <w:jc w:val="left"/>
              <w:rPr>
                <w:b/>
              </w:rPr>
            </w:pPr>
            <w:r>
              <w:rPr>
                <w:b/>
              </w:rPr>
              <w:t>Cash Management</w:t>
            </w:r>
          </w:p>
        </w:tc>
        <w:tc>
          <w:tcPr>
            <w:tcW w:w="395" w:type="dxa"/>
            <w:tcBorders/>
            <w:vAlign w:val="center"/>
          </w:tcPr>
          <w:p>
            <w:pPr>
              <w:pStyle w:val="TableContents"/>
              <w:bidi w:val="0"/>
              <w:spacing w:before="0" w:after="283"/>
              <w:jc w:val="right"/>
              <w:rPr/>
            </w:pPr>
            <w:r>
              <w:rPr/>
              <w:t>112</w:t>
            </w:r>
          </w:p>
        </w:tc>
      </w:tr>
      <w:tr>
        <w:trPr/>
        <w:tc>
          <w:tcPr>
            <w:tcW w:w="455" w:type="dxa"/>
            <w:tcBorders/>
            <w:vAlign w:val="center"/>
          </w:tcPr>
          <w:p>
            <w:pPr>
              <w:pStyle w:val="TableContents"/>
              <w:bidi w:val="0"/>
              <w:spacing w:before="0" w:after="283"/>
              <w:jc w:val="left"/>
              <w:rPr/>
            </w:pPr>
            <w:r>
              <w:rPr/>
              <w:t>6.16</w:t>
            </w:r>
          </w:p>
        </w:tc>
        <w:tc>
          <w:tcPr>
            <w:tcW w:w="9355" w:type="dxa"/>
            <w:tcBorders/>
            <w:vAlign w:val="center"/>
          </w:tcPr>
          <w:p>
            <w:pPr>
              <w:pStyle w:val="TableContents"/>
              <w:bidi w:val="0"/>
              <w:spacing w:before="0" w:after="283"/>
              <w:jc w:val="left"/>
              <w:rPr>
                <w:b/>
              </w:rPr>
            </w:pPr>
            <w:r>
              <w:rPr>
                <w:b/>
              </w:rPr>
              <w:t>Further Assurances</w:t>
            </w:r>
          </w:p>
        </w:tc>
        <w:tc>
          <w:tcPr>
            <w:tcW w:w="395" w:type="dxa"/>
            <w:tcBorders/>
            <w:vAlign w:val="center"/>
          </w:tcPr>
          <w:p>
            <w:pPr>
              <w:pStyle w:val="TableContents"/>
              <w:bidi w:val="0"/>
              <w:spacing w:before="0" w:after="283"/>
              <w:jc w:val="right"/>
              <w:rPr/>
            </w:pPr>
            <w:r>
              <w:rPr/>
              <w:t>112</w:t>
            </w:r>
          </w:p>
        </w:tc>
      </w:tr>
      <w:tr>
        <w:trPr/>
        <w:tc>
          <w:tcPr>
            <w:tcW w:w="455" w:type="dxa"/>
            <w:tcBorders/>
            <w:vAlign w:val="center"/>
          </w:tcPr>
          <w:p>
            <w:pPr>
              <w:pStyle w:val="TableContents"/>
              <w:bidi w:val="0"/>
              <w:spacing w:before="0" w:after="283"/>
              <w:jc w:val="left"/>
              <w:rPr/>
            </w:pPr>
            <w:r>
              <w:rPr/>
              <w:t>6.17</w:t>
            </w:r>
          </w:p>
        </w:tc>
        <w:tc>
          <w:tcPr>
            <w:tcW w:w="9355" w:type="dxa"/>
            <w:tcBorders/>
            <w:vAlign w:val="center"/>
          </w:tcPr>
          <w:p>
            <w:pPr>
              <w:pStyle w:val="TableContents"/>
              <w:bidi w:val="0"/>
              <w:spacing w:before="0" w:after="283"/>
              <w:jc w:val="left"/>
              <w:rPr>
                <w:b/>
              </w:rPr>
            </w:pPr>
            <w:r>
              <w:rPr>
                <w:b/>
              </w:rPr>
              <w:t>Post-Closing Matters</w:t>
            </w:r>
          </w:p>
        </w:tc>
        <w:tc>
          <w:tcPr>
            <w:tcW w:w="395" w:type="dxa"/>
            <w:tcBorders/>
            <w:vAlign w:val="center"/>
          </w:tcPr>
          <w:p>
            <w:pPr>
              <w:pStyle w:val="TableContents"/>
              <w:bidi w:val="0"/>
              <w:spacing w:before="0" w:after="283"/>
              <w:jc w:val="right"/>
              <w:rPr/>
            </w:pPr>
            <w:r>
              <w:rPr/>
              <w:t>113</w:t>
            </w:r>
          </w:p>
        </w:tc>
      </w:tr>
      <w:tr>
        <w:trPr/>
        <w:tc>
          <w:tcPr>
            <w:tcW w:w="455" w:type="dxa"/>
            <w:tcBorders/>
            <w:vAlign w:val="center"/>
          </w:tcPr>
          <w:p>
            <w:pPr>
              <w:pStyle w:val="TableContents"/>
              <w:bidi w:val="0"/>
              <w:spacing w:before="0" w:after="283"/>
              <w:jc w:val="left"/>
              <w:rPr/>
            </w:pPr>
            <w:r>
              <w:rPr/>
              <w:t>6.18</w:t>
            </w:r>
          </w:p>
        </w:tc>
        <w:tc>
          <w:tcPr>
            <w:tcW w:w="9355" w:type="dxa"/>
            <w:tcBorders/>
            <w:vAlign w:val="center"/>
          </w:tcPr>
          <w:p>
            <w:pPr>
              <w:pStyle w:val="TableContents"/>
              <w:bidi w:val="0"/>
              <w:spacing w:before="0" w:after="283"/>
              <w:jc w:val="left"/>
              <w:rPr>
                <w:b/>
              </w:rPr>
            </w:pPr>
            <w:r>
              <w:rPr>
                <w:b/>
              </w:rPr>
              <w:t>Compliance with Environmental Laws; Preparation of Environmental Reports</w:t>
            </w:r>
          </w:p>
        </w:tc>
        <w:tc>
          <w:tcPr>
            <w:tcW w:w="395" w:type="dxa"/>
            <w:tcBorders/>
            <w:vAlign w:val="center"/>
          </w:tcPr>
          <w:p>
            <w:pPr>
              <w:pStyle w:val="TableContents"/>
              <w:bidi w:val="0"/>
              <w:spacing w:before="0" w:after="283"/>
              <w:jc w:val="right"/>
              <w:rPr/>
            </w:pPr>
            <w:r>
              <w:rPr/>
              <w:t>113</w:t>
            </w:r>
          </w:p>
        </w:tc>
      </w:tr>
      <w:tr>
        <w:trPr/>
        <w:tc>
          <w:tcPr>
            <w:tcW w:w="455" w:type="dxa"/>
            <w:tcBorders/>
            <w:vAlign w:val="center"/>
          </w:tcPr>
          <w:p>
            <w:pPr>
              <w:pStyle w:val="TableContents"/>
              <w:bidi w:val="0"/>
              <w:spacing w:before="0" w:after="283"/>
              <w:jc w:val="left"/>
              <w:rPr/>
            </w:pPr>
            <w:r>
              <w:rPr/>
              <w:t>6.19</w:t>
            </w:r>
          </w:p>
        </w:tc>
        <w:tc>
          <w:tcPr>
            <w:tcW w:w="9355" w:type="dxa"/>
            <w:tcBorders/>
            <w:vAlign w:val="center"/>
          </w:tcPr>
          <w:p>
            <w:pPr>
              <w:pStyle w:val="TableContents"/>
              <w:bidi w:val="0"/>
              <w:spacing w:before="0" w:after="283"/>
              <w:jc w:val="left"/>
              <w:rPr>
                <w:b/>
              </w:rPr>
            </w:pPr>
            <w:r>
              <w:rPr>
                <w:b/>
              </w:rPr>
              <w:t>Approvals and Authorizations</w:t>
            </w:r>
          </w:p>
        </w:tc>
        <w:tc>
          <w:tcPr>
            <w:tcW w:w="395" w:type="dxa"/>
            <w:tcBorders/>
            <w:vAlign w:val="center"/>
          </w:tcPr>
          <w:p>
            <w:pPr>
              <w:pStyle w:val="TableContents"/>
              <w:bidi w:val="0"/>
              <w:spacing w:before="0" w:after="283"/>
              <w:jc w:val="right"/>
              <w:rPr/>
            </w:pPr>
            <w:r>
              <w:rPr/>
              <w:t>113</w:t>
            </w:r>
          </w:p>
        </w:tc>
      </w:tr>
      <w:tr>
        <w:trPr/>
        <w:tc>
          <w:tcPr>
            <w:tcW w:w="455" w:type="dxa"/>
            <w:tcBorders/>
            <w:vAlign w:val="center"/>
          </w:tcPr>
          <w:p>
            <w:pPr>
              <w:pStyle w:val="TableContents"/>
              <w:bidi w:val="0"/>
              <w:spacing w:before="0" w:after="283"/>
              <w:jc w:val="left"/>
              <w:rPr/>
            </w:pPr>
            <w:r>
              <w:rPr/>
              <w:t>6.20</w:t>
            </w:r>
          </w:p>
        </w:tc>
        <w:tc>
          <w:tcPr>
            <w:tcW w:w="9355" w:type="dxa"/>
            <w:tcBorders/>
            <w:vAlign w:val="center"/>
          </w:tcPr>
          <w:p>
            <w:pPr>
              <w:pStyle w:val="TableContents"/>
              <w:bidi w:val="0"/>
              <w:spacing w:before="0" w:after="283"/>
              <w:jc w:val="left"/>
              <w:rPr>
                <w:b/>
              </w:rPr>
            </w:pPr>
            <w:r>
              <w:rPr>
                <w:b/>
              </w:rPr>
              <w:t>Pari Passu Ranking</w:t>
            </w:r>
          </w:p>
        </w:tc>
        <w:tc>
          <w:tcPr>
            <w:tcW w:w="395" w:type="dxa"/>
            <w:tcBorders/>
            <w:vAlign w:val="center"/>
          </w:tcPr>
          <w:p>
            <w:pPr>
              <w:pStyle w:val="TableContents"/>
              <w:bidi w:val="0"/>
              <w:spacing w:before="0" w:after="283"/>
              <w:jc w:val="right"/>
              <w:rPr/>
            </w:pPr>
            <w:r>
              <w:rPr/>
              <w:t>113</w:t>
            </w:r>
          </w:p>
        </w:tc>
      </w:tr>
      <w:tr>
        <w:trPr/>
        <w:tc>
          <w:tcPr>
            <w:tcW w:w="455" w:type="dxa"/>
            <w:tcBorders/>
            <w:vAlign w:val="center"/>
          </w:tcPr>
          <w:p>
            <w:pPr>
              <w:pStyle w:val="TableContents"/>
              <w:bidi w:val="0"/>
              <w:spacing w:before="0" w:after="283"/>
              <w:jc w:val="left"/>
              <w:rPr/>
            </w:pPr>
            <w:r>
              <w:rPr/>
              <w:t>6.21</w:t>
            </w:r>
          </w:p>
        </w:tc>
        <w:tc>
          <w:tcPr>
            <w:tcW w:w="9355" w:type="dxa"/>
            <w:tcBorders/>
            <w:vAlign w:val="center"/>
          </w:tcPr>
          <w:p>
            <w:pPr>
              <w:pStyle w:val="TableContents"/>
              <w:bidi w:val="0"/>
              <w:spacing w:before="0" w:after="283"/>
              <w:jc w:val="left"/>
              <w:rPr>
                <w:b/>
              </w:rPr>
            </w:pPr>
            <w:r>
              <w:rPr>
                <w:b/>
              </w:rPr>
              <w:t>Material Agreements</w:t>
            </w:r>
          </w:p>
        </w:tc>
        <w:tc>
          <w:tcPr>
            <w:tcW w:w="395" w:type="dxa"/>
            <w:tcBorders/>
            <w:vAlign w:val="center"/>
          </w:tcPr>
          <w:p>
            <w:pPr>
              <w:pStyle w:val="TableContents"/>
              <w:bidi w:val="0"/>
              <w:spacing w:before="0" w:after="283"/>
              <w:jc w:val="right"/>
              <w:rPr/>
            </w:pPr>
            <w:r>
              <w:rPr/>
              <w:t>113</w:t>
            </w:r>
          </w:p>
        </w:tc>
      </w:tr>
      <w:tr>
        <w:trPr/>
        <w:tc>
          <w:tcPr>
            <w:tcW w:w="455" w:type="dxa"/>
            <w:tcBorders/>
            <w:vAlign w:val="center"/>
          </w:tcPr>
          <w:p>
            <w:pPr>
              <w:pStyle w:val="TableContents"/>
              <w:bidi w:val="0"/>
              <w:spacing w:before="0" w:after="283"/>
              <w:jc w:val="left"/>
              <w:rPr/>
            </w:pPr>
            <w:r>
              <w:rPr/>
              <w:t>6.22</w:t>
            </w:r>
          </w:p>
        </w:tc>
        <w:tc>
          <w:tcPr>
            <w:tcW w:w="9355" w:type="dxa"/>
            <w:tcBorders/>
            <w:vAlign w:val="center"/>
          </w:tcPr>
          <w:p>
            <w:pPr>
              <w:pStyle w:val="TableContents"/>
              <w:bidi w:val="0"/>
              <w:spacing w:before="0" w:after="283"/>
              <w:jc w:val="left"/>
              <w:rPr>
                <w:b/>
              </w:rPr>
            </w:pPr>
            <w:r>
              <w:rPr>
                <w:b/>
              </w:rPr>
              <w:t>Regulatory Matters</w:t>
            </w:r>
          </w:p>
        </w:tc>
        <w:tc>
          <w:tcPr>
            <w:tcW w:w="395" w:type="dxa"/>
            <w:tcBorders/>
            <w:vAlign w:val="center"/>
          </w:tcPr>
          <w:p>
            <w:pPr>
              <w:pStyle w:val="TableContents"/>
              <w:bidi w:val="0"/>
              <w:spacing w:before="0" w:after="283"/>
              <w:jc w:val="right"/>
              <w:rPr/>
            </w:pPr>
            <w:r>
              <w:rPr/>
              <w:t>113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75"/>
        <w:gridCol w:w="9235"/>
        <w:gridCol w:w="395"/>
      </w:tblGrid>
      <w:tr>
        <w:trPr/>
        <w:tc>
          <w:tcPr>
            <w:tcW w:w="575" w:type="dxa"/>
            <w:tcBorders/>
            <w:vAlign w:val="center"/>
          </w:tcPr>
          <w:p>
            <w:pPr>
              <w:pStyle w:val="TableContents"/>
              <w:bidi w:val="0"/>
              <w:spacing w:before="0" w:after="283"/>
              <w:jc w:val="left"/>
              <w:rPr/>
            </w:pPr>
            <w:r>
              <w:rPr/>
              <w:t>6.23</w:t>
            </w:r>
          </w:p>
        </w:tc>
        <w:tc>
          <w:tcPr>
            <w:tcW w:w="9235" w:type="dxa"/>
            <w:tcBorders/>
            <w:vAlign w:val="center"/>
          </w:tcPr>
          <w:p>
            <w:pPr>
              <w:pStyle w:val="TableContents"/>
              <w:bidi w:val="0"/>
              <w:spacing w:before="0" w:after="283"/>
              <w:jc w:val="left"/>
              <w:rPr>
                <w:b/>
              </w:rPr>
            </w:pPr>
            <w:r>
              <w:rPr>
                <w:b/>
              </w:rPr>
              <w:t>Data Privacy and Cybersecurity</w:t>
            </w:r>
          </w:p>
        </w:tc>
        <w:tc>
          <w:tcPr>
            <w:tcW w:w="395" w:type="dxa"/>
            <w:tcBorders/>
            <w:vAlign w:val="center"/>
          </w:tcPr>
          <w:p>
            <w:pPr>
              <w:pStyle w:val="TableContents"/>
              <w:bidi w:val="0"/>
              <w:spacing w:before="0" w:after="283"/>
              <w:jc w:val="right"/>
              <w:rPr/>
            </w:pPr>
            <w:r>
              <w:rPr/>
              <w:t>114</w:t>
            </w:r>
          </w:p>
        </w:tc>
      </w:tr>
      <w:tr>
        <w:trPr/>
        <w:tc>
          <w:tcPr>
            <w:tcW w:w="575" w:type="dxa"/>
            <w:tcBorders/>
            <w:vAlign w:val="center"/>
          </w:tcPr>
          <w:p>
            <w:pPr>
              <w:pStyle w:val="TableContents"/>
              <w:bidi w:val="0"/>
              <w:spacing w:before="0" w:after="283"/>
              <w:jc w:val="left"/>
              <w:rPr/>
            </w:pPr>
            <w:r>
              <w:rPr/>
              <w:t>6.24</w:t>
            </w:r>
          </w:p>
        </w:tc>
        <w:tc>
          <w:tcPr>
            <w:tcW w:w="9235" w:type="dxa"/>
            <w:tcBorders/>
            <w:vAlign w:val="center"/>
          </w:tcPr>
          <w:p>
            <w:pPr>
              <w:pStyle w:val="TableContents"/>
              <w:bidi w:val="0"/>
              <w:spacing w:before="0" w:after="283"/>
              <w:jc w:val="left"/>
              <w:rPr>
                <w:b/>
              </w:rPr>
            </w:pPr>
            <w:r>
              <w:rPr>
                <w:b/>
              </w:rPr>
              <w:t>Benefits Administration</w:t>
            </w:r>
          </w:p>
        </w:tc>
        <w:tc>
          <w:tcPr>
            <w:tcW w:w="395" w:type="dxa"/>
            <w:tcBorders/>
            <w:vAlign w:val="center"/>
          </w:tcPr>
          <w:p>
            <w:pPr>
              <w:pStyle w:val="TableContents"/>
              <w:bidi w:val="0"/>
              <w:spacing w:before="0" w:after="283"/>
              <w:ind w:left="0" w:right="0" w:hanging="720"/>
              <w:jc w:val="right"/>
              <w:rPr/>
            </w:pPr>
            <w:r>
              <w:rPr/>
              <w:t>114</w:t>
            </w:r>
          </w:p>
        </w:tc>
      </w:tr>
      <w:tr>
        <w:trPr/>
        <w:tc>
          <w:tcPr>
            <w:tcW w:w="9810" w:type="dxa"/>
            <w:gridSpan w:val="2"/>
            <w:tcBorders/>
            <w:vAlign w:val="center"/>
          </w:tcPr>
          <w:p>
            <w:pPr>
              <w:pStyle w:val="TableContents"/>
              <w:bidi w:val="0"/>
              <w:spacing w:before="0" w:after="283"/>
              <w:jc w:val="left"/>
              <w:rPr/>
            </w:pPr>
            <w:r>
              <w:rPr/>
              <w:t>Article VII NEGATIVE COVENANTS</w:t>
            </w:r>
          </w:p>
        </w:tc>
        <w:tc>
          <w:tcPr>
            <w:tcW w:w="395" w:type="dxa"/>
            <w:tcBorders/>
            <w:vAlign w:val="center"/>
          </w:tcPr>
          <w:p>
            <w:pPr>
              <w:pStyle w:val="TableContents"/>
              <w:bidi w:val="0"/>
              <w:spacing w:before="0" w:after="283"/>
              <w:jc w:val="right"/>
              <w:rPr/>
            </w:pPr>
            <w:r>
              <w:rPr/>
              <w:t>114</w:t>
            </w:r>
          </w:p>
        </w:tc>
      </w:tr>
      <w:tr>
        <w:trPr/>
        <w:tc>
          <w:tcPr>
            <w:tcW w:w="575" w:type="dxa"/>
            <w:tcBorders/>
            <w:vAlign w:val="center"/>
          </w:tcPr>
          <w:p>
            <w:pPr>
              <w:pStyle w:val="TableContents"/>
              <w:bidi w:val="0"/>
              <w:spacing w:before="0" w:after="283"/>
              <w:jc w:val="left"/>
              <w:rPr/>
            </w:pPr>
            <w:r>
              <w:rPr/>
              <w:t>7.01</w:t>
            </w:r>
          </w:p>
        </w:tc>
        <w:tc>
          <w:tcPr>
            <w:tcW w:w="9235" w:type="dxa"/>
            <w:tcBorders/>
            <w:vAlign w:val="center"/>
          </w:tcPr>
          <w:p>
            <w:pPr>
              <w:pStyle w:val="TableContents"/>
              <w:bidi w:val="0"/>
              <w:spacing w:before="0" w:after="283"/>
              <w:jc w:val="left"/>
              <w:rPr>
                <w:b/>
              </w:rPr>
            </w:pPr>
            <w:r>
              <w:rPr>
                <w:b/>
              </w:rPr>
              <w:t>Liens</w:t>
            </w:r>
          </w:p>
        </w:tc>
        <w:tc>
          <w:tcPr>
            <w:tcW w:w="395" w:type="dxa"/>
            <w:tcBorders/>
            <w:vAlign w:val="center"/>
          </w:tcPr>
          <w:p>
            <w:pPr>
              <w:pStyle w:val="TableContents"/>
              <w:bidi w:val="0"/>
              <w:spacing w:before="0" w:after="283"/>
              <w:jc w:val="right"/>
              <w:rPr/>
            </w:pPr>
            <w:r>
              <w:rPr/>
              <w:t>115</w:t>
            </w:r>
          </w:p>
        </w:tc>
      </w:tr>
      <w:tr>
        <w:trPr/>
        <w:tc>
          <w:tcPr>
            <w:tcW w:w="575" w:type="dxa"/>
            <w:tcBorders/>
            <w:vAlign w:val="center"/>
          </w:tcPr>
          <w:p>
            <w:pPr>
              <w:pStyle w:val="TableContents"/>
              <w:bidi w:val="0"/>
              <w:spacing w:before="0" w:after="283"/>
              <w:jc w:val="left"/>
              <w:rPr/>
            </w:pPr>
            <w:r>
              <w:rPr/>
              <w:t>7.02</w:t>
            </w:r>
          </w:p>
        </w:tc>
        <w:tc>
          <w:tcPr>
            <w:tcW w:w="9235" w:type="dxa"/>
            <w:tcBorders/>
            <w:vAlign w:val="center"/>
          </w:tcPr>
          <w:p>
            <w:pPr>
              <w:pStyle w:val="TableContents"/>
              <w:bidi w:val="0"/>
              <w:spacing w:before="0" w:after="283"/>
              <w:jc w:val="left"/>
              <w:rPr>
                <w:b/>
              </w:rPr>
            </w:pPr>
            <w:r>
              <w:rPr>
                <w:b/>
              </w:rPr>
              <w:t>Indebtedness</w:t>
            </w:r>
          </w:p>
        </w:tc>
        <w:tc>
          <w:tcPr>
            <w:tcW w:w="395" w:type="dxa"/>
            <w:tcBorders/>
            <w:vAlign w:val="center"/>
          </w:tcPr>
          <w:p>
            <w:pPr>
              <w:pStyle w:val="TableContents"/>
              <w:bidi w:val="0"/>
              <w:spacing w:before="0" w:after="283"/>
              <w:jc w:val="right"/>
              <w:rPr/>
            </w:pPr>
            <w:r>
              <w:rPr/>
              <w:t>116</w:t>
            </w:r>
          </w:p>
        </w:tc>
      </w:tr>
      <w:tr>
        <w:trPr/>
        <w:tc>
          <w:tcPr>
            <w:tcW w:w="575" w:type="dxa"/>
            <w:tcBorders/>
            <w:vAlign w:val="center"/>
          </w:tcPr>
          <w:p>
            <w:pPr>
              <w:pStyle w:val="TableContents"/>
              <w:bidi w:val="0"/>
              <w:spacing w:before="0" w:after="283"/>
              <w:jc w:val="left"/>
              <w:rPr/>
            </w:pPr>
            <w:r>
              <w:rPr/>
              <w:t>7.03</w:t>
            </w:r>
          </w:p>
        </w:tc>
        <w:tc>
          <w:tcPr>
            <w:tcW w:w="9235" w:type="dxa"/>
            <w:tcBorders/>
            <w:vAlign w:val="center"/>
          </w:tcPr>
          <w:p>
            <w:pPr>
              <w:pStyle w:val="TableContents"/>
              <w:bidi w:val="0"/>
              <w:spacing w:before="0" w:after="283"/>
              <w:jc w:val="left"/>
              <w:rPr>
                <w:b/>
              </w:rPr>
            </w:pPr>
            <w:r>
              <w:rPr>
                <w:b/>
              </w:rPr>
              <w:t>Investments</w:t>
            </w:r>
          </w:p>
        </w:tc>
        <w:tc>
          <w:tcPr>
            <w:tcW w:w="395" w:type="dxa"/>
            <w:tcBorders/>
            <w:vAlign w:val="center"/>
          </w:tcPr>
          <w:p>
            <w:pPr>
              <w:pStyle w:val="TableContents"/>
              <w:bidi w:val="0"/>
              <w:spacing w:before="0" w:after="283"/>
              <w:jc w:val="right"/>
              <w:rPr/>
            </w:pPr>
            <w:r>
              <w:rPr/>
              <w:t>118</w:t>
            </w:r>
          </w:p>
        </w:tc>
      </w:tr>
      <w:tr>
        <w:trPr/>
        <w:tc>
          <w:tcPr>
            <w:tcW w:w="575" w:type="dxa"/>
            <w:tcBorders/>
            <w:vAlign w:val="center"/>
          </w:tcPr>
          <w:p>
            <w:pPr>
              <w:pStyle w:val="TableContents"/>
              <w:bidi w:val="0"/>
              <w:spacing w:before="0" w:after="283"/>
              <w:jc w:val="left"/>
              <w:rPr/>
            </w:pPr>
            <w:r>
              <w:rPr/>
              <w:t>7.04</w:t>
            </w:r>
          </w:p>
        </w:tc>
        <w:tc>
          <w:tcPr>
            <w:tcW w:w="9235" w:type="dxa"/>
            <w:tcBorders/>
            <w:vAlign w:val="center"/>
          </w:tcPr>
          <w:p>
            <w:pPr>
              <w:pStyle w:val="TableContents"/>
              <w:bidi w:val="0"/>
              <w:spacing w:before="0" w:after="283"/>
              <w:jc w:val="left"/>
              <w:rPr>
                <w:b/>
              </w:rPr>
            </w:pPr>
            <w:r>
              <w:rPr>
                <w:b/>
              </w:rPr>
              <w:t>Fundamental Changes</w:t>
            </w:r>
          </w:p>
        </w:tc>
        <w:tc>
          <w:tcPr>
            <w:tcW w:w="395" w:type="dxa"/>
            <w:tcBorders/>
            <w:vAlign w:val="center"/>
          </w:tcPr>
          <w:p>
            <w:pPr>
              <w:pStyle w:val="TableContents"/>
              <w:bidi w:val="0"/>
              <w:spacing w:before="0" w:after="283"/>
              <w:jc w:val="right"/>
              <w:rPr/>
            </w:pPr>
            <w:r>
              <w:rPr/>
              <w:t>120</w:t>
            </w:r>
          </w:p>
        </w:tc>
      </w:tr>
      <w:tr>
        <w:trPr/>
        <w:tc>
          <w:tcPr>
            <w:tcW w:w="575" w:type="dxa"/>
            <w:tcBorders/>
            <w:vAlign w:val="center"/>
          </w:tcPr>
          <w:p>
            <w:pPr>
              <w:pStyle w:val="TableContents"/>
              <w:bidi w:val="0"/>
              <w:spacing w:before="0" w:after="283"/>
              <w:jc w:val="left"/>
              <w:rPr/>
            </w:pPr>
            <w:r>
              <w:rPr/>
              <w:t>7.05</w:t>
            </w:r>
          </w:p>
        </w:tc>
        <w:tc>
          <w:tcPr>
            <w:tcW w:w="9235" w:type="dxa"/>
            <w:tcBorders/>
            <w:vAlign w:val="center"/>
          </w:tcPr>
          <w:p>
            <w:pPr>
              <w:pStyle w:val="TableContents"/>
              <w:bidi w:val="0"/>
              <w:spacing w:before="0" w:after="283"/>
              <w:jc w:val="left"/>
              <w:rPr>
                <w:b/>
              </w:rPr>
            </w:pPr>
            <w:r>
              <w:rPr>
                <w:b/>
              </w:rPr>
              <w:t>Dispositions</w:t>
            </w:r>
          </w:p>
        </w:tc>
        <w:tc>
          <w:tcPr>
            <w:tcW w:w="395" w:type="dxa"/>
            <w:tcBorders/>
            <w:vAlign w:val="center"/>
          </w:tcPr>
          <w:p>
            <w:pPr>
              <w:pStyle w:val="TableContents"/>
              <w:bidi w:val="0"/>
              <w:spacing w:before="0" w:after="283"/>
              <w:jc w:val="right"/>
              <w:rPr/>
            </w:pPr>
            <w:r>
              <w:rPr/>
              <w:t>121</w:t>
            </w:r>
          </w:p>
        </w:tc>
      </w:tr>
      <w:tr>
        <w:trPr/>
        <w:tc>
          <w:tcPr>
            <w:tcW w:w="575" w:type="dxa"/>
            <w:tcBorders/>
            <w:vAlign w:val="center"/>
          </w:tcPr>
          <w:p>
            <w:pPr>
              <w:pStyle w:val="TableContents"/>
              <w:bidi w:val="0"/>
              <w:spacing w:before="0" w:after="283"/>
              <w:jc w:val="left"/>
              <w:rPr/>
            </w:pPr>
            <w:r>
              <w:rPr/>
              <w:t>7.06</w:t>
            </w:r>
          </w:p>
        </w:tc>
        <w:tc>
          <w:tcPr>
            <w:tcW w:w="9235" w:type="dxa"/>
            <w:tcBorders/>
            <w:vAlign w:val="center"/>
          </w:tcPr>
          <w:p>
            <w:pPr>
              <w:pStyle w:val="TableContents"/>
              <w:bidi w:val="0"/>
              <w:spacing w:before="0" w:after="283"/>
              <w:jc w:val="left"/>
              <w:rPr>
                <w:b/>
              </w:rPr>
            </w:pPr>
            <w:r>
              <w:rPr>
                <w:b/>
              </w:rPr>
              <w:t>Restricted Payments</w:t>
            </w:r>
          </w:p>
        </w:tc>
        <w:tc>
          <w:tcPr>
            <w:tcW w:w="395" w:type="dxa"/>
            <w:tcBorders/>
            <w:vAlign w:val="center"/>
          </w:tcPr>
          <w:p>
            <w:pPr>
              <w:pStyle w:val="TableContents"/>
              <w:bidi w:val="0"/>
              <w:spacing w:before="0" w:after="283"/>
              <w:jc w:val="right"/>
              <w:rPr/>
            </w:pPr>
            <w:r>
              <w:rPr/>
              <w:t>122</w:t>
            </w:r>
          </w:p>
        </w:tc>
      </w:tr>
      <w:tr>
        <w:trPr/>
        <w:tc>
          <w:tcPr>
            <w:tcW w:w="575" w:type="dxa"/>
            <w:tcBorders/>
            <w:vAlign w:val="center"/>
          </w:tcPr>
          <w:p>
            <w:pPr>
              <w:pStyle w:val="TableContents"/>
              <w:bidi w:val="0"/>
              <w:spacing w:before="0" w:after="283"/>
              <w:jc w:val="left"/>
              <w:rPr/>
            </w:pPr>
            <w:r>
              <w:rPr/>
              <w:t>7.07</w:t>
            </w:r>
          </w:p>
        </w:tc>
        <w:tc>
          <w:tcPr>
            <w:tcW w:w="9235" w:type="dxa"/>
            <w:tcBorders/>
            <w:vAlign w:val="center"/>
          </w:tcPr>
          <w:p>
            <w:pPr>
              <w:pStyle w:val="TableContents"/>
              <w:bidi w:val="0"/>
              <w:spacing w:before="0" w:after="283"/>
              <w:jc w:val="left"/>
              <w:rPr>
                <w:b/>
              </w:rPr>
            </w:pPr>
            <w:r>
              <w:rPr>
                <w:b/>
              </w:rPr>
              <w:t>Change in Nature of Business</w:t>
            </w:r>
          </w:p>
        </w:tc>
        <w:tc>
          <w:tcPr>
            <w:tcW w:w="395" w:type="dxa"/>
            <w:tcBorders/>
            <w:vAlign w:val="center"/>
          </w:tcPr>
          <w:p>
            <w:pPr>
              <w:pStyle w:val="TableContents"/>
              <w:bidi w:val="0"/>
              <w:spacing w:before="0" w:after="283"/>
              <w:jc w:val="right"/>
              <w:rPr/>
            </w:pPr>
            <w:r>
              <w:rPr/>
              <w:t>123</w:t>
            </w:r>
          </w:p>
        </w:tc>
      </w:tr>
      <w:tr>
        <w:trPr/>
        <w:tc>
          <w:tcPr>
            <w:tcW w:w="575" w:type="dxa"/>
            <w:tcBorders/>
            <w:vAlign w:val="center"/>
          </w:tcPr>
          <w:p>
            <w:pPr>
              <w:pStyle w:val="TableContents"/>
              <w:bidi w:val="0"/>
              <w:spacing w:before="0" w:after="283"/>
              <w:jc w:val="left"/>
              <w:rPr/>
            </w:pPr>
            <w:r>
              <w:rPr/>
              <w:t>7.08</w:t>
            </w:r>
          </w:p>
        </w:tc>
        <w:tc>
          <w:tcPr>
            <w:tcW w:w="9235" w:type="dxa"/>
            <w:tcBorders/>
            <w:vAlign w:val="center"/>
          </w:tcPr>
          <w:p>
            <w:pPr>
              <w:pStyle w:val="TableContents"/>
              <w:bidi w:val="0"/>
              <w:spacing w:before="0" w:after="283"/>
              <w:jc w:val="left"/>
              <w:rPr>
                <w:b/>
              </w:rPr>
            </w:pPr>
            <w:r>
              <w:rPr>
                <w:b/>
              </w:rPr>
              <w:t>Transactions with Affiliates</w:t>
            </w:r>
          </w:p>
        </w:tc>
        <w:tc>
          <w:tcPr>
            <w:tcW w:w="395" w:type="dxa"/>
            <w:tcBorders/>
            <w:vAlign w:val="center"/>
          </w:tcPr>
          <w:p>
            <w:pPr>
              <w:pStyle w:val="TableContents"/>
              <w:bidi w:val="0"/>
              <w:spacing w:before="0" w:after="283"/>
              <w:jc w:val="right"/>
              <w:rPr/>
            </w:pPr>
            <w:r>
              <w:rPr/>
              <w:t>123</w:t>
            </w:r>
          </w:p>
        </w:tc>
      </w:tr>
      <w:tr>
        <w:trPr/>
        <w:tc>
          <w:tcPr>
            <w:tcW w:w="575" w:type="dxa"/>
            <w:tcBorders/>
            <w:vAlign w:val="center"/>
          </w:tcPr>
          <w:p>
            <w:pPr>
              <w:pStyle w:val="TableContents"/>
              <w:bidi w:val="0"/>
              <w:spacing w:before="0" w:after="283"/>
              <w:jc w:val="left"/>
              <w:rPr/>
            </w:pPr>
            <w:r>
              <w:rPr/>
              <w:t>7.09</w:t>
            </w:r>
          </w:p>
        </w:tc>
        <w:tc>
          <w:tcPr>
            <w:tcW w:w="9235" w:type="dxa"/>
            <w:tcBorders/>
            <w:vAlign w:val="center"/>
          </w:tcPr>
          <w:p>
            <w:pPr>
              <w:pStyle w:val="TableContents"/>
              <w:bidi w:val="0"/>
              <w:spacing w:before="0" w:after="283"/>
              <w:jc w:val="left"/>
              <w:rPr>
                <w:b/>
              </w:rPr>
            </w:pPr>
            <w:r>
              <w:rPr>
                <w:b/>
              </w:rPr>
              <w:t>Burdensome Agreements</w:t>
            </w:r>
          </w:p>
        </w:tc>
        <w:tc>
          <w:tcPr>
            <w:tcW w:w="395" w:type="dxa"/>
            <w:tcBorders/>
            <w:vAlign w:val="center"/>
          </w:tcPr>
          <w:p>
            <w:pPr>
              <w:pStyle w:val="TableContents"/>
              <w:bidi w:val="0"/>
              <w:spacing w:before="0" w:after="283"/>
              <w:jc w:val="right"/>
              <w:rPr/>
            </w:pPr>
            <w:r>
              <w:rPr/>
              <w:t>123</w:t>
            </w:r>
          </w:p>
        </w:tc>
      </w:tr>
      <w:tr>
        <w:trPr/>
        <w:tc>
          <w:tcPr>
            <w:tcW w:w="575" w:type="dxa"/>
            <w:tcBorders/>
            <w:vAlign w:val="center"/>
          </w:tcPr>
          <w:p>
            <w:pPr>
              <w:pStyle w:val="TableContents"/>
              <w:bidi w:val="0"/>
              <w:spacing w:before="0" w:after="283"/>
              <w:jc w:val="left"/>
              <w:rPr/>
            </w:pPr>
            <w:r>
              <w:rPr/>
              <w:t>7.10</w:t>
            </w:r>
          </w:p>
        </w:tc>
        <w:tc>
          <w:tcPr>
            <w:tcW w:w="9235" w:type="dxa"/>
            <w:tcBorders/>
            <w:vAlign w:val="center"/>
          </w:tcPr>
          <w:p>
            <w:pPr>
              <w:pStyle w:val="TableContents"/>
              <w:bidi w:val="0"/>
              <w:spacing w:before="0" w:after="283"/>
              <w:jc w:val="left"/>
              <w:rPr>
                <w:b/>
              </w:rPr>
            </w:pPr>
            <w:r>
              <w:rPr>
                <w:b/>
              </w:rPr>
              <w:t>Use of Proceeds</w:t>
            </w:r>
          </w:p>
        </w:tc>
        <w:tc>
          <w:tcPr>
            <w:tcW w:w="395" w:type="dxa"/>
            <w:tcBorders/>
            <w:vAlign w:val="center"/>
          </w:tcPr>
          <w:p>
            <w:pPr>
              <w:pStyle w:val="TableContents"/>
              <w:bidi w:val="0"/>
              <w:spacing w:before="0" w:after="283"/>
              <w:jc w:val="right"/>
              <w:rPr/>
            </w:pPr>
            <w:r>
              <w:rPr/>
              <w:t>123</w:t>
            </w:r>
          </w:p>
        </w:tc>
      </w:tr>
      <w:tr>
        <w:trPr/>
        <w:tc>
          <w:tcPr>
            <w:tcW w:w="575" w:type="dxa"/>
            <w:tcBorders/>
            <w:vAlign w:val="center"/>
          </w:tcPr>
          <w:p>
            <w:pPr>
              <w:pStyle w:val="TableContents"/>
              <w:bidi w:val="0"/>
              <w:spacing w:before="0" w:after="283"/>
              <w:jc w:val="left"/>
              <w:rPr/>
            </w:pPr>
            <w:r>
              <w:rPr/>
              <w:t>7.11</w:t>
            </w:r>
          </w:p>
        </w:tc>
        <w:tc>
          <w:tcPr>
            <w:tcW w:w="9235" w:type="dxa"/>
            <w:tcBorders/>
            <w:vAlign w:val="center"/>
          </w:tcPr>
          <w:p>
            <w:pPr>
              <w:pStyle w:val="TableContents"/>
              <w:bidi w:val="0"/>
              <w:spacing w:before="0" w:after="283"/>
              <w:jc w:val="left"/>
              <w:rPr>
                <w:b/>
              </w:rPr>
            </w:pPr>
            <w:r>
              <w:rPr>
                <w:b/>
              </w:rPr>
              <w:t>Financial Covenants</w:t>
            </w:r>
          </w:p>
        </w:tc>
        <w:tc>
          <w:tcPr>
            <w:tcW w:w="395" w:type="dxa"/>
            <w:tcBorders/>
            <w:vAlign w:val="center"/>
          </w:tcPr>
          <w:p>
            <w:pPr>
              <w:pStyle w:val="TableContents"/>
              <w:bidi w:val="0"/>
              <w:spacing w:before="0" w:after="283"/>
              <w:jc w:val="right"/>
              <w:rPr/>
            </w:pPr>
            <w:r>
              <w:rPr/>
              <w:t>124</w:t>
            </w:r>
          </w:p>
        </w:tc>
      </w:tr>
      <w:tr>
        <w:trPr/>
        <w:tc>
          <w:tcPr>
            <w:tcW w:w="575" w:type="dxa"/>
            <w:tcBorders/>
            <w:vAlign w:val="center"/>
          </w:tcPr>
          <w:p>
            <w:pPr>
              <w:pStyle w:val="TableContents"/>
              <w:bidi w:val="0"/>
              <w:spacing w:before="0" w:after="283"/>
              <w:jc w:val="left"/>
              <w:rPr/>
            </w:pPr>
            <w:r>
              <w:rPr/>
              <w:t>7.12</w:t>
            </w:r>
          </w:p>
        </w:tc>
        <w:tc>
          <w:tcPr>
            <w:tcW w:w="9235" w:type="dxa"/>
            <w:tcBorders/>
            <w:vAlign w:val="center"/>
          </w:tcPr>
          <w:p>
            <w:pPr>
              <w:pStyle w:val="TableContents"/>
              <w:bidi w:val="0"/>
              <w:spacing w:before="0" w:after="283"/>
              <w:jc w:val="left"/>
              <w:rPr>
                <w:b/>
              </w:rPr>
            </w:pPr>
            <w:r>
              <w:rPr>
                <w:b/>
              </w:rPr>
              <w:t>Amendments of Organization Documents; Fiscal Year; Legal Name, State of Formation; Form of Entity; Accounting Changes</w:t>
            </w:r>
          </w:p>
        </w:tc>
        <w:tc>
          <w:tcPr>
            <w:tcW w:w="395" w:type="dxa"/>
            <w:tcBorders/>
            <w:vAlign w:val="center"/>
          </w:tcPr>
          <w:p>
            <w:pPr>
              <w:pStyle w:val="TableContents"/>
              <w:bidi w:val="0"/>
              <w:spacing w:before="0" w:after="283"/>
              <w:jc w:val="right"/>
              <w:rPr/>
            </w:pPr>
            <w:r>
              <w:rPr/>
              <w:t>124</w:t>
            </w:r>
          </w:p>
        </w:tc>
      </w:tr>
      <w:tr>
        <w:trPr/>
        <w:tc>
          <w:tcPr>
            <w:tcW w:w="575" w:type="dxa"/>
            <w:tcBorders/>
            <w:vAlign w:val="center"/>
          </w:tcPr>
          <w:p>
            <w:pPr>
              <w:pStyle w:val="TableContents"/>
              <w:bidi w:val="0"/>
              <w:spacing w:before="0" w:after="283"/>
              <w:jc w:val="left"/>
              <w:rPr/>
            </w:pPr>
            <w:r>
              <w:rPr/>
              <w:t>7.13</w:t>
            </w:r>
          </w:p>
        </w:tc>
        <w:tc>
          <w:tcPr>
            <w:tcW w:w="9235" w:type="dxa"/>
            <w:tcBorders/>
            <w:vAlign w:val="center"/>
          </w:tcPr>
          <w:p>
            <w:pPr>
              <w:pStyle w:val="TableContents"/>
              <w:bidi w:val="0"/>
              <w:spacing w:before="0" w:after="283"/>
              <w:jc w:val="left"/>
              <w:rPr>
                <w:b/>
              </w:rPr>
            </w:pPr>
            <w:r>
              <w:rPr>
                <w:b/>
              </w:rPr>
              <w:t>Sale and Leaseback Transactions</w:t>
            </w:r>
          </w:p>
        </w:tc>
        <w:tc>
          <w:tcPr>
            <w:tcW w:w="395" w:type="dxa"/>
            <w:tcBorders/>
            <w:vAlign w:val="center"/>
          </w:tcPr>
          <w:p>
            <w:pPr>
              <w:pStyle w:val="TableContents"/>
              <w:bidi w:val="0"/>
              <w:spacing w:before="0" w:after="283"/>
              <w:jc w:val="right"/>
              <w:rPr/>
            </w:pPr>
            <w:r>
              <w:rPr/>
              <w:t>124</w:t>
            </w:r>
          </w:p>
        </w:tc>
      </w:tr>
      <w:tr>
        <w:trPr/>
        <w:tc>
          <w:tcPr>
            <w:tcW w:w="575" w:type="dxa"/>
            <w:tcBorders/>
            <w:vAlign w:val="center"/>
          </w:tcPr>
          <w:p>
            <w:pPr>
              <w:pStyle w:val="TableContents"/>
              <w:bidi w:val="0"/>
              <w:spacing w:before="0" w:after="283"/>
              <w:jc w:val="left"/>
              <w:rPr/>
            </w:pPr>
            <w:r>
              <w:rPr/>
              <w:t>7.14</w:t>
            </w:r>
          </w:p>
        </w:tc>
        <w:tc>
          <w:tcPr>
            <w:tcW w:w="9235" w:type="dxa"/>
            <w:tcBorders/>
            <w:vAlign w:val="center"/>
          </w:tcPr>
          <w:p>
            <w:pPr>
              <w:pStyle w:val="TableContents"/>
              <w:bidi w:val="0"/>
              <w:spacing w:before="0" w:after="283"/>
              <w:jc w:val="left"/>
              <w:rPr>
                <w:b/>
              </w:rPr>
            </w:pPr>
            <w:r>
              <w:rPr>
                <w:b/>
              </w:rPr>
              <w:t>Sanctions</w:t>
            </w:r>
          </w:p>
        </w:tc>
        <w:tc>
          <w:tcPr>
            <w:tcW w:w="395" w:type="dxa"/>
            <w:tcBorders/>
            <w:vAlign w:val="center"/>
          </w:tcPr>
          <w:p>
            <w:pPr>
              <w:pStyle w:val="TableContents"/>
              <w:bidi w:val="0"/>
              <w:spacing w:before="0" w:after="283"/>
              <w:jc w:val="right"/>
              <w:rPr/>
            </w:pPr>
            <w:r>
              <w:rPr/>
              <w:t>124</w:t>
            </w:r>
          </w:p>
        </w:tc>
      </w:tr>
      <w:tr>
        <w:trPr/>
        <w:tc>
          <w:tcPr>
            <w:tcW w:w="575" w:type="dxa"/>
            <w:tcBorders/>
            <w:vAlign w:val="center"/>
          </w:tcPr>
          <w:p>
            <w:pPr>
              <w:pStyle w:val="TableContents"/>
              <w:bidi w:val="0"/>
              <w:spacing w:before="0" w:after="283"/>
              <w:jc w:val="left"/>
              <w:rPr/>
            </w:pPr>
            <w:r>
              <w:rPr/>
              <w:t>7.15</w:t>
            </w:r>
          </w:p>
        </w:tc>
        <w:tc>
          <w:tcPr>
            <w:tcW w:w="9235" w:type="dxa"/>
            <w:tcBorders/>
            <w:vAlign w:val="center"/>
          </w:tcPr>
          <w:p>
            <w:pPr>
              <w:pStyle w:val="TableContents"/>
              <w:bidi w:val="0"/>
              <w:spacing w:before="0" w:after="283"/>
              <w:jc w:val="left"/>
              <w:rPr>
                <w:b/>
              </w:rPr>
            </w:pPr>
            <w:r>
              <w:rPr>
                <w:b/>
              </w:rPr>
              <w:t>Anti-Corruption Laws</w:t>
            </w:r>
          </w:p>
        </w:tc>
        <w:tc>
          <w:tcPr>
            <w:tcW w:w="395" w:type="dxa"/>
            <w:tcBorders/>
            <w:vAlign w:val="center"/>
          </w:tcPr>
          <w:p>
            <w:pPr>
              <w:pStyle w:val="TableContents"/>
              <w:bidi w:val="0"/>
              <w:spacing w:before="0" w:after="283"/>
              <w:jc w:val="right"/>
              <w:rPr/>
            </w:pPr>
            <w:r>
              <w:rPr/>
              <w:t>124</w:t>
            </w:r>
          </w:p>
        </w:tc>
      </w:tr>
      <w:tr>
        <w:trPr/>
        <w:tc>
          <w:tcPr>
            <w:tcW w:w="575" w:type="dxa"/>
            <w:tcBorders/>
            <w:vAlign w:val="center"/>
          </w:tcPr>
          <w:p>
            <w:pPr>
              <w:pStyle w:val="TableContents"/>
              <w:bidi w:val="0"/>
              <w:spacing w:before="0" w:after="283"/>
              <w:jc w:val="left"/>
              <w:rPr/>
            </w:pPr>
            <w:r>
              <w:rPr/>
              <w:t>7.16</w:t>
            </w:r>
          </w:p>
        </w:tc>
        <w:tc>
          <w:tcPr>
            <w:tcW w:w="9235" w:type="dxa"/>
            <w:tcBorders/>
            <w:vAlign w:val="center"/>
          </w:tcPr>
          <w:p>
            <w:pPr>
              <w:pStyle w:val="TableContents"/>
              <w:bidi w:val="0"/>
              <w:spacing w:before="0" w:after="283"/>
              <w:jc w:val="left"/>
              <w:rPr>
                <w:b/>
              </w:rPr>
            </w:pPr>
            <w:r>
              <w:rPr>
                <w:b/>
              </w:rPr>
              <w:t>Payments and Modifications of Subordinated Debt</w:t>
            </w:r>
          </w:p>
        </w:tc>
        <w:tc>
          <w:tcPr>
            <w:tcW w:w="395" w:type="dxa"/>
            <w:tcBorders/>
            <w:vAlign w:val="center"/>
          </w:tcPr>
          <w:p>
            <w:pPr>
              <w:pStyle w:val="TableContents"/>
              <w:bidi w:val="0"/>
              <w:spacing w:before="0" w:after="283"/>
              <w:jc w:val="right"/>
              <w:rPr/>
            </w:pPr>
            <w:r>
              <w:rPr/>
              <w:t>125</w:t>
            </w:r>
          </w:p>
        </w:tc>
      </w:tr>
      <w:tr>
        <w:trPr/>
        <w:tc>
          <w:tcPr>
            <w:tcW w:w="575" w:type="dxa"/>
            <w:tcBorders/>
            <w:vAlign w:val="center"/>
          </w:tcPr>
          <w:p>
            <w:pPr>
              <w:pStyle w:val="TableContents"/>
              <w:bidi w:val="0"/>
              <w:spacing w:before="0" w:after="283"/>
              <w:jc w:val="left"/>
              <w:rPr/>
            </w:pPr>
            <w:r>
              <w:rPr/>
              <w:t>7.17</w:t>
            </w:r>
          </w:p>
        </w:tc>
        <w:tc>
          <w:tcPr>
            <w:tcW w:w="9235" w:type="dxa"/>
            <w:tcBorders/>
            <w:vAlign w:val="center"/>
          </w:tcPr>
          <w:p>
            <w:pPr>
              <w:pStyle w:val="TableContents"/>
              <w:bidi w:val="0"/>
              <w:spacing w:before="0" w:after="283"/>
              <w:jc w:val="left"/>
              <w:rPr>
                <w:b/>
              </w:rPr>
            </w:pPr>
            <w:r>
              <w:rPr>
                <w:b/>
              </w:rPr>
              <w:t>Amendment, Etc. of Indebtedness</w:t>
            </w:r>
          </w:p>
        </w:tc>
        <w:tc>
          <w:tcPr>
            <w:tcW w:w="395" w:type="dxa"/>
            <w:tcBorders/>
            <w:vAlign w:val="center"/>
          </w:tcPr>
          <w:p>
            <w:pPr>
              <w:pStyle w:val="TableContents"/>
              <w:bidi w:val="0"/>
              <w:spacing w:before="0" w:after="283"/>
              <w:jc w:val="right"/>
              <w:rPr/>
            </w:pPr>
            <w:r>
              <w:rPr/>
              <w:t>125</w:t>
            </w:r>
          </w:p>
        </w:tc>
      </w:tr>
      <w:tr>
        <w:trPr/>
        <w:tc>
          <w:tcPr>
            <w:tcW w:w="575" w:type="dxa"/>
            <w:tcBorders/>
            <w:vAlign w:val="center"/>
          </w:tcPr>
          <w:p>
            <w:pPr>
              <w:pStyle w:val="TableContents"/>
              <w:bidi w:val="0"/>
              <w:spacing w:before="0" w:after="283"/>
              <w:jc w:val="left"/>
              <w:rPr/>
            </w:pPr>
            <w:r>
              <w:rPr/>
              <w:t>7.18</w:t>
            </w:r>
          </w:p>
        </w:tc>
        <w:tc>
          <w:tcPr>
            <w:tcW w:w="9235" w:type="dxa"/>
            <w:tcBorders/>
            <w:vAlign w:val="center"/>
          </w:tcPr>
          <w:p>
            <w:pPr>
              <w:pStyle w:val="TableContents"/>
              <w:bidi w:val="0"/>
              <w:spacing w:before="0" w:after="283"/>
              <w:jc w:val="left"/>
              <w:rPr>
                <w:b/>
              </w:rPr>
            </w:pPr>
            <w:r>
              <w:rPr>
                <w:b/>
              </w:rPr>
              <w:t>Amendment, Etc. of Material Agreements</w:t>
            </w:r>
          </w:p>
        </w:tc>
        <w:tc>
          <w:tcPr>
            <w:tcW w:w="395" w:type="dxa"/>
            <w:tcBorders/>
            <w:vAlign w:val="center"/>
          </w:tcPr>
          <w:p>
            <w:pPr>
              <w:pStyle w:val="TableContents"/>
              <w:bidi w:val="0"/>
              <w:spacing w:before="0" w:after="283"/>
              <w:jc w:val="right"/>
              <w:rPr/>
            </w:pPr>
            <w:r>
              <w:rPr/>
              <w:t>125</w:t>
            </w:r>
          </w:p>
        </w:tc>
      </w:tr>
      <w:tr>
        <w:trPr/>
        <w:tc>
          <w:tcPr>
            <w:tcW w:w="575" w:type="dxa"/>
            <w:tcBorders/>
            <w:vAlign w:val="center"/>
          </w:tcPr>
          <w:p>
            <w:pPr>
              <w:pStyle w:val="TableContents"/>
              <w:bidi w:val="0"/>
              <w:spacing w:before="0" w:after="283"/>
              <w:jc w:val="left"/>
              <w:rPr/>
            </w:pPr>
            <w:r>
              <w:rPr/>
              <w:t>7.19</w:t>
            </w:r>
          </w:p>
        </w:tc>
        <w:tc>
          <w:tcPr>
            <w:tcW w:w="9235" w:type="dxa"/>
            <w:tcBorders/>
            <w:vAlign w:val="center"/>
          </w:tcPr>
          <w:p>
            <w:pPr>
              <w:pStyle w:val="TableContents"/>
              <w:bidi w:val="0"/>
              <w:spacing w:before="0" w:after="283"/>
              <w:jc w:val="left"/>
              <w:rPr>
                <w:b/>
              </w:rPr>
            </w:pPr>
            <w:r>
              <w:rPr>
                <w:b/>
              </w:rPr>
              <w:t>Customer Funds Account</w:t>
            </w:r>
          </w:p>
        </w:tc>
        <w:tc>
          <w:tcPr>
            <w:tcW w:w="395" w:type="dxa"/>
            <w:tcBorders/>
            <w:vAlign w:val="center"/>
          </w:tcPr>
          <w:p>
            <w:pPr>
              <w:pStyle w:val="TableContents"/>
              <w:bidi w:val="0"/>
              <w:spacing w:before="0" w:after="283"/>
              <w:jc w:val="right"/>
              <w:rPr/>
            </w:pPr>
            <w:r>
              <w:rPr/>
              <w:t>125</w:t>
            </w:r>
          </w:p>
        </w:tc>
      </w:tr>
      <w:tr>
        <w:trPr/>
        <w:tc>
          <w:tcPr>
            <w:tcW w:w="575" w:type="dxa"/>
            <w:tcBorders/>
            <w:vAlign w:val="center"/>
          </w:tcPr>
          <w:p>
            <w:pPr>
              <w:pStyle w:val="TableContents"/>
              <w:bidi w:val="0"/>
              <w:spacing w:before="0" w:after="283"/>
              <w:jc w:val="left"/>
              <w:rPr/>
            </w:pPr>
            <w:r>
              <w:rPr/>
              <w:t>7.20</w:t>
            </w:r>
          </w:p>
        </w:tc>
        <w:tc>
          <w:tcPr>
            <w:tcW w:w="9235" w:type="dxa"/>
            <w:tcBorders/>
            <w:vAlign w:val="center"/>
          </w:tcPr>
          <w:p>
            <w:pPr>
              <w:pStyle w:val="TableContents"/>
              <w:bidi w:val="0"/>
              <w:spacing w:before="0" w:after="283"/>
              <w:jc w:val="left"/>
              <w:rPr>
                <w:b/>
              </w:rPr>
            </w:pPr>
            <w:r>
              <w:rPr>
                <w:b/>
              </w:rPr>
              <w:t>Outbound Investment Rule</w:t>
            </w:r>
          </w:p>
        </w:tc>
        <w:tc>
          <w:tcPr>
            <w:tcW w:w="395" w:type="dxa"/>
            <w:tcBorders/>
            <w:vAlign w:val="center"/>
          </w:tcPr>
          <w:p>
            <w:pPr>
              <w:pStyle w:val="TableContents"/>
              <w:bidi w:val="0"/>
              <w:spacing w:before="0" w:after="283"/>
              <w:ind w:left="0" w:right="0" w:hanging="720"/>
              <w:jc w:val="right"/>
              <w:rPr/>
            </w:pPr>
            <w:r>
              <w:rPr/>
              <w:t>126</w:t>
            </w:r>
          </w:p>
        </w:tc>
      </w:tr>
      <w:tr>
        <w:trPr/>
        <w:tc>
          <w:tcPr>
            <w:tcW w:w="9810" w:type="dxa"/>
            <w:gridSpan w:val="2"/>
            <w:tcBorders/>
            <w:vAlign w:val="center"/>
          </w:tcPr>
          <w:p>
            <w:pPr>
              <w:pStyle w:val="TableContents"/>
              <w:bidi w:val="0"/>
              <w:spacing w:before="0" w:after="283"/>
              <w:jc w:val="left"/>
              <w:rPr/>
            </w:pPr>
            <w:r>
              <w:rPr/>
              <w:t>Article VIII EVENTS OF DEFAULT AND REMEDIES</w:t>
            </w:r>
          </w:p>
        </w:tc>
        <w:tc>
          <w:tcPr>
            <w:tcW w:w="395" w:type="dxa"/>
            <w:tcBorders/>
            <w:vAlign w:val="center"/>
          </w:tcPr>
          <w:p>
            <w:pPr>
              <w:pStyle w:val="TableContents"/>
              <w:bidi w:val="0"/>
              <w:spacing w:before="0" w:after="283"/>
              <w:jc w:val="right"/>
              <w:rPr/>
            </w:pPr>
            <w:r>
              <w:rPr/>
              <w:t>126</w:t>
            </w:r>
          </w:p>
        </w:tc>
      </w:tr>
      <w:tr>
        <w:trPr/>
        <w:tc>
          <w:tcPr>
            <w:tcW w:w="575" w:type="dxa"/>
            <w:tcBorders/>
            <w:vAlign w:val="center"/>
          </w:tcPr>
          <w:p>
            <w:pPr>
              <w:pStyle w:val="TableContents"/>
              <w:bidi w:val="0"/>
              <w:spacing w:before="0" w:after="283"/>
              <w:jc w:val="left"/>
              <w:rPr/>
            </w:pPr>
            <w:r>
              <w:rPr/>
              <w:t>8.01</w:t>
            </w:r>
          </w:p>
        </w:tc>
        <w:tc>
          <w:tcPr>
            <w:tcW w:w="9235" w:type="dxa"/>
            <w:tcBorders/>
            <w:vAlign w:val="center"/>
          </w:tcPr>
          <w:p>
            <w:pPr>
              <w:pStyle w:val="TableContents"/>
              <w:bidi w:val="0"/>
              <w:spacing w:before="0" w:after="283"/>
              <w:jc w:val="left"/>
              <w:rPr>
                <w:b/>
              </w:rPr>
            </w:pPr>
            <w:r>
              <w:rPr>
                <w:b/>
              </w:rPr>
              <w:t>Events of Default</w:t>
            </w:r>
          </w:p>
        </w:tc>
        <w:tc>
          <w:tcPr>
            <w:tcW w:w="395" w:type="dxa"/>
            <w:tcBorders/>
            <w:vAlign w:val="center"/>
          </w:tcPr>
          <w:p>
            <w:pPr>
              <w:pStyle w:val="TableContents"/>
              <w:bidi w:val="0"/>
              <w:spacing w:before="0" w:after="283"/>
              <w:jc w:val="right"/>
              <w:rPr/>
            </w:pPr>
            <w:r>
              <w:rPr/>
              <w:t>126</w:t>
            </w:r>
          </w:p>
        </w:tc>
      </w:tr>
      <w:tr>
        <w:trPr/>
        <w:tc>
          <w:tcPr>
            <w:tcW w:w="575" w:type="dxa"/>
            <w:tcBorders/>
            <w:vAlign w:val="center"/>
          </w:tcPr>
          <w:p>
            <w:pPr>
              <w:pStyle w:val="TableContents"/>
              <w:bidi w:val="0"/>
              <w:spacing w:before="0" w:after="283"/>
              <w:jc w:val="left"/>
              <w:rPr/>
            </w:pPr>
            <w:r>
              <w:rPr/>
              <w:t>8.02</w:t>
            </w:r>
          </w:p>
        </w:tc>
        <w:tc>
          <w:tcPr>
            <w:tcW w:w="9235" w:type="dxa"/>
            <w:tcBorders/>
            <w:vAlign w:val="center"/>
          </w:tcPr>
          <w:p>
            <w:pPr>
              <w:pStyle w:val="TableContents"/>
              <w:bidi w:val="0"/>
              <w:spacing w:before="0" w:after="283"/>
              <w:jc w:val="left"/>
              <w:rPr>
                <w:b/>
              </w:rPr>
            </w:pPr>
            <w:r>
              <w:rPr>
                <w:b/>
              </w:rPr>
              <w:t>Remedies upon Event of Default</w:t>
            </w:r>
          </w:p>
        </w:tc>
        <w:tc>
          <w:tcPr>
            <w:tcW w:w="395" w:type="dxa"/>
            <w:tcBorders/>
            <w:vAlign w:val="center"/>
          </w:tcPr>
          <w:p>
            <w:pPr>
              <w:pStyle w:val="TableContents"/>
              <w:bidi w:val="0"/>
              <w:spacing w:before="0" w:after="283"/>
              <w:jc w:val="right"/>
              <w:rPr/>
            </w:pPr>
            <w:r>
              <w:rPr/>
              <w:t>129</w:t>
            </w:r>
          </w:p>
        </w:tc>
      </w:tr>
      <w:tr>
        <w:trPr/>
        <w:tc>
          <w:tcPr>
            <w:tcW w:w="575" w:type="dxa"/>
            <w:tcBorders/>
            <w:vAlign w:val="center"/>
          </w:tcPr>
          <w:p>
            <w:pPr>
              <w:pStyle w:val="TableContents"/>
              <w:bidi w:val="0"/>
              <w:spacing w:before="0" w:after="283"/>
              <w:jc w:val="left"/>
              <w:rPr/>
            </w:pPr>
            <w:r>
              <w:rPr/>
              <w:t>8.03</w:t>
            </w:r>
          </w:p>
        </w:tc>
        <w:tc>
          <w:tcPr>
            <w:tcW w:w="9235" w:type="dxa"/>
            <w:tcBorders/>
            <w:vAlign w:val="center"/>
          </w:tcPr>
          <w:p>
            <w:pPr>
              <w:pStyle w:val="TableContents"/>
              <w:bidi w:val="0"/>
              <w:spacing w:before="0" w:after="283"/>
              <w:jc w:val="left"/>
              <w:rPr>
                <w:b/>
              </w:rPr>
            </w:pPr>
            <w:r>
              <w:rPr>
                <w:b/>
              </w:rPr>
              <w:t>Application of Funds</w:t>
            </w:r>
          </w:p>
        </w:tc>
        <w:tc>
          <w:tcPr>
            <w:tcW w:w="395" w:type="dxa"/>
            <w:tcBorders/>
            <w:vAlign w:val="center"/>
          </w:tcPr>
          <w:p>
            <w:pPr>
              <w:pStyle w:val="TableContents"/>
              <w:bidi w:val="0"/>
              <w:spacing w:before="0" w:after="283"/>
              <w:ind w:left="0" w:right="0" w:hanging="720"/>
              <w:jc w:val="right"/>
              <w:rPr/>
            </w:pPr>
            <w:r>
              <w:rPr/>
              <w:t>130</w:t>
            </w:r>
          </w:p>
        </w:tc>
      </w:tr>
      <w:tr>
        <w:trPr/>
        <w:tc>
          <w:tcPr>
            <w:tcW w:w="9810" w:type="dxa"/>
            <w:gridSpan w:val="2"/>
            <w:tcBorders/>
            <w:vAlign w:val="center"/>
          </w:tcPr>
          <w:p>
            <w:pPr>
              <w:pStyle w:val="TableContents"/>
              <w:bidi w:val="0"/>
              <w:spacing w:before="0" w:after="283"/>
              <w:jc w:val="left"/>
              <w:rPr/>
            </w:pPr>
            <w:r>
              <w:rPr/>
              <w:t>Article IX ADMINISTRATIVE AGENT</w:t>
            </w:r>
          </w:p>
        </w:tc>
        <w:tc>
          <w:tcPr>
            <w:tcW w:w="395" w:type="dxa"/>
            <w:tcBorders/>
            <w:vAlign w:val="center"/>
          </w:tcPr>
          <w:p>
            <w:pPr>
              <w:pStyle w:val="TableContents"/>
              <w:bidi w:val="0"/>
              <w:spacing w:before="0" w:after="283"/>
              <w:jc w:val="right"/>
              <w:rPr/>
            </w:pPr>
            <w:r>
              <w:rPr/>
              <w:t>131</w:t>
            </w:r>
          </w:p>
        </w:tc>
      </w:tr>
      <w:tr>
        <w:trPr/>
        <w:tc>
          <w:tcPr>
            <w:tcW w:w="575" w:type="dxa"/>
            <w:tcBorders/>
            <w:vAlign w:val="center"/>
          </w:tcPr>
          <w:p>
            <w:pPr>
              <w:pStyle w:val="TableContents"/>
              <w:bidi w:val="0"/>
              <w:spacing w:before="0" w:after="283"/>
              <w:jc w:val="left"/>
              <w:rPr/>
            </w:pPr>
            <w:r>
              <w:rPr/>
              <w:t>9.01</w:t>
            </w:r>
          </w:p>
        </w:tc>
        <w:tc>
          <w:tcPr>
            <w:tcW w:w="9235" w:type="dxa"/>
            <w:tcBorders/>
            <w:vAlign w:val="center"/>
          </w:tcPr>
          <w:p>
            <w:pPr>
              <w:pStyle w:val="TableContents"/>
              <w:bidi w:val="0"/>
              <w:spacing w:before="0" w:after="283"/>
              <w:jc w:val="left"/>
              <w:rPr>
                <w:b/>
              </w:rPr>
            </w:pPr>
            <w:r>
              <w:rPr>
                <w:b/>
              </w:rPr>
              <w:t>Appointment and Authority</w:t>
            </w:r>
          </w:p>
        </w:tc>
        <w:tc>
          <w:tcPr>
            <w:tcW w:w="395" w:type="dxa"/>
            <w:tcBorders/>
            <w:vAlign w:val="center"/>
          </w:tcPr>
          <w:p>
            <w:pPr>
              <w:pStyle w:val="TableContents"/>
              <w:bidi w:val="0"/>
              <w:spacing w:before="0" w:after="283"/>
              <w:jc w:val="right"/>
              <w:rPr/>
            </w:pPr>
            <w:r>
              <w:rPr/>
              <w:t>131</w:t>
            </w:r>
          </w:p>
        </w:tc>
      </w:tr>
      <w:tr>
        <w:trPr/>
        <w:tc>
          <w:tcPr>
            <w:tcW w:w="575" w:type="dxa"/>
            <w:tcBorders/>
            <w:vAlign w:val="center"/>
          </w:tcPr>
          <w:p>
            <w:pPr>
              <w:pStyle w:val="TableContents"/>
              <w:bidi w:val="0"/>
              <w:spacing w:before="0" w:after="283"/>
              <w:jc w:val="left"/>
              <w:rPr/>
            </w:pPr>
            <w:r>
              <w:rPr/>
              <w:t>9.02</w:t>
            </w:r>
          </w:p>
        </w:tc>
        <w:tc>
          <w:tcPr>
            <w:tcW w:w="9235" w:type="dxa"/>
            <w:tcBorders/>
            <w:vAlign w:val="center"/>
          </w:tcPr>
          <w:p>
            <w:pPr>
              <w:pStyle w:val="TableContents"/>
              <w:bidi w:val="0"/>
              <w:spacing w:before="0" w:after="283"/>
              <w:jc w:val="left"/>
              <w:rPr>
                <w:b/>
              </w:rPr>
            </w:pPr>
            <w:r>
              <w:rPr>
                <w:b/>
              </w:rPr>
              <w:t>Rights as a Lender</w:t>
            </w:r>
          </w:p>
        </w:tc>
        <w:tc>
          <w:tcPr>
            <w:tcW w:w="395" w:type="dxa"/>
            <w:tcBorders/>
            <w:vAlign w:val="center"/>
          </w:tcPr>
          <w:p>
            <w:pPr>
              <w:pStyle w:val="TableContents"/>
              <w:bidi w:val="0"/>
              <w:spacing w:before="0" w:after="283"/>
              <w:jc w:val="right"/>
              <w:rPr/>
            </w:pPr>
            <w:r>
              <w:rPr/>
              <w:t>132</w:t>
            </w:r>
          </w:p>
        </w:tc>
      </w:tr>
      <w:tr>
        <w:trPr/>
        <w:tc>
          <w:tcPr>
            <w:tcW w:w="575" w:type="dxa"/>
            <w:tcBorders/>
            <w:vAlign w:val="center"/>
          </w:tcPr>
          <w:p>
            <w:pPr>
              <w:pStyle w:val="TableContents"/>
              <w:bidi w:val="0"/>
              <w:spacing w:before="0" w:after="283"/>
              <w:jc w:val="left"/>
              <w:rPr/>
            </w:pPr>
            <w:r>
              <w:rPr/>
              <w:t>9.03</w:t>
            </w:r>
          </w:p>
        </w:tc>
        <w:tc>
          <w:tcPr>
            <w:tcW w:w="9235" w:type="dxa"/>
            <w:tcBorders/>
            <w:vAlign w:val="center"/>
          </w:tcPr>
          <w:p>
            <w:pPr>
              <w:pStyle w:val="TableContents"/>
              <w:bidi w:val="0"/>
              <w:spacing w:before="0" w:after="283"/>
              <w:jc w:val="left"/>
              <w:rPr>
                <w:b/>
              </w:rPr>
            </w:pPr>
            <w:r>
              <w:rPr>
                <w:b/>
              </w:rPr>
              <w:t>Exculpatory Provisions</w:t>
            </w:r>
          </w:p>
        </w:tc>
        <w:tc>
          <w:tcPr>
            <w:tcW w:w="395" w:type="dxa"/>
            <w:tcBorders/>
            <w:vAlign w:val="center"/>
          </w:tcPr>
          <w:p>
            <w:pPr>
              <w:pStyle w:val="TableContents"/>
              <w:bidi w:val="0"/>
              <w:spacing w:before="0" w:after="283"/>
              <w:jc w:val="right"/>
              <w:rPr/>
            </w:pPr>
            <w:r>
              <w:rPr/>
              <w:t>132</w:t>
            </w:r>
          </w:p>
        </w:tc>
      </w:tr>
      <w:tr>
        <w:trPr/>
        <w:tc>
          <w:tcPr>
            <w:tcW w:w="575" w:type="dxa"/>
            <w:tcBorders/>
            <w:vAlign w:val="center"/>
          </w:tcPr>
          <w:p>
            <w:pPr>
              <w:pStyle w:val="TableContents"/>
              <w:bidi w:val="0"/>
              <w:spacing w:before="0" w:after="283"/>
              <w:jc w:val="left"/>
              <w:rPr/>
            </w:pPr>
            <w:r>
              <w:rPr/>
              <w:t>9.04</w:t>
            </w:r>
          </w:p>
        </w:tc>
        <w:tc>
          <w:tcPr>
            <w:tcW w:w="9235" w:type="dxa"/>
            <w:tcBorders/>
            <w:vAlign w:val="center"/>
          </w:tcPr>
          <w:p>
            <w:pPr>
              <w:pStyle w:val="TableContents"/>
              <w:bidi w:val="0"/>
              <w:spacing w:before="0" w:after="283"/>
              <w:jc w:val="left"/>
              <w:rPr>
                <w:b/>
              </w:rPr>
            </w:pPr>
            <w:r>
              <w:rPr>
                <w:b/>
              </w:rPr>
              <w:t>Reliance by Administrative Agent</w:t>
            </w:r>
          </w:p>
        </w:tc>
        <w:tc>
          <w:tcPr>
            <w:tcW w:w="395" w:type="dxa"/>
            <w:tcBorders/>
            <w:vAlign w:val="center"/>
          </w:tcPr>
          <w:p>
            <w:pPr>
              <w:pStyle w:val="TableContents"/>
              <w:bidi w:val="0"/>
              <w:spacing w:before="0" w:after="283"/>
              <w:jc w:val="right"/>
              <w:rPr/>
            </w:pPr>
            <w:r>
              <w:rPr/>
              <w:t>133</w:t>
            </w:r>
          </w:p>
        </w:tc>
      </w:tr>
      <w:tr>
        <w:trPr/>
        <w:tc>
          <w:tcPr>
            <w:tcW w:w="575" w:type="dxa"/>
            <w:tcBorders/>
            <w:vAlign w:val="center"/>
          </w:tcPr>
          <w:p>
            <w:pPr>
              <w:pStyle w:val="TableContents"/>
              <w:bidi w:val="0"/>
              <w:spacing w:before="0" w:after="283"/>
              <w:jc w:val="left"/>
              <w:rPr/>
            </w:pPr>
            <w:r>
              <w:rPr/>
              <w:t>9.05</w:t>
            </w:r>
          </w:p>
        </w:tc>
        <w:tc>
          <w:tcPr>
            <w:tcW w:w="9235" w:type="dxa"/>
            <w:tcBorders/>
            <w:vAlign w:val="center"/>
          </w:tcPr>
          <w:p>
            <w:pPr>
              <w:pStyle w:val="TableContents"/>
              <w:bidi w:val="0"/>
              <w:spacing w:before="0" w:after="283"/>
              <w:jc w:val="left"/>
              <w:rPr>
                <w:b/>
              </w:rPr>
            </w:pPr>
            <w:r>
              <w:rPr>
                <w:b/>
              </w:rPr>
              <w:t>Delegation of Duties</w:t>
            </w:r>
          </w:p>
        </w:tc>
        <w:tc>
          <w:tcPr>
            <w:tcW w:w="395" w:type="dxa"/>
            <w:tcBorders/>
            <w:vAlign w:val="center"/>
          </w:tcPr>
          <w:p>
            <w:pPr>
              <w:pStyle w:val="TableContents"/>
              <w:bidi w:val="0"/>
              <w:spacing w:before="0" w:after="283"/>
              <w:jc w:val="right"/>
              <w:rPr/>
            </w:pPr>
            <w:r>
              <w:rPr/>
              <w:t>134</w:t>
            </w:r>
          </w:p>
        </w:tc>
      </w:tr>
      <w:tr>
        <w:trPr/>
        <w:tc>
          <w:tcPr>
            <w:tcW w:w="575" w:type="dxa"/>
            <w:tcBorders/>
            <w:vAlign w:val="center"/>
          </w:tcPr>
          <w:p>
            <w:pPr>
              <w:pStyle w:val="TableContents"/>
              <w:bidi w:val="0"/>
              <w:spacing w:before="0" w:after="283"/>
              <w:jc w:val="left"/>
              <w:rPr/>
            </w:pPr>
            <w:r>
              <w:rPr/>
              <w:t>9.06</w:t>
            </w:r>
          </w:p>
        </w:tc>
        <w:tc>
          <w:tcPr>
            <w:tcW w:w="9235" w:type="dxa"/>
            <w:tcBorders/>
            <w:vAlign w:val="center"/>
          </w:tcPr>
          <w:p>
            <w:pPr>
              <w:pStyle w:val="TableContents"/>
              <w:bidi w:val="0"/>
              <w:spacing w:before="0" w:after="283"/>
              <w:jc w:val="left"/>
              <w:rPr>
                <w:b/>
              </w:rPr>
            </w:pPr>
            <w:r>
              <w:rPr>
                <w:b/>
              </w:rPr>
              <w:t>Resignation of Administrative Agent</w:t>
            </w:r>
          </w:p>
        </w:tc>
        <w:tc>
          <w:tcPr>
            <w:tcW w:w="395" w:type="dxa"/>
            <w:tcBorders/>
            <w:vAlign w:val="center"/>
          </w:tcPr>
          <w:p>
            <w:pPr>
              <w:pStyle w:val="TableContents"/>
              <w:bidi w:val="0"/>
              <w:spacing w:before="0" w:after="283"/>
              <w:jc w:val="right"/>
              <w:rPr/>
            </w:pPr>
            <w:r>
              <w:rPr/>
              <w:t>134</w:t>
            </w:r>
          </w:p>
        </w:tc>
      </w:tr>
      <w:tr>
        <w:trPr/>
        <w:tc>
          <w:tcPr>
            <w:tcW w:w="575" w:type="dxa"/>
            <w:tcBorders/>
            <w:vAlign w:val="center"/>
          </w:tcPr>
          <w:p>
            <w:pPr>
              <w:pStyle w:val="TableContents"/>
              <w:bidi w:val="0"/>
              <w:spacing w:before="0" w:after="283"/>
              <w:jc w:val="left"/>
              <w:rPr/>
            </w:pPr>
            <w:r>
              <w:rPr/>
              <w:t>9.07</w:t>
            </w:r>
          </w:p>
        </w:tc>
        <w:tc>
          <w:tcPr>
            <w:tcW w:w="9235" w:type="dxa"/>
            <w:tcBorders/>
            <w:vAlign w:val="center"/>
          </w:tcPr>
          <w:p>
            <w:pPr>
              <w:pStyle w:val="TableContents"/>
              <w:bidi w:val="0"/>
              <w:spacing w:before="0" w:after="283"/>
              <w:jc w:val="left"/>
              <w:rPr>
                <w:b/>
              </w:rPr>
            </w:pPr>
            <w:r>
              <w:rPr>
                <w:b/>
              </w:rPr>
              <w:t>Non-Reliance on Administrative Agent, the Arranger and the Other Lenders</w:t>
            </w:r>
          </w:p>
        </w:tc>
        <w:tc>
          <w:tcPr>
            <w:tcW w:w="395" w:type="dxa"/>
            <w:tcBorders/>
            <w:vAlign w:val="center"/>
          </w:tcPr>
          <w:p>
            <w:pPr>
              <w:pStyle w:val="TableContents"/>
              <w:bidi w:val="0"/>
              <w:spacing w:before="0" w:after="283"/>
              <w:jc w:val="right"/>
              <w:rPr/>
            </w:pPr>
            <w:r>
              <w:rPr/>
              <w:t>135</w:t>
            </w:r>
          </w:p>
        </w:tc>
      </w:tr>
      <w:tr>
        <w:trPr/>
        <w:tc>
          <w:tcPr>
            <w:tcW w:w="575" w:type="dxa"/>
            <w:tcBorders/>
            <w:vAlign w:val="center"/>
          </w:tcPr>
          <w:p>
            <w:pPr>
              <w:pStyle w:val="TableContents"/>
              <w:bidi w:val="0"/>
              <w:spacing w:before="0" w:after="283"/>
              <w:jc w:val="left"/>
              <w:rPr/>
            </w:pPr>
            <w:r>
              <w:rPr/>
              <w:t>9.08</w:t>
            </w:r>
          </w:p>
        </w:tc>
        <w:tc>
          <w:tcPr>
            <w:tcW w:w="9235" w:type="dxa"/>
            <w:tcBorders/>
            <w:vAlign w:val="center"/>
          </w:tcPr>
          <w:p>
            <w:pPr>
              <w:pStyle w:val="TableContents"/>
              <w:bidi w:val="0"/>
              <w:spacing w:before="0" w:after="283"/>
              <w:jc w:val="left"/>
              <w:rPr>
                <w:b/>
              </w:rPr>
            </w:pPr>
            <w:r>
              <w:rPr>
                <w:b/>
              </w:rPr>
              <w:t>No Other Duties, Etc.</w:t>
            </w:r>
          </w:p>
        </w:tc>
        <w:tc>
          <w:tcPr>
            <w:tcW w:w="395" w:type="dxa"/>
            <w:tcBorders/>
            <w:vAlign w:val="center"/>
          </w:tcPr>
          <w:p>
            <w:pPr>
              <w:pStyle w:val="TableContents"/>
              <w:bidi w:val="0"/>
              <w:spacing w:before="0" w:after="283"/>
              <w:jc w:val="right"/>
              <w:rPr/>
            </w:pPr>
            <w:r>
              <w:rPr/>
              <w:t>136</w:t>
            </w:r>
          </w:p>
        </w:tc>
      </w:tr>
      <w:tr>
        <w:trPr/>
        <w:tc>
          <w:tcPr>
            <w:tcW w:w="575" w:type="dxa"/>
            <w:tcBorders/>
            <w:vAlign w:val="center"/>
          </w:tcPr>
          <w:p>
            <w:pPr>
              <w:pStyle w:val="TableContents"/>
              <w:bidi w:val="0"/>
              <w:spacing w:before="0" w:after="283"/>
              <w:jc w:val="left"/>
              <w:rPr/>
            </w:pPr>
            <w:r>
              <w:rPr/>
              <w:t>9.09</w:t>
            </w:r>
          </w:p>
        </w:tc>
        <w:tc>
          <w:tcPr>
            <w:tcW w:w="9235" w:type="dxa"/>
            <w:tcBorders/>
            <w:vAlign w:val="center"/>
          </w:tcPr>
          <w:p>
            <w:pPr>
              <w:pStyle w:val="TableContents"/>
              <w:bidi w:val="0"/>
              <w:spacing w:before="0" w:after="283"/>
              <w:jc w:val="left"/>
              <w:rPr>
                <w:b/>
              </w:rPr>
            </w:pPr>
            <w:r>
              <w:rPr>
                <w:b/>
              </w:rPr>
              <w:t>Administrative Agent May File Proofs of Claim; Credit Bidding</w:t>
            </w:r>
          </w:p>
        </w:tc>
        <w:tc>
          <w:tcPr>
            <w:tcW w:w="395" w:type="dxa"/>
            <w:tcBorders/>
            <w:vAlign w:val="center"/>
          </w:tcPr>
          <w:p>
            <w:pPr>
              <w:pStyle w:val="TableContents"/>
              <w:bidi w:val="0"/>
              <w:spacing w:before="0" w:after="283"/>
              <w:jc w:val="right"/>
              <w:rPr/>
            </w:pPr>
            <w:r>
              <w:rPr/>
              <w:t>136</w:t>
            </w:r>
          </w:p>
        </w:tc>
      </w:tr>
      <w:tr>
        <w:trPr/>
        <w:tc>
          <w:tcPr>
            <w:tcW w:w="575" w:type="dxa"/>
            <w:tcBorders/>
            <w:vAlign w:val="center"/>
          </w:tcPr>
          <w:p>
            <w:pPr>
              <w:pStyle w:val="TableContents"/>
              <w:bidi w:val="0"/>
              <w:spacing w:before="0" w:after="283"/>
              <w:jc w:val="left"/>
              <w:rPr/>
            </w:pPr>
            <w:r>
              <w:rPr/>
              <w:t>9.10</w:t>
            </w:r>
          </w:p>
        </w:tc>
        <w:tc>
          <w:tcPr>
            <w:tcW w:w="9235" w:type="dxa"/>
            <w:tcBorders/>
            <w:vAlign w:val="center"/>
          </w:tcPr>
          <w:p>
            <w:pPr>
              <w:pStyle w:val="TableContents"/>
              <w:bidi w:val="0"/>
              <w:spacing w:before="0" w:after="283"/>
              <w:jc w:val="left"/>
              <w:rPr>
                <w:b/>
              </w:rPr>
            </w:pPr>
            <w:r>
              <w:rPr>
                <w:b/>
              </w:rPr>
              <w:t>Collateral and Guaranty Matters</w:t>
            </w:r>
          </w:p>
        </w:tc>
        <w:tc>
          <w:tcPr>
            <w:tcW w:w="395" w:type="dxa"/>
            <w:tcBorders/>
            <w:vAlign w:val="center"/>
          </w:tcPr>
          <w:p>
            <w:pPr>
              <w:pStyle w:val="TableContents"/>
              <w:bidi w:val="0"/>
              <w:spacing w:before="0" w:after="283"/>
              <w:jc w:val="right"/>
              <w:rPr/>
            </w:pPr>
            <w:r>
              <w:rPr/>
              <w:t>137</w:t>
            </w:r>
          </w:p>
        </w:tc>
      </w:tr>
      <w:tr>
        <w:trPr/>
        <w:tc>
          <w:tcPr>
            <w:tcW w:w="575" w:type="dxa"/>
            <w:tcBorders/>
            <w:vAlign w:val="center"/>
          </w:tcPr>
          <w:p>
            <w:pPr>
              <w:pStyle w:val="TableContents"/>
              <w:bidi w:val="0"/>
              <w:spacing w:before="0" w:after="283"/>
              <w:jc w:val="left"/>
              <w:rPr/>
            </w:pPr>
            <w:r>
              <w:rPr/>
              <w:t>9.11</w:t>
            </w:r>
          </w:p>
        </w:tc>
        <w:tc>
          <w:tcPr>
            <w:tcW w:w="9235" w:type="dxa"/>
            <w:tcBorders/>
            <w:vAlign w:val="center"/>
          </w:tcPr>
          <w:p>
            <w:pPr>
              <w:pStyle w:val="TableContents"/>
              <w:bidi w:val="0"/>
              <w:spacing w:before="0" w:after="283"/>
              <w:jc w:val="left"/>
              <w:rPr>
                <w:b/>
              </w:rPr>
            </w:pPr>
            <w:r>
              <w:rPr>
                <w:b/>
              </w:rPr>
              <w:t>Secured Cash Management Agreements and Secured Hedge Agreements</w:t>
            </w:r>
          </w:p>
        </w:tc>
        <w:tc>
          <w:tcPr>
            <w:tcW w:w="395" w:type="dxa"/>
            <w:tcBorders/>
            <w:vAlign w:val="center"/>
          </w:tcPr>
          <w:p>
            <w:pPr>
              <w:pStyle w:val="TableContents"/>
              <w:bidi w:val="0"/>
              <w:spacing w:before="0" w:after="283"/>
              <w:jc w:val="right"/>
              <w:rPr/>
            </w:pPr>
            <w:r>
              <w:rPr/>
              <w:t>138</w:t>
            </w:r>
          </w:p>
        </w:tc>
      </w:tr>
      <w:tr>
        <w:trPr/>
        <w:tc>
          <w:tcPr>
            <w:tcW w:w="575" w:type="dxa"/>
            <w:tcBorders/>
            <w:vAlign w:val="center"/>
          </w:tcPr>
          <w:p>
            <w:pPr>
              <w:pStyle w:val="TableContents"/>
              <w:bidi w:val="0"/>
              <w:spacing w:before="0" w:after="283"/>
              <w:jc w:val="left"/>
              <w:rPr/>
            </w:pPr>
            <w:r>
              <w:rPr/>
              <w:t>9.12</w:t>
            </w:r>
          </w:p>
        </w:tc>
        <w:tc>
          <w:tcPr>
            <w:tcW w:w="9235" w:type="dxa"/>
            <w:tcBorders/>
            <w:vAlign w:val="center"/>
          </w:tcPr>
          <w:p>
            <w:pPr>
              <w:pStyle w:val="TableContents"/>
              <w:bidi w:val="0"/>
              <w:spacing w:before="0" w:after="283"/>
              <w:jc w:val="left"/>
              <w:rPr>
                <w:b/>
              </w:rPr>
            </w:pPr>
            <w:r>
              <w:rPr>
                <w:b/>
              </w:rPr>
              <w:t>Certain ERISA Matters</w:t>
            </w:r>
          </w:p>
        </w:tc>
        <w:tc>
          <w:tcPr>
            <w:tcW w:w="395" w:type="dxa"/>
            <w:tcBorders/>
            <w:vAlign w:val="center"/>
          </w:tcPr>
          <w:p>
            <w:pPr>
              <w:pStyle w:val="TableContents"/>
              <w:bidi w:val="0"/>
              <w:spacing w:before="0" w:after="283"/>
              <w:jc w:val="right"/>
              <w:rPr/>
            </w:pPr>
            <w:r>
              <w:rPr/>
              <w:t>139</w:t>
            </w:r>
          </w:p>
        </w:tc>
      </w:tr>
      <w:tr>
        <w:trPr/>
        <w:tc>
          <w:tcPr>
            <w:tcW w:w="575" w:type="dxa"/>
            <w:tcBorders/>
            <w:vAlign w:val="center"/>
          </w:tcPr>
          <w:p>
            <w:pPr>
              <w:pStyle w:val="TableContents"/>
              <w:bidi w:val="0"/>
              <w:spacing w:before="0" w:after="283"/>
              <w:jc w:val="left"/>
              <w:rPr/>
            </w:pPr>
            <w:r>
              <w:rPr/>
              <w:t>9.13</w:t>
            </w:r>
          </w:p>
        </w:tc>
        <w:tc>
          <w:tcPr>
            <w:tcW w:w="9235" w:type="dxa"/>
            <w:tcBorders/>
            <w:vAlign w:val="center"/>
          </w:tcPr>
          <w:p>
            <w:pPr>
              <w:pStyle w:val="TableContents"/>
              <w:bidi w:val="0"/>
              <w:spacing w:before="0" w:after="283"/>
              <w:jc w:val="left"/>
              <w:rPr>
                <w:b/>
              </w:rPr>
            </w:pPr>
            <w:r>
              <w:rPr>
                <w:b/>
              </w:rPr>
              <w:t>Recovery of Erroneous Payments</w:t>
            </w:r>
          </w:p>
        </w:tc>
        <w:tc>
          <w:tcPr>
            <w:tcW w:w="395" w:type="dxa"/>
            <w:tcBorders/>
            <w:vAlign w:val="center"/>
          </w:tcPr>
          <w:p>
            <w:pPr>
              <w:pStyle w:val="TableContents"/>
              <w:bidi w:val="0"/>
              <w:spacing w:before="0" w:after="283"/>
              <w:ind w:left="0" w:right="0" w:hanging="720"/>
              <w:jc w:val="right"/>
              <w:rPr/>
            </w:pPr>
            <w:r>
              <w:rPr/>
              <w:t>139</w:t>
            </w:r>
          </w:p>
        </w:tc>
      </w:tr>
      <w:tr>
        <w:trPr/>
        <w:tc>
          <w:tcPr>
            <w:tcW w:w="9810" w:type="dxa"/>
            <w:gridSpan w:val="2"/>
            <w:tcBorders/>
            <w:vAlign w:val="center"/>
          </w:tcPr>
          <w:p>
            <w:pPr>
              <w:pStyle w:val="TableContents"/>
              <w:bidi w:val="0"/>
              <w:spacing w:before="0" w:after="283"/>
              <w:jc w:val="left"/>
              <w:rPr/>
            </w:pPr>
            <w:r>
              <w:rPr/>
              <w:t>Article X CONTINUING GUARANTY</w:t>
            </w:r>
          </w:p>
        </w:tc>
        <w:tc>
          <w:tcPr>
            <w:tcW w:w="395" w:type="dxa"/>
            <w:tcBorders/>
            <w:vAlign w:val="center"/>
          </w:tcPr>
          <w:p>
            <w:pPr>
              <w:pStyle w:val="TableContents"/>
              <w:bidi w:val="0"/>
              <w:spacing w:before="0" w:after="283"/>
              <w:jc w:val="right"/>
              <w:rPr/>
            </w:pPr>
            <w:r>
              <w:rPr/>
              <w:t>142</w:t>
            </w:r>
          </w:p>
        </w:tc>
      </w:tr>
      <w:tr>
        <w:trPr/>
        <w:tc>
          <w:tcPr>
            <w:tcW w:w="575" w:type="dxa"/>
            <w:tcBorders/>
            <w:vAlign w:val="center"/>
          </w:tcPr>
          <w:p>
            <w:pPr>
              <w:pStyle w:val="TableContents"/>
              <w:bidi w:val="0"/>
              <w:spacing w:before="0" w:after="283"/>
              <w:jc w:val="left"/>
              <w:rPr/>
            </w:pPr>
            <w:r>
              <w:rPr/>
              <w:t>10.01</w:t>
            </w:r>
          </w:p>
        </w:tc>
        <w:tc>
          <w:tcPr>
            <w:tcW w:w="9235" w:type="dxa"/>
            <w:tcBorders/>
            <w:vAlign w:val="center"/>
          </w:tcPr>
          <w:p>
            <w:pPr>
              <w:pStyle w:val="TableContents"/>
              <w:bidi w:val="0"/>
              <w:spacing w:before="0" w:after="283"/>
              <w:jc w:val="left"/>
              <w:rPr>
                <w:b/>
              </w:rPr>
            </w:pPr>
            <w:r>
              <w:rPr>
                <w:b/>
              </w:rPr>
              <w:t>Guaranty</w:t>
            </w:r>
          </w:p>
        </w:tc>
        <w:tc>
          <w:tcPr>
            <w:tcW w:w="395" w:type="dxa"/>
            <w:tcBorders/>
            <w:vAlign w:val="center"/>
          </w:tcPr>
          <w:p>
            <w:pPr>
              <w:pStyle w:val="TableContents"/>
              <w:bidi w:val="0"/>
              <w:spacing w:before="0" w:after="283"/>
              <w:jc w:val="right"/>
              <w:rPr/>
            </w:pPr>
            <w:r>
              <w:rPr/>
              <w:t>142</w:t>
            </w:r>
          </w:p>
        </w:tc>
      </w:tr>
      <w:tr>
        <w:trPr/>
        <w:tc>
          <w:tcPr>
            <w:tcW w:w="575" w:type="dxa"/>
            <w:tcBorders/>
            <w:vAlign w:val="center"/>
          </w:tcPr>
          <w:p>
            <w:pPr>
              <w:pStyle w:val="TableContents"/>
              <w:bidi w:val="0"/>
              <w:spacing w:before="0" w:after="283"/>
              <w:jc w:val="left"/>
              <w:rPr/>
            </w:pPr>
            <w:r>
              <w:rPr/>
              <w:t>10.02</w:t>
            </w:r>
          </w:p>
        </w:tc>
        <w:tc>
          <w:tcPr>
            <w:tcW w:w="9235" w:type="dxa"/>
            <w:tcBorders/>
            <w:vAlign w:val="center"/>
          </w:tcPr>
          <w:p>
            <w:pPr>
              <w:pStyle w:val="TableContents"/>
              <w:bidi w:val="0"/>
              <w:spacing w:before="0" w:after="283"/>
              <w:jc w:val="left"/>
              <w:rPr>
                <w:b/>
              </w:rPr>
            </w:pPr>
            <w:r>
              <w:rPr>
                <w:b/>
              </w:rPr>
              <w:t>Rights of Lenders</w:t>
            </w:r>
          </w:p>
        </w:tc>
        <w:tc>
          <w:tcPr>
            <w:tcW w:w="395" w:type="dxa"/>
            <w:tcBorders/>
            <w:vAlign w:val="center"/>
          </w:tcPr>
          <w:p>
            <w:pPr>
              <w:pStyle w:val="TableContents"/>
              <w:bidi w:val="0"/>
              <w:spacing w:before="0" w:after="283"/>
              <w:jc w:val="right"/>
              <w:rPr/>
            </w:pPr>
            <w:r>
              <w:rPr/>
              <w:t>142</w:t>
            </w:r>
          </w:p>
        </w:tc>
      </w:tr>
      <w:tr>
        <w:trPr/>
        <w:tc>
          <w:tcPr>
            <w:tcW w:w="575" w:type="dxa"/>
            <w:tcBorders/>
            <w:vAlign w:val="center"/>
          </w:tcPr>
          <w:p>
            <w:pPr>
              <w:pStyle w:val="TableContents"/>
              <w:bidi w:val="0"/>
              <w:spacing w:before="0" w:after="283"/>
              <w:jc w:val="left"/>
              <w:rPr/>
            </w:pPr>
            <w:r>
              <w:rPr/>
              <w:t>10.03</w:t>
            </w:r>
          </w:p>
        </w:tc>
        <w:tc>
          <w:tcPr>
            <w:tcW w:w="9235" w:type="dxa"/>
            <w:tcBorders/>
            <w:vAlign w:val="center"/>
          </w:tcPr>
          <w:p>
            <w:pPr>
              <w:pStyle w:val="TableContents"/>
              <w:bidi w:val="0"/>
              <w:spacing w:before="0" w:after="283"/>
              <w:jc w:val="left"/>
              <w:rPr>
                <w:b/>
              </w:rPr>
            </w:pPr>
            <w:r>
              <w:rPr>
                <w:b/>
              </w:rPr>
              <w:t>Certain Waivers</w:t>
            </w:r>
          </w:p>
        </w:tc>
        <w:tc>
          <w:tcPr>
            <w:tcW w:w="395" w:type="dxa"/>
            <w:tcBorders/>
            <w:vAlign w:val="center"/>
          </w:tcPr>
          <w:p>
            <w:pPr>
              <w:pStyle w:val="TableContents"/>
              <w:bidi w:val="0"/>
              <w:spacing w:before="0" w:after="283"/>
              <w:jc w:val="right"/>
              <w:rPr/>
            </w:pPr>
            <w:r>
              <w:rPr/>
              <w:t>143</w:t>
            </w:r>
          </w:p>
        </w:tc>
      </w:tr>
      <w:tr>
        <w:trPr/>
        <w:tc>
          <w:tcPr>
            <w:tcW w:w="575" w:type="dxa"/>
            <w:tcBorders/>
            <w:vAlign w:val="center"/>
          </w:tcPr>
          <w:p>
            <w:pPr>
              <w:pStyle w:val="TableContents"/>
              <w:bidi w:val="0"/>
              <w:spacing w:before="0" w:after="283"/>
              <w:jc w:val="left"/>
              <w:rPr/>
            </w:pPr>
            <w:r>
              <w:rPr/>
              <w:t>10.04</w:t>
            </w:r>
          </w:p>
        </w:tc>
        <w:tc>
          <w:tcPr>
            <w:tcW w:w="9235" w:type="dxa"/>
            <w:tcBorders/>
            <w:vAlign w:val="center"/>
          </w:tcPr>
          <w:p>
            <w:pPr>
              <w:pStyle w:val="TableContents"/>
              <w:bidi w:val="0"/>
              <w:spacing w:before="0" w:after="283"/>
              <w:jc w:val="left"/>
              <w:rPr>
                <w:b/>
              </w:rPr>
            </w:pPr>
            <w:r>
              <w:rPr>
                <w:b/>
              </w:rPr>
              <w:t>Obligations Independent</w:t>
            </w:r>
          </w:p>
        </w:tc>
        <w:tc>
          <w:tcPr>
            <w:tcW w:w="395" w:type="dxa"/>
            <w:tcBorders/>
            <w:vAlign w:val="center"/>
          </w:tcPr>
          <w:p>
            <w:pPr>
              <w:pStyle w:val="TableContents"/>
              <w:bidi w:val="0"/>
              <w:spacing w:before="0" w:after="283"/>
              <w:jc w:val="right"/>
              <w:rPr/>
            </w:pPr>
            <w:r>
              <w:rPr/>
              <w:t>143</w:t>
            </w:r>
          </w:p>
        </w:tc>
      </w:tr>
      <w:tr>
        <w:trPr/>
        <w:tc>
          <w:tcPr>
            <w:tcW w:w="575" w:type="dxa"/>
            <w:tcBorders/>
            <w:vAlign w:val="center"/>
          </w:tcPr>
          <w:p>
            <w:pPr>
              <w:pStyle w:val="TableContents"/>
              <w:bidi w:val="0"/>
              <w:spacing w:before="0" w:after="283"/>
              <w:jc w:val="left"/>
              <w:rPr/>
            </w:pPr>
            <w:r>
              <w:rPr/>
              <w:t>10.05</w:t>
            </w:r>
          </w:p>
        </w:tc>
        <w:tc>
          <w:tcPr>
            <w:tcW w:w="9235" w:type="dxa"/>
            <w:tcBorders/>
            <w:vAlign w:val="center"/>
          </w:tcPr>
          <w:p>
            <w:pPr>
              <w:pStyle w:val="TableContents"/>
              <w:bidi w:val="0"/>
              <w:spacing w:before="0" w:after="283"/>
              <w:jc w:val="left"/>
              <w:rPr>
                <w:b/>
              </w:rPr>
            </w:pPr>
            <w:r>
              <w:rPr>
                <w:b/>
              </w:rPr>
              <w:t>Subrogation</w:t>
            </w:r>
          </w:p>
        </w:tc>
        <w:tc>
          <w:tcPr>
            <w:tcW w:w="395" w:type="dxa"/>
            <w:tcBorders/>
            <w:vAlign w:val="center"/>
          </w:tcPr>
          <w:p>
            <w:pPr>
              <w:pStyle w:val="TableContents"/>
              <w:bidi w:val="0"/>
              <w:spacing w:before="0" w:after="283"/>
              <w:jc w:val="right"/>
              <w:rPr/>
            </w:pPr>
            <w:r>
              <w:rPr/>
              <w:t>143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625" w:type="dxa"/>
        <w:jc w:val="left"/>
        <w:tblInd w:w="0" w:type="dxa"/>
        <w:tblLayout w:type="fixed"/>
        <w:tblCellMar>
          <w:top w:w="0" w:type="dxa"/>
          <w:left w:w="0" w:type="dxa"/>
          <w:bottom w:w="0" w:type="dxa"/>
          <w:right w:w="0" w:type="dxa"/>
        </w:tblCellMar>
      </w:tblPr>
      <w:tblGrid>
        <w:gridCol w:w="575"/>
        <w:gridCol w:w="7655"/>
        <w:gridCol w:w="395"/>
      </w:tblGrid>
      <w:tr>
        <w:trPr/>
        <w:tc>
          <w:tcPr>
            <w:tcW w:w="575" w:type="dxa"/>
            <w:tcBorders/>
            <w:vAlign w:val="center"/>
          </w:tcPr>
          <w:p>
            <w:pPr>
              <w:pStyle w:val="TableContents"/>
              <w:bidi w:val="0"/>
              <w:spacing w:before="0" w:after="283"/>
              <w:jc w:val="left"/>
              <w:rPr/>
            </w:pPr>
            <w:r>
              <w:rPr/>
              <w:t>10.06</w:t>
            </w:r>
          </w:p>
        </w:tc>
        <w:tc>
          <w:tcPr>
            <w:tcW w:w="7655" w:type="dxa"/>
            <w:tcBorders/>
            <w:vAlign w:val="center"/>
          </w:tcPr>
          <w:p>
            <w:pPr>
              <w:pStyle w:val="TableContents"/>
              <w:bidi w:val="0"/>
              <w:spacing w:before="0" w:after="283"/>
              <w:jc w:val="left"/>
              <w:rPr>
                <w:b/>
              </w:rPr>
            </w:pPr>
            <w:r>
              <w:rPr>
                <w:b/>
              </w:rPr>
              <w:t>Termination; Reinstatement</w:t>
            </w:r>
          </w:p>
        </w:tc>
        <w:tc>
          <w:tcPr>
            <w:tcW w:w="395" w:type="dxa"/>
            <w:tcBorders/>
            <w:vAlign w:val="center"/>
          </w:tcPr>
          <w:p>
            <w:pPr>
              <w:pStyle w:val="TableContents"/>
              <w:bidi w:val="0"/>
              <w:spacing w:before="0" w:after="283"/>
              <w:jc w:val="right"/>
              <w:rPr/>
            </w:pPr>
            <w:r>
              <w:rPr/>
              <w:t>143</w:t>
            </w:r>
          </w:p>
        </w:tc>
      </w:tr>
      <w:tr>
        <w:trPr/>
        <w:tc>
          <w:tcPr>
            <w:tcW w:w="575" w:type="dxa"/>
            <w:tcBorders/>
            <w:vAlign w:val="center"/>
          </w:tcPr>
          <w:p>
            <w:pPr>
              <w:pStyle w:val="TableContents"/>
              <w:bidi w:val="0"/>
              <w:spacing w:before="0" w:after="283"/>
              <w:jc w:val="left"/>
              <w:rPr/>
            </w:pPr>
            <w:r>
              <w:rPr/>
              <w:t>10.07</w:t>
            </w:r>
          </w:p>
        </w:tc>
        <w:tc>
          <w:tcPr>
            <w:tcW w:w="7655" w:type="dxa"/>
            <w:tcBorders/>
            <w:vAlign w:val="center"/>
          </w:tcPr>
          <w:p>
            <w:pPr>
              <w:pStyle w:val="TableContents"/>
              <w:bidi w:val="0"/>
              <w:spacing w:before="0" w:after="283"/>
              <w:jc w:val="left"/>
              <w:rPr>
                <w:b/>
              </w:rPr>
            </w:pPr>
            <w:r>
              <w:rPr>
                <w:b/>
              </w:rPr>
              <w:t>Stay of Acceleration</w:t>
            </w:r>
          </w:p>
        </w:tc>
        <w:tc>
          <w:tcPr>
            <w:tcW w:w="395" w:type="dxa"/>
            <w:tcBorders/>
            <w:vAlign w:val="center"/>
          </w:tcPr>
          <w:p>
            <w:pPr>
              <w:pStyle w:val="TableContents"/>
              <w:bidi w:val="0"/>
              <w:spacing w:before="0" w:after="283"/>
              <w:jc w:val="right"/>
              <w:rPr/>
            </w:pPr>
            <w:r>
              <w:rPr/>
              <w:t>144</w:t>
            </w:r>
          </w:p>
        </w:tc>
      </w:tr>
      <w:tr>
        <w:trPr/>
        <w:tc>
          <w:tcPr>
            <w:tcW w:w="575" w:type="dxa"/>
            <w:tcBorders/>
            <w:vAlign w:val="center"/>
          </w:tcPr>
          <w:p>
            <w:pPr>
              <w:pStyle w:val="TableContents"/>
              <w:bidi w:val="0"/>
              <w:spacing w:before="0" w:after="283"/>
              <w:jc w:val="left"/>
              <w:rPr/>
            </w:pPr>
            <w:r>
              <w:rPr/>
              <w:t>10.08</w:t>
            </w:r>
          </w:p>
        </w:tc>
        <w:tc>
          <w:tcPr>
            <w:tcW w:w="7655" w:type="dxa"/>
            <w:tcBorders/>
            <w:vAlign w:val="center"/>
          </w:tcPr>
          <w:p>
            <w:pPr>
              <w:pStyle w:val="TableContents"/>
              <w:bidi w:val="0"/>
              <w:spacing w:before="0" w:after="283"/>
              <w:jc w:val="left"/>
              <w:rPr>
                <w:b/>
              </w:rPr>
            </w:pPr>
            <w:r>
              <w:rPr>
                <w:b/>
              </w:rPr>
              <w:t>Condition of Borrower</w:t>
            </w:r>
          </w:p>
        </w:tc>
        <w:tc>
          <w:tcPr>
            <w:tcW w:w="395" w:type="dxa"/>
            <w:tcBorders/>
            <w:vAlign w:val="center"/>
          </w:tcPr>
          <w:p>
            <w:pPr>
              <w:pStyle w:val="TableContents"/>
              <w:bidi w:val="0"/>
              <w:spacing w:before="0" w:after="283"/>
              <w:jc w:val="right"/>
              <w:rPr/>
            </w:pPr>
            <w:r>
              <w:rPr/>
              <w:t>144</w:t>
            </w:r>
          </w:p>
        </w:tc>
      </w:tr>
      <w:tr>
        <w:trPr/>
        <w:tc>
          <w:tcPr>
            <w:tcW w:w="575" w:type="dxa"/>
            <w:tcBorders/>
            <w:vAlign w:val="center"/>
          </w:tcPr>
          <w:p>
            <w:pPr>
              <w:pStyle w:val="TableContents"/>
              <w:bidi w:val="0"/>
              <w:spacing w:before="0" w:after="283"/>
              <w:jc w:val="left"/>
              <w:rPr/>
            </w:pPr>
            <w:r>
              <w:rPr/>
              <w:t>10.09</w:t>
            </w:r>
          </w:p>
        </w:tc>
        <w:tc>
          <w:tcPr>
            <w:tcW w:w="7655" w:type="dxa"/>
            <w:tcBorders/>
            <w:vAlign w:val="center"/>
          </w:tcPr>
          <w:p>
            <w:pPr>
              <w:pStyle w:val="TableContents"/>
              <w:bidi w:val="0"/>
              <w:spacing w:before="0" w:after="283"/>
              <w:jc w:val="left"/>
              <w:rPr>
                <w:b/>
              </w:rPr>
            </w:pPr>
            <w:r>
              <w:rPr>
                <w:b/>
              </w:rPr>
              <w:t>Appointment of Borrower</w:t>
            </w:r>
          </w:p>
        </w:tc>
        <w:tc>
          <w:tcPr>
            <w:tcW w:w="395" w:type="dxa"/>
            <w:tcBorders/>
            <w:vAlign w:val="center"/>
          </w:tcPr>
          <w:p>
            <w:pPr>
              <w:pStyle w:val="TableContents"/>
              <w:bidi w:val="0"/>
              <w:spacing w:before="0" w:after="283"/>
              <w:jc w:val="right"/>
              <w:rPr/>
            </w:pPr>
            <w:r>
              <w:rPr/>
              <w:t>144</w:t>
            </w:r>
          </w:p>
        </w:tc>
      </w:tr>
      <w:tr>
        <w:trPr/>
        <w:tc>
          <w:tcPr>
            <w:tcW w:w="575" w:type="dxa"/>
            <w:tcBorders/>
            <w:vAlign w:val="center"/>
          </w:tcPr>
          <w:p>
            <w:pPr>
              <w:pStyle w:val="TableContents"/>
              <w:bidi w:val="0"/>
              <w:spacing w:before="0" w:after="283"/>
              <w:jc w:val="left"/>
              <w:rPr/>
            </w:pPr>
            <w:r>
              <w:rPr/>
              <w:t>10.10</w:t>
            </w:r>
          </w:p>
        </w:tc>
        <w:tc>
          <w:tcPr>
            <w:tcW w:w="7655" w:type="dxa"/>
            <w:tcBorders/>
            <w:vAlign w:val="center"/>
          </w:tcPr>
          <w:p>
            <w:pPr>
              <w:pStyle w:val="TableContents"/>
              <w:bidi w:val="0"/>
              <w:spacing w:before="0" w:after="283"/>
              <w:jc w:val="left"/>
              <w:rPr>
                <w:b/>
              </w:rPr>
            </w:pPr>
            <w:r>
              <w:rPr>
                <w:b/>
              </w:rPr>
              <w:t>Right of Contribution</w:t>
            </w:r>
          </w:p>
        </w:tc>
        <w:tc>
          <w:tcPr>
            <w:tcW w:w="395" w:type="dxa"/>
            <w:tcBorders/>
            <w:vAlign w:val="center"/>
          </w:tcPr>
          <w:p>
            <w:pPr>
              <w:pStyle w:val="TableContents"/>
              <w:bidi w:val="0"/>
              <w:spacing w:before="0" w:after="283"/>
              <w:jc w:val="right"/>
              <w:rPr/>
            </w:pPr>
            <w:r>
              <w:rPr/>
              <w:t>144</w:t>
            </w:r>
          </w:p>
        </w:tc>
      </w:tr>
      <w:tr>
        <w:trPr/>
        <w:tc>
          <w:tcPr>
            <w:tcW w:w="575" w:type="dxa"/>
            <w:tcBorders/>
            <w:vAlign w:val="center"/>
          </w:tcPr>
          <w:p>
            <w:pPr>
              <w:pStyle w:val="TableContents"/>
              <w:bidi w:val="0"/>
              <w:spacing w:before="0" w:after="283"/>
              <w:jc w:val="left"/>
              <w:rPr/>
            </w:pPr>
            <w:r>
              <w:rPr/>
              <w:t>10.11</w:t>
            </w:r>
          </w:p>
        </w:tc>
        <w:tc>
          <w:tcPr>
            <w:tcW w:w="7655" w:type="dxa"/>
            <w:tcBorders/>
            <w:vAlign w:val="center"/>
          </w:tcPr>
          <w:p>
            <w:pPr>
              <w:pStyle w:val="TableContents"/>
              <w:bidi w:val="0"/>
              <w:spacing w:before="0" w:after="283"/>
              <w:jc w:val="left"/>
              <w:rPr>
                <w:b/>
              </w:rPr>
            </w:pPr>
            <w:r>
              <w:rPr>
                <w:b/>
              </w:rPr>
              <w:t>Keepwell</w:t>
            </w:r>
          </w:p>
        </w:tc>
        <w:tc>
          <w:tcPr>
            <w:tcW w:w="395" w:type="dxa"/>
            <w:tcBorders/>
            <w:vAlign w:val="center"/>
          </w:tcPr>
          <w:p>
            <w:pPr>
              <w:pStyle w:val="TableContents"/>
              <w:bidi w:val="0"/>
              <w:spacing w:before="0" w:after="283"/>
              <w:ind w:left="0" w:right="0" w:hanging="720"/>
              <w:jc w:val="right"/>
              <w:rPr/>
            </w:pPr>
            <w:r>
              <w:rPr/>
              <w:t>144</w:t>
            </w:r>
          </w:p>
        </w:tc>
      </w:tr>
      <w:tr>
        <w:trPr/>
        <w:tc>
          <w:tcPr>
            <w:tcW w:w="8230" w:type="dxa"/>
            <w:gridSpan w:val="2"/>
            <w:tcBorders/>
            <w:vAlign w:val="center"/>
          </w:tcPr>
          <w:p>
            <w:pPr>
              <w:pStyle w:val="TableContents"/>
              <w:bidi w:val="0"/>
              <w:spacing w:before="0" w:after="283"/>
              <w:jc w:val="left"/>
              <w:rPr/>
            </w:pPr>
            <w:r>
              <w:rPr/>
              <w:t>Article XI MISCELLANEOUS</w:t>
            </w:r>
          </w:p>
        </w:tc>
        <w:tc>
          <w:tcPr>
            <w:tcW w:w="395" w:type="dxa"/>
            <w:tcBorders/>
            <w:vAlign w:val="center"/>
          </w:tcPr>
          <w:p>
            <w:pPr>
              <w:pStyle w:val="TableContents"/>
              <w:bidi w:val="0"/>
              <w:spacing w:before="0" w:after="283"/>
              <w:jc w:val="right"/>
              <w:rPr/>
            </w:pPr>
            <w:r>
              <w:rPr/>
              <w:t>145</w:t>
            </w:r>
          </w:p>
        </w:tc>
      </w:tr>
      <w:tr>
        <w:trPr/>
        <w:tc>
          <w:tcPr>
            <w:tcW w:w="575" w:type="dxa"/>
            <w:tcBorders/>
            <w:vAlign w:val="center"/>
          </w:tcPr>
          <w:p>
            <w:pPr>
              <w:pStyle w:val="TableContents"/>
              <w:bidi w:val="0"/>
              <w:spacing w:before="0" w:after="283"/>
              <w:jc w:val="left"/>
              <w:rPr/>
            </w:pPr>
            <w:r>
              <w:rPr/>
              <w:t>11.01</w:t>
            </w:r>
          </w:p>
        </w:tc>
        <w:tc>
          <w:tcPr>
            <w:tcW w:w="7655" w:type="dxa"/>
            <w:tcBorders/>
            <w:vAlign w:val="center"/>
          </w:tcPr>
          <w:p>
            <w:pPr>
              <w:pStyle w:val="TableContents"/>
              <w:bidi w:val="0"/>
              <w:spacing w:before="0" w:after="283"/>
              <w:jc w:val="left"/>
              <w:rPr>
                <w:b/>
              </w:rPr>
            </w:pPr>
            <w:r>
              <w:rPr>
                <w:b/>
              </w:rPr>
              <w:t>Amendments, Etc.</w:t>
            </w:r>
          </w:p>
        </w:tc>
        <w:tc>
          <w:tcPr>
            <w:tcW w:w="395" w:type="dxa"/>
            <w:tcBorders/>
            <w:vAlign w:val="center"/>
          </w:tcPr>
          <w:p>
            <w:pPr>
              <w:pStyle w:val="TableContents"/>
              <w:bidi w:val="0"/>
              <w:spacing w:before="0" w:after="283"/>
              <w:jc w:val="right"/>
              <w:rPr/>
            </w:pPr>
            <w:r>
              <w:rPr/>
              <w:t>145</w:t>
            </w:r>
          </w:p>
        </w:tc>
      </w:tr>
      <w:tr>
        <w:trPr/>
        <w:tc>
          <w:tcPr>
            <w:tcW w:w="575" w:type="dxa"/>
            <w:tcBorders/>
            <w:vAlign w:val="center"/>
          </w:tcPr>
          <w:p>
            <w:pPr>
              <w:pStyle w:val="TableContents"/>
              <w:bidi w:val="0"/>
              <w:spacing w:before="0" w:after="283"/>
              <w:jc w:val="left"/>
              <w:rPr/>
            </w:pPr>
            <w:r>
              <w:rPr/>
              <w:t>11.02</w:t>
            </w:r>
          </w:p>
        </w:tc>
        <w:tc>
          <w:tcPr>
            <w:tcW w:w="7655" w:type="dxa"/>
            <w:tcBorders/>
            <w:vAlign w:val="center"/>
          </w:tcPr>
          <w:p>
            <w:pPr>
              <w:pStyle w:val="TableContents"/>
              <w:bidi w:val="0"/>
              <w:spacing w:before="0" w:after="283"/>
              <w:jc w:val="left"/>
              <w:rPr>
                <w:b/>
              </w:rPr>
            </w:pPr>
            <w:r>
              <w:rPr>
                <w:b/>
              </w:rPr>
              <w:t>Notices; Effectiveness; Electronic Communications</w:t>
            </w:r>
          </w:p>
        </w:tc>
        <w:tc>
          <w:tcPr>
            <w:tcW w:w="395" w:type="dxa"/>
            <w:tcBorders/>
            <w:vAlign w:val="center"/>
          </w:tcPr>
          <w:p>
            <w:pPr>
              <w:pStyle w:val="TableContents"/>
              <w:bidi w:val="0"/>
              <w:spacing w:before="0" w:after="283"/>
              <w:jc w:val="right"/>
              <w:rPr/>
            </w:pPr>
            <w:r>
              <w:rPr/>
              <w:t>147</w:t>
            </w:r>
          </w:p>
        </w:tc>
      </w:tr>
      <w:tr>
        <w:trPr/>
        <w:tc>
          <w:tcPr>
            <w:tcW w:w="575" w:type="dxa"/>
            <w:tcBorders/>
            <w:vAlign w:val="center"/>
          </w:tcPr>
          <w:p>
            <w:pPr>
              <w:pStyle w:val="TableContents"/>
              <w:bidi w:val="0"/>
              <w:spacing w:before="0" w:after="283"/>
              <w:jc w:val="left"/>
              <w:rPr/>
            </w:pPr>
            <w:r>
              <w:rPr/>
              <w:t>11.03</w:t>
            </w:r>
          </w:p>
        </w:tc>
        <w:tc>
          <w:tcPr>
            <w:tcW w:w="7655" w:type="dxa"/>
            <w:tcBorders/>
            <w:vAlign w:val="center"/>
          </w:tcPr>
          <w:p>
            <w:pPr>
              <w:pStyle w:val="TableContents"/>
              <w:bidi w:val="0"/>
              <w:spacing w:before="0" w:after="283"/>
              <w:jc w:val="left"/>
              <w:rPr>
                <w:b/>
              </w:rPr>
            </w:pPr>
            <w:r>
              <w:rPr>
                <w:b/>
              </w:rPr>
              <w:t>No Waiver; Cumulative Remedies; Enforcement</w:t>
            </w:r>
          </w:p>
        </w:tc>
        <w:tc>
          <w:tcPr>
            <w:tcW w:w="395" w:type="dxa"/>
            <w:tcBorders/>
            <w:vAlign w:val="center"/>
          </w:tcPr>
          <w:p>
            <w:pPr>
              <w:pStyle w:val="TableContents"/>
              <w:bidi w:val="0"/>
              <w:spacing w:before="0" w:after="283"/>
              <w:jc w:val="right"/>
              <w:rPr/>
            </w:pPr>
            <w:r>
              <w:rPr/>
              <w:t>149</w:t>
            </w:r>
          </w:p>
        </w:tc>
      </w:tr>
      <w:tr>
        <w:trPr/>
        <w:tc>
          <w:tcPr>
            <w:tcW w:w="575" w:type="dxa"/>
            <w:tcBorders/>
            <w:vAlign w:val="center"/>
          </w:tcPr>
          <w:p>
            <w:pPr>
              <w:pStyle w:val="TableContents"/>
              <w:bidi w:val="0"/>
              <w:spacing w:before="0" w:after="283"/>
              <w:jc w:val="left"/>
              <w:rPr/>
            </w:pPr>
            <w:r>
              <w:rPr/>
              <w:t>11.04</w:t>
            </w:r>
          </w:p>
        </w:tc>
        <w:tc>
          <w:tcPr>
            <w:tcW w:w="7655" w:type="dxa"/>
            <w:tcBorders/>
            <w:vAlign w:val="center"/>
          </w:tcPr>
          <w:p>
            <w:pPr>
              <w:pStyle w:val="TableContents"/>
              <w:bidi w:val="0"/>
              <w:spacing w:before="0" w:after="283"/>
              <w:jc w:val="left"/>
              <w:rPr>
                <w:b/>
              </w:rPr>
            </w:pPr>
            <w:r>
              <w:rPr>
                <w:b/>
              </w:rPr>
              <w:t>Expenses; Indemnity; Damage Waiver</w:t>
            </w:r>
          </w:p>
        </w:tc>
        <w:tc>
          <w:tcPr>
            <w:tcW w:w="395" w:type="dxa"/>
            <w:tcBorders/>
            <w:vAlign w:val="center"/>
          </w:tcPr>
          <w:p>
            <w:pPr>
              <w:pStyle w:val="TableContents"/>
              <w:bidi w:val="0"/>
              <w:spacing w:before="0" w:after="283"/>
              <w:jc w:val="right"/>
              <w:rPr/>
            </w:pPr>
            <w:r>
              <w:rPr/>
              <w:t>150</w:t>
            </w:r>
          </w:p>
        </w:tc>
      </w:tr>
      <w:tr>
        <w:trPr/>
        <w:tc>
          <w:tcPr>
            <w:tcW w:w="575" w:type="dxa"/>
            <w:tcBorders/>
            <w:vAlign w:val="center"/>
          </w:tcPr>
          <w:p>
            <w:pPr>
              <w:pStyle w:val="TableContents"/>
              <w:bidi w:val="0"/>
              <w:spacing w:before="0" w:after="283"/>
              <w:jc w:val="left"/>
              <w:rPr/>
            </w:pPr>
            <w:r>
              <w:rPr/>
              <w:t>11.05</w:t>
            </w:r>
          </w:p>
        </w:tc>
        <w:tc>
          <w:tcPr>
            <w:tcW w:w="7655" w:type="dxa"/>
            <w:tcBorders/>
            <w:vAlign w:val="center"/>
          </w:tcPr>
          <w:p>
            <w:pPr>
              <w:pStyle w:val="TableContents"/>
              <w:bidi w:val="0"/>
              <w:spacing w:before="0" w:after="283"/>
              <w:jc w:val="left"/>
              <w:rPr>
                <w:b/>
              </w:rPr>
            </w:pPr>
            <w:r>
              <w:rPr>
                <w:b/>
              </w:rPr>
              <w:t>Payments Set Aside</w:t>
            </w:r>
          </w:p>
        </w:tc>
        <w:tc>
          <w:tcPr>
            <w:tcW w:w="395" w:type="dxa"/>
            <w:tcBorders/>
            <w:vAlign w:val="center"/>
          </w:tcPr>
          <w:p>
            <w:pPr>
              <w:pStyle w:val="TableContents"/>
              <w:bidi w:val="0"/>
              <w:spacing w:before="0" w:after="283"/>
              <w:jc w:val="right"/>
              <w:rPr/>
            </w:pPr>
            <w:r>
              <w:rPr/>
              <w:t>152</w:t>
            </w:r>
          </w:p>
        </w:tc>
      </w:tr>
      <w:tr>
        <w:trPr/>
        <w:tc>
          <w:tcPr>
            <w:tcW w:w="575" w:type="dxa"/>
            <w:tcBorders/>
            <w:vAlign w:val="center"/>
          </w:tcPr>
          <w:p>
            <w:pPr>
              <w:pStyle w:val="TableContents"/>
              <w:bidi w:val="0"/>
              <w:spacing w:before="0" w:after="283"/>
              <w:jc w:val="left"/>
              <w:rPr/>
            </w:pPr>
            <w:r>
              <w:rPr/>
              <w:t>11.06</w:t>
            </w:r>
          </w:p>
        </w:tc>
        <w:tc>
          <w:tcPr>
            <w:tcW w:w="7655" w:type="dxa"/>
            <w:tcBorders/>
            <w:vAlign w:val="center"/>
          </w:tcPr>
          <w:p>
            <w:pPr>
              <w:pStyle w:val="TableContents"/>
              <w:bidi w:val="0"/>
              <w:spacing w:before="0" w:after="283"/>
              <w:jc w:val="left"/>
              <w:rPr>
                <w:b/>
              </w:rPr>
            </w:pPr>
            <w:r>
              <w:rPr>
                <w:b/>
              </w:rPr>
              <w:t>Successors and Assigns</w:t>
            </w:r>
          </w:p>
        </w:tc>
        <w:tc>
          <w:tcPr>
            <w:tcW w:w="395" w:type="dxa"/>
            <w:tcBorders/>
            <w:vAlign w:val="center"/>
          </w:tcPr>
          <w:p>
            <w:pPr>
              <w:pStyle w:val="TableContents"/>
              <w:bidi w:val="0"/>
              <w:spacing w:before="0" w:after="283"/>
              <w:jc w:val="right"/>
              <w:rPr/>
            </w:pPr>
            <w:r>
              <w:rPr/>
              <w:t>152</w:t>
            </w:r>
          </w:p>
        </w:tc>
      </w:tr>
      <w:tr>
        <w:trPr/>
        <w:tc>
          <w:tcPr>
            <w:tcW w:w="575" w:type="dxa"/>
            <w:tcBorders/>
            <w:vAlign w:val="center"/>
          </w:tcPr>
          <w:p>
            <w:pPr>
              <w:pStyle w:val="TableContents"/>
              <w:bidi w:val="0"/>
              <w:spacing w:before="0" w:after="283"/>
              <w:jc w:val="left"/>
              <w:rPr/>
            </w:pPr>
            <w:r>
              <w:rPr/>
              <w:t>11.07</w:t>
            </w:r>
          </w:p>
        </w:tc>
        <w:tc>
          <w:tcPr>
            <w:tcW w:w="7655" w:type="dxa"/>
            <w:tcBorders/>
            <w:vAlign w:val="center"/>
          </w:tcPr>
          <w:p>
            <w:pPr>
              <w:pStyle w:val="TableContents"/>
              <w:bidi w:val="0"/>
              <w:spacing w:before="0" w:after="283"/>
              <w:jc w:val="left"/>
              <w:rPr>
                <w:b/>
              </w:rPr>
            </w:pPr>
            <w:r>
              <w:rPr>
                <w:b/>
              </w:rPr>
              <w:t>Treatment of Certain Information; Confidentiality</w:t>
            </w:r>
          </w:p>
        </w:tc>
        <w:tc>
          <w:tcPr>
            <w:tcW w:w="395" w:type="dxa"/>
            <w:tcBorders/>
            <w:vAlign w:val="center"/>
          </w:tcPr>
          <w:p>
            <w:pPr>
              <w:pStyle w:val="TableContents"/>
              <w:bidi w:val="0"/>
              <w:spacing w:before="0" w:after="283"/>
              <w:jc w:val="right"/>
              <w:rPr/>
            </w:pPr>
            <w:r>
              <w:rPr/>
              <w:t>157</w:t>
            </w:r>
          </w:p>
        </w:tc>
      </w:tr>
      <w:tr>
        <w:trPr/>
        <w:tc>
          <w:tcPr>
            <w:tcW w:w="575" w:type="dxa"/>
            <w:tcBorders/>
            <w:vAlign w:val="center"/>
          </w:tcPr>
          <w:p>
            <w:pPr>
              <w:pStyle w:val="TableContents"/>
              <w:bidi w:val="0"/>
              <w:spacing w:before="0" w:after="283"/>
              <w:jc w:val="left"/>
              <w:rPr/>
            </w:pPr>
            <w:r>
              <w:rPr/>
              <w:t>11.08</w:t>
            </w:r>
          </w:p>
        </w:tc>
        <w:tc>
          <w:tcPr>
            <w:tcW w:w="7655" w:type="dxa"/>
            <w:tcBorders/>
            <w:vAlign w:val="center"/>
          </w:tcPr>
          <w:p>
            <w:pPr>
              <w:pStyle w:val="TableContents"/>
              <w:bidi w:val="0"/>
              <w:spacing w:before="0" w:after="283"/>
              <w:jc w:val="left"/>
              <w:rPr>
                <w:b/>
              </w:rPr>
            </w:pPr>
            <w:r>
              <w:rPr>
                <w:b/>
              </w:rPr>
              <w:t>Right of Setoff</w:t>
            </w:r>
          </w:p>
        </w:tc>
        <w:tc>
          <w:tcPr>
            <w:tcW w:w="395" w:type="dxa"/>
            <w:tcBorders/>
            <w:vAlign w:val="center"/>
          </w:tcPr>
          <w:p>
            <w:pPr>
              <w:pStyle w:val="TableContents"/>
              <w:bidi w:val="0"/>
              <w:spacing w:before="0" w:after="283"/>
              <w:jc w:val="right"/>
              <w:rPr/>
            </w:pPr>
            <w:r>
              <w:rPr/>
              <w:t>158</w:t>
            </w:r>
          </w:p>
        </w:tc>
      </w:tr>
      <w:tr>
        <w:trPr/>
        <w:tc>
          <w:tcPr>
            <w:tcW w:w="575" w:type="dxa"/>
            <w:tcBorders/>
            <w:vAlign w:val="center"/>
          </w:tcPr>
          <w:p>
            <w:pPr>
              <w:pStyle w:val="TableContents"/>
              <w:bidi w:val="0"/>
              <w:spacing w:before="0" w:after="283"/>
              <w:jc w:val="left"/>
              <w:rPr/>
            </w:pPr>
            <w:r>
              <w:rPr/>
              <w:t>11.09</w:t>
            </w:r>
          </w:p>
        </w:tc>
        <w:tc>
          <w:tcPr>
            <w:tcW w:w="7655" w:type="dxa"/>
            <w:tcBorders/>
            <w:vAlign w:val="center"/>
          </w:tcPr>
          <w:p>
            <w:pPr>
              <w:pStyle w:val="TableContents"/>
              <w:bidi w:val="0"/>
              <w:spacing w:before="0" w:after="283"/>
              <w:jc w:val="left"/>
              <w:rPr>
                <w:b/>
              </w:rPr>
            </w:pPr>
            <w:r>
              <w:rPr>
                <w:b/>
              </w:rPr>
              <w:t>Interest Rate Limitation</w:t>
            </w:r>
          </w:p>
        </w:tc>
        <w:tc>
          <w:tcPr>
            <w:tcW w:w="395" w:type="dxa"/>
            <w:tcBorders/>
            <w:vAlign w:val="center"/>
          </w:tcPr>
          <w:p>
            <w:pPr>
              <w:pStyle w:val="TableContents"/>
              <w:bidi w:val="0"/>
              <w:spacing w:before="0" w:after="283"/>
              <w:jc w:val="right"/>
              <w:rPr/>
            </w:pPr>
            <w:r>
              <w:rPr/>
              <w:t>159</w:t>
            </w:r>
          </w:p>
        </w:tc>
      </w:tr>
      <w:tr>
        <w:trPr/>
        <w:tc>
          <w:tcPr>
            <w:tcW w:w="575" w:type="dxa"/>
            <w:tcBorders/>
            <w:vAlign w:val="center"/>
          </w:tcPr>
          <w:p>
            <w:pPr>
              <w:pStyle w:val="TableContents"/>
              <w:bidi w:val="0"/>
              <w:spacing w:before="0" w:after="283"/>
              <w:jc w:val="left"/>
              <w:rPr/>
            </w:pPr>
            <w:r>
              <w:rPr/>
              <w:t>11.10</w:t>
            </w:r>
          </w:p>
        </w:tc>
        <w:tc>
          <w:tcPr>
            <w:tcW w:w="7655" w:type="dxa"/>
            <w:tcBorders/>
            <w:vAlign w:val="center"/>
          </w:tcPr>
          <w:p>
            <w:pPr>
              <w:pStyle w:val="TableContents"/>
              <w:bidi w:val="0"/>
              <w:spacing w:before="0" w:after="283"/>
              <w:jc w:val="left"/>
              <w:rPr>
                <w:b/>
              </w:rPr>
            </w:pPr>
            <w:r>
              <w:rPr>
                <w:b/>
              </w:rPr>
              <w:t>Integration; Effectiveness</w:t>
            </w:r>
          </w:p>
        </w:tc>
        <w:tc>
          <w:tcPr>
            <w:tcW w:w="395" w:type="dxa"/>
            <w:tcBorders/>
            <w:vAlign w:val="center"/>
          </w:tcPr>
          <w:p>
            <w:pPr>
              <w:pStyle w:val="TableContents"/>
              <w:bidi w:val="0"/>
              <w:spacing w:before="0" w:after="283"/>
              <w:jc w:val="right"/>
              <w:rPr/>
            </w:pPr>
            <w:r>
              <w:rPr/>
              <w:t>159</w:t>
            </w:r>
          </w:p>
        </w:tc>
      </w:tr>
      <w:tr>
        <w:trPr/>
        <w:tc>
          <w:tcPr>
            <w:tcW w:w="575" w:type="dxa"/>
            <w:tcBorders/>
            <w:vAlign w:val="center"/>
          </w:tcPr>
          <w:p>
            <w:pPr>
              <w:pStyle w:val="TableContents"/>
              <w:bidi w:val="0"/>
              <w:spacing w:before="0" w:after="283"/>
              <w:jc w:val="left"/>
              <w:rPr/>
            </w:pPr>
            <w:r>
              <w:rPr/>
              <w:t>11.11</w:t>
            </w:r>
          </w:p>
        </w:tc>
        <w:tc>
          <w:tcPr>
            <w:tcW w:w="7655" w:type="dxa"/>
            <w:tcBorders/>
            <w:vAlign w:val="center"/>
          </w:tcPr>
          <w:p>
            <w:pPr>
              <w:pStyle w:val="TableContents"/>
              <w:bidi w:val="0"/>
              <w:spacing w:before="0" w:after="283"/>
              <w:jc w:val="left"/>
              <w:rPr>
                <w:b/>
              </w:rPr>
            </w:pPr>
            <w:r>
              <w:rPr>
                <w:b/>
              </w:rPr>
              <w:t>Survival of Representations and Warranties</w:t>
            </w:r>
          </w:p>
        </w:tc>
        <w:tc>
          <w:tcPr>
            <w:tcW w:w="395" w:type="dxa"/>
            <w:tcBorders/>
            <w:vAlign w:val="center"/>
          </w:tcPr>
          <w:p>
            <w:pPr>
              <w:pStyle w:val="TableContents"/>
              <w:bidi w:val="0"/>
              <w:spacing w:before="0" w:after="283"/>
              <w:jc w:val="right"/>
              <w:rPr/>
            </w:pPr>
            <w:r>
              <w:rPr/>
              <w:t>159</w:t>
            </w:r>
          </w:p>
        </w:tc>
      </w:tr>
      <w:tr>
        <w:trPr/>
        <w:tc>
          <w:tcPr>
            <w:tcW w:w="575" w:type="dxa"/>
            <w:tcBorders/>
            <w:vAlign w:val="center"/>
          </w:tcPr>
          <w:p>
            <w:pPr>
              <w:pStyle w:val="TableContents"/>
              <w:bidi w:val="0"/>
              <w:spacing w:before="0" w:after="283"/>
              <w:jc w:val="left"/>
              <w:rPr/>
            </w:pPr>
            <w:r>
              <w:rPr/>
              <w:t>11.12</w:t>
            </w:r>
          </w:p>
        </w:tc>
        <w:tc>
          <w:tcPr>
            <w:tcW w:w="7655" w:type="dxa"/>
            <w:tcBorders/>
            <w:vAlign w:val="center"/>
          </w:tcPr>
          <w:p>
            <w:pPr>
              <w:pStyle w:val="TableContents"/>
              <w:bidi w:val="0"/>
              <w:spacing w:before="0" w:after="283"/>
              <w:jc w:val="left"/>
              <w:rPr>
                <w:b/>
              </w:rPr>
            </w:pPr>
            <w:r>
              <w:rPr>
                <w:b/>
              </w:rPr>
              <w:t>Severability</w:t>
            </w:r>
          </w:p>
        </w:tc>
        <w:tc>
          <w:tcPr>
            <w:tcW w:w="395" w:type="dxa"/>
            <w:tcBorders/>
            <w:vAlign w:val="center"/>
          </w:tcPr>
          <w:p>
            <w:pPr>
              <w:pStyle w:val="TableContents"/>
              <w:bidi w:val="0"/>
              <w:spacing w:before="0" w:after="283"/>
              <w:jc w:val="right"/>
              <w:rPr/>
            </w:pPr>
            <w:r>
              <w:rPr/>
              <w:t>159</w:t>
            </w:r>
          </w:p>
        </w:tc>
      </w:tr>
      <w:tr>
        <w:trPr/>
        <w:tc>
          <w:tcPr>
            <w:tcW w:w="575" w:type="dxa"/>
            <w:tcBorders/>
            <w:vAlign w:val="center"/>
          </w:tcPr>
          <w:p>
            <w:pPr>
              <w:pStyle w:val="TableContents"/>
              <w:bidi w:val="0"/>
              <w:spacing w:before="0" w:after="283"/>
              <w:jc w:val="left"/>
              <w:rPr/>
            </w:pPr>
            <w:r>
              <w:rPr/>
              <w:t>11.13</w:t>
            </w:r>
          </w:p>
        </w:tc>
        <w:tc>
          <w:tcPr>
            <w:tcW w:w="7655" w:type="dxa"/>
            <w:tcBorders/>
            <w:vAlign w:val="center"/>
          </w:tcPr>
          <w:p>
            <w:pPr>
              <w:pStyle w:val="TableContents"/>
              <w:bidi w:val="0"/>
              <w:spacing w:before="0" w:after="283"/>
              <w:jc w:val="left"/>
              <w:rPr>
                <w:b/>
              </w:rPr>
            </w:pPr>
            <w:r>
              <w:rPr>
                <w:b/>
              </w:rPr>
              <w:t>Replacement of Lenders</w:t>
            </w:r>
          </w:p>
        </w:tc>
        <w:tc>
          <w:tcPr>
            <w:tcW w:w="395" w:type="dxa"/>
            <w:tcBorders/>
            <w:vAlign w:val="center"/>
          </w:tcPr>
          <w:p>
            <w:pPr>
              <w:pStyle w:val="TableContents"/>
              <w:bidi w:val="0"/>
              <w:spacing w:before="0" w:after="283"/>
              <w:jc w:val="right"/>
              <w:rPr/>
            </w:pPr>
            <w:r>
              <w:rPr/>
              <w:t>160</w:t>
            </w:r>
          </w:p>
        </w:tc>
      </w:tr>
      <w:tr>
        <w:trPr/>
        <w:tc>
          <w:tcPr>
            <w:tcW w:w="575" w:type="dxa"/>
            <w:tcBorders/>
            <w:vAlign w:val="center"/>
          </w:tcPr>
          <w:p>
            <w:pPr>
              <w:pStyle w:val="TableContents"/>
              <w:bidi w:val="0"/>
              <w:spacing w:before="0" w:after="283"/>
              <w:jc w:val="left"/>
              <w:rPr/>
            </w:pPr>
            <w:r>
              <w:rPr/>
              <w:t>11.14</w:t>
            </w:r>
          </w:p>
        </w:tc>
        <w:tc>
          <w:tcPr>
            <w:tcW w:w="7655" w:type="dxa"/>
            <w:tcBorders/>
            <w:vAlign w:val="center"/>
          </w:tcPr>
          <w:p>
            <w:pPr>
              <w:pStyle w:val="TableContents"/>
              <w:bidi w:val="0"/>
              <w:spacing w:before="0" w:after="283"/>
              <w:jc w:val="left"/>
              <w:rPr>
                <w:b/>
              </w:rPr>
            </w:pPr>
            <w:r>
              <w:rPr>
                <w:b/>
              </w:rPr>
              <w:t>Governing Law; Jurisdiction; Etc.</w:t>
            </w:r>
          </w:p>
        </w:tc>
        <w:tc>
          <w:tcPr>
            <w:tcW w:w="395" w:type="dxa"/>
            <w:tcBorders/>
            <w:vAlign w:val="center"/>
          </w:tcPr>
          <w:p>
            <w:pPr>
              <w:pStyle w:val="TableContents"/>
              <w:bidi w:val="0"/>
              <w:spacing w:before="0" w:after="283"/>
              <w:jc w:val="right"/>
              <w:rPr/>
            </w:pPr>
            <w:r>
              <w:rPr/>
              <w:t>161</w:t>
            </w:r>
          </w:p>
        </w:tc>
      </w:tr>
      <w:tr>
        <w:trPr/>
        <w:tc>
          <w:tcPr>
            <w:tcW w:w="575" w:type="dxa"/>
            <w:tcBorders/>
            <w:vAlign w:val="center"/>
          </w:tcPr>
          <w:p>
            <w:pPr>
              <w:pStyle w:val="TableContents"/>
              <w:bidi w:val="0"/>
              <w:spacing w:before="0" w:after="283"/>
              <w:jc w:val="left"/>
              <w:rPr/>
            </w:pPr>
            <w:r>
              <w:rPr/>
              <w:t>11.15</w:t>
            </w:r>
          </w:p>
        </w:tc>
        <w:tc>
          <w:tcPr>
            <w:tcW w:w="7655" w:type="dxa"/>
            <w:tcBorders/>
            <w:vAlign w:val="center"/>
          </w:tcPr>
          <w:p>
            <w:pPr>
              <w:pStyle w:val="TableContents"/>
              <w:bidi w:val="0"/>
              <w:spacing w:before="0" w:after="283"/>
              <w:jc w:val="left"/>
              <w:rPr>
                <w:b/>
              </w:rPr>
            </w:pPr>
            <w:r>
              <w:rPr>
                <w:b/>
              </w:rPr>
              <w:t>Waiver of Jury Trial</w:t>
            </w:r>
          </w:p>
        </w:tc>
        <w:tc>
          <w:tcPr>
            <w:tcW w:w="395" w:type="dxa"/>
            <w:tcBorders/>
            <w:vAlign w:val="center"/>
          </w:tcPr>
          <w:p>
            <w:pPr>
              <w:pStyle w:val="TableContents"/>
              <w:bidi w:val="0"/>
              <w:spacing w:before="0" w:after="283"/>
              <w:jc w:val="right"/>
              <w:rPr/>
            </w:pPr>
            <w:r>
              <w:rPr/>
              <w:t>162</w:t>
            </w:r>
          </w:p>
        </w:tc>
      </w:tr>
      <w:tr>
        <w:trPr/>
        <w:tc>
          <w:tcPr>
            <w:tcW w:w="575" w:type="dxa"/>
            <w:tcBorders/>
            <w:vAlign w:val="center"/>
          </w:tcPr>
          <w:p>
            <w:pPr>
              <w:pStyle w:val="TableContents"/>
              <w:bidi w:val="0"/>
              <w:spacing w:before="0" w:after="283"/>
              <w:jc w:val="left"/>
              <w:rPr/>
            </w:pPr>
            <w:r>
              <w:rPr/>
              <w:t>11.16</w:t>
            </w:r>
          </w:p>
        </w:tc>
        <w:tc>
          <w:tcPr>
            <w:tcW w:w="7655" w:type="dxa"/>
            <w:tcBorders/>
            <w:vAlign w:val="center"/>
          </w:tcPr>
          <w:p>
            <w:pPr>
              <w:pStyle w:val="TableContents"/>
              <w:bidi w:val="0"/>
              <w:spacing w:before="0" w:after="283"/>
              <w:jc w:val="left"/>
              <w:rPr>
                <w:b/>
              </w:rPr>
            </w:pPr>
            <w:r>
              <w:rPr>
                <w:b/>
              </w:rPr>
              <w:t>Subordination</w:t>
            </w:r>
          </w:p>
        </w:tc>
        <w:tc>
          <w:tcPr>
            <w:tcW w:w="395" w:type="dxa"/>
            <w:tcBorders/>
            <w:vAlign w:val="center"/>
          </w:tcPr>
          <w:p>
            <w:pPr>
              <w:pStyle w:val="TableContents"/>
              <w:bidi w:val="0"/>
              <w:spacing w:before="0" w:after="283"/>
              <w:jc w:val="right"/>
              <w:rPr/>
            </w:pPr>
            <w:r>
              <w:rPr/>
              <w:t>162</w:t>
            </w:r>
          </w:p>
        </w:tc>
      </w:tr>
      <w:tr>
        <w:trPr/>
        <w:tc>
          <w:tcPr>
            <w:tcW w:w="575" w:type="dxa"/>
            <w:tcBorders/>
            <w:vAlign w:val="center"/>
          </w:tcPr>
          <w:p>
            <w:pPr>
              <w:pStyle w:val="TableContents"/>
              <w:bidi w:val="0"/>
              <w:spacing w:before="0" w:after="283"/>
              <w:jc w:val="left"/>
              <w:rPr/>
            </w:pPr>
            <w:r>
              <w:rPr/>
              <w:t>11.17</w:t>
            </w:r>
          </w:p>
        </w:tc>
        <w:tc>
          <w:tcPr>
            <w:tcW w:w="7655" w:type="dxa"/>
            <w:tcBorders/>
            <w:vAlign w:val="center"/>
          </w:tcPr>
          <w:p>
            <w:pPr>
              <w:pStyle w:val="TableContents"/>
              <w:bidi w:val="0"/>
              <w:spacing w:before="0" w:after="283"/>
              <w:jc w:val="left"/>
              <w:rPr>
                <w:b/>
              </w:rPr>
            </w:pPr>
            <w:r>
              <w:rPr>
                <w:b/>
              </w:rPr>
              <w:t>No Advisory or Fiduciary Responsibility</w:t>
            </w:r>
          </w:p>
        </w:tc>
        <w:tc>
          <w:tcPr>
            <w:tcW w:w="395" w:type="dxa"/>
            <w:tcBorders/>
            <w:vAlign w:val="center"/>
          </w:tcPr>
          <w:p>
            <w:pPr>
              <w:pStyle w:val="TableContents"/>
              <w:bidi w:val="0"/>
              <w:spacing w:before="0" w:after="283"/>
              <w:jc w:val="right"/>
              <w:rPr/>
            </w:pPr>
            <w:r>
              <w:rPr/>
              <w:t>162</w:t>
            </w:r>
          </w:p>
        </w:tc>
      </w:tr>
      <w:tr>
        <w:trPr/>
        <w:tc>
          <w:tcPr>
            <w:tcW w:w="575" w:type="dxa"/>
            <w:tcBorders/>
            <w:vAlign w:val="center"/>
          </w:tcPr>
          <w:p>
            <w:pPr>
              <w:pStyle w:val="TableContents"/>
              <w:bidi w:val="0"/>
              <w:spacing w:before="0" w:after="283"/>
              <w:jc w:val="left"/>
              <w:rPr/>
            </w:pPr>
            <w:r>
              <w:rPr/>
              <w:t>11.18</w:t>
            </w:r>
          </w:p>
        </w:tc>
        <w:tc>
          <w:tcPr>
            <w:tcW w:w="7655" w:type="dxa"/>
            <w:tcBorders/>
            <w:vAlign w:val="center"/>
          </w:tcPr>
          <w:p>
            <w:pPr>
              <w:pStyle w:val="TableContents"/>
              <w:bidi w:val="0"/>
              <w:spacing w:before="0" w:after="283"/>
              <w:jc w:val="left"/>
              <w:rPr>
                <w:b/>
              </w:rPr>
            </w:pPr>
            <w:r>
              <w:rPr>
                <w:b/>
              </w:rPr>
              <w:t>Electronic Execution; Electronic Records; Counterparts</w:t>
            </w:r>
          </w:p>
        </w:tc>
        <w:tc>
          <w:tcPr>
            <w:tcW w:w="395" w:type="dxa"/>
            <w:tcBorders/>
            <w:vAlign w:val="center"/>
          </w:tcPr>
          <w:p>
            <w:pPr>
              <w:pStyle w:val="TableContents"/>
              <w:bidi w:val="0"/>
              <w:spacing w:before="0" w:after="283"/>
              <w:jc w:val="right"/>
              <w:rPr/>
            </w:pPr>
            <w:r>
              <w:rPr/>
              <w:t>163</w:t>
            </w:r>
          </w:p>
        </w:tc>
      </w:tr>
      <w:tr>
        <w:trPr/>
        <w:tc>
          <w:tcPr>
            <w:tcW w:w="575" w:type="dxa"/>
            <w:tcBorders/>
            <w:vAlign w:val="center"/>
          </w:tcPr>
          <w:p>
            <w:pPr>
              <w:pStyle w:val="TableContents"/>
              <w:bidi w:val="0"/>
              <w:spacing w:before="0" w:after="283"/>
              <w:jc w:val="left"/>
              <w:rPr/>
            </w:pPr>
            <w:r>
              <w:rPr/>
              <w:t>11.19</w:t>
            </w:r>
          </w:p>
        </w:tc>
        <w:tc>
          <w:tcPr>
            <w:tcW w:w="7655" w:type="dxa"/>
            <w:tcBorders/>
            <w:vAlign w:val="center"/>
          </w:tcPr>
          <w:p>
            <w:pPr>
              <w:pStyle w:val="TableContents"/>
              <w:bidi w:val="0"/>
              <w:spacing w:before="0" w:after="283"/>
              <w:jc w:val="left"/>
              <w:rPr>
                <w:b/>
              </w:rPr>
            </w:pPr>
            <w:r>
              <w:rPr>
                <w:b/>
              </w:rPr>
              <w:t>USA Patriot Act Notice</w:t>
            </w:r>
          </w:p>
        </w:tc>
        <w:tc>
          <w:tcPr>
            <w:tcW w:w="395" w:type="dxa"/>
            <w:tcBorders/>
            <w:vAlign w:val="center"/>
          </w:tcPr>
          <w:p>
            <w:pPr>
              <w:pStyle w:val="TableContents"/>
              <w:bidi w:val="0"/>
              <w:spacing w:before="0" w:after="283"/>
              <w:jc w:val="right"/>
              <w:rPr/>
            </w:pPr>
            <w:r>
              <w:rPr/>
              <w:t>164</w:t>
            </w:r>
          </w:p>
        </w:tc>
      </w:tr>
      <w:tr>
        <w:trPr/>
        <w:tc>
          <w:tcPr>
            <w:tcW w:w="575" w:type="dxa"/>
            <w:tcBorders/>
            <w:vAlign w:val="center"/>
          </w:tcPr>
          <w:p>
            <w:pPr>
              <w:pStyle w:val="TableContents"/>
              <w:bidi w:val="0"/>
              <w:spacing w:before="0" w:after="283"/>
              <w:jc w:val="left"/>
              <w:rPr/>
            </w:pPr>
            <w:r>
              <w:rPr/>
              <w:t>11.20</w:t>
            </w:r>
          </w:p>
        </w:tc>
        <w:tc>
          <w:tcPr>
            <w:tcW w:w="7655" w:type="dxa"/>
            <w:tcBorders/>
            <w:vAlign w:val="center"/>
          </w:tcPr>
          <w:p>
            <w:pPr>
              <w:pStyle w:val="TableContents"/>
              <w:bidi w:val="0"/>
              <w:spacing w:before="0" w:after="283"/>
              <w:jc w:val="left"/>
              <w:rPr>
                <w:b/>
              </w:rPr>
            </w:pPr>
            <w:r>
              <w:rPr>
                <w:b/>
              </w:rPr>
              <w:t>Acknowledgement and Consent to Bail-In of Affected Financial Institutions</w:t>
            </w:r>
          </w:p>
        </w:tc>
        <w:tc>
          <w:tcPr>
            <w:tcW w:w="395" w:type="dxa"/>
            <w:tcBorders/>
            <w:vAlign w:val="center"/>
          </w:tcPr>
          <w:p>
            <w:pPr>
              <w:pStyle w:val="TableContents"/>
              <w:bidi w:val="0"/>
              <w:spacing w:before="0" w:after="283"/>
              <w:jc w:val="right"/>
              <w:rPr/>
            </w:pPr>
            <w:r>
              <w:rPr/>
              <w:t>164</w:t>
            </w:r>
          </w:p>
        </w:tc>
      </w:tr>
      <w:tr>
        <w:trPr/>
        <w:tc>
          <w:tcPr>
            <w:tcW w:w="575" w:type="dxa"/>
            <w:tcBorders/>
            <w:vAlign w:val="center"/>
          </w:tcPr>
          <w:p>
            <w:pPr>
              <w:pStyle w:val="TableContents"/>
              <w:bidi w:val="0"/>
              <w:spacing w:before="0" w:after="283"/>
              <w:jc w:val="left"/>
              <w:rPr/>
            </w:pPr>
            <w:r>
              <w:rPr/>
              <w:t>11.21</w:t>
            </w:r>
          </w:p>
        </w:tc>
        <w:tc>
          <w:tcPr>
            <w:tcW w:w="7655" w:type="dxa"/>
            <w:tcBorders/>
            <w:vAlign w:val="center"/>
          </w:tcPr>
          <w:p>
            <w:pPr>
              <w:pStyle w:val="TableContents"/>
              <w:bidi w:val="0"/>
              <w:spacing w:before="0" w:after="283"/>
              <w:jc w:val="left"/>
              <w:rPr>
                <w:b/>
              </w:rPr>
            </w:pPr>
            <w:r>
              <w:rPr>
                <w:b/>
              </w:rPr>
              <w:t>Acknowledgement Regarding Any Supported QFCs</w:t>
            </w:r>
          </w:p>
        </w:tc>
        <w:tc>
          <w:tcPr>
            <w:tcW w:w="395" w:type="dxa"/>
            <w:tcBorders/>
            <w:vAlign w:val="center"/>
          </w:tcPr>
          <w:p>
            <w:pPr>
              <w:pStyle w:val="TableContents"/>
              <w:bidi w:val="0"/>
              <w:spacing w:before="0" w:after="283"/>
              <w:jc w:val="right"/>
              <w:rPr/>
            </w:pPr>
            <w:r>
              <w:rPr/>
              <w:t>165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PREPARED SCHEDULES</w:t>
      </w:r>
    </w:p>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1640"/>
        <w:gridCol w:w="6815"/>
      </w:tblGrid>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5.10</w:t>
            </w:r>
          </w:p>
        </w:tc>
        <w:tc>
          <w:tcPr>
            <w:tcW w:w="6815" w:type="dxa"/>
            <w:tcBorders/>
            <w:vAlign w:val="center"/>
          </w:tcPr>
          <w:p>
            <w:pPr>
              <w:pStyle w:val="TableContents"/>
              <w:bidi w:val="0"/>
              <w:spacing w:before="0" w:after="283"/>
              <w:jc w:val="both"/>
              <w:rPr/>
            </w:pPr>
            <w:r>
              <w:rPr/>
              <w:t>Insurance</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5.20(a)</w:t>
            </w:r>
          </w:p>
        </w:tc>
        <w:tc>
          <w:tcPr>
            <w:tcW w:w="6815" w:type="dxa"/>
            <w:tcBorders/>
            <w:vAlign w:val="center"/>
          </w:tcPr>
          <w:p>
            <w:pPr>
              <w:pStyle w:val="TableContents"/>
              <w:bidi w:val="0"/>
              <w:spacing w:before="0" w:after="283"/>
              <w:jc w:val="both"/>
              <w:rPr/>
            </w:pPr>
            <w:r>
              <w:rPr/>
              <w:t>Subsidiaries, Joint Ventures, Partnerships and Other Equity Investments</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5.20(b)</w:t>
            </w:r>
          </w:p>
        </w:tc>
        <w:tc>
          <w:tcPr>
            <w:tcW w:w="6815" w:type="dxa"/>
            <w:tcBorders/>
            <w:vAlign w:val="center"/>
          </w:tcPr>
          <w:p>
            <w:pPr>
              <w:pStyle w:val="TableContents"/>
              <w:bidi w:val="0"/>
              <w:spacing w:before="0" w:after="283"/>
              <w:jc w:val="both"/>
              <w:rPr/>
            </w:pPr>
            <w:r>
              <w:rPr/>
              <w:t>Loan Parties</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5.21(b)</w:t>
            </w:r>
          </w:p>
        </w:tc>
        <w:tc>
          <w:tcPr>
            <w:tcW w:w="6815" w:type="dxa"/>
            <w:tcBorders/>
            <w:vAlign w:val="center"/>
          </w:tcPr>
          <w:p>
            <w:pPr>
              <w:pStyle w:val="TableContents"/>
              <w:bidi w:val="0"/>
              <w:spacing w:before="0" w:after="283"/>
              <w:jc w:val="both"/>
              <w:rPr/>
            </w:pPr>
            <w:r>
              <w:rPr/>
              <w:t>Intellectual Property</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5.21(c)</w:t>
            </w:r>
          </w:p>
        </w:tc>
        <w:tc>
          <w:tcPr>
            <w:tcW w:w="6815" w:type="dxa"/>
            <w:tcBorders/>
            <w:vAlign w:val="center"/>
          </w:tcPr>
          <w:p>
            <w:pPr>
              <w:pStyle w:val="TableContents"/>
              <w:bidi w:val="0"/>
              <w:spacing w:before="0" w:after="283"/>
              <w:jc w:val="both"/>
              <w:rPr/>
            </w:pPr>
            <w:r>
              <w:rPr/>
              <w:t>Documents,Instrument, and Tangible Chattel Paper</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5.21(d)(i)</w:t>
            </w:r>
          </w:p>
        </w:tc>
        <w:tc>
          <w:tcPr>
            <w:tcW w:w="6815" w:type="dxa"/>
            <w:tcBorders/>
            <w:vAlign w:val="center"/>
          </w:tcPr>
          <w:p>
            <w:pPr>
              <w:pStyle w:val="TableContents"/>
              <w:bidi w:val="0"/>
              <w:spacing w:before="0" w:after="283"/>
              <w:jc w:val="both"/>
              <w:rPr/>
            </w:pPr>
            <w:r>
              <w:rPr/>
              <w:t>Deposit Accounts&amp; Securities Accounts</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5.21(d)(ii)</w:t>
            </w:r>
          </w:p>
        </w:tc>
        <w:tc>
          <w:tcPr>
            <w:tcW w:w="6815" w:type="dxa"/>
            <w:tcBorders/>
            <w:vAlign w:val="center"/>
          </w:tcPr>
          <w:p>
            <w:pPr>
              <w:pStyle w:val="TableContents"/>
              <w:bidi w:val="0"/>
              <w:spacing w:before="0" w:after="283"/>
              <w:jc w:val="both"/>
              <w:rPr/>
            </w:pPr>
            <w:r>
              <w:rPr/>
              <w:t>Electronic Chattel Paper&amp; Letter-of-Credit Rights</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5.21(e)</w:t>
            </w:r>
          </w:p>
        </w:tc>
        <w:tc>
          <w:tcPr>
            <w:tcW w:w="6815" w:type="dxa"/>
            <w:tcBorders/>
            <w:vAlign w:val="center"/>
          </w:tcPr>
          <w:p>
            <w:pPr>
              <w:pStyle w:val="TableContents"/>
              <w:bidi w:val="0"/>
              <w:spacing w:before="0" w:after="283"/>
              <w:jc w:val="both"/>
              <w:rPr/>
            </w:pPr>
            <w:r>
              <w:rPr/>
              <w:t>Commercial Tort Claims</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5.21(f)</w:t>
            </w:r>
          </w:p>
        </w:tc>
        <w:tc>
          <w:tcPr>
            <w:tcW w:w="6815" w:type="dxa"/>
            <w:tcBorders/>
            <w:vAlign w:val="center"/>
          </w:tcPr>
          <w:p>
            <w:pPr>
              <w:pStyle w:val="TableContents"/>
              <w:bidi w:val="0"/>
              <w:spacing w:before="0" w:after="283"/>
              <w:jc w:val="both"/>
              <w:rPr/>
            </w:pPr>
            <w:r>
              <w:rPr/>
              <w:t>Pledged Equity Interests</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5.21(g)</w:t>
            </w:r>
          </w:p>
        </w:tc>
        <w:tc>
          <w:tcPr>
            <w:tcW w:w="6815" w:type="dxa"/>
            <w:tcBorders/>
            <w:vAlign w:val="center"/>
          </w:tcPr>
          <w:p>
            <w:pPr>
              <w:pStyle w:val="TableContents"/>
              <w:bidi w:val="0"/>
              <w:spacing w:before="0" w:after="283"/>
              <w:jc w:val="both"/>
              <w:rPr/>
            </w:pPr>
            <w:r>
              <w:rPr/>
              <w:t>Properties</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5.28</w:t>
            </w:r>
          </w:p>
        </w:tc>
        <w:tc>
          <w:tcPr>
            <w:tcW w:w="6815" w:type="dxa"/>
            <w:tcBorders/>
            <w:vAlign w:val="center"/>
          </w:tcPr>
          <w:p>
            <w:pPr>
              <w:pStyle w:val="TableContents"/>
              <w:bidi w:val="0"/>
              <w:spacing w:before="0" w:after="283"/>
              <w:jc w:val="both"/>
              <w:rPr/>
            </w:pPr>
            <w:r>
              <w:rPr/>
              <w:t>Material Agreement</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7.01</w:t>
            </w:r>
          </w:p>
        </w:tc>
        <w:tc>
          <w:tcPr>
            <w:tcW w:w="6815" w:type="dxa"/>
            <w:tcBorders/>
            <w:vAlign w:val="center"/>
          </w:tcPr>
          <w:p>
            <w:pPr>
              <w:pStyle w:val="TableContents"/>
              <w:bidi w:val="0"/>
              <w:spacing w:before="0" w:after="283"/>
              <w:jc w:val="both"/>
              <w:rPr/>
            </w:pPr>
            <w:r>
              <w:rPr/>
              <w:t>Existing Liens</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7.02</w:t>
            </w:r>
          </w:p>
        </w:tc>
        <w:tc>
          <w:tcPr>
            <w:tcW w:w="6815" w:type="dxa"/>
            <w:tcBorders/>
            <w:vAlign w:val="center"/>
          </w:tcPr>
          <w:p>
            <w:pPr>
              <w:pStyle w:val="TableContents"/>
              <w:bidi w:val="0"/>
              <w:spacing w:before="0" w:after="283"/>
              <w:jc w:val="both"/>
              <w:rPr/>
            </w:pPr>
            <w:r>
              <w:rPr/>
              <w:t>Existing Indebtedness</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7.03</w:t>
            </w:r>
          </w:p>
        </w:tc>
        <w:tc>
          <w:tcPr>
            <w:tcW w:w="6815" w:type="dxa"/>
            <w:tcBorders/>
            <w:vAlign w:val="center"/>
          </w:tcPr>
          <w:p>
            <w:pPr>
              <w:pStyle w:val="TableContents"/>
              <w:bidi w:val="0"/>
              <w:spacing w:before="0" w:after="283"/>
              <w:jc w:val="left"/>
              <w:rPr/>
            </w:pPr>
            <w:r>
              <w:rPr/>
              <w:t>Existing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PREPARED SCHEDULES</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400"/>
        <w:gridCol w:w="4640"/>
      </w:tblGrid>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1.01(a)</w:t>
            </w:r>
          </w:p>
        </w:tc>
        <w:tc>
          <w:tcPr>
            <w:tcW w:w="4640" w:type="dxa"/>
            <w:tcBorders/>
            <w:vAlign w:val="center"/>
          </w:tcPr>
          <w:p>
            <w:pPr>
              <w:pStyle w:val="TableContents"/>
              <w:bidi w:val="0"/>
              <w:spacing w:before="0" w:after="283"/>
              <w:jc w:val="both"/>
              <w:rPr/>
            </w:pPr>
            <w:r>
              <w:rPr/>
              <w:t>Certain Addresses for Notices</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1.01(b)</w:t>
            </w:r>
          </w:p>
        </w:tc>
        <w:tc>
          <w:tcPr>
            <w:tcW w:w="4640" w:type="dxa"/>
            <w:tcBorders/>
            <w:vAlign w:val="center"/>
          </w:tcPr>
          <w:p>
            <w:pPr>
              <w:pStyle w:val="TableContents"/>
              <w:bidi w:val="0"/>
              <w:spacing w:before="0" w:after="283"/>
              <w:jc w:val="both"/>
              <w:rPr/>
            </w:pPr>
            <w:r>
              <w:rPr/>
              <w:t>Initial Commitments and Applicable Percentages</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 1.01(e)</w:t>
            </w:r>
          </w:p>
        </w:tc>
        <w:tc>
          <w:tcPr>
            <w:tcW w:w="4640" w:type="dxa"/>
            <w:tcBorders/>
            <w:vAlign w:val="center"/>
          </w:tcPr>
          <w:p>
            <w:pPr>
              <w:pStyle w:val="TableContents"/>
              <w:bidi w:val="0"/>
              <w:spacing w:before="0" w:after="283"/>
              <w:jc w:val="both"/>
              <w:rPr/>
            </w:pPr>
            <w:r>
              <w:rPr/>
              <w:t>Subordinated Existing Holdover Notes</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 6.17</w:t>
            </w:r>
          </w:p>
        </w:tc>
        <w:tc>
          <w:tcPr>
            <w:tcW w:w="4640" w:type="dxa"/>
            <w:tcBorders/>
            <w:vAlign w:val="center"/>
          </w:tcPr>
          <w:p>
            <w:pPr>
              <w:pStyle w:val="TableContents"/>
              <w:bidi w:val="0"/>
              <w:spacing w:before="0" w:after="283"/>
              <w:jc w:val="left"/>
              <w:rPr/>
            </w:pPr>
            <w:r>
              <w:rPr/>
              <w:t>Post-Closing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980"/>
        <w:gridCol w:w="5150"/>
      </w:tblGrid>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A</w:t>
            </w:r>
          </w:p>
        </w:tc>
        <w:tc>
          <w:tcPr>
            <w:tcW w:w="5150" w:type="dxa"/>
            <w:tcBorders/>
            <w:vAlign w:val="center"/>
          </w:tcPr>
          <w:p>
            <w:pPr>
              <w:pStyle w:val="TableContents"/>
              <w:bidi w:val="0"/>
              <w:spacing w:before="0" w:after="283"/>
              <w:jc w:val="both"/>
              <w:rPr/>
            </w:pPr>
            <w:r>
              <w:rPr/>
              <w:t>Form of Administrative Questionnaire</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B</w:t>
            </w:r>
          </w:p>
        </w:tc>
        <w:tc>
          <w:tcPr>
            <w:tcW w:w="5150" w:type="dxa"/>
            <w:tcBorders/>
            <w:vAlign w:val="center"/>
          </w:tcPr>
          <w:p>
            <w:pPr>
              <w:pStyle w:val="TableContents"/>
              <w:bidi w:val="0"/>
              <w:spacing w:before="0" w:after="283"/>
              <w:jc w:val="both"/>
              <w:rPr/>
            </w:pPr>
            <w:r>
              <w:rPr/>
              <w:t>Form of Assignment and Assumption</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C</w:t>
            </w:r>
          </w:p>
        </w:tc>
        <w:tc>
          <w:tcPr>
            <w:tcW w:w="5150" w:type="dxa"/>
            <w:tcBorders/>
            <w:vAlign w:val="center"/>
          </w:tcPr>
          <w:p>
            <w:pPr>
              <w:pStyle w:val="TableContents"/>
              <w:bidi w:val="0"/>
              <w:spacing w:before="0" w:after="283"/>
              <w:jc w:val="both"/>
              <w:rPr/>
            </w:pPr>
            <w:r>
              <w:rPr/>
              <w:t>Form of Compliance Certificate</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D</w:t>
            </w:r>
          </w:p>
        </w:tc>
        <w:tc>
          <w:tcPr>
            <w:tcW w:w="5150" w:type="dxa"/>
            <w:tcBorders/>
            <w:vAlign w:val="center"/>
          </w:tcPr>
          <w:p>
            <w:pPr>
              <w:pStyle w:val="TableContents"/>
              <w:bidi w:val="0"/>
              <w:spacing w:before="0" w:after="283"/>
              <w:jc w:val="both"/>
              <w:rPr/>
            </w:pPr>
            <w:r>
              <w:rPr/>
              <w:t>Form of Joinder Agreement</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E</w:t>
            </w:r>
          </w:p>
        </w:tc>
        <w:tc>
          <w:tcPr>
            <w:tcW w:w="5150" w:type="dxa"/>
            <w:tcBorders/>
            <w:vAlign w:val="center"/>
          </w:tcPr>
          <w:p>
            <w:pPr>
              <w:pStyle w:val="TableContents"/>
              <w:bidi w:val="0"/>
              <w:spacing w:before="0" w:after="283"/>
              <w:jc w:val="both"/>
              <w:rPr/>
            </w:pPr>
            <w:r>
              <w:rPr/>
              <w:t>Form of Loan Notice</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F</w:t>
            </w:r>
          </w:p>
        </w:tc>
        <w:tc>
          <w:tcPr>
            <w:tcW w:w="5150" w:type="dxa"/>
            <w:tcBorders/>
            <w:vAlign w:val="center"/>
          </w:tcPr>
          <w:p>
            <w:pPr>
              <w:pStyle w:val="TableContents"/>
              <w:bidi w:val="0"/>
              <w:spacing w:before="0" w:after="283"/>
              <w:jc w:val="both"/>
              <w:rPr/>
            </w:pPr>
            <w:r>
              <w:rPr/>
              <w:t>Form of Permitted Acquisition Certificate</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G</w:t>
            </w:r>
          </w:p>
        </w:tc>
        <w:tc>
          <w:tcPr>
            <w:tcW w:w="5150" w:type="dxa"/>
            <w:tcBorders/>
            <w:vAlign w:val="center"/>
          </w:tcPr>
          <w:p>
            <w:pPr>
              <w:pStyle w:val="TableContents"/>
              <w:bidi w:val="0"/>
              <w:spacing w:before="0" w:after="283"/>
              <w:jc w:val="both"/>
              <w:rPr/>
            </w:pPr>
            <w:r>
              <w:rPr/>
              <w:t>Form of Revolving Note</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H</w:t>
            </w:r>
          </w:p>
        </w:tc>
        <w:tc>
          <w:tcPr>
            <w:tcW w:w="5150" w:type="dxa"/>
            <w:tcBorders/>
            <w:vAlign w:val="center"/>
          </w:tcPr>
          <w:p>
            <w:pPr>
              <w:pStyle w:val="TableContents"/>
              <w:bidi w:val="0"/>
              <w:spacing w:before="0" w:after="283"/>
              <w:jc w:val="both"/>
              <w:rPr/>
            </w:pPr>
            <w:r>
              <w:rPr/>
              <w:t>Form of Secured Party Designation Notice</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I</w:t>
            </w:r>
          </w:p>
        </w:tc>
        <w:tc>
          <w:tcPr>
            <w:tcW w:w="5150" w:type="dxa"/>
            <w:tcBorders/>
            <w:vAlign w:val="center"/>
          </w:tcPr>
          <w:p>
            <w:pPr>
              <w:pStyle w:val="TableContents"/>
              <w:bidi w:val="0"/>
              <w:spacing w:before="0" w:after="283"/>
              <w:jc w:val="both"/>
              <w:rPr/>
            </w:pPr>
            <w:r>
              <w:rPr/>
              <w:t>Form of Solvency Certificate</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J</w:t>
            </w:r>
          </w:p>
        </w:tc>
        <w:tc>
          <w:tcPr>
            <w:tcW w:w="5150" w:type="dxa"/>
            <w:tcBorders/>
            <w:vAlign w:val="center"/>
          </w:tcPr>
          <w:p>
            <w:pPr>
              <w:pStyle w:val="TableContents"/>
              <w:bidi w:val="0"/>
              <w:spacing w:before="0" w:after="283"/>
              <w:jc w:val="both"/>
              <w:rPr/>
            </w:pPr>
            <w:r>
              <w:rPr/>
              <w:t>Form of Swingline Loan Notice</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K</w:t>
            </w:r>
          </w:p>
        </w:tc>
        <w:tc>
          <w:tcPr>
            <w:tcW w:w="5150" w:type="dxa"/>
            <w:tcBorders/>
            <w:vAlign w:val="center"/>
          </w:tcPr>
          <w:p>
            <w:pPr>
              <w:pStyle w:val="TableContents"/>
              <w:bidi w:val="0"/>
              <w:spacing w:before="0" w:after="283"/>
              <w:jc w:val="both"/>
              <w:rPr/>
            </w:pPr>
            <w:r>
              <w:rPr/>
              <w:t>Form of Notice of Loan Prepayment</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L</w:t>
            </w:r>
          </w:p>
        </w:tc>
        <w:tc>
          <w:tcPr>
            <w:tcW w:w="5150" w:type="dxa"/>
            <w:tcBorders/>
            <w:vAlign w:val="center"/>
          </w:tcPr>
          <w:p>
            <w:pPr>
              <w:pStyle w:val="TableContents"/>
              <w:bidi w:val="0"/>
              <w:spacing w:before="0" w:after="283"/>
              <w:jc w:val="both"/>
              <w:rPr/>
            </w:pPr>
            <w:r>
              <w:rPr/>
              <w:t>Form of Officer’s Certificate</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M</w:t>
            </w:r>
          </w:p>
        </w:tc>
        <w:tc>
          <w:tcPr>
            <w:tcW w:w="5150" w:type="dxa"/>
            <w:tcBorders/>
            <w:vAlign w:val="center"/>
          </w:tcPr>
          <w:p>
            <w:pPr>
              <w:pStyle w:val="TableContents"/>
              <w:bidi w:val="0"/>
              <w:spacing w:before="0" w:after="283"/>
              <w:jc w:val="both"/>
              <w:rPr/>
            </w:pPr>
            <w:r>
              <w:rPr/>
              <w:t>Forms of U.S. Tax Compliance Certificates</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N-1</w:t>
            </w:r>
          </w:p>
        </w:tc>
        <w:tc>
          <w:tcPr>
            <w:tcW w:w="5150" w:type="dxa"/>
            <w:tcBorders/>
            <w:vAlign w:val="center"/>
          </w:tcPr>
          <w:p>
            <w:pPr>
              <w:pStyle w:val="TableContents"/>
              <w:bidi w:val="0"/>
              <w:spacing w:before="0" w:after="283"/>
              <w:jc w:val="both"/>
              <w:rPr/>
            </w:pPr>
            <w:r>
              <w:rPr/>
              <w:t>Form of Term A Note</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N-2</w:t>
            </w:r>
          </w:p>
        </w:tc>
        <w:tc>
          <w:tcPr>
            <w:tcW w:w="5150" w:type="dxa"/>
            <w:tcBorders/>
            <w:vAlign w:val="center"/>
          </w:tcPr>
          <w:p>
            <w:pPr>
              <w:pStyle w:val="TableContents"/>
              <w:bidi w:val="0"/>
              <w:spacing w:before="0" w:after="283"/>
              <w:jc w:val="both"/>
              <w:rPr/>
            </w:pPr>
            <w:r>
              <w:rPr/>
              <w:t>Form of DD Term Note</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O</w:t>
            </w:r>
          </w:p>
        </w:tc>
        <w:tc>
          <w:tcPr>
            <w:tcW w:w="5150" w:type="dxa"/>
            <w:tcBorders/>
            <w:vAlign w:val="center"/>
          </w:tcPr>
          <w:p>
            <w:pPr>
              <w:pStyle w:val="TableContents"/>
              <w:bidi w:val="0"/>
              <w:spacing w:before="0" w:after="283"/>
              <w:jc w:val="both"/>
              <w:rPr/>
            </w:pPr>
            <w:r>
              <w:rPr/>
              <w:t>Form of Landlord Waiver</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P</w:t>
            </w:r>
          </w:p>
        </w:tc>
        <w:tc>
          <w:tcPr>
            <w:tcW w:w="5150" w:type="dxa"/>
            <w:tcBorders/>
            <w:vAlign w:val="center"/>
          </w:tcPr>
          <w:p>
            <w:pPr>
              <w:pStyle w:val="TableContents"/>
              <w:bidi w:val="0"/>
              <w:spacing w:before="0" w:after="283"/>
              <w:jc w:val="both"/>
              <w:rPr/>
            </w:pPr>
            <w:r>
              <w:rPr/>
              <w:t>Form of Closing Date Certificate</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Q</w:t>
            </w:r>
          </w:p>
        </w:tc>
        <w:tc>
          <w:tcPr>
            <w:tcW w:w="5150" w:type="dxa"/>
            <w:tcBorders/>
            <w:vAlign w:val="center"/>
          </w:tcPr>
          <w:p>
            <w:pPr>
              <w:pStyle w:val="TableContents"/>
              <w:bidi w:val="0"/>
              <w:spacing w:before="0" w:after="283"/>
              <w:jc w:val="both"/>
              <w:rPr/>
            </w:pPr>
            <w:r>
              <w:rPr/>
              <w:t>Form of Authorization to Share Insurance Information</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R</w:t>
            </w:r>
          </w:p>
        </w:tc>
        <w:tc>
          <w:tcPr>
            <w:tcW w:w="5150" w:type="dxa"/>
            <w:tcBorders/>
            <w:vAlign w:val="center"/>
          </w:tcPr>
          <w:p>
            <w:pPr>
              <w:pStyle w:val="TableContents"/>
              <w:bidi w:val="0"/>
              <w:spacing w:before="0" w:after="283"/>
              <w:jc w:val="both"/>
              <w:rPr/>
            </w:pPr>
            <w:r>
              <w:rPr/>
              <w:t>Form of Letter of Credit Report</w:t>
            </w:r>
          </w:p>
        </w:tc>
      </w:tr>
      <w:tr>
        <w:trPr/>
        <w:tc>
          <w:tcPr>
            <w:tcW w:w="7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S</w:t>
            </w:r>
          </w:p>
        </w:tc>
        <w:tc>
          <w:tcPr>
            <w:tcW w:w="5150" w:type="dxa"/>
            <w:tcBorders/>
            <w:vAlign w:val="center"/>
          </w:tcPr>
          <w:p>
            <w:pPr>
              <w:pStyle w:val="TableContents"/>
              <w:bidi w:val="0"/>
              <w:spacing w:before="0" w:after="283"/>
              <w:jc w:val="left"/>
              <w:rPr/>
            </w:pPr>
            <w:r>
              <w:rPr/>
              <w:t>Form of Notice of Additional L/C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xml:space="preserve"> is entered into as of October 15, 2026, among </w:t>
      </w:r>
      <w:r>
        <w:rPr>
          <w:rFonts w:ascii="Times New Roman;Times;Serif" w:hAnsi="Times New Roman;Times;Serif"/>
          <w:b/>
          <w:i w:val="false"/>
          <w:caps w:val="false"/>
          <w:smallCaps w:val="false"/>
          <w:sz w:val="20"/>
        </w:rPr>
        <w:t>ASURE SOFTWARE,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the Guarantors (defined herein), the Lenders (defined herein), and </w:t>
      </w:r>
      <w:r>
        <w:rPr>
          <w:rFonts w:ascii="Times New Roman;Times;Serif" w:hAnsi="Times New Roman;Times;Serif"/>
          <w:b/>
          <w:i w:val="false"/>
          <w:caps w:val="false"/>
          <w:smallCaps w:val="false"/>
          <w:sz w:val="20"/>
        </w:rPr>
        <w:t>MUFG BANK, LTD.</w:t>
      </w:r>
      <w:r>
        <w:rPr>
          <w:rFonts w:ascii="Times New Roman;Times;Serif" w:hAnsi="Times New Roman;Times;Serif"/>
          <w:b w:val="false"/>
          <w:i w:val="false"/>
          <w:caps w:val="false"/>
          <w:smallCaps w:val="false"/>
          <w:sz w:val="20"/>
        </w:rPr>
        <w:t>, as Administrative Agent, Swingline Lender and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PRELIMINARY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Loan Parties (as hereinafter defined) have requested that the Lenders, the Swingline Lender and the L/C Issuer make loans and other financial accommodations to the Loan Parties in an aggregate amount of up to $115,000,000.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Lenders, the Swingline Lender and the L/C Issuer have agreed to make such loans and other financial accommodations to the Loan Parties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agreements herein contained, the parties hereto covenant and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 AND ACCOUNTING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i w:val="false"/>
          <w:caps w:val="false"/>
          <w:smallCaps w:val="false"/>
          <w:sz w:val="20"/>
          <w:u w:val="single"/>
        </w:rPr>
        <w:t>Defined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Acquisition</w:t>
      </w:r>
      <w:r>
        <w:rPr>
          <w:rFonts w:ascii="Times New Roman;Times;Serif" w:hAnsi="Times New Roman;Times;Serif"/>
          <w:b w:val="false"/>
          <w:i w:val="false"/>
          <w:caps w:val="false"/>
          <w:smallCaps w:val="false"/>
          <w:sz w:val="20"/>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Additional Secured Obligations</w:t>
      </w:r>
      <w:r>
        <w:rPr>
          <w:rFonts w:ascii="Times New Roman;Times;Serif" w:hAnsi="Times New Roman;Times;Serif"/>
          <w:b w:val="false"/>
          <w:i w:val="false"/>
          <w:caps w:val="false"/>
          <w:smallCaps w:val="false"/>
          <w:sz w:val="20"/>
        </w:rPr>
        <w:t xml:space="preserve">” means (a) all obligations arising under Secured Cash Management Agreements and Secured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Additional Secured Obligations of a Guarantor shall exclude any Excluded Swap Obligations with respect to such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Adjusted Covenant Period</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7.11(b)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Administrative Agent</w:t>
      </w:r>
      <w:r>
        <w:rPr>
          <w:rFonts w:ascii="Times New Roman;Times;Serif" w:hAnsi="Times New Roman;Times;Serif"/>
          <w:b w:val="false"/>
          <w:i w:val="false"/>
          <w:caps w:val="false"/>
          <w:smallCaps w:val="false"/>
          <w:sz w:val="20"/>
        </w:rPr>
        <w:t>” means MUFG (or any designated branch offices or affiliates) in its capacity as administrative agent under any of the Loan Documents, or any successor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Administrative Agent</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s Office</w:t>
      </w:r>
      <w:r>
        <w:rPr>
          <w:rFonts w:ascii="Times New Roman;Times;Serif" w:hAnsi="Times New Roman;Times;Serif"/>
          <w:b w:val="false"/>
          <w:i w:val="false"/>
          <w:caps w:val="false"/>
          <w:smallCaps w:val="false"/>
          <w:sz w:val="20"/>
        </w:rPr>
        <w:t xml:space="preserve">” means, with respect to any currency, the Administrative Agent’s address and, as appropriate, account as set forth on </w:t>
      </w:r>
      <w:r>
        <w:rPr>
          <w:rFonts w:ascii="Times New Roman;Times;Serif" w:hAnsi="Times New Roman;Times;Serif"/>
          <w:b w:val="false"/>
          <w:i w:val="false"/>
          <w:caps w:val="false"/>
          <w:smallCaps w:val="false"/>
          <w:sz w:val="20"/>
          <w:u w:val="single"/>
        </w:rPr>
        <w:t>Schedule 1.01(a</w:t>
      </w:r>
      <w:r>
        <w:rPr>
          <w:rFonts w:ascii="Times New Roman;Times;Serif" w:hAnsi="Times New Roman;Times;Serif"/>
          <w:b w:val="false"/>
          <w:i w:val="false"/>
          <w:caps w:val="false"/>
          <w:smallCaps w:val="false"/>
          <w:sz w:val="20"/>
        </w:rPr>
        <w:t>) with respect to such currency, or such other address or account with respect to such currency as the Administrative Agent may from time to time notify the Borrower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Administrative Questionnaire</w:t>
      </w:r>
      <w:r>
        <w:rPr>
          <w:rFonts w:ascii="Times New Roman;Times;Serif" w:hAnsi="Times New Roman;Times;Serif"/>
          <w:b w:val="false"/>
          <w:i w:val="false"/>
          <w:caps w:val="false"/>
          <w:smallCaps w:val="false"/>
          <w:sz w:val="20"/>
        </w:rPr>
        <w:t xml:space="preserve">” means an Administrative Questionnaire in substantially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Aggregate Adjustment Cap</w:t>
      </w:r>
      <w:r>
        <w:rPr>
          <w:rFonts w:ascii="Times New Roman;Times;Serif" w:hAnsi="Times New Roman;Times;Serif"/>
          <w:b w:val="false"/>
          <w:i w:val="false"/>
          <w:caps w:val="false"/>
          <w:smallCaps w:val="false"/>
          <w:sz w:val="20"/>
        </w:rPr>
        <w:t xml:space="preserve">” means with respect to the add-backs pursuant to </w:t>
      </w:r>
      <w:r>
        <w:rPr>
          <w:rFonts w:ascii="Times New Roman;Times;Serif" w:hAnsi="Times New Roman;Times;Serif"/>
          <w:b w:val="false"/>
          <w:i w:val="false"/>
          <w:caps w:val="false"/>
          <w:smallCaps w:val="false"/>
          <w:sz w:val="20"/>
          <w:u w:val="single"/>
        </w:rPr>
        <w:t>clauses (b)(v)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(b)(ix)(B)</w:t>
      </w:r>
      <w:r>
        <w:rPr>
          <w:rFonts w:ascii="Times New Roman;Times;Serif" w:hAnsi="Times New Roman;Times;Serif"/>
          <w:b w:val="false"/>
          <w:i w:val="false"/>
          <w:caps w:val="false"/>
          <w:smallCaps w:val="false"/>
          <w:sz w:val="20"/>
        </w:rPr>
        <w:t> and (b)(xi) of the definition of Consolidated EBITDA, that the amounts so added back pursuant to such clauses shall not exceed, in any period, an aggregate amount equal to 30% of Consolidated EBITDA (calculated prior to giving effect to such adjustments and all other permitted addbacks and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Aggregate Commitments</w:t>
      </w:r>
      <w:r>
        <w:rPr>
          <w:rFonts w:ascii="Times New Roman;Times;Serif" w:hAnsi="Times New Roman;Times;Serif"/>
          <w:b w:val="false"/>
          <w:i w:val="false"/>
          <w:caps w:val="false"/>
          <w:smallCaps w:val="false"/>
          <w:sz w:val="20"/>
        </w:rPr>
        <w:t>” means the Commitments of all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Agreement</w:t>
      </w:r>
      <w:r>
        <w:rPr>
          <w:rFonts w:ascii="Times New Roman;Times;Serif" w:hAnsi="Times New Roman;Times;Serif"/>
          <w:b w:val="false"/>
          <w:i w:val="false"/>
          <w:caps w:val="false"/>
          <w:smallCaps w:val="false"/>
          <w:sz w:val="20"/>
        </w:rPr>
        <w:t>” means this Credit Agreement, including all schedules (including the borrower-prepared and administrative agent-prepared schedules attached hereto), exhibits and annexes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Anti-Terrorism Law</w:t>
      </w:r>
      <w:r>
        <w:rPr>
          <w:rFonts w:ascii="Times New Roman;Times;Serif" w:hAnsi="Times New Roman;Times;Serif"/>
          <w:b w:val="false"/>
          <w:i w:val="false"/>
          <w:caps w:val="false"/>
          <w:smallCaps w:val="false"/>
          <w:sz w:val="20"/>
        </w:rPr>
        <w:t>” means any Applicable Laws relating to terrorism or terrorism financing, including Executive Order No. 13224, the laws administered by the OFAC, or similar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Applicable Law</w:t>
      </w:r>
      <w:r>
        <w:rPr>
          <w:rFonts w:ascii="Times New Roman;Times;Serif" w:hAnsi="Times New Roman;Times;Serif"/>
          <w:b w:val="false"/>
          <w:i w:val="false"/>
          <w:caps w:val="false"/>
          <w:smallCaps w:val="false"/>
          <w:sz w:val="20"/>
        </w:rPr>
        <w:t>” means, as to any Person, all applicable Laws binding upon such Person or to which such a Person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Applicable Percentage</w:t>
      </w:r>
      <w:r>
        <w:rPr>
          <w:rFonts w:ascii="Times New Roman;Times;Serif" w:hAnsi="Times New Roman;Times;Serif"/>
          <w:b w:val="false"/>
          <w:i w:val="false"/>
          <w:caps w:val="false"/>
          <w:smallCaps w:val="false"/>
          <w:sz w:val="20"/>
        </w:rPr>
        <w:t xml:space="preserve">” means (a) in respect of the Term A Facility, with respect to any Term A Lender at any time, the percentage (carried out to the ninth decimal place) of the Term A Facility represented by (i) on or prior to the Closing Date, such Term A Lender’s Term A Commitment at such time and (ii) thereafter, the outstanding principal amount of such Term A Lender’s Term A Loans at such time, and (b) 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and (c) in respect of the DD Term Facility, with respect to any DD Term Lender at any time, the percentage (carried out to the ninth decimal place) of the DD Term Facility represented by (i)  the sum of (x) at any time during the Availability Period in respect of such Facility, such DD Term Lender’s DD Term Commitment at such time and (y) the outstanding principal amount of such DD Term Lender’s DD Term Loans and (ii) thereafter, the outstanding principal amount of such DD Term Lender’s DD Term Loans at such time. If the Commitment of all of the Lenders to make Loans and the obligation of the L/C Issuer to make L/C Credit Extensions have been terminated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or if the Commitments have expired, then the Applicable Percentage of each Lender in respect of the applicable Facility shall be determined based on the Applicable Percentage of such Lender in respect of Facility most recently in effect, giving effect to any subsequent assignments and to any Lender’s status as a Defaulting Lender at the time of determination. The Applicable Percentage of each Lender in respect of each Facility is set forth opposite the name of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Lender on </w:t>
      </w:r>
      <w:r>
        <w:rPr>
          <w:rFonts w:ascii="Times New Roman;Times;Serif" w:hAnsi="Times New Roman;Times;Serif"/>
          <w:b w:val="false"/>
          <w:i w:val="false"/>
          <w:caps w:val="false"/>
          <w:smallCaps w:val="false"/>
          <w:sz w:val="20"/>
          <w:u w:val="single"/>
        </w:rPr>
        <w:t>Schedule 1.01(b</w:t>
      </w:r>
      <w:r>
        <w:rPr>
          <w:rFonts w:ascii="Times New Roman;Times;Serif" w:hAnsi="Times New Roman;Times;Serif"/>
          <w:b w:val="false"/>
          <w:i w:val="false"/>
          <w:caps w:val="false"/>
          <w:smallCaps w:val="false"/>
          <w:sz w:val="20"/>
        </w:rPr>
        <w:t xml:space="preserve">) or in the Assignment and Assumption pursuant to which such Lender becomes a party hereto or in any documentation executed by such Lender pursuant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Applicable Rate</w:t>
      </w:r>
      <w:r>
        <w:rPr>
          <w:rFonts w:ascii="Times New Roman;Times;Serif" w:hAnsi="Times New Roman;Times;Serif"/>
          <w:b w:val="false"/>
          <w:i w:val="false"/>
          <w:caps w:val="false"/>
          <w:smallCaps w:val="false"/>
          <w:sz w:val="20"/>
        </w:rPr>
        <w:t>” means, for any day, the rate per annum set forth below opposite the applicable level then in effect (based on the Consolidated Net Leverage Ratio), it being understood that the Applicable Rate for (a) Revolving Loans that are Base Rate Loans shall be the percentage set forth under the column “Base Rate”, (b) Revolving Loans that are Term SOFR Loans shall be the percentage set forth under the column “Term SOFR &amp; Letter of Credit Fee”, (c) the Letter of Credit Fee shall be the percentage set forth under the column “Term SOFR &amp; Letter of Credit Fee”, (d) that portion of the Term Loan comprised of Base Rate Loans shall be the percentage set forth under the column “Base Rate”, (e) that portion of the Term Loan comprised of Term SOFR Loans shall be the percentage set forth under the column “Term SOFR &amp; Letter of Credit Fee”, and (f) the Commitment Fee shall be the percentage set forth under the column “Commitment Fee”:</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10" w:type="dxa"/>
        <w:tblLayout w:type="fixed"/>
        <w:tblCellMar>
          <w:top w:w="140" w:type="dxa"/>
          <w:left w:w="115" w:type="dxa"/>
          <w:bottom w:w="140" w:type="dxa"/>
          <w:right w:w="115" w:type="dxa"/>
        </w:tblCellMar>
      </w:tblPr>
      <w:tblGrid>
        <w:gridCol w:w="650"/>
        <w:gridCol w:w="1490"/>
        <w:gridCol w:w="1595"/>
        <w:gridCol w:w="830"/>
        <w:gridCol w:w="1100"/>
      </w:tblGrid>
      <w:tr>
        <w:trPr/>
        <w:tc>
          <w:tcPr>
            <w:tcW w:w="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w:t>
            </w:r>
          </w:p>
        </w:tc>
        <w:tc>
          <w:tcPr>
            <w:tcW w:w="14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Consolidated Net </w:t>
              <w:br/>
              <w:t>Leverage Ratio</w:t>
            </w:r>
          </w:p>
        </w:tc>
        <w:tc>
          <w:tcPr>
            <w:tcW w:w="15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Term SOFR &amp; </w:t>
              <w:br/>
              <w:t>Letter of Credit Fee</w:t>
            </w:r>
          </w:p>
        </w:tc>
        <w:tc>
          <w:tcPr>
            <w:tcW w:w="8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Base Rate</w:t>
            </w:r>
          </w:p>
        </w:tc>
        <w:tc>
          <w:tcPr>
            <w:tcW w:w="11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Commitment</w:t>
              <w:br/>
              <w:t>Fee</w:t>
            </w:r>
          </w:p>
        </w:tc>
      </w:tr>
      <w:tr>
        <w:trPr/>
        <w:tc>
          <w:tcPr>
            <w:tcW w:w="6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1</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u w:val="single"/>
              </w:rPr>
              <w:t>&lt;</w:t>
            </w:r>
            <w:r>
              <w:rPr>
                <w:rFonts w:ascii="Times New Roman;Times;Serif" w:hAnsi="Times New Roman;Times;Serif"/>
                <w:sz w:val="20"/>
              </w:rPr>
              <w:t xml:space="preserve"> 1.25 to 1.00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2.75%</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1.75%</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0.350%</w:t>
            </w:r>
          </w:p>
        </w:tc>
      </w:tr>
      <w:tr>
        <w:trPr/>
        <w:tc>
          <w:tcPr>
            <w:tcW w:w="6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2</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 1.25 to 1.00 but</w:t>
              <w:br/>
            </w:r>
            <w:r>
              <w:rPr>
                <w:rFonts w:ascii="Times New Roman;Times;Serif" w:hAnsi="Times New Roman;Times;Serif"/>
                <w:sz w:val="20"/>
                <w:u w:val="single"/>
              </w:rPr>
              <w:t>&lt;</w:t>
            </w:r>
            <w:r>
              <w:rPr>
                <w:rFonts w:ascii="Times New Roman;Times;Serif" w:hAnsi="Times New Roman;Times;Serif"/>
                <w:sz w:val="20"/>
              </w:rPr>
              <w:t xml:space="preserve"> 2.00 to 1.00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3.00%</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0.400%</w:t>
            </w:r>
          </w:p>
        </w:tc>
      </w:tr>
      <w:tr>
        <w:trPr/>
        <w:tc>
          <w:tcPr>
            <w:tcW w:w="6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3</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 2.00 to 1.00 but</w:t>
              <w:br/>
            </w:r>
            <w:r>
              <w:rPr>
                <w:rFonts w:ascii="Times New Roman;Times;Serif" w:hAnsi="Times New Roman;Times;Serif"/>
                <w:sz w:val="20"/>
                <w:u w:val="single"/>
              </w:rPr>
              <w:t xml:space="preserve">&lt; </w:t>
            </w:r>
            <w:r>
              <w:rPr>
                <w:rFonts w:ascii="Times New Roman;Times;Serif" w:hAnsi="Times New Roman;Times;Serif"/>
                <w:sz w:val="20"/>
              </w:rPr>
              <w:t>2.75 to 1.00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3.25%</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2.25%</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0.500%</w:t>
            </w:r>
          </w:p>
        </w:tc>
      </w:tr>
      <w:tr>
        <w:trPr/>
        <w:tc>
          <w:tcPr>
            <w:tcW w:w="6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Level 4</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&gt; 2.75 to 1.00 </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3.50%</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2.50%</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increase or decrease in the Applicable Rate resulting from a change in the Consolidated Net Leverage Ratio shall become effective as of the first (1st) Business Day immediately following the date a Compliance Certificate is delivered pursuant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Compliance Certificate is not delivered when due in accordance with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then, upon request of the Required Lenders, pricing level 4 shall apply, in each case as of the first (1st) Business Day after the date on which such Compliance Certificate was required to have been delivered and in each case shall remain in effect until the first (1st) Business Day following the date on which such Compliance Certificate is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in this definition, (i) the determination of the Applicable Rate for any period shall be subject to the provisions of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xml:space="preserve">) and (ii) the initial Applicable Rate shall be set at pricing level 2 until the first (1st) Business Day immediately following the date a Compliance Certificate is delivered to the Administrative Agent pursuant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for the first full fiscal quarter to occur following the Closing Date. Any adjustment in the Applicable Rate shall be applicable to all Credit Extensions then existing or subsequently made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Applicable Rate set forth above shall be increased as, and to the extent, required by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Applicable Revolving Percentage</w:t>
      </w:r>
      <w:r>
        <w:rPr>
          <w:rFonts w:ascii="Times New Roman;Times;Serif" w:hAnsi="Times New Roman;Times;Serif"/>
          <w:b w:val="false"/>
          <w:i w:val="false"/>
          <w:caps w:val="false"/>
          <w:smallCaps w:val="false"/>
          <w:sz w:val="20"/>
        </w:rPr>
        <w:t>” means with respect to any Revolving Lender at any time, such Revolving Lender’s Applicable Percentage in respect of the Revolving Facility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Appropriate Lender</w:t>
      </w:r>
      <w:r>
        <w:rPr>
          <w:rFonts w:ascii="Times New Roman;Times;Serif" w:hAnsi="Times New Roman;Times;Serif"/>
          <w:b w:val="false"/>
          <w:i w:val="false"/>
          <w:caps w:val="false"/>
          <w:smallCaps w:val="false"/>
          <w:sz w:val="20"/>
        </w:rPr>
        <w:t xml:space="preserve">” means, at any time, (a)  with respect to any Facility, a Lender that has a Commitment with respect to such Facility or holds a Loan under such Facility at such time, (b) with respect to the Letter of Credit Sublimit, (i) the L/C Issuer and (ii) if any Letters of Credit have been issued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the Revolving Lenders and (c) with respect to the Swingline Sublimit, (i) the Swingline Lender and (ii) if any Swingline Loans are outstanding pursuant to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 the Revolving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Approved Fund</w:t>
      </w:r>
      <w:r>
        <w:rPr>
          <w:rFonts w:ascii="Times New Roman;Times;Serif" w:hAnsi="Times New Roman;Times;Serif"/>
          <w:b w:val="false"/>
          <w:i w:val="false"/>
          <w:caps w:val="false"/>
          <w:smallCaps w:val="false"/>
          <w:sz w:val="20"/>
        </w:rPr>
        <w:t>” means any Fund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Arranger</w:t>
      </w:r>
      <w:r>
        <w:rPr>
          <w:rFonts w:ascii="Times New Roman;Times;Serif" w:hAnsi="Times New Roman;Times;Serif"/>
          <w:b w:val="false"/>
          <w:i w:val="false"/>
          <w:caps w:val="false"/>
          <w:smallCaps w:val="false"/>
          <w:sz w:val="20"/>
        </w:rPr>
        <w:t>” means MUFG, in its capacity as sole lead arranger and sole bookrunner.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Eligible Assignee (with the consent of any party whose consent is required by </w:t>
      </w:r>
      <w:r>
        <w:rPr>
          <w:rFonts w:ascii="Times New Roman;Times;Serif" w:hAnsi="Times New Roman;Times;Serif"/>
          <w:b w:val="false"/>
          <w:i w:val="false"/>
          <w:caps w:val="false"/>
          <w:smallCaps w:val="false"/>
          <w:sz w:val="20"/>
          <w:u w:val="single"/>
        </w:rPr>
        <w:t>Section 11.06(b</w:t>
      </w:r>
      <w:r>
        <w:rPr>
          <w:rFonts w:ascii="Times New Roman;Times;Serif" w:hAnsi="Times New Roman;Times;Serif"/>
          <w:b w:val="false"/>
          <w:i w:val="false"/>
          <w:caps w:val="false"/>
          <w:smallCaps w:val="false"/>
          <w:sz w:val="20"/>
        </w:rPr>
        <w:t xml:space="preserve">)), and accepted by the Administrative Agent, in substantially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or any other form (including an electronic documentation form generated by use of an electronic platform)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Attributable Indebtedness</w:t>
      </w:r>
      <w:r>
        <w:rPr>
          <w:rFonts w:ascii="Times New Roman;Times;Serif" w:hAnsi="Times New Roman;Times;Serif"/>
          <w:b w:val="false"/>
          <w:i w:val="false"/>
          <w:caps w:val="false"/>
          <w:smallCaps w:val="false"/>
          <w:sz w:val="20"/>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Audited Financial Statements</w:t>
      </w:r>
      <w:r>
        <w:rPr>
          <w:rFonts w:ascii="Times New Roman;Times;Serif" w:hAnsi="Times New Roman;Times;Serif"/>
          <w:b w:val="false"/>
          <w:i w:val="false"/>
          <w:caps w:val="false"/>
          <w:smallCaps w:val="false"/>
          <w:sz w:val="20"/>
        </w:rPr>
        <w:t>” means the audited Consolidated balance sheet of the Borrower and its Subsidiaries for the fiscal year ended December 31, 2025 and the related Consolidated statements of income or operations, Shareholders’ Equity and cash flows for such fiscal year of the Borrower and its Subsidiaries, including the notes thereto, included in the Borrower’s annual report on Form 10-K dated February 26, 2026, as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Authorization to Share Insurance Information</w:t>
      </w:r>
      <w:r>
        <w:rPr>
          <w:rFonts w:ascii="Times New Roman;Times;Serif" w:hAnsi="Times New Roman;Times;Serif"/>
          <w:b w:val="false"/>
          <w:i w:val="false"/>
          <w:caps w:val="false"/>
          <w:smallCaps w:val="false"/>
          <w:sz w:val="20"/>
        </w:rPr>
        <w:t xml:space="preserve">” means the authorization substantially in the form of </w:t>
      </w:r>
      <w:r>
        <w:rPr>
          <w:rFonts w:ascii="Times New Roman;Times;Serif" w:hAnsi="Times New Roman;Times;Serif"/>
          <w:b w:val="false"/>
          <w:i w:val="false"/>
          <w:caps w:val="false"/>
          <w:smallCaps w:val="false"/>
          <w:sz w:val="20"/>
          <w:u w:val="single"/>
        </w:rPr>
        <w:t>Exhibit Q</w:t>
      </w:r>
      <w:r>
        <w:rPr>
          <w:rFonts w:ascii="Times New Roman;Times;Serif" w:hAnsi="Times New Roman;Times;Serif"/>
          <w:b w:val="false"/>
          <w:i w:val="false"/>
          <w:caps w:val="false"/>
          <w:smallCaps w:val="false"/>
          <w:sz w:val="20"/>
        </w:rPr>
        <w:t xml:space="preserve"> (or such other form as required by each of the Loan Party’s insurance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Availability Period</w:t>
      </w:r>
      <w:r>
        <w:rPr>
          <w:rFonts w:ascii="Times New Roman;Times;Serif" w:hAnsi="Times New Roman;Times;Serif"/>
          <w:b w:val="false"/>
          <w:i w:val="false"/>
          <w:caps w:val="false"/>
          <w:smallCaps w:val="false"/>
          <w:sz w:val="20"/>
        </w:rPr>
        <w:t xml:space="preserve">” means (a) in respect of the Revolving Facility, the period from and including the Closing Date to the earliest of (i) the Maturity Date, (ii) the date of termination of the Revolving Commitments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(iii) the date of termination of the Commitment of each Revolving Lender to make Revolving Loans and of the obligation of the L/C Issuer to make L/C Credit Extensions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and (b) in respect of the DD Term Facility, the period from and including the Closing Date to the earliest of (i) the date that falls twenty-four (24) months after the Closing Date, (ii) the Maturity Date and (iii) the date of termination of the DD Term Commitments of the respective DD Term Lenders to make DD Term Loans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Bail</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Bail</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Base Rate</w:t>
      </w:r>
      <w:r>
        <w:rPr>
          <w:rFonts w:ascii="Times New Roman;Times;Serif" w:hAnsi="Times New Roman;Times;Serif"/>
          <w:b w:val="false"/>
          <w:i w:val="false"/>
          <w:caps w:val="false"/>
          <w:smallCaps w:val="false"/>
          <w:sz w:val="20"/>
        </w:rPr>
        <w:t xml:space="preserve">” means for any day a fluctuating rate of interest per annum equal to the highest of (a) the Federal Funds Rate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0.50%, (b) the rate of interest in effect for such day as publicly announced from time to time by MUFG as its “prime rate,” and (c) the Term SOFR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1.00%, subject to the interest rate floors set forth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Base Rate shall be less than 1.00%, such rate shall be deemed 1.00% for purposes of this Agreement. The “prime rate” is a rate set by MUFG based upon various factors including MUFG’s costs and desired return, general economic conditions and other factors, and is used as a reference point for pricing some loans, which may be priced at, above, or below such announced rate. Any change in such prime rate announced by MUFG shall take effect at the opening of business on the day specified in the public announcement of such change. If the Base Rate is being used as an alternate rate of interest pursuant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then the Base Rate shall be the greater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and shall be determined without reference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Base Rate Loan</w:t>
      </w:r>
      <w:r>
        <w:rPr>
          <w:rFonts w:ascii="Times New Roman;Times;Serif" w:hAnsi="Times New Roman;Times;Serif"/>
          <w:b w:val="false"/>
          <w:i w:val="false"/>
          <w:caps w:val="false"/>
          <w:smallCaps w:val="false"/>
          <w:sz w:val="20"/>
        </w:rPr>
        <w:t>” means a Loan that bears interest based on the Base Rate. All Base Rate Loans are available to the Borrower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Benefits Administration Services</w:t>
      </w:r>
      <w:r>
        <w:rPr>
          <w:rFonts w:ascii="Times New Roman;Times;Serif" w:hAnsi="Times New Roman;Times;Serif"/>
          <w:b w:val="false"/>
          <w:i w:val="false"/>
          <w:caps w:val="false"/>
          <w:smallCaps w:val="false"/>
          <w:sz w:val="20"/>
        </w:rPr>
        <w:t>” means any services provided by any Loan Party or any Subsidiary thereof to any Customer that involve the administration, recordkeeping, processing, or management of employee benefit plans (as defined in Section 3(3) of ERISA), including, without limitation, 401(k) plans, health and welfare plans, defined benefit plans, cafeteria plans under Section 125 of the Code, flexible spending accounts, health savings accounts, and any other employee benefit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Borrower</w:t>
      </w:r>
      <w:r>
        <w:rPr>
          <w:rFonts w:ascii="Times New Roman;Times;Serif" w:hAnsi="Times New Roman;Times;Serif"/>
          <w:b w:val="false"/>
          <w:i w:val="false"/>
          <w:caps w:val="false"/>
          <w:smallCaps w:val="false"/>
          <w:sz w:val="20"/>
        </w:rPr>
        <w:t>” has the meaning specified in the introductory paragraph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Borrower Materials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6.02(p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Borrowing</w:t>
      </w:r>
      <w:r>
        <w:rPr>
          <w:rFonts w:ascii="Times New Roman;Times;Serif" w:hAnsi="Times New Roman;Times;Serif"/>
          <w:b w:val="false"/>
          <w:i w:val="false"/>
          <w:caps w:val="false"/>
          <w:smallCaps w:val="false"/>
          <w:sz w:val="20"/>
        </w:rPr>
        <w:t>” means a Revolving Borrowing, a Term A Borrowing, a DD Term Borrowing, or a Swingline Borrowing,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Sunday or other day on which commercial banks are authorized to close under the Laws of, or are in fact closed in, the state where the Administrative Agent’s Office is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Capital Expenditures</w:t>
      </w:r>
      <w:r>
        <w:rPr>
          <w:rFonts w:ascii="Times New Roman;Times;Serif" w:hAnsi="Times New Roman;Times;Serif"/>
          <w:b w:val="false"/>
          <w:i w:val="false"/>
          <w:caps w:val="false"/>
          <w:smallCaps w:val="false"/>
          <w:sz w:val="20"/>
        </w:rPr>
        <w:t>” means, with respect to any Person for any period, any expenditure in respect of the purchase or other acquisition of any fixed or capital asset (excluding normal replacements and maintenance which are properly charged to current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Capitalized Lease</w:t>
      </w:r>
      <w:r>
        <w:rPr>
          <w:rFonts w:ascii="Times New Roman;Times;Serif" w:hAnsi="Times New Roman;Times;Serif"/>
          <w:b w:val="false"/>
          <w:i w:val="false"/>
          <w:caps w:val="false"/>
          <w:smallCaps w:val="false"/>
          <w:sz w:val="20"/>
        </w:rPr>
        <w:t>” means any lease that has been or is required to be, in accordance with GAAP, recorded, classified and accounted for as a capitalized lease or financing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Capitalized Software Costs</w:t>
      </w:r>
      <w:r>
        <w:rPr>
          <w:rFonts w:ascii="Times New Roman;Times;Serif" w:hAnsi="Times New Roman;Times;Serif"/>
          <w:b w:val="false"/>
          <w:i w:val="false"/>
          <w:caps w:val="false"/>
          <w:smallCaps w:val="false"/>
          <w:sz w:val="20"/>
        </w:rPr>
        <w:t>” means, as of any date of determination, in respect of any Person, expenditures related to software development capitalized on the balance sheet of such Person, rather than expensed immediately, in accordance with GAAP and consistent with past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Cash Collateralize</w:t>
      </w:r>
      <w:r>
        <w:rPr>
          <w:rFonts w:ascii="Times New Roman;Times;Serif" w:hAnsi="Times New Roman;Times;Serif"/>
          <w:b w:val="false"/>
          <w:i w:val="false"/>
          <w:caps w:val="false"/>
          <w:smallCaps w:val="false"/>
          <w:sz w:val="20"/>
        </w:rPr>
        <w:t>” means to deposit in a Controlled Account or pledge and deposit with or deliver to the Administrative Agent, for the benefit of one or more of the L/C Issuer or Swingline Lender (as applicable) or the Lenders, as Collateral for L/C Obligations, the in respect of Swingline Loans, or obligations of the Revolving Lenders to fund participations in respect of L/C Obligations or Swingline Loans (as the context may require), (a) cash or deposit account balances, (b) backstop letters of credit entered into on terms, from issuers and in amounts satisfactory to the Administrative Agent and the L/C Issuer, and/or (c) if the Administrative Agent and the L/C Issuer or Swingline Lender shall agree, in their sole discretion, other credit support, in each case, in Dollars and pursuant to documentation in form and substance reasonably satisfactory to the Administrative Agent and the L/C Issuer or the Swingline Lender (as applicable). “</w:t>
      </w:r>
      <w:r>
        <w:rPr>
          <w:rFonts w:ascii="Times New Roman;Times;Serif" w:hAnsi="Times New Roman;Times;Serif"/>
          <w:b w:val="false"/>
          <w:i/>
          <w:caps w:val="false"/>
          <w:smallCaps w:val="false"/>
          <w:sz w:val="20"/>
          <w:u w:val="single"/>
        </w:rPr>
        <w:t>Cash Collateral</w:t>
      </w:r>
      <w:r>
        <w:rPr>
          <w:rFonts w:ascii="Times New Roman;Times;Serif" w:hAnsi="Times New Roman;Times;Serif"/>
          <w:b w:val="false"/>
          <w:i w:val="false"/>
          <w:caps w:val="false"/>
          <w:smallCaps w:val="false"/>
          <w:sz w:val="20"/>
        </w:rPr>
        <w:t>” shall have a meaning correlative to the foregoing and shall include the proceeds of such Cash Collateral and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Cash Equivalents</w:t>
      </w:r>
      <w:r>
        <w:rPr>
          <w:rFonts w:ascii="Times New Roman;Times;Serif" w:hAnsi="Times New Roman;Times;Serif"/>
          <w:b w:val="false"/>
          <w:i w:val="false"/>
          <w:caps w:val="false"/>
          <w:smallCaps w:val="false"/>
          <w:sz w:val="20"/>
        </w:rPr>
        <w:t>” means any of the following types of Investments, to the extent owned by the Borrower or any of its Subsidiaries free and clear of all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readily marketable obligations issued or directly and fully guaranteed or insured by the United States or any agency or instrumentality thereof having maturities of not more than three hundred sixty (360) days from the date of acquisition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full faith and credit of the United States is pledged in support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of this definition and (iii) has combined capital and surplus of at least $1,000,000,000, in each case with maturities of not more than ninety (90) days from the date of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commercial paper issued by any Person organized under the laws of any state of the United States and rated at least “Prime-1” (or the then equivalent grade) by Moody’s or at least “A-1” (or the then equivalent grade) by S&amp;P, in each case with maturities of not more than one hundred eighty (180) days from the date of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of this definition;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solely with respect to </w:t>
      </w:r>
      <w:r>
        <w:rPr>
          <w:rFonts w:ascii="Times New Roman;Times;Serif" w:hAnsi="Times New Roman;Times;Serif"/>
          <w:b w:val="false"/>
          <w:i w:val="false"/>
          <w:caps w:val="false"/>
          <w:smallCaps w:val="false"/>
          <w:sz w:val="20"/>
          <w:u w:val="single"/>
        </w:rPr>
        <w:t>Sections 7.03(a)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7.03(o)</w:t>
      </w:r>
      <w:r>
        <w:rPr>
          <w:rFonts w:ascii="Times New Roman;Times;Serif" w:hAnsi="Times New Roman;Times;Serif"/>
          <w:b w:val="false"/>
          <w:i w:val="false"/>
          <w:caps w:val="false"/>
          <w:smallCaps w:val="false"/>
          <w:sz w:val="20"/>
        </w:rPr>
        <w:t>, other Investments made in accordance with the Borrower’s investment policy, as approved by the Borrower’s board of directors and in effect from time to time, and approved in writing by the Administrative Agent (such approval not to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Cash Management Agreement</w:t>
      </w:r>
      <w:r>
        <w:rPr>
          <w:rFonts w:ascii="Times New Roman;Times;Serif" w:hAnsi="Times New Roman;Times;Serif"/>
          <w:b w:val="false"/>
          <w:i w:val="false"/>
          <w:caps w:val="false"/>
          <w:smallCaps w:val="false"/>
          <w:sz w:val="20"/>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Cash Management Bank</w:t>
      </w:r>
      <w:r>
        <w:rPr>
          <w:rFonts w:ascii="Times New Roman;Times;Serif" w:hAnsi="Times New Roman;Times;Serif"/>
          <w:b w:val="false"/>
          <w:i w:val="false"/>
          <w:caps w:val="false"/>
          <w:smallCaps w:val="false"/>
          <w:sz w:val="20"/>
        </w:rPr>
        <w:t xml:space="preserve">” 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CFC</w:t>
      </w:r>
      <w:r>
        <w:rPr>
          <w:rFonts w:ascii="Times New Roman;Times;Serif" w:hAnsi="Times New Roman;Times;Serif"/>
          <w:b w:val="false"/>
          <w:i w:val="false"/>
          <w:caps w:val="false"/>
          <w:smallCaps w:val="false"/>
          <w:sz w:val="20"/>
        </w:rPr>
        <w:t>” means a Person that is a controlled foreign corporation under Section 957 of the Code in which the Borrower or any Loan Party is a United States shareholder within the meaning of Section 951(b)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Change of Control</w:t>
      </w:r>
      <w:r>
        <w:rPr>
          <w:rFonts w:ascii="Times New Roman;Times;Serif" w:hAnsi="Times New Roman;Times;Serif"/>
          <w:b w:val="false"/>
          <w:i w:val="false"/>
          <w:caps w:val="false"/>
          <w:smallCaps w:val="false"/>
          <w:sz w:val="20"/>
        </w:rPr>
        <w:t>” means an event or series of events by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Times;Serif" w:hAnsi="Times New Roman;Times;Serif"/>
          <w:b w:val="false"/>
          <w:i w:val="false"/>
          <w:caps w:val="false"/>
          <w:smallCaps w:val="false"/>
          <w:sz w:val="20"/>
          <w:u w:val="single"/>
        </w:rPr>
        <w:t>option right</w:t>
      </w:r>
      <w:r>
        <w:rPr>
          <w:rFonts w:ascii="Times New Roman;Times;Serif" w:hAnsi="Times New Roman;Times;Serif"/>
          <w:b w:val="false"/>
          <w:i w:val="false"/>
          <w:caps w:val="false"/>
          <w:smallCaps w:val="false"/>
          <w:sz w:val="20"/>
        </w:rPr>
        <w:t>”)), directly or indirectly, of 35% or more of the equity securities of the Borrower entitled to vote for members of the board of directors or equivalent governing body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fully-diluted basis (and taking into account all such securities that such “person” or “group” has the right to acquire pursuant to any option right);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any period of twelve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nominated, appointed or approved (either by a specific vote or approval of a proxy statement issued by the Borrower on behalf of its entire board of directors in which such individual is named as a nominee for director) by individuals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constituting at the time of such election or nomination at least a majority of that board or equivalent governing body or (iii) whose election or nomination to that board or other equivalent governing body was nominated, appointed or approved (either by a specific vote or approval of a proxy statement issued by the Borrower on behalf of its entire board of directors in which such individual is named as a nominee for director) by individuals referred to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constituting at the time of such election or nomination at least a majority of that board or equivalent governing body;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“change of control” or any comparable term under, and as defined in, any Subordinated Debt Document or other significant debt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Client Plan</w:t>
      </w:r>
      <w:r>
        <w:rPr>
          <w:rFonts w:ascii="Times New Roman;Times;Serif" w:hAnsi="Times New Roman;Times;Serif"/>
          <w:b w:val="false"/>
          <w:i w:val="false"/>
          <w:caps w:val="false"/>
          <w:smallCaps w:val="false"/>
          <w:sz w:val="20"/>
        </w:rPr>
        <w:t>” means any employee benefit plan (as defined in Section 3(3) of ERISA) or any plan described in Section 4975(e)(1) of the Code sponsored, maintained, or contributed to by any Customer of any Loan Party or any Subsidiary thereof for which any Loan Party or any Subsidiary thereof provides Benefits Administration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Client Data</w:t>
      </w:r>
      <w:r>
        <w:rPr>
          <w:rFonts w:ascii="Times New Roman;Times;Serif" w:hAnsi="Times New Roman;Times;Serif"/>
          <w:b w:val="false"/>
          <w:i w:val="false"/>
          <w:caps w:val="false"/>
          <w:smallCaps w:val="false"/>
          <w:sz w:val="20"/>
        </w:rPr>
        <w:t>” means any data or information (including personally identifiable information, protected health information, payroll data, tax information, benefits information, and employment records) that any Loan Party or any Subsidiary thereof collects, processes, stores, transmits, or otherwise handles on behalf of any Customer in connection with the provision of payroll, human resources, benefits administration, tax processing, or related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Closing Date</w:t>
      </w:r>
      <w:r>
        <w:rPr>
          <w:rFonts w:ascii="Times New Roman;Times;Serif" w:hAnsi="Times New Roman;Times;Serif"/>
          <w:b w:val="false"/>
          <w:i w:val="false"/>
          <w:caps w:val="false"/>
          <w:smallCaps w:val="false"/>
          <w:sz w:val="20"/>
        </w:rPr>
        <w:t>” means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CME</w:t>
      </w:r>
      <w:r>
        <w:rPr>
          <w:rFonts w:ascii="Times New Roman;Times;Serif" w:hAnsi="Times New Roman;Times;Serif"/>
          <w:b w:val="false"/>
          <w:i w:val="false"/>
          <w:caps w:val="false"/>
          <w:smallCaps w:val="false"/>
          <w:sz w:val="20"/>
        </w:rPr>
        <w:t>” means CME Group Benchmark Administration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Collateral</w:t>
      </w:r>
      <w:r>
        <w:rPr>
          <w:rFonts w:ascii="Times New Roman;Times;Serif" w:hAnsi="Times New Roman;Times;Serif"/>
          <w:b w:val="false"/>
          <w:i w:val="false"/>
          <w:caps w:val="false"/>
          <w:smallCaps w:val="false"/>
          <w:sz w:val="20"/>
        </w:rPr>
        <w:t>” means all of the “Collateral” referred to in the Collateral Documents and all of the other property that is to be subject to Liens in favor of the Administrative Agent for the benefit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Collateral Access Agreement</w:t>
      </w:r>
      <w:r>
        <w:rPr>
          <w:rFonts w:ascii="Times New Roman;Times;Serif" w:hAnsi="Times New Roman;Times;Serif"/>
          <w:b w:val="false"/>
          <w:i w:val="false"/>
          <w:caps w:val="false"/>
          <w:smallCaps w:val="false"/>
          <w:sz w:val="20"/>
        </w:rPr>
        <w:t xml:space="preserve">” means any landlord waiver or other agreement, in form and substance reasonably satisfactory to the Administrative Agent, between the Administrative Agent and any third party (including any bailee, consignee, customs broker, or other similar Person) in possession of any Collateral or any landlord of any real property where any Collateral is located, as such landlord waiver or other agreement may be amended, restated, supplemented or otherwise modified from time to time, including such landlord waiver substantially in the form of </w:t>
      </w:r>
      <w:r>
        <w:rPr>
          <w:rFonts w:ascii="Times New Roman;Times;Serif" w:hAnsi="Times New Roman;Times;Serif"/>
          <w:b w:val="false"/>
          <w:i w:val="false"/>
          <w:caps w:val="false"/>
          <w:smallCaps w:val="false"/>
          <w:sz w:val="20"/>
          <w:u w:val="single"/>
        </w:rPr>
        <w:t>Exhibit 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Collateral Documents</w:t>
      </w:r>
      <w:r>
        <w:rPr>
          <w:rFonts w:ascii="Times New Roman;Times;Serif" w:hAnsi="Times New Roman;Times;Serif"/>
          <w:b w:val="false"/>
          <w:i w:val="false"/>
          <w:caps w:val="false"/>
          <w:smallCaps w:val="false"/>
          <w:sz w:val="20"/>
        </w:rPr>
        <w:t>” means, collectively, the Security Agreement, the Qualifying Control Agreements, each Joinder Agreement, each of the collateral assignments, security agreements, pledge agreements, account control agreements or other similar agreements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and each of the other agreements, instruments or documents that creates or purports to create a Lien in favor of the Administrative Agent for the benefit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Commitment</w:t>
      </w:r>
      <w:r>
        <w:rPr>
          <w:rFonts w:ascii="Times New Roman;Times;Serif" w:hAnsi="Times New Roman;Times;Serif"/>
          <w:b w:val="false"/>
          <w:i w:val="false"/>
          <w:caps w:val="false"/>
          <w:smallCaps w:val="false"/>
          <w:sz w:val="20"/>
        </w:rPr>
        <w:t>” means a Term A Commitment, DD Term Commitment, a Revolving Commitment or an Incremental Commitment,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Commodity Exchange Act</w:t>
      </w:r>
      <w:r>
        <w:rPr>
          <w:rFonts w:ascii="Times New Roman;Times;Serif" w:hAnsi="Times New Roman;Times;Serif"/>
          <w:b w:val="false"/>
          <w:i w:val="false"/>
          <w:caps w:val="false"/>
          <w:smallCaps w:val="false"/>
          <w:sz w:val="20"/>
        </w:rPr>
        <w:t xml:space="preserve">” means the Commodity Exchange Act (7 U.S.C. § 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Communication</w:t>
      </w:r>
      <w:r>
        <w:rPr>
          <w:rFonts w:ascii="Times New Roman;Times;Serif" w:hAnsi="Times New Roman;Times;Serif"/>
          <w:b w:val="false"/>
          <w:i w:val="false"/>
          <w:caps w:val="false"/>
          <w:smallCaps w:val="false"/>
          <w:sz w:val="20"/>
        </w:rPr>
        <w:t>” means this Agreement, any Loan Document and any document, any amendment, approval, consent, information, notice, certificate, request, written statement, written disclosure or authorization related to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Compliance Certificate</w:t>
      </w:r>
      <w:r>
        <w:rPr>
          <w:rFonts w:ascii="Times New Roman;Times;Serif" w:hAnsi="Times New Roman;Times;Serif"/>
          <w:b w:val="false"/>
          <w:i w:val="false"/>
          <w:caps w:val="false"/>
          <w:smallCaps w:val="false"/>
          <w:sz w:val="20"/>
        </w:rPr>
        <w:t xml:space="preserve">” means a certificate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Conforming Changes</w:t>
      </w:r>
      <w:r>
        <w:rPr>
          <w:rFonts w:ascii="Times New Roman;Times;Serif" w:hAnsi="Times New Roman;Times;Serif"/>
          <w:b w:val="false"/>
          <w:i w:val="false"/>
          <w:caps w:val="false"/>
          <w:smallCaps w:val="false"/>
          <w:sz w:val="20"/>
        </w:rPr>
        <w:t>”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Consolidated</w:t>
      </w:r>
      <w:r>
        <w:rPr>
          <w:rFonts w:ascii="Times New Roman;Times;Serif" w:hAnsi="Times New Roman;Times;Serif"/>
          <w:b w:val="false"/>
          <w:i w:val="false"/>
          <w:caps w:val="false"/>
          <w:smallCaps w:val="false"/>
          <w:sz w:val="20"/>
        </w:rPr>
        <w:t>” means, when used with reference to financial statements or financial statement items of the Borrower and its Subsidiaries or any other Person, such statements or items on a consolidated basis in accordance with the consolidation principles of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Consolidated EBITDA</w:t>
      </w:r>
      <w:r>
        <w:rPr>
          <w:rFonts w:ascii="Times New Roman;Times;Serif" w:hAnsi="Times New Roman;Times;Serif"/>
          <w:b w:val="false"/>
          <w:i w:val="false"/>
          <w:caps w:val="false"/>
          <w:smallCaps w:val="false"/>
          <w:sz w:val="20"/>
        </w:rPr>
        <w:t>” has the meaning as defined in the 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Consolidated Fixed Charge Coverage Ratio</w:t>
      </w:r>
      <w:r>
        <w:rPr>
          <w:rFonts w:ascii="Times New Roman;Times;Serif" w:hAnsi="Times New Roman;Times;Serif"/>
          <w:b w:val="false"/>
          <w:i w:val="false"/>
          <w:caps w:val="false"/>
          <w:smallCaps w:val="false"/>
          <w:sz w:val="20"/>
        </w:rPr>
        <w:t xml:space="preserve">” means, as of any date of determination, the ratio of (a) (i) Consolidated EBITDA, less (ii) the aggregate amount of all non-financed cash Capital Expenditures, less (iii) without duplication, any Capitalized Software Costs to (b) the sum of (i) Consolidated Interest Charges to the extent paid in cash, (ii) the aggregate principal amount of all regularly scheduled redemptions or regularly scheduled repurchases of outstanding debt for borrowed money or regularly scheduled principal payments (determined without giving effect to any reduction of such scheduled principal payments resulting from the application of any voluntary or optional prepayments made during such period), but excluding any such payments to the extent refinanced through the incurrence of additional Indebtedness otherwise expressly permitted under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(iii) the aggregate amount of all Restricted Payments paid in cash (other than with respect to a Restricted Payment made pursuant to any Subordinated Existing Holdover Notes or any Subordinated Unsecured Seller Notes) and (iv) the aggregate amount of federal, state, local and foreign income taxes paid in cash, in each case, of or by the Borrower and its Subsidiaries for the most recently completed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Consolidated Funded Indebtedness</w:t>
      </w:r>
      <w:r>
        <w:rPr>
          <w:rFonts w:ascii="Times New Roman;Times;Serif" w:hAnsi="Times New Roman;Times;Serif"/>
          <w:b w:val="false"/>
          <w:i w:val="false"/>
          <w:caps w:val="false"/>
          <w:smallCaps w:val="false"/>
          <w:sz w:val="20"/>
        </w:rPr>
        <w:t xml:space="preserve">” means, as of any date of determination, for the Borrower and its Subsidiaries on a Consolidated basis, the </w:t>
      </w:r>
      <w:r>
        <w:rPr>
          <w:rFonts w:ascii="Times New Roman;Times;Serif" w:hAnsi="Times New Roman;Times;Serif"/>
          <w:b w:val="false"/>
          <w:i/>
          <w:caps w:val="false"/>
          <w:smallCaps w:val="false"/>
          <w:sz w:val="20"/>
        </w:rPr>
        <w:t>sum of</w:t>
      </w:r>
      <w:r>
        <w:rPr>
          <w:rFonts w:ascii="Times New Roman;Times;Serif" w:hAnsi="Times New Roman;Times;Serif"/>
          <w:b w:val="false"/>
          <w:i w:val="false"/>
          <w:caps w:val="false"/>
          <w:smallCaps w:val="false"/>
          <w:sz w:val="20"/>
        </w:rPr>
        <w:t xml:space="preserve">, without duplication: (a) the outstanding principal amount of all obligations, whether current or long-term, for borrowed money (including Obligations hereunder) and all obligations evidenced by bonds, debentures, notes, loan agreements or other similar instruments; (b) all purchase money Indebtedness; (c) the amount drawn and unpaid under issued and outstanding letters of credit (including standby and commercial), bankers’ acceptances, bank guaranties, surety bonds and similar instruments; (d) all obligations in respect of the deferred purchase price of property or services (other than (w) working capital and similar adjustments, hold-back amounts, and escrow amounts, (x) trade accounts payable in the ordinary course of business and either not past due for more than ninety (90) days or being contested in good faith and for which adequate reserves have been provided with respect to such disputed payable, (y) accruals for payroll and other liabilities, including deferred compensation arrangements, in each case, accrued in the ordinary course of business and (z) Contingent Acquisition Consideration, solely to the extent not due and payable), (e) all Attributable Indebtedness; (f) all obligations to purchase, redeem, retire, defease or otherwise make any payment prior to the Maturity Date in respect of any Disqualified Equity Interests or any warrant, right or option to acquire such Disqualified Equity Interest, valued, in the case of a redeemable preferred interest, at the greater of its voluntary or involuntary liquidation preference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and unpaid dividends, (g) without duplication, all Guarantees with respect to outstanding Indebtedness of the types specified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through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above of Persons other than the Borrower or any Subsidiary; and (h) all Indebtedness of the types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through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above of any partnership or joint venture (other than a joint venture that is itself a corporation or limited liability company) in which the Borrower or a Subsidiary is a general partner or joint venturer, unless such Indebtedness is expressly made non-recourse to the Borrower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Consolidated Interest Charges</w:t>
      </w:r>
      <w:r>
        <w:rPr>
          <w:rFonts w:ascii="Times New Roman;Times;Serif" w:hAnsi="Times New Roman;Times;Serif"/>
          <w:b w:val="false"/>
          <w:i w:val="false"/>
          <w:caps w:val="false"/>
          <w:smallCaps w:val="false"/>
          <w:sz w:val="20"/>
        </w:rPr>
        <w:t xml:space="preserve">” means, for any Measurement Period, the </w:t>
      </w:r>
      <w:r>
        <w:rPr>
          <w:rFonts w:ascii="Times New Roman;Times;Serif" w:hAnsi="Times New Roman;Times;Serif"/>
          <w:b w:val="false"/>
          <w:i/>
          <w:caps w:val="false"/>
          <w:smallCaps w:val="false"/>
          <w:sz w:val="20"/>
        </w:rPr>
        <w:t>sum of</w:t>
      </w:r>
      <w:r>
        <w:rPr>
          <w:rFonts w:ascii="Times New Roman;Times;Serif" w:hAnsi="Times New Roman;Times;Serif"/>
          <w:b w:val="false"/>
          <w:i w:val="false"/>
          <w:caps w:val="false"/>
          <w:smallCaps w:val="false"/>
          <w:sz w:val="20"/>
        </w:rPr>
        <w:t xml:space="preserve"> (a) all interest, premium payments, debt discount, fees, charges and related expenses in connection with borrowed money or in connection with the deferred purchase price of assets, in each case to the extent treated as interest in accordance with GAAP, (b) all interest paid or payable with respect to discontinued operations that is treated as interest in accordance with GAAP and (c) the portion of rent expense under Capitalized Leases that is treated as interest in accordance with GAAP, in each case, of or by the Borrower and its Subsidiaries on a Consolidated basis for the most recently completed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Consolidated Net Income</w:t>
      </w:r>
      <w:r>
        <w:rPr>
          <w:rFonts w:ascii="Times New Roman;Times;Serif" w:hAnsi="Times New Roman;Times;Serif"/>
          <w:b w:val="false"/>
          <w:i w:val="false"/>
          <w:caps w:val="false"/>
          <w:smallCaps w:val="false"/>
          <w:sz w:val="20"/>
        </w:rPr>
        <w:t xml:space="preserve">” means, at any date of determination, the net income (or loss) of the Borrower and its Subsidiaries on a Consolidated basis for the most recently completed Measurement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Consolidated Net Income shall exclude: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unusual and infrequent gains for such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Borrower’s equity in any net loss of any such Subsidiary for such Measurement Period shall be included in determining Consolidated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income (or loss) for such Measurement Period of any Person if such Person is not a Subsidiary, except that the Borrower’s equity in the net income of any such Person for such Measurement Period shall be included in Consolidated Net Income up to the aggregate amount of cash actually distributed by such Person during such Measurement Period to the Borrower or a Subsidiary as a dividend or other distribution (and in the case of a dividend or other distribution to a Subsidiary, such Subsidiary is not precluded from further distributing such amount to the Borrower as described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of this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cumulative effect of a change in accounting principles and changes as a result of the adoption or modification of accounting policies during such Measurement Period whether effected through a cumulative effect adjustment or a retroactive application, in each case, in accordance with GAAP,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non-cash charge, expense or other impact attributable to application of the purchase or recapitalization method of accounting (including the total amount of depreciation and amortization, cost of sales or other non-cash expense resulting from the write-up of assets to the extent resulting from such purchase or recapitalization accounting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Consolidated Net Leverage Ratio</w:t>
      </w:r>
      <w:r>
        <w:rPr>
          <w:rFonts w:ascii="Times New Roman;Times;Serif" w:hAnsi="Times New Roman;Times;Serif"/>
          <w:b w:val="false"/>
          <w:i w:val="false"/>
          <w:caps w:val="false"/>
          <w:smallCaps w:val="false"/>
          <w:sz w:val="20"/>
        </w:rPr>
        <w:t xml:space="preserve">” means, as of any date of determination, the ratio of (a) Consolidated Funded Indebtedness as of such date, </w:t>
      </w:r>
      <w:r>
        <w:rPr>
          <w:rFonts w:ascii="Times New Roman;Times;Serif" w:hAnsi="Times New Roman;Times;Serif"/>
          <w:b w:val="false"/>
          <w:i w:val="false"/>
          <w:caps w:val="false"/>
          <w:smallCaps w:val="false"/>
          <w:sz w:val="20"/>
          <w:u w:val="single"/>
        </w:rPr>
        <w:t>less</w:t>
      </w:r>
      <w:r>
        <w:rPr>
          <w:rFonts w:ascii="Times New Roman;Times;Serif" w:hAnsi="Times New Roman;Times;Serif"/>
          <w:b w:val="false"/>
          <w:i w:val="false"/>
          <w:caps w:val="false"/>
          <w:smallCaps w:val="false"/>
          <w:sz w:val="20"/>
        </w:rPr>
        <w:t xml:space="preserve"> domestic Unrestricted Cash as of such date in an amount not to exceed 50% of Consolidated EBITDA for the most recently completed Measurement Period, to (b) Consolidated EBITDA of the Borrower and its Subsidiaries on a consolidated basis for the most recently completed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Contingent Acquisition Consideration</w:t>
      </w:r>
      <w:r>
        <w:rPr>
          <w:rFonts w:ascii="Times New Roman;Times;Serif" w:hAnsi="Times New Roman;Times;Serif"/>
          <w:b w:val="false"/>
          <w:i w:val="false"/>
          <w:caps w:val="false"/>
          <w:smallCaps w:val="false"/>
          <w:sz w:val="20"/>
        </w:rPr>
        <w:t>” means any earnout obligation or similar deferred or contingent obligation of the Borrower or any of its Subsidiaries incurred or created in connection with a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Contractual Obligation</w:t>
      </w:r>
      <w:r>
        <w:rPr>
          <w:rFonts w:ascii="Times New Roman;Times;Serif" w:hAnsi="Times New Roman;Times;Serif"/>
          <w:b w:val="false"/>
          <w:i w:val="false"/>
          <w:caps w:val="false"/>
          <w:smallCaps w:val="false"/>
          <w:sz w:val="20"/>
        </w:rPr>
        <w:t>” means, as to any Person, any provision of any security issued by such Person or of any agreement, instrument or other undertaking to which such Person is a party or by which it or any of its property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Cybersecurity Incident</w:t>
      </w:r>
      <w:r>
        <w:rPr>
          <w:rFonts w:ascii="Times New Roman;Times;Serif" w:hAnsi="Times New Roman;Times;Serif"/>
          <w:b w:val="false"/>
          <w:i w:val="false"/>
          <w:caps w:val="false"/>
          <w:smallCaps w:val="false"/>
          <w:sz w:val="20"/>
        </w:rPr>
        <w:t>” means any (a) unauthorized access to, or disclosure of, any Client Data or other confidential or proprietary information of any Loan Party or any Subsidiary, (b) unauthorized acquisition, destruction, modification, disclosure, encryption, or denial of use of any Client Data or any information technology systems of any Loan Party or any Subsidiary, (c) ransomware attack, (d) phishing or social engineering attack resulting in unauthorized access to Client Data or information technology systems of any Loan Party or any Subsidiary, or (e) other security breach, cyber-attack, or similar event affecting any information technology systems of any Loan Party or any Subsidiary or any Client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b w:val="false"/>
          <w:i/>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u w:val="single"/>
        </w:rPr>
        <w:t>Controlled</w:t>
      </w:r>
      <w:r>
        <w:rPr>
          <w:rFonts w:ascii="Times New Roman;Times;Serif" w:hAnsi="Times New Roman;Times;Serif"/>
          <w:b w:val="false"/>
          <w:i w:val="false"/>
          <w:caps w:val="false"/>
          <w:smallCaps w:val="false"/>
          <w:sz w:val="20"/>
        </w:rPr>
        <w:t>”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Controlled Account</w:t>
      </w:r>
      <w:r>
        <w:rPr>
          <w:rFonts w:ascii="Times New Roman;Times;Serif" w:hAnsi="Times New Roman;Times;Serif"/>
          <w:b w:val="false"/>
          <w:i w:val="false"/>
          <w:caps w:val="false"/>
          <w:smallCaps w:val="false"/>
          <w:sz w:val="20"/>
        </w:rPr>
        <w:t>” means each Deposit Account and Securities Account that is subject to a Qualifying Control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Cost of Acquisition</w:t>
      </w:r>
      <w:r>
        <w:rPr>
          <w:rFonts w:ascii="Times New Roman;Times;Serif" w:hAnsi="Times New Roman;Times;Serif"/>
          <w:b w:val="false"/>
          <w:i w:val="false"/>
          <w:caps w:val="false"/>
          <w:smallCaps w:val="false"/>
          <w:sz w:val="20"/>
        </w:rPr>
        <w:t xml:space="preserve">” means, with respect to any Acquisition, as at the date of entering into any agreement therefor, the sum of the following (without duplication): (a) the value of the Equity Interests of the Borrower or any Subsidiary to be transferred in connection with such Acquisition, (b) the amount of any cash or Cash Equivalents and the fair market value of other property (excluding property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and the unpaid principal amount of any debt instrument) given as consideration in connection with such Acquisition, (c) the amount (determined by using the face amount or the amount payable at maturity, whichever is greater) of any Indebtedness incurred, assumed or acquired by the Borrower or any Subsidiary in connection with such Acquisition, (d) all additional purchase price amounts in the form of Contingent Acquisition Consideration that should be recorded on the financial statements of the Borrower and its Subsidiaries in accordance with GAAP in connection with such Acquisition, (e) all amounts paid in respect of covenants not to compete and consulting agreements that should be recorded on the financial statements of the Borrower and its Subsidiaries in accordance with GAAP, and other affiliated contracts in connection with such Acquisition, and (f) the aggregate fair market value of all other consideration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Borrower or any Subsidiary in connection with such Acquisition. For purposes of determining the Cost of Acquisition for any transaction, the Equity Interests of the Borrower shall be valued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Covered Entity</w:t>
      </w:r>
      <w:r>
        <w:rPr>
          <w:rFonts w:ascii="Times New Roman;Times;Serif" w:hAnsi="Times New Roman;Times;Serif"/>
          <w:b w:val="false"/>
          <w:i w:val="false"/>
          <w:caps w:val="false"/>
          <w:smallCaps w:val="false"/>
          <w:sz w:val="20"/>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Credit Extension</w:t>
      </w:r>
      <w:r>
        <w:rPr>
          <w:rFonts w:ascii="Times New Roman;Times;Serif" w:hAnsi="Times New Roman;Times;Serif"/>
          <w:b w:val="false"/>
          <w:i w:val="false"/>
          <w:caps w:val="false"/>
          <w:smallCaps w:val="false"/>
          <w:sz w:val="20"/>
        </w:rPr>
        <w:t>” means each of the following: (a) a Borrowing and (b) an L/C Credit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Customer</w:t>
      </w:r>
      <w:r>
        <w:rPr>
          <w:rFonts w:ascii="Times New Roman;Times;Serif" w:hAnsi="Times New Roman;Times;Serif"/>
          <w:b w:val="false"/>
          <w:i w:val="false"/>
          <w:caps w:val="false"/>
          <w:smallCaps w:val="false"/>
          <w:sz w:val="20"/>
        </w:rPr>
        <w:t xml:space="preserve">” means a Person that purchases or licenses any Loan Party’s services or software in the ordinary course of business, in each case pursuant to a bona fide, third party transaction with a Person that is not an Affiliate of the Borrower or that, if an Affiliate of the Borrower, in a transaction that would not constitute an Affiliate transaction prohibited by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xml:space="preserve"> or otherwise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Customer Funds Account</w:t>
      </w:r>
      <w:r>
        <w:rPr>
          <w:rFonts w:ascii="Times New Roman;Times;Serif" w:hAnsi="Times New Roman;Times;Serif"/>
          <w:b w:val="false"/>
          <w:i w:val="false"/>
          <w:caps w:val="false"/>
          <w:smallCaps w:val="false"/>
          <w:sz w:val="20"/>
        </w:rPr>
        <w:t>” means any segregated Deposit Account or Securities Account of a Loan Party or any Subsidiary thereof to the extent that (a) such Deposit Account or Securities Account is used solely for the purpose of holding cash or Cash Equivalents on behalf of, and as a custodian with respect to, any Customers for purposes of making payments to employees and/or tax payments or payments of withholding taxes required under any applicable laws on behalf of such Customers, including those laws concerning F.I.C.A., F.U.T.A., and state disability, or otherwise under the terms of the Loan Party or any Subsidiary’s agreement with such Customer entered into in the ordinary course of business, (b) Borrower has provided notice to Administrative Agent of the establishment and designation of such Deposit Account or Securities Account as a Customer Funds Account by the date that is thirty (30) days following the establishment of such Deposit Account or Securities Account, and (c) the Loan Parties are in compliance with the provisions of this Agreement, including in Section 7.03 and Section 7.19, with respect to such Deposit Account or Securities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Daily Simple SOFR</w:t>
      </w:r>
      <w:r>
        <w:rPr>
          <w:rFonts w:ascii="Times New Roman;Times;Serif" w:hAnsi="Times New Roman;Times;Serif"/>
          <w:b w:val="false"/>
          <w:i w:val="false"/>
          <w:caps w:val="false"/>
          <w:smallCaps w:val="false"/>
          <w:sz w:val="20"/>
        </w:rPr>
        <w:t xml:space="preserve">” with respect to any applicable determination date means the SOFR published on the Federal Reserve Bank of New York’s website (or any successor source) two (2) U.S. Government Securities Business Days prior to such date of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rate is not published prior to 11:00 a.m. on such U.S. Government Securities Business Day then Daily Simple SOFR shall be determined on the first U.S. Government Securities Business Day immediately prior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Data Privacy and Cybersecurity Laws</w:t>
      </w:r>
      <w:r>
        <w:rPr>
          <w:rFonts w:ascii="Times New Roman;Times;Serif" w:hAnsi="Times New Roman;Times;Serif"/>
          <w:b w:val="false"/>
          <w:i w:val="false"/>
          <w:caps w:val="false"/>
          <w:smallCaps w:val="false"/>
          <w:sz w:val="20"/>
        </w:rPr>
        <w:t>” means all Applicable Laws relating to privacy, data protection, data security, cybersecurity, data breach notification, and the collection, use, storage, processing, disclosure, transfer, and protection of personal data or personally identifiable information, including, without limitation, the California Consumer Privacy Act (CCPA), the California Privacy Rights Act (CPRA), the Gramm-Leach-Bliley Act, the Health Insurance Portability and Accountability Act (HIPAA), the Health Information Technology for Economic and Clinical Health Act (HITECH), applicable state data breach notification laws, the Federal Trade Commission Act (to the extent applicable to data privacy and cybersecurity), and any comparable state, federal, or foreign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DD Term Borrowing</w:t>
      </w:r>
      <w:r>
        <w:rPr>
          <w:rFonts w:ascii="Times New Roman;Times;Serif" w:hAnsi="Times New Roman;Times;Serif"/>
          <w:b w:val="false"/>
          <w:i w:val="false"/>
          <w:caps w:val="false"/>
          <w:smallCaps w:val="false"/>
          <w:sz w:val="20"/>
        </w:rPr>
        <w:t xml:space="preserve">” means a borrowing consisting of simultaneous DD Term Loans of the same Type and, in the case of Term SOFR Loans, having the same Interest Period made by each of the DD Term Lenders pursuant to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DD Term Commitment</w:t>
      </w:r>
      <w:r>
        <w:rPr>
          <w:rFonts w:ascii="Times New Roman;Times;Serif" w:hAnsi="Times New Roman;Times;Serif"/>
          <w:b w:val="false"/>
          <w:i w:val="false"/>
          <w:caps w:val="false"/>
          <w:smallCaps w:val="false"/>
          <w:sz w:val="20"/>
        </w:rPr>
        <w:t xml:space="preserve">” means, as to each DD Term Lender, its obligation to make DD Term Loans to the Borrower pursuant to </w:t>
      </w:r>
      <w:r>
        <w:rPr>
          <w:rFonts w:ascii="Times New Roman;Times;Serif" w:hAnsi="Times New Roman;Times;Serif"/>
          <w:b w:val="false"/>
          <w:i w:val="false"/>
          <w:caps w:val="false"/>
          <w:smallCaps w:val="false"/>
          <w:sz w:val="20"/>
          <w:u w:val="single"/>
        </w:rPr>
        <w:t>Section 2.01(c</w:t>
      </w:r>
      <w:r>
        <w:rPr>
          <w:rFonts w:ascii="Times New Roman;Times;Serif" w:hAnsi="Times New Roman;Times;Serif"/>
          <w:b w:val="false"/>
          <w:i w:val="false"/>
          <w:caps w:val="false"/>
          <w:smallCaps w:val="false"/>
          <w:sz w:val="20"/>
        </w:rPr>
        <w:t>) in an aggregate principal amount at any one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outstanding not to exceed the amount set forth opposite such DD Term Lender’s name on </w:t>
      </w:r>
      <w:r>
        <w:rPr>
          <w:rFonts w:ascii="Times New Roman;Times;Serif" w:hAnsi="Times New Roman;Times;Serif"/>
          <w:b w:val="false"/>
          <w:i w:val="false"/>
          <w:caps w:val="false"/>
          <w:smallCaps w:val="false"/>
          <w:sz w:val="20"/>
          <w:u w:val="single"/>
        </w:rPr>
        <w:t>Schedule 1.01(b)</w:t>
      </w:r>
      <w:r>
        <w:rPr>
          <w:rFonts w:ascii="Times New Roman;Times;Serif" w:hAnsi="Times New Roman;Times;Serif"/>
          <w:b w:val="false"/>
          <w:i w:val="false"/>
          <w:caps w:val="false"/>
          <w:smallCaps w:val="false"/>
          <w:sz w:val="20"/>
        </w:rPr>
        <w:t> under the caption “DD Term Commitment” or opposite such caption in the Assignment and Assumption pursuant to which such DD Term Lender becomes a party hereto, as applicable, as such amount may be adjusted from time to time in accordance with this Agreement. The DD Term Commitment of all of the DD Term Lenders on the Closing Date shall be $20,000,000.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DD Term Conversion Amount</w:t>
      </w:r>
      <w:r>
        <w:rPr>
          <w:rFonts w:ascii="Times New Roman;Times;Serif" w:hAnsi="Times New Roman;Times;Serif"/>
          <w:b w:val="false"/>
          <w:i w:val="false"/>
          <w:caps w:val="false"/>
          <w:smallCaps w:val="false"/>
          <w:sz w:val="20"/>
        </w:rPr>
        <w:t xml:space="preserve">” means the aggregate amount of DD Term Loans outstanding on the applicable DD Term Conversion Date which were not outstanding and previously converted to the amortization in respect of Term A Loans on a prior DD Term Conversion Date pursuant to </w:t>
      </w:r>
      <w:r>
        <w:rPr>
          <w:rFonts w:ascii="Times New Roman;Times;Serif" w:hAnsi="Times New Roman;Times;Serif"/>
          <w:b w:val="false"/>
          <w:i w:val="false"/>
          <w:caps w:val="false"/>
          <w:smallCaps w:val="false"/>
          <w:sz w:val="20"/>
          <w:u w:val="single"/>
        </w:rPr>
        <w:t>Section 2.07(b)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DD Term Conversion Date</w:t>
      </w:r>
      <w:r>
        <w:rPr>
          <w:rFonts w:ascii="Times New Roman;Times;Serif" w:hAnsi="Times New Roman;Times;Serif"/>
          <w:b w:val="false"/>
          <w:i w:val="false"/>
          <w:caps w:val="false"/>
          <w:smallCaps w:val="false"/>
          <w:sz w:val="20"/>
        </w:rPr>
        <w:t>” means each date that is (a) the first anniversary of the Closing Date and (b) the second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DD Term Facility</w:t>
      </w:r>
      <w:r>
        <w:rPr>
          <w:rFonts w:ascii="Times New Roman;Times;Serif" w:hAnsi="Times New Roman;Times;Serif"/>
          <w:b w:val="false"/>
          <w:i w:val="false"/>
          <w:caps w:val="false"/>
          <w:smallCaps w:val="false"/>
          <w:sz w:val="20"/>
        </w:rPr>
        <w:t xml:space="preserve">” means, at any time, (a) at any time during the Availability Period in respect of such Facility, the </w:t>
      </w:r>
      <w:r>
        <w:rPr>
          <w:rFonts w:ascii="Times New Roman;Times;Serif" w:hAnsi="Times New Roman;Times;Serif"/>
          <w:b w:val="false"/>
          <w:i/>
          <w:caps w:val="false"/>
          <w:smallCaps w:val="false"/>
          <w:sz w:val="20"/>
        </w:rPr>
        <w:t>sum of</w:t>
      </w:r>
      <w:r>
        <w:rPr>
          <w:rFonts w:ascii="Times New Roman;Times;Serif" w:hAnsi="Times New Roman;Times;Serif"/>
          <w:b w:val="false"/>
          <w:i w:val="false"/>
          <w:caps w:val="false"/>
          <w:smallCaps w:val="false"/>
          <w:sz w:val="20"/>
        </w:rPr>
        <w:t xml:space="preserve"> (i) the aggregate amount of the DD Term Commitments at such time and (ii) the aggregate principal amount of the DD Term Loans of all DD Term Lenders outstanding at such time and (b) thereafter, the aggregate principal amount of the DD Term Loans of all DD Term Lenders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DD Term Lender</w:t>
      </w:r>
      <w:r>
        <w:rPr>
          <w:rFonts w:ascii="Times New Roman;Times;Serif" w:hAnsi="Times New Roman;Times;Serif"/>
          <w:b w:val="false"/>
          <w:i w:val="false"/>
          <w:caps w:val="false"/>
          <w:smallCaps w:val="false"/>
          <w:sz w:val="20"/>
        </w:rPr>
        <w:t>” means (a) at any time on or prior to the Closing Date, any Lender that has a DD Term Commitment at such time, (b) at any time during the Availability Period in respect of the DD Term Facility, any Lender that has a DD Term Commitment or that holds DD Term Loans at such time and (c) at any time after the Availability Period in respect of the DD Term Facility, any Lender that holds DD Term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DD Term Loan</w:t>
      </w:r>
      <w:r>
        <w:rPr>
          <w:rFonts w:ascii="Times New Roman;Times;Serif" w:hAnsi="Times New Roman;Times;Serif"/>
          <w:b w:val="false"/>
          <w:i w:val="false"/>
          <w:caps w:val="false"/>
          <w:smallCaps w:val="false"/>
          <w:sz w:val="20"/>
        </w:rPr>
        <w:t>” means an advance made by any DD Term Lender under the DD Term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DD Term Note</w:t>
      </w:r>
      <w:r>
        <w:rPr>
          <w:rFonts w:ascii="Times New Roman;Times;Serif" w:hAnsi="Times New Roman;Times;Serif"/>
          <w:b w:val="false"/>
          <w:i w:val="false"/>
          <w:caps w:val="false"/>
          <w:smallCaps w:val="false"/>
          <w:sz w:val="20"/>
        </w:rPr>
        <w:t xml:space="preserve">” means a promissory note made by the Borrower in favor of a DD Term Lender evidencing DD Term Loans made by such DD Term Lender, substantially in the form of </w:t>
      </w:r>
      <w:r>
        <w:rPr>
          <w:rFonts w:ascii="Times New Roman;Times;Serif" w:hAnsi="Times New Roman;Times;Serif"/>
          <w:b w:val="false"/>
          <w:i w:val="false"/>
          <w:caps w:val="false"/>
          <w:smallCaps w:val="false"/>
          <w:sz w:val="20"/>
          <w:u w:val="single"/>
        </w:rPr>
        <w:t>Exhibit N-2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Debt Issuance</w:t>
      </w:r>
      <w:r>
        <w:rPr>
          <w:rFonts w:ascii="Times New Roman;Times;Serif" w:hAnsi="Times New Roman;Times;Serif"/>
          <w:b w:val="false"/>
          <w:i w:val="false"/>
          <w:caps w:val="false"/>
          <w:smallCaps w:val="false"/>
          <w:sz w:val="20"/>
        </w:rPr>
        <w:t xml:space="preserve">” means the issuance by any Loan Party or any Subsidiary of any Indebtedness other than Indebtedness permitted under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Default</w:t>
      </w:r>
      <w:r>
        <w:rPr>
          <w:rFonts w:ascii="Times New Roman;Times;Serif" w:hAnsi="Times New Roman;Times;Serif"/>
          <w:b w:val="false"/>
          <w:i w:val="false"/>
          <w:caps w:val="false"/>
          <w:smallCaps w:val="false"/>
          <w:sz w:val="20"/>
        </w:rPr>
        <w:t>” means any event or condition that constitutes an Event of Default or that, with the giving of any notice, the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Default Rate</w:t>
      </w:r>
      <w:r>
        <w:rPr>
          <w:rFonts w:ascii="Times New Roman;Times;Serif" w:hAnsi="Times New Roman;Times;Serif"/>
          <w:b w:val="false"/>
          <w:i w:val="false"/>
          <w:caps w:val="false"/>
          <w:smallCaps w:val="false"/>
          <w:sz w:val="20"/>
        </w:rPr>
        <w:t xml:space="preserve">” means (a) with respect to any Obligation for which a rate is specified, a rate per annum equal to two percent (2.00%) in excess of the rate otherwise applicable thereto, and (b) with respect to any Obligation for which a rate is not specified or available, a rate per annum equal to the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 for Revolving Loans that are Base Rate Loans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two percent (2.00%), in each case,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Defaulting Lender</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and the effective date of such status, shall be conclusive and binding absent manifest error, and such Lender shall be deemed to be a Defaulting Lender (subject to </w:t>
      </w:r>
      <w:r>
        <w:rPr>
          <w:rFonts w:ascii="Times New Roman;Times;Serif" w:hAnsi="Times New Roman;Times;Serif"/>
          <w:b w:val="false"/>
          <w:i w:val="false"/>
          <w:caps w:val="false"/>
          <w:smallCaps w:val="false"/>
          <w:sz w:val="20"/>
          <w:u w:val="single"/>
        </w:rPr>
        <w:t>Section 2.15(b</w:t>
      </w:r>
      <w:r>
        <w:rPr>
          <w:rFonts w:ascii="Times New Roman;Times;Serif" w:hAnsi="Times New Roman;Times;Serif"/>
          <w:b w:val="false"/>
          <w:i w:val="false"/>
          <w:caps w:val="false"/>
          <w:smallCaps w:val="false"/>
          <w:sz w:val="20"/>
        </w:rPr>
        <w:t>)) as of the date established therefor by the Administrative Agent in a written notice of such determination, which shall be delivered by the Administrative Agent to the Borrower, the L/C Issuer, the Swingline Lender and each other Lender promptly following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Designated Jurisdiction</w:t>
      </w:r>
      <w:r>
        <w:rPr>
          <w:rFonts w:ascii="Times New Roman;Times;Serif" w:hAnsi="Times New Roman;Times;Serif"/>
          <w:b w:val="false"/>
          <w:i w:val="false"/>
          <w:caps w:val="false"/>
          <w:smallCaps w:val="false"/>
          <w:sz w:val="20"/>
        </w:rPr>
        <w:t>” means any country or territory to the extent that such country or territory is the subject of any Sanction. As of the Closing Date, Designated Jurisdictions include (but are not limited to) Crimea, the so-called Donetsk People’s Republic, and the so-called Luhansk People’s Republic.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Disposition</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u w:val="single"/>
        </w:rPr>
        <w:t>Dispose</w:t>
      </w:r>
      <w:r>
        <w:rPr>
          <w:rFonts w:ascii="Times New Roman;Times;Serif" w:hAnsi="Times New Roman;Times;Serif"/>
          <w:b w:val="false"/>
          <w:i w:val="false"/>
          <w:caps w:val="false"/>
          <w:smallCaps w:val="false"/>
          <w:sz w:val="20"/>
        </w:rPr>
        <w:t>” means the sale, transfer, license, lease or other disposition (including any Sale and Leaseback Transaction) of any property by any Loan Party or Subsidiary (or the granting of any option or other right to do any of the foregoing, including any sale, assignment, transfer or other disposal, with or without recourse, of any notes or accounts receivable or any rights and claims associated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Disqualified Equity Interest</w:t>
      </w:r>
      <w:r>
        <w:rPr>
          <w:rFonts w:ascii="Times New Roman;Times;Serif" w:hAnsi="Times New Roman;Times;Serif"/>
          <w:b w:val="false"/>
          <w:i w:val="false"/>
          <w:caps w:val="false"/>
          <w:smallCaps w:val="false"/>
          <w:sz w:val="20"/>
        </w:rPr>
        <w:t>” means, with respect to any Person, any Equity Interest which, by its terms (or by the terms of any security or other Equity Interests into which it is convertible or for which it is exchangeable), or upon the happening of any event or condition, (a) matures or is mandatorily redeemable (other than solely for Equity Interests that are not Disqualified Equity Interests and cash in lieu of fractional shares), pursuant to a sinking fund obligation or otherwise (except as a result of a change of control, asset sale or similar event so long as any rights of the holders thereof upon the occurrence of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asset sale or similar event shall be subject to the prior repayment in full in cash of the Loans and all other Obligations (other than contingent indemnification obligations not then due) and the termination of the Commitments), (b) is redeemable at the option of the holder thereof (other than solely for Equity Interests that are not Disqualified Equity Interests and cash in lieu of fractional shares or as a result of a change of control, asset sale or similar event so long as any rights of the holders thereof upon the occurrence of a change of control or asset sale event shall be subject to the prior repayment in full in cash of the Loans and all other Obligations (other than contingent indemnification obligations not then due) and the termination of the Commitments), in whole or in part, (c) provides for scheduled cash payments of dividends or (d) is or becomes convertible into, or exchangeable for, Indebtedness or any other Equity Interests that would constitute Disqualified Equity Interests, in the case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prior to the date that is ninety one (91) days after the Maturity Date at the time of the issuance of such Equity Interests;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Equity Interests are issued pursuant to a plan for the benefit of the officers, directors, managers, employees or consultants of such Person or its Subsidiaries or by any such plan to such officers, directors, managers or consultants or employees, such Equity Interests shall not constitute Disqualified Equity Interests solely because they may be required to be repurchased by such Person or its Subsidiaries in order to satisfy applicable statutory or regulatory obligations or as a result of the termination, death or disability of any applicable natural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Dollar</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rPr>
        <w:t>” mean lawful money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EEA Financial Institution</w:t>
      </w:r>
      <w:r>
        <w:rPr>
          <w:rFonts w:ascii="Times New Roman;Times;Serif" w:hAnsi="Times New Roman;Times;Serif"/>
          <w:b w:val="false"/>
          <w:i w:val="false"/>
          <w:caps w:val="false"/>
          <w:smallCaps w:val="false"/>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definition, or (c) any financial institution established in an EEA Member Country which is a Subsidiary of an institution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Electronic Copy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11.18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Electronic Record</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u w:val="single"/>
        </w:rPr>
        <w:t>Electronic Signature</w:t>
      </w:r>
      <w:r>
        <w:rPr>
          <w:rFonts w:ascii="Times New Roman;Times;Serif" w:hAnsi="Times New Roman;Times;Serif"/>
          <w:b w:val="false"/>
          <w:i w:val="false"/>
          <w:caps w:val="false"/>
          <w:smallCaps w:val="false"/>
          <w:sz w:val="20"/>
        </w:rPr>
        <w:t>” shall have the meanings assigned to them, respectively, by 15 USC §7006,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Eligible Assignee</w:t>
      </w:r>
      <w:r>
        <w:rPr>
          <w:rFonts w:ascii="Times New Roman;Times;Serif" w:hAnsi="Times New Roman;Times;Serif"/>
          <w:b w:val="false"/>
          <w:i w:val="false"/>
          <w:caps w:val="false"/>
          <w:smallCaps w:val="false"/>
          <w:sz w:val="20"/>
        </w:rPr>
        <w:t xml:space="preserve">” means any Person that meets the requirements to be an assignee under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(subject to such consents, if any, as may be required under </w:t>
      </w:r>
      <w:r>
        <w:rPr>
          <w:rFonts w:ascii="Times New Roman;Times;Serif" w:hAnsi="Times New Roman;Times;Serif"/>
          <w:b w:val="false"/>
          <w:i w:val="false"/>
          <w:caps w:val="false"/>
          <w:smallCaps w:val="false"/>
          <w:sz w:val="20"/>
          <w:u w:val="single"/>
        </w:rPr>
        <w:t>Section 11.06(b)(iii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Environment</w:t>
      </w:r>
      <w:r>
        <w:rPr>
          <w:rFonts w:ascii="Times New Roman;Times;Serif" w:hAnsi="Times New Roman;Times;Serif"/>
          <w:b w:val="false"/>
          <w:i w:val="false"/>
          <w:caps w:val="false"/>
          <w:smallCaps w:val="false"/>
          <w:sz w:val="20"/>
        </w:rPr>
        <w:t>” means ambient air, indoor air, surface water, groundwater, drinking water, soil, surface and subsurface strata, and natural resources such as wetland, flora and fauna.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Environmental Laws</w:t>
      </w:r>
      <w:r>
        <w:rPr>
          <w:rFonts w:ascii="Times New Roman;Times;Serif" w:hAnsi="Times New Roman;Times;Serif"/>
          <w:b w:val="false"/>
          <w:i w:val="false"/>
          <w:caps w:val="false"/>
          <w:smallCaps w:val="false"/>
          <w:sz w:val="20"/>
        </w:rPr>
        <w:t>” means any and all federal, state, local, and foreign statutes, laws (including common law), regulations, standards, ordinances, rules, judgments, interpretations,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 air emissions and discharges to waste or public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Environmental Liability</w:t>
      </w:r>
      <w:r>
        <w:rPr>
          <w:rFonts w:ascii="Times New Roman;Times;Serif" w:hAnsi="Times New Roman;Times;Serif"/>
          <w:b w:val="false"/>
          <w:i w:val="false"/>
          <w:caps w:val="false"/>
          <w:smallCaps w:val="false"/>
          <w:sz w:val="20"/>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Environmental Permit</w:t>
      </w:r>
      <w:r>
        <w:rPr>
          <w:rFonts w:ascii="Times New Roman;Times;Serif" w:hAnsi="Times New Roman;Times;Serif"/>
          <w:b w:val="false"/>
          <w:i w:val="false"/>
          <w:caps w:val="false"/>
          <w:smallCaps w:val="false"/>
          <w:sz w:val="20"/>
        </w:rPr>
        <w:t>” means any permit, certification, registration, approval, identification number, license or other authorization required under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Equity Interests</w:t>
      </w:r>
      <w:r>
        <w:rPr>
          <w:rFonts w:ascii="Times New Roman;Times;Serif" w:hAnsi="Times New Roman;Times;Serif"/>
          <w:b w:val="false"/>
          <w:i w:val="false"/>
          <w:caps w:val="false"/>
          <w:smallCaps w:val="false"/>
          <w:sz w:val="20"/>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ERISA Affiliate</w:t>
      </w:r>
      <w:r>
        <w:rPr>
          <w:rFonts w:ascii="Times New Roman;Times;Serif" w:hAnsi="Times New Roman;Times;Serif"/>
          <w:b w:val="false"/>
          <w:i w:val="false"/>
          <w:caps w:val="false"/>
          <w:smallCaps w:val="false"/>
          <w:sz w:val="20"/>
        </w:rPr>
        <w:t>” means any trade or business (whether or not incorporated) under common control with the Borrower within the meaning of Sections 414(b) or (c) of the Code (and Sections 414(m) and (o) of the Code for purposes of provisions relating to Section 412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ERISA Event</w:t>
      </w:r>
      <w:r>
        <w:rPr>
          <w:rFonts w:ascii="Times New Roman;Times;Serif" w:hAnsi="Times New Roman;Times;Serif"/>
          <w:b w:val="false"/>
          <w:i w:val="false"/>
          <w:caps w:val="false"/>
          <w:smallCaps w:val="false"/>
          <w:sz w:val="20"/>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insolvent; (d) the filing of a notice of intent to terminate, or the treatment of a Pension Plan amendment as a termination, in any case under Section 4041(e) or 4041A of ERISA; (e) the institution by the PBGC of proceedings to terminate a Pension Plan or to appoint a trustee to administer any Pension Plan; (f) the determination that any Pension Plan is considered an at-risk plan or a plan in endangered or critical status within the meaning of Sections 430, 431 and 432 of the Code or Sections 303, 304 and 305 of ERISA; (g) the imposition of any liability under Title IV of ERISA, other than for PBGC premiums due but not delinquent under Section 4007 of ERISA, upon the Borrower or any ERISA Affiliate or (h)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Erroneous Payment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Erroneous Payment Deficiency Assignment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Erroneous Payment Impacted Class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Erroneous Payment Return Deficiency</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Erroneous Payment Subrogation Rights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EU Bail</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Excluded Account</w:t>
      </w:r>
      <w:r>
        <w:rPr>
          <w:rFonts w:ascii="Times New Roman;Times;Serif" w:hAnsi="Times New Roman;Times;Serif"/>
          <w:b w:val="false"/>
          <w:i w:val="false"/>
          <w:caps w:val="false"/>
          <w:smallCaps w:val="false"/>
          <w:sz w:val="20"/>
        </w:rPr>
        <w:t>” means (a) segregated Deposit Accounts into which there is deposited no funds other than those intended solely to cover wages and payroll for employees of a Loan Party for a period of service no longer than two payroll periods at any time (and related contributions to be made on behalf of such employees to health and benefit plans) plus balances for outstanding checks for wages and payroll from prior periods, (b) segregated Deposit Accounts constituting employee withholding accounts and contain only funds deducted from pay otherwise due to employees for services rendered to be applied toward the tax obligations of such employees, (c) each Customer Funds Account, (d) other segregated Deposit Accounts constituting trust, fiduciary and escrow accounts in which there is not maintained at any point in time funds on deposit greater than $250,000 in the aggregate for all such accounts, and (e) segregated Deposit Accounts or Securities Accounts holding cash or Cash Equivalents described in clauses (e) and (f) of the definition Permitted Liens (and subject to the cap set forth therein); provided that the accounts described in clauses (a) through (e) above shall be used solely for the purposes described in such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Excluded Property</w:t>
      </w:r>
      <w:r>
        <w:rPr>
          <w:rFonts w:ascii="Times New Roman;Times;Serif" w:hAnsi="Times New Roman;Times;Serif"/>
          <w:b w:val="false"/>
          <w:i w:val="false"/>
          <w:caps w:val="false"/>
          <w:smallCaps w:val="false"/>
          <w:sz w:val="20"/>
        </w:rPr>
        <w:t xml:space="preserve">” means, with respect to any Loan Party, (a) any lease, license, contract, permit, letter of credit, purchase money arrangement, instrument or agreement to which any Loan Party is a party or any of its rights or interests thereunder if and to the extent that the grant of such security interest shall constitute a result in (i) the abandonment, invalidation or unenforceability of any right, title or interest of any Loan Party therein or (ii) result in a breach or termination pursuant to the terms of, or default under, any such lease, license, contract, permit, letter of credit, purchase money arrangement, instrument or agreement; (b) any governmental licenses or state or local franchises, charters and authorizations, to the extent that Administrative Agent may not validly possess a security interest in any such license, franchise, charter or authorization under applicable Law; (c) any asset which is subject to a purchase money Lien or Capital Lease permitted hereunder to the extent the granting of a security interest in such asset is prohibited pursuant to the terms of the contract governing such purchase money Lien or Capital Lease; (d) Excluded Accounts; and (e) any “intent-to-use” trademarks or service mark applications for which an amendment to allege use or statement of use has not been filed under 15 U.S.C. § 1051 Section 1(c) or Section 1(d), respectively or if filed, has not been deemed in conformance with 15 U.S.C. § 1051(a) or examined and accepted, respectively by the United States Patent and Trademark Office;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any such limitation described in the foregoing clauses (a) and (b) on the security interests granted hereunder shall apply only to the extent that any such prohibition could not be rendered ineffective pursuant to the UCC or any other applicable Law (including Sections 9-406, 9-407 and 9-408 of the UCC) or principles of equity, (y) in the event of the termination or elimination of any such prohibition or the requirement for any consent contained in such contract, agreement, permit, lease or license or in any applicable Law, to the extent sufficient to permit any such item to become Collateral hereunder, or upon the granting of any such consent, or waiving or terminating any requirement for such consent, a security interest in such contract, agreement, permit, lease, license, franchise, authorization or asset shall be automatically and simultaneously granted hereunder and shall be included as Collateral hereunder, and (z) all rights to payment of money due or to become due pursuant to, and all products and Proceeds (and rights to the Proceeds) from the sale of, any Excluded Property shall be and at all times remain subject to the security interests created by this Agreement (unless such Proceeds would independently constitute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Excluded Subsidiary</w:t>
      </w:r>
      <w:r>
        <w:rPr>
          <w:rFonts w:ascii="Times New Roman;Times;Serif" w:hAnsi="Times New Roman;Times;Serif"/>
          <w:b w:val="false"/>
          <w:i w:val="false"/>
          <w:caps w:val="false"/>
          <w:smallCaps w:val="false"/>
          <w:sz w:val="20"/>
        </w:rPr>
        <w:t>” means (a) any CFC, (b) any FSHCO, (c) any subsidiary that is held directly or indirectly by a CFC or FSHCO and (d) any Immaterial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Excluded Swap Obligation</w:t>
      </w:r>
      <w:r>
        <w:rPr>
          <w:rFonts w:ascii="Times New Roman;Times;Serif" w:hAnsi="Times New Roman;Times;Serif"/>
          <w:b w:val="false"/>
          <w:i w:val="false"/>
          <w:caps w:val="false"/>
          <w:smallCaps w:val="false"/>
          <w:sz w:val="20"/>
        </w:rPr>
        <w:t xml:space="preserve">” means, with respect to any Loan Party, any Swap Obligation if, and to the extent that, all or a portion of the Guaranty of such Loan Party of, or the grant by such Loan Party of a Lien to secure, such Swap Obligation (or any Guarantee thereof) is or becomes illegal under the Commodity Exchange Act or any rule, regulation or order of the Commodity Futures Trading Commission (or the application or official interpretation thereof) by virtue of such Loan Party’s failure for any reason to constitute an “eligible contract participant” as defined in the Commodity Exchange Act (determined after giving effect to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and any other “keepwell”, support or other agreement for the benefit of such Loan Party and any and all guarantees of such Loan Party’s Swap Obligations by other Loan Parties) at the time the Guaranty of such Loan Party, or grant by such Loan Party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Excluded Taxes</w:t>
      </w:r>
      <w:r>
        <w:rPr>
          <w:rFonts w:ascii="Times New Roman;Times;Serif" w:hAnsi="Times New Roman;Times;Serif"/>
          <w:b w:val="false"/>
          <w:i w:val="false"/>
          <w:caps w:val="false"/>
          <w:smallCaps w:val="false"/>
          <w:sz w:val="20"/>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or (ii) such Lender changes its Lending Office, except in each case to the extent that, pursuant to </w:t>
      </w:r>
      <w:r>
        <w:rPr>
          <w:rFonts w:ascii="Times New Roman;Times;Serif" w:hAnsi="Times New Roman;Times;Serif"/>
          <w:b w:val="false"/>
          <w:i w:val="false"/>
          <w:caps w:val="false"/>
          <w:smallCaps w:val="false"/>
          <w:sz w:val="20"/>
          <w:u w:val="single"/>
        </w:rPr>
        <w:t>Sections 3.01(b</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b w:val="false"/>
          <w:i w:val="false"/>
          <w:caps w:val="false"/>
          <w:smallCaps w:val="false"/>
          <w:sz w:val="20"/>
          <w:u w:val="single"/>
        </w:rPr>
        <w:t>Section 3.01(f</w:t>
      </w:r>
      <w:r>
        <w:rPr>
          <w:rFonts w:ascii="Times New Roman;Times;Serif" w:hAnsi="Times New Roman;Times;Serif"/>
          <w:b w:val="false"/>
          <w:i w:val="false"/>
          <w:caps w:val="false"/>
          <w:smallCaps w:val="false"/>
          <w:sz w:val="20"/>
        </w:rPr>
        <w:t>) and (d) any U.S. federal withholding Taxes imposed pursuant to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Extraordinary Receipt</w:t>
      </w:r>
      <w:r>
        <w:rPr>
          <w:rFonts w:ascii="Times New Roman;Times;Serif" w:hAnsi="Times New Roman;Times;Serif"/>
          <w:b w:val="false"/>
          <w:i w:val="false"/>
          <w:caps w:val="false"/>
          <w:smallCaps w:val="false"/>
          <w:sz w:val="20"/>
        </w:rPr>
        <w:t xml:space="preserve">” means any cash received by or paid to or for the account of any Person not in the ordinary course of business in respect of pension plan reversions, proceeds of insurance (other than proceeds of business interruption insurance to the extent such proceeds constitute compensation for lost earnings and proceeds of Involuntary Dispositions) and indemnity payments;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Extraordinary Receipt shall not include cash receipts from proceeds of insurance or indemnity payments to the extent that such proceeds, awards or payments are received by any Person in respect of any third party claim against such Person and applied to pay (or to reimburse such Person for its prior payment of) such claim and the costs and expenses of such Person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Facility</w:t>
      </w:r>
      <w:r>
        <w:rPr>
          <w:rFonts w:ascii="Times New Roman;Times;Serif" w:hAnsi="Times New Roman;Times;Serif"/>
          <w:b w:val="false"/>
          <w:i w:val="false"/>
          <w:caps w:val="false"/>
          <w:smallCaps w:val="false"/>
          <w:sz w:val="20"/>
        </w:rPr>
        <w:t>” means the Term A Facility, DD Term Facility, or the Revolving Facility,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Facility Termination Date</w:t>
      </w:r>
      <w:r>
        <w:rPr>
          <w:rFonts w:ascii="Times New Roman;Times;Serif" w:hAnsi="Times New Roman;Times;Serif"/>
          <w:b w:val="false"/>
          <w:i w:val="false"/>
          <w:caps w:val="false"/>
          <w:smallCaps w:val="false"/>
          <w:sz w:val="20"/>
        </w:rPr>
        <w:t>” means the date as of which all of the following shall have occurred: (a) the Aggregate Commitments have terminated, (b) all Obligations have been paid in full (other than contingent indemnification obligations), and (c) all Letters of Credit have terminated or expired (other than Letters of Credit as to which other arrangements with respect thereto satisfactory to the Administrative Agent and the L/C Issuer shall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FASB ASC</w:t>
      </w:r>
      <w:r>
        <w:rPr>
          <w:rFonts w:ascii="Times New Roman;Times;Serif" w:hAnsi="Times New Roman;Times;Serif"/>
          <w:b w:val="false"/>
          <w:i w:val="false"/>
          <w:caps w:val="false"/>
          <w:smallCaps w:val="false"/>
          <w:sz w:val="20"/>
        </w:rPr>
        <w:t>” means the Accounting Standards Codification of the Financial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Closing Date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 described above) and any intergovernmental agreement (and related fiscal or regulatory legislation, or related official rules or practices) implementing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Federal Funds Rate</w:t>
      </w:r>
      <w:r>
        <w:rPr>
          <w:rFonts w:ascii="Times New Roman;Times;Serif" w:hAnsi="Times New Roman;Times;Serif"/>
          <w:b w:val="false"/>
          <w:i w:val="false"/>
          <w:caps w:val="false"/>
          <w:smallCaps w:val="false"/>
          <w:sz w:val="20"/>
        </w:rPr>
        <w:t>” means, for any day, a floating rate equal to the weighted average of the rates on overnight federal funds transactions among members of the Federal Reserve System, as determined by Administrative Agent in its sole discretion, which determination shall be final, binding and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Fee Letter</w:t>
      </w:r>
      <w:r>
        <w:rPr>
          <w:rFonts w:ascii="Times New Roman;Times;Serif" w:hAnsi="Times New Roman;Times;Serif"/>
          <w:b w:val="false"/>
          <w:i w:val="false"/>
          <w:caps w:val="false"/>
          <w:smallCaps w:val="false"/>
          <w:sz w:val="20"/>
        </w:rPr>
        <w:t>” means the letter agreement, dated September 2, 2026, among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F.I.C.A.</w:t>
      </w:r>
      <w:r>
        <w:rPr>
          <w:rFonts w:ascii="Times New Roman;Times;Serif" w:hAnsi="Times New Roman;Times;Serif"/>
          <w:b w:val="false"/>
          <w:i w:val="false"/>
          <w:caps w:val="false"/>
          <w:smallCaps w:val="false"/>
          <w:sz w:val="20"/>
        </w:rPr>
        <w:t>” means the Federal Insurance Contributions Act,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Foreign Lender</w:t>
      </w:r>
      <w:r>
        <w:rPr>
          <w:rFonts w:ascii="Times New Roman;Times;Serif" w:hAnsi="Times New Roman;Times;Serif"/>
          <w:b w:val="false"/>
          <w:i w:val="false"/>
          <w:caps w:val="false"/>
          <w:smallCaps w:val="false"/>
          <w:sz w:val="20"/>
        </w:rPr>
        <w:t>” means, (a) if the Borrower is a “United States Person” as defined in Section 7701(a)(30) of the Code, a Lender that is not a “United States Person” as defined in Section 7701(a)(30) of the Code, and (b) if the Borrower is not a “United States Person” as defined in Section 7701(a)(30) of the Code,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Foreign Obligor</w:t>
      </w:r>
      <w:r>
        <w:rPr>
          <w:rFonts w:ascii="Times New Roman;Times;Serif" w:hAnsi="Times New Roman;Times;Serif"/>
          <w:b w:val="false"/>
          <w:i w:val="false"/>
          <w:caps w:val="false"/>
          <w:smallCaps w:val="false"/>
          <w:sz w:val="20"/>
        </w:rPr>
        <w:t>” means a Loan Party that is a Foreign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Foreign Subsidiary</w:t>
      </w:r>
      <w:r>
        <w:rPr>
          <w:rFonts w:ascii="Times New Roman;Times;Serif" w:hAnsi="Times New Roman;Times;Serif"/>
          <w:b w:val="false"/>
          <w:i w:val="false"/>
          <w:caps w:val="false"/>
          <w:smallCaps w:val="false"/>
          <w:sz w:val="20"/>
        </w:rPr>
        <w:t>” means any Subsidiary that is organized under the laws of a jurisdiction other than the United States, a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F.U.T.A.</w:t>
      </w:r>
      <w:r>
        <w:rPr>
          <w:rFonts w:ascii="Times New Roman;Times;Serif" w:hAnsi="Times New Roman;Times;Serif"/>
          <w:b w:val="false"/>
          <w:i w:val="false"/>
          <w:caps w:val="false"/>
          <w:smallCaps w:val="false"/>
          <w:sz w:val="20"/>
        </w:rPr>
        <w:t>” means the Federal Unemployment Tax Act,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FRB</w:t>
      </w:r>
      <w:r>
        <w:rPr>
          <w:rFonts w:ascii="Times New Roman;Times;Serif" w:hAnsi="Times New Roman;Times;Serif"/>
          <w:b w:val="false"/>
          <w:i w:val="false"/>
          <w:caps w:val="false"/>
          <w:smallCaps w:val="false"/>
          <w:sz w:val="20"/>
        </w:rPr>
        <w:t>” means the Board of Governors of the Federal Reserve System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Fronting Exposure</w:t>
      </w:r>
      <w:r>
        <w:rPr>
          <w:rFonts w:ascii="Times New Roman;Times;Serif" w:hAnsi="Times New Roman;Times;Serif"/>
          <w:b w:val="false"/>
          <w:i w:val="false"/>
          <w:caps w:val="false"/>
          <w:smallCaps w:val="false"/>
          <w:sz w:val="20"/>
        </w:rPr>
        <w:t>” means, at any time there is a Defaulting Lender that is a Revolving Lender, (a)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FSHCO</w:t>
      </w:r>
      <w:r>
        <w:rPr>
          <w:rFonts w:ascii="Times New Roman;Times;Serif" w:hAnsi="Times New Roman;Times;Serif"/>
          <w:b w:val="false"/>
          <w:i w:val="false"/>
          <w:caps w:val="false"/>
          <w:smallCaps w:val="false"/>
          <w:sz w:val="20"/>
        </w:rPr>
        <w:t>” means any Subsidiary substantially all of the assets of which constitute the Equity Interests of CFCs.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Fund</w:t>
      </w:r>
      <w:r>
        <w:rPr>
          <w:rFonts w:ascii="Times New Roman;Times;Serif" w:hAnsi="Times New Roman;Times;Serif"/>
          <w:b w:val="false"/>
          <w:i w:val="false"/>
          <w:caps w:val="false"/>
          <w:smallCaps w:val="false"/>
          <w:sz w:val="20"/>
        </w:rPr>
        <w:t>” 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Governmental Authority</w:t>
      </w:r>
      <w:r>
        <w:rPr>
          <w:rFonts w:ascii="Times New Roman;Times;Serif" w:hAnsi="Times New Roman;Times;Serif"/>
          <w:b w:val="false"/>
          <w:i w:val="false"/>
          <w:caps w:val="false"/>
          <w:smallCaps w:val="false"/>
          <w:sz w:val="20"/>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the Financial Conduct Authority, the Prudential Regulation Authority and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Guarantee</w:t>
      </w:r>
      <w:r>
        <w:rPr>
          <w:rFonts w:ascii="Times New Roman;Times;Serif" w:hAnsi="Times New Roman;Times;Serif"/>
          <w:b w:val="false"/>
          <w:i w:val="false"/>
          <w:caps w:val="false"/>
          <w:smallCaps w:val="false"/>
          <w:sz w:val="20"/>
        </w:rPr>
        <w:t xml:space="preserve">” means, as to any Person, (a) any obligation, contingent or otherwise, of such Person guaranteeing or having the economic effect of guaranteeing any Indebtedness of the kind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through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of the definition thereof or other obligation payable or performable by another Person (the “</w:t>
      </w:r>
      <w:r>
        <w:rPr>
          <w:rFonts w:ascii="Times New Roman;Times;Serif" w:hAnsi="Times New Roman;Times;Serif"/>
          <w:b w:val="false"/>
          <w:i/>
          <w:caps w:val="false"/>
          <w:smallCaps w:val="false"/>
          <w:sz w:val="20"/>
          <w:u w:val="single"/>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of the kind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through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of the definition thereof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Times;Serif" w:hAnsi="Times New Roman;Times;Serif"/>
          <w:b w:val="false"/>
          <w:i/>
          <w:caps w:val="false"/>
          <w:smallCaps w:val="false"/>
          <w:sz w:val="20"/>
          <w:u w:val="single"/>
        </w:rPr>
        <w:t>Guarantee</w:t>
      </w:r>
      <w:r>
        <w:rPr>
          <w:rFonts w:ascii="Times New Roman;Times;Serif" w:hAnsi="Times New Roman;Times;Serif"/>
          <w:b w:val="false"/>
          <w:i w:val="false"/>
          <w:caps w:val="false"/>
          <w:smallCaps w:val="false"/>
          <w:sz w:val="20"/>
        </w:rPr>
        <w:t>” as a verb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Guaranteed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Guarantors</w:t>
      </w:r>
      <w:r>
        <w:rPr>
          <w:rFonts w:ascii="Times New Roman;Times;Serif" w:hAnsi="Times New Roman;Times;Serif"/>
          <w:b w:val="false"/>
          <w:i w:val="false"/>
          <w:caps w:val="false"/>
          <w:smallCaps w:val="false"/>
          <w:sz w:val="20"/>
        </w:rPr>
        <w:t xml:space="preserve">” means, collectively, (a) the Subsidiaries of the Borrower as are or may from time to time become parties to this Agreement pursuant to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and (b) with respect to Additional Secured Obligations owing by any Loan Party or any of its Subsidiaries and any Swap Obligation of a Specified Loan Party (determined before giving effect to </w:t>
      </w:r>
      <w:r>
        <w:rPr>
          <w:rFonts w:ascii="Times New Roman;Times;Serif" w:hAnsi="Times New Roman;Times;Serif"/>
          <w:b w:val="false"/>
          <w:i w:val="false"/>
          <w:caps w:val="false"/>
          <w:smallCaps w:val="false"/>
          <w:sz w:val="20"/>
          <w:u w:val="single"/>
        </w:rPr>
        <w:t>Sections 10.01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10.11</w:t>
      </w:r>
      <w:r>
        <w:rPr>
          <w:rFonts w:ascii="Times New Roman;Times;Serif" w:hAnsi="Times New Roman;Times;Serif"/>
          <w:b w:val="false"/>
          <w:i w:val="false"/>
          <w:caps w:val="false"/>
          <w:smallCaps w:val="false"/>
          <w:sz w:val="20"/>
        </w:rPr>
        <w:t>) under the Guaranty,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Guaranty</w:t>
      </w:r>
      <w:r>
        <w:rPr>
          <w:rFonts w:ascii="Times New Roman;Times;Serif" w:hAnsi="Times New Roman;Times;Serif"/>
          <w:b w:val="false"/>
          <w:i w:val="false"/>
          <w:caps w:val="false"/>
          <w:smallCaps w:val="false"/>
          <w:sz w:val="20"/>
        </w:rPr>
        <w:t xml:space="preserve">” means, collectively, the Guarantee made by the Guarantors under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in favor of the Secured Parties, together with each other guaranty delivered pursuant to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Hazardous Materials</w:t>
      </w:r>
      <w:r>
        <w:rPr>
          <w:rFonts w:ascii="Times New Roman;Times;Serif" w:hAnsi="Times New Roman;Times;Serif"/>
          <w:b w:val="false"/>
          <w:i w:val="false"/>
          <w:caps w:val="false"/>
          <w:smallCaps w:val="false"/>
          <w:sz w:val="20"/>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Hedge Bank</w:t>
      </w:r>
      <w:r>
        <w:rPr>
          <w:rFonts w:ascii="Times New Roman;Times;Serif" w:hAnsi="Times New Roman;Times;Serif"/>
          <w:b w:val="false"/>
          <w:i w:val="false"/>
          <w:caps w:val="false"/>
          <w:smallCaps w:val="false"/>
          <w:sz w:val="20"/>
        </w:rPr>
        <w:t xml:space="preserve">” means any Person in its capacity as a party to a Swap Contract that, (a) at the time it enters into a Swap Contract not prohibited under </w:t>
      </w:r>
      <w:r>
        <w:rPr>
          <w:rFonts w:ascii="Times New Roman;Times;Serif" w:hAnsi="Times New Roman;Times;Serif"/>
          <w:b w:val="false"/>
          <w:i w:val="false"/>
          <w:caps w:val="false"/>
          <w:smallCaps w:val="false"/>
          <w:sz w:val="20"/>
          <w:u w:val="single"/>
        </w:rPr>
        <w:t>Articles VI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is a Lender or an Affiliate of a Lender, or (b) at the time it (or its Affiliate) becomes a Lender, is a party to a Swap Contract not prohibited 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Articles VI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in each case, in its capacity as a party to such Swap Contract (even if such Person ceases to be a Lender or such Person’s Affiliate ceased to be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 Secured Hedge Agreement with a Person who is no longer a Lender (or Affiliate of a Lender), such Person shall be considered a Hedge Bank only through the stated termination date (without extension or renewal) of such Secured Hedge Agreement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Immaterial Subsidiary</w:t>
      </w:r>
      <w:r>
        <w:rPr>
          <w:rFonts w:ascii="Times New Roman;Times;Serif" w:hAnsi="Times New Roman;Times;Serif"/>
          <w:b w:val="false"/>
          <w:i w:val="false"/>
          <w:caps w:val="false"/>
          <w:smallCaps w:val="false"/>
          <w:sz w:val="20"/>
        </w:rPr>
        <w:t>” means any Subsidiary that is not a 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Increase Effective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Incremental Commitments</w:t>
      </w:r>
      <w:r>
        <w:rPr>
          <w:rFonts w:ascii="Times New Roman;Times;Serif" w:hAnsi="Times New Roman;Times;Serif"/>
          <w:b w:val="false"/>
          <w:i w:val="false"/>
          <w:caps w:val="false"/>
          <w:smallCaps w:val="false"/>
          <w:sz w:val="20"/>
        </w:rPr>
        <w:t>” means Incremental Revolving Commitments and/or the Incremental Term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Incremental Revolving Commitment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Incremental Revolving Loans</w:t>
      </w:r>
      <w:r>
        <w:rPr>
          <w:rFonts w:ascii="Times New Roman;Times;Serif" w:hAnsi="Times New Roman;Times;Serif"/>
          <w:b w:val="false"/>
          <w:i w:val="false"/>
          <w:caps w:val="false"/>
          <w:smallCaps w:val="false"/>
          <w:sz w:val="20"/>
        </w:rPr>
        <w:t>” means any loans made pursuant to any Incremental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Incremental Term Commitment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Incremental Term Loan Maturity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Incremental Term Loans</w:t>
      </w:r>
      <w:r>
        <w:rPr>
          <w:rFonts w:ascii="Times New Roman;Times;Serif" w:hAnsi="Times New Roman;Times;Serif"/>
          <w:b w:val="false"/>
          <w:i w:val="false"/>
          <w:caps w:val="false"/>
          <w:smallCaps w:val="false"/>
          <w:sz w:val="20"/>
        </w:rPr>
        <w:t>” means any loans made pursuant to any Incremental Term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Indebtedness</w:t>
      </w:r>
      <w:r>
        <w:rPr>
          <w:rFonts w:ascii="Times New Roman;Times;Serif" w:hAnsi="Times New Roman;Times;Serif"/>
          <w:b w:val="false"/>
          <w:i w:val="false"/>
          <w:caps w:val="false"/>
          <w:smallCaps w:val="false"/>
          <w:sz w:val="20"/>
        </w:rPr>
        <w:t>” means, as to any Person at a particular time, without duplication, all of the following, whether or not included as indebtedness or liabilities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obligations of such Person for borrowed money and all obligations of such Person evidenced by bonds, debentures, notes, loan agreements or other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direct or contingent obligations of such Person arising under letters of credit, bankers’ acceptances, bank guaranties, surety bonds and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net obligations of such Person under any Swap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obligations (including, without limitation, Contingent Acquisition Consideration) of such Person to pay the deferred purchase price of property or services (other than (x) trade accounts payable in the ordinary course of business and either not past due for more than ninety (90) days or being contested in good faith and for which adequate reserves have been provided with respect to such disputed payable, (y) accruals for payroll and other liabilities, including deferred compensation arrangements, in each case, accrued in the ordinary course of business and (z) Contingent Acquisition Consideration solely to the extent not required by GAAP to be recorded as a liability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(excluding prepaid interest thereon) secured by a Lien on property owned or being purchased by such Person (including indebtedness arising under conditional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other title retention agreements), whether or not such indebtedness shall have been assumed by such Person or is limited in recourse;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Attributable Indebtedness in respect of Capitalized Leases and Synthetic Lease Obligations of such Person and all Synthetic Debt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obligations of such Person to purchase, redeem, retire, defease or otherwise make any payment in respect of any Disqualified Equity Interest of such Person, valued, in the case of a redeemable preferred interest, at the greater of its voluntary or involuntary liquidation preference plus accrued and unpaid dividends;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Guarantees of such Person in respect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Indemnified Taxes</w:t>
      </w:r>
      <w:r>
        <w:rPr>
          <w:rFonts w:ascii="Times New Roman;Times;Serif" w:hAnsi="Times New Roman;Times;Serif"/>
          <w:b w:val="false"/>
          <w:i w:val="false"/>
          <w:caps w:val="false"/>
          <w:smallCaps w:val="false"/>
          <w:sz w:val="20"/>
        </w:rPr>
        <w:t xml:space="preserve">” means all (a) Taxes, other than Excluded Taxes, imposed on or with respect to any payment made by or on account of any obligation of any Loan Party under any Loan Document and (b) to the extent not otherwise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Indemnitee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Information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Intellectual Property</w:t>
      </w:r>
      <w:r>
        <w:rPr>
          <w:rFonts w:ascii="Times New Roman;Times;Serif" w:hAnsi="Times New Roman;Times;Serif"/>
          <w:b w:val="false"/>
          <w:i w:val="false"/>
          <w:caps w:val="false"/>
          <w:smallCaps w:val="false"/>
          <w:sz w:val="20"/>
        </w:rPr>
        <w:t>” has the meaning set forth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Intercompany Debt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7.02(d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Interest Payment Date</w:t>
      </w:r>
      <w:r>
        <w:rPr>
          <w:rFonts w:ascii="Times New Roman;Times;Serif" w:hAnsi="Times New Roman;Times;Serif"/>
          <w:b w:val="false"/>
          <w:i w:val="false"/>
          <w:caps w:val="false"/>
          <w:smallCaps w:val="false"/>
          <w:sz w:val="20"/>
        </w:rPr>
        <w:t xml:space="preserve">” means, (a) as to any Term SOFR Loan, the last day of each Interest Period applicable to such Loan and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Interest Period for a Term SOFR Loan exceeds three (3) months, the respective dates that fall every three (3) months after the beginning of such Interest Period shall also be Interest Payment Dates; and (b) as to any Base Rate Loan or Swingline Loan, first Business Day following the end of each March, June, September and December and the Maturity Date of the Facility under which such Loan was made (with Swingline Loans being deemed made under the Revolving Facility for purposes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Interest Period</w:t>
      </w:r>
      <w:r>
        <w:rPr>
          <w:rFonts w:ascii="Times New Roman;Times;Serif" w:hAnsi="Times New Roman;Times;Serif"/>
          <w:b w:val="false"/>
          <w:i w:val="false"/>
          <w:caps w:val="false"/>
          <w:smallCaps w:val="false"/>
          <w:sz w:val="20"/>
        </w:rPr>
        <w:t xml:space="preserve">” means as to each Term SOFR Loan, the period commencing on the date such Term SOFR Loan is disbursed or converted to or continued as a Term SOFR Loan and ending on the date one (1), three (3) or six (6) months thereafter, as selected by the Borrower in its Loan Notice (in the case of each requested Interest Period, subject to availability);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Interest Period pertaining to a Term SOFR Loan that begins on the last Business Day of a calendar month (or on a day for which there is no numerically corresponding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 in the calendar month at the end of such Interest Period) shall end on the last Business Day of the calendar month at the end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Interest Period shall extend beyond the Maturity Date of the Facility under which such Loan was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Borrower’s request, the initial Interest Period commencing on the Closing Date may be shortened or lengthened for a period of time acceptable to the Administrative Agent in order for the period to align with the first principal payment date required pursuant to Section 2.07(a).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Investment</w:t>
      </w:r>
      <w:r>
        <w:rPr>
          <w:rFonts w:ascii="Times New Roman;Times;Serif" w:hAnsi="Times New Roman;Times;Serif"/>
          <w:b w:val="false"/>
          <w:i w:val="false"/>
          <w:caps w:val="false"/>
          <w:smallCaps w:val="false"/>
          <w:sz w:val="20"/>
        </w:rPr>
        <w:t>” means, as to any Person, any direct or indirect acquisition or investment by such Person, whether by means of (a) the purchase or other acquisition of Equity Interests of another Person, (b) a loan, advance or capital contribution to, Guarantee or assumption of indebtedness of, or purchase or other acquisition of any other indebtedness or interest in, another Person (including any partnership or joint venture interest in such other Person and any arrangement pursuant to which the investor guaranties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(measured at the time made), without adjustment for subsequent increases or decreases in the value of such Investment but giving effect to any returns or distributions of capital or repayment of principal actually received in cash by such Person with respect thereto (but only to the extent that the aggregate amount of all such returns, distributions and repayments with respect to such Investment does not exceed the principal amount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Involuntary Disposition</w:t>
      </w:r>
      <w:r>
        <w:rPr>
          <w:rFonts w:ascii="Times New Roman;Times;Serif" w:hAnsi="Times New Roman;Times;Serif"/>
          <w:b w:val="false"/>
          <w:i w:val="false"/>
          <w:caps w:val="false"/>
          <w:smallCaps w:val="false"/>
          <w:sz w:val="20"/>
        </w:rPr>
        <w:t>” means any loss of, damage to or destruction of, or any condemnation or other taking for public use of, any property of any Loan Party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ISP</w:t>
      </w:r>
      <w:r>
        <w:rPr>
          <w:rFonts w:ascii="Times New Roman;Times;Serif" w:hAnsi="Times New Roman;Times;Serif"/>
          <w:b w:val="false"/>
          <w:i w:val="false"/>
          <w:caps w:val="false"/>
          <w:smallCaps w:val="false"/>
          <w:sz w:val="20"/>
        </w:rPr>
        <w:t>” means the International Standby Practices, International Chamber of Commerce Publication No. 590 (or such later version thereof as may be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Issuer Documents</w:t>
      </w:r>
      <w:r>
        <w:rPr>
          <w:rFonts w:ascii="Times New Roman;Times;Serif" w:hAnsi="Times New Roman;Times;Serif"/>
          <w:b w:val="false"/>
          <w:i w:val="false"/>
          <w:caps w:val="false"/>
          <w:smallCaps w:val="false"/>
          <w:sz w:val="20"/>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Joinder Agreement</w:t>
      </w:r>
      <w:r>
        <w:rPr>
          <w:rFonts w:ascii="Times New Roman;Times;Serif" w:hAnsi="Times New Roman;Times;Serif"/>
          <w:b w:val="false"/>
          <w:i w:val="false"/>
          <w:caps w:val="false"/>
          <w:smallCaps w:val="false"/>
          <w:sz w:val="20"/>
        </w:rPr>
        <w:t xml:space="preserve">” means a joinder agreement substantially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executed and delivered in accordance with the provisions of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Laws</w:t>
      </w:r>
      <w:r>
        <w:rPr>
          <w:rFonts w:ascii="Times New Roman;Times;Serif" w:hAnsi="Times New Roman;Times;Serif"/>
          <w:b w:val="false"/>
          <w:i w:val="false"/>
          <w:caps w:val="false"/>
          <w:smallCaps w:val="false"/>
          <w:sz w:val="20"/>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C Advance</w:t>
      </w:r>
      <w:r>
        <w:rPr>
          <w:rFonts w:ascii="Times New Roman;Times;Serif" w:hAnsi="Times New Roman;Times;Serif"/>
          <w:b w:val="false"/>
          <w:i w:val="false"/>
          <w:caps w:val="false"/>
          <w:smallCaps w:val="false"/>
          <w:sz w:val="20"/>
        </w:rPr>
        <w:t>” means, with respect to each Revolving Lender, such Lender’s funding of its participation in any L/C Borrowing in accordance with its Applicable Revolving Percentage. All L/C Advances shall be denominated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C Borrowing</w:t>
      </w:r>
      <w:r>
        <w:rPr>
          <w:rFonts w:ascii="Times New Roman;Times;Serif" w:hAnsi="Times New Roman;Times;Serif"/>
          <w:b w:val="false"/>
          <w:i w:val="false"/>
          <w:caps w:val="false"/>
          <w:smallCaps w:val="false"/>
          <w:sz w:val="20"/>
        </w:rPr>
        <w:t>” means an extension of credit resulting from a drawing under any Letter of Credit which has not been reimbursed on the date when made or refinanced as a Revolving Borrowing. All L/C Borrowings shall be denominated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C Commitment</w:t>
      </w:r>
      <w:r>
        <w:rPr>
          <w:rFonts w:ascii="Times New Roman;Times;Serif" w:hAnsi="Times New Roman;Times;Serif"/>
          <w:b w:val="false"/>
          <w:i w:val="false"/>
          <w:caps w:val="false"/>
          <w:smallCaps w:val="false"/>
          <w:sz w:val="20"/>
        </w:rPr>
        <w:t>” means the commitment of the L/C Issuer to issue Letters of Credit hereunder. The initial amount of the L/C Commitment is $5,000,000 with respect to MUFG. The L/C Commitment of the L/C Issuer may be modified from time to time by agreement between the L/C Issuer and the Borrower, and notified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C Credit Extension</w:t>
      </w:r>
      <w:r>
        <w:rPr>
          <w:rFonts w:ascii="Times New Roman;Times;Serif" w:hAnsi="Times New Roman;Times;Serif"/>
          <w:b w:val="false"/>
          <w:i w:val="false"/>
          <w:caps w:val="false"/>
          <w:smallCaps w:val="false"/>
          <w:sz w:val="20"/>
        </w:rPr>
        <w:t>” means, with respect to any Letter of Credit, the issuance thereof or extension of the expiry date thereof, or the increase of the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L/C Disbursements</w:t>
      </w:r>
      <w:r>
        <w:rPr>
          <w:rFonts w:ascii="Times New Roman;Times;Serif" w:hAnsi="Times New Roman;Times;Serif"/>
          <w:b w:val="false"/>
          <w:i w:val="false"/>
          <w:caps w:val="false"/>
          <w:smallCaps w:val="false"/>
          <w:sz w:val="20"/>
        </w:rPr>
        <w:t>” means a payment made by the L/C Issuer pursuant to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C Issuer</w:t>
      </w:r>
      <w:r>
        <w:rPr>
          <w:rFonts w:ascii="Times New Roman;Times;Serif" w:hAnsi="Times New Roman;Times;Serif"/>
          <w:b w:val="false"/>
          <w:i w:val="false"/>
          <w:caps w:val="false"/>
          <w:smallCaps w:val="false"/>
          <w:sz w:val="20"/>
        </w:rPr>
        <w:t>” means (a) initially, MUFG, or (b) such other Lender selected by the Borrower pursuant to Section 2.03(p) from time to time to issue such Letter of Credit (provided that no Lender shall be required to become an L/C Issuer pursuant to this clause (b) without such Lender’s consent), or any successor issuer thereof or (c) any Lender selected by the Borrower (with the prior consent of the Administrative Agent) to replace a Lender who is a Defaulting Lender at the time of such Lender’s appointment as an L/C Issuer (provided that no Lender shall be required to become an L/C Issuer pursuant to this clause (c) without such Lender’s consent), in each case, through itself or through one of its designated Affiliates or branch offices, in its capacity as issuer of Letters of Credit hereunder, or any successor issuer of Letters of Credit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C Obligations</w:t>
      </w:r>
      <w:r>
        <w:rPr>
          <w:rFonts w:ascii="Times New Roman;Times;Serif" w:hAnsi="Times New Roman;Times;Serif"/>
          <w:b w:val="false"/>
          <w:i w:val="false"/>
          <w:caps w:val="false"/>
          <w:smallCaps w:val="false"/>
          <w:sz w:val="20"/>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Lender</w:t>
      </w:r>
      <w:r>
        <w:rPr>
          <w:rFonts w:ascii="Times New Roman;Times;Serif" w:hAnsi="Times New Roman;Times;Serif"/>
          <w:b w:val="false"/>
          <w:i w:val="false"/>
          <w:caps w:val="false"/>
          <w:smallCaps w:val="false"/>
          <w:sz w:val="20"/>
        </w:rPr>
        <w:t>” means each of the Persons identified as a “Lender” on the signature pages hereto, each other Person that becomes a “Lender” in accordance with this Agreement and, their successors and assigns and, unless the context requires otherwise, includes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Lender Party</w:t>
      </w:r>
      <w:r>
        <w:rPr>
          <w:rFonts w:ascii="Times New Roman;Times;Serif" w:hAnsi="Times New Roman;Times;Serif"/>
          <w:b w:val="false"/>
          <w:i w:val="false"/>
          <w:caps w:val="false"/>
          <w:smallCaps w:val="false"/>
          <w:sz w:val="20"/>
        </w:rPr>
        <w:t>” means collectively, the Lenders, the Swingline Lender and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Lending Office</w:t>
      </w:r>
      <w:r>
        <w:rPr>
          <w:rFonts w:ascii="Times New Roman;Times;Serif" w:hAnsi="Times New Roman;Times;Serif"/>
          <w:b w:val="false"/>
          <w:i w:val="false"/>
          <w:caps w:val="false"/>
          <w:smallCaps w:val="false"/>
          <w:sz w:val="20"/>
        </w:rPr>
        <w:t>” 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Letter of Credit</w:t>
      </w:r>
      <w:r>
        <w:rPr>
          <w:rFonts w:ascii="Times New Roman;Times;Serif" w:hAnsi="Times New Roman;Times;Serif"/>
          <w:b w:val="false"/>
          <w:i w:val="false"/>
          <w:caps w:val="false"/>
          <w:smallCaps w:val="false"/>
          <w:sz w:val="20"/>
        </w:rPr>
        <w:t>” means any standby letter of credit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Letter of Credit Application</w:t>
      </w:r>
      <w:r>
        <w:rPr>
          <w:rFonts w:ascii="Times New Roman;Times;Serif" w:hAnsi="Times New Roman;Times;Serif"/>
          <w:b w:val="false"/>
          <w:i w:val="false"/>
          <w:caps w:val="false"/>
          <w:smallCaps w:val="false"/>
          <w:sz w:val="20"/>
        </w:rPr>
        <w:t>” means an application and agreement for the issuance or amendment of a Letter of Credit in the form from time to time in use by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Letter of Credit Fee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2.03(l)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Letter of Credit Report</w:t>
      </w:r>
      <w:r>
        <w:rPr>
          <w:rFonts w:ascii="Times New Roman;Times;Serif" w:hAnsi="Times New Roman;Times;Serif"/>
          <w:b w:val="false"/>
          <w:i w:val="false"/>
          <w:caps w:val="false"/>
          <w:smallCaps w:val="false"/>
          <w:sz w:val="20"/>
        </w:rPr>
        <w:t xml:space="preserve">” means a certificate substantially the form of </w:t>
      </w:r>
      <w:r>
        <w:rPr>
          <w:rFonts w:ascii="Times New Roman;Times;Serif" w:hAnsi="Times New Roman;Times;Serif"/>
          <w:b w:val="false"/>
          <w:i w:val="false"/>
          <w:caps w:val="false"/>
          <w:smallCaps w:val="false"/>
          <w:sz w:val="20"/>
          <w:u w:val="single"/>
        </w:rPr>
        <w:t>Exhibit R</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Letter of Credit Sublimit</w:t>
      </w:r>
      <w:r>
        <w:rPr>
          <w:rFonts w:ascii="Times New Roman;Times;Serif" w:hAnsi="Times New Roman;Times;Serif"/>
          <w:b w:val="false"/>
          <w:i w:val="false"/>
          <w:caps w:val="false"/>
          <w:smallCaps w:val="false"/>
          <w:sz w:val="20"/>
        </w:rPr>
        <w:t>” means, as of any date of determination, an amount equal to the lesser of (a) $5,000,000 and (b) the Revolving Facility. The Letter of Credit Sublimit is part of, and not in addition to, the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Lien</w:t>
      </w:r>
      <w:r>
        <w:rPr>
          <w:rFonts w:ascii="Times New Roman;Times;Serif" w:hAnsi="Times New Roman;Times;Serif"/>
          <w:b w:val="false"/>
          <w:i w:val="false"/>
          <w:caps w:val="false"/>
          <w:smallCaps w:val="false"/>
          <w:sz w:val="20"/>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Loan</w:t>
      </w:r>
      <w:r>
        <w:rPr>
          <w:rFonts w:ascii="Times New Roman;Times;Serif" w:hAnsi="Times New Roman;Times;Serif"/>
          <w:b w:val="false"/>
          <w:i w:val="false"/>
          <w:caps w:val="false"/>
          <w:smallCaps w:val="false"/>
          <w:sz w:val="20"/>
        </w:rPr>
        <w:t xml:space="preserve">” means an extension of credit by a Lender to the Borrower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 the form of a Term A Loan, a DD Term Loan, a Revolving Loan or a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Material Cybersecurity Incident</w:t>
      </w:r>
      <w:r>
        <w:rPr>
          <w:rFonts w:ascii="Times New Roman;Times;Serif" w:hAnsi="Times New Roman;Times;Serif"/>
          <w:b w:val="false"/>
          <w:i w:val="false"/>
          <w:caps w:val="false"/>
          <w:smallCaps w:val="false"/>
          <w:sz w:val="20"/>
        </w:rPr>
        <w:t>” means any Cybersecurity Incident that (a) involves Client Data affecting 10,000 or more individuals, (b) results in or requires notification to any Governmental Authority or affected individuals under any Applicable Law, (c) results in a claim, demand, inquiry, or investigation by any Governmental Authority, (d) involves the payment or potential payment of any ransom or similar demand, (e) results in a material disruption of any Loan Party’s or any Subsidiary’s business operations, (f) could reasonably be expected to result in liability, costs, or expenses to the Loan Parties and their Subsidiaries in excess of $5,000,000 in the aggregate, or (g)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Loan Documents</w:t>
      </w:r>
      <w:r>
        <w:rPr>
          <w:rFonts w:ascii="Times New Roman;Times;Serif" w:hAnsi="Times New Roman;Times;Serif"/>
          <w:b w:val="false"/>
          <w:i w:val="false"/>
          <w:caps w:val="false"/>
          <w:smallCaps w:val="false"/>
          <w:sz w:val="20"/>
        </w:rPr>
        <w:t xml:space="preserve">” means, collectively, (a) this Agreement, (b) the Notes, (c) the Guaranty, (d) the Collateral Documents, (e) the Fee Letter, (f) each Issuer Document, (g) each Joinder Agreement, (h) any agreement creating or perfecting rights in Cash Collateral pursuant to the provisions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and (i) all other certificates, agreements, documents and instruments executed and delivered, in each case, by or on behalf of any Loan Party pursuant to the foregoing (but specifically excluding any Secured Hedge Agreement or any Secured Cash Management Agreement) and any amendments, restatements, modifications or supplements thereto or to any other Loan Document or waivers hereof or to any other Loan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“Loan Documents” shall mean this Agreement, the Guaranty and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Loan Notice</w:t>
      </w:r>
      <w:r>
        <w:rPr>
          <w:rFonts w:ascii="Times New Roman;Times;Serif" w:hAnsi="Times New Roman;Times;Serif"/>
          <w:b w:val="false"/>
          <w:i w:val="false"/>
          <w:caps w:val="false"/>
          <w:smallCaps w:val="false"/>
          <w:sz w:val="20"/>
        </w:rPr>
        <w:t xml:space="preserve">” means a notice of (a) a Borrowing, (b) a conversion of Loans from one Type to the other, or (c) a continuation of Term SOFR Loans pursuant to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 xml:space="preserve">), which shall be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Loan Parties</w:t>
      </w:r>
      <w:r>
        <w:rPr>
          <w:rFonts w:ascii="Times New Roman;Times;Serif" w:hAnsi="Times New Roman;Times;Serif"/>
          <w:b w:val="false"/>
          <w:i w:val="false"/>
          <w:caps w:val="false"/>
          <w:smallCaps w:val="false"/>
          <w:sz w:val="20"/>
        </w:rPr>
        <w:t>” means, collectively, the Borrower and each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Master Agreement</w:t>
      </w:r>
      <w:r>
        <w:rPr>
          <w:rFonts w:ascii="Times New Roman;Times;Serif" w:hAnsi="Times New Roman;Times;Serif"/>
          <w:b w:val="false"/>
          <w:i w:val="false"/>
          <w:caps w:val="false"/>
          <w:smallCaps w:val="false"/>
          <w:sz w:val="20"/>
        </w:rPr>
        <w:t>” has the meaning set forth in the definition of “Swap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Material Adverse Effect</w:t>
      </w:r>
      <w:r>
        <w:rPr>
          <w:rFonts w:ascii="Times New Roman;Times;Serif" w:hAnsi="Times New Roman;Times;Serif"/>
          <w:b w:val="false"/>
          <w:i w:val="false"/>
          <w:caps w:val="false"/>
          <w:smallCaps w:val="false"/>
          <w:sz w:val="20"/>
        </w:rPr>
        <w:t>” means (a) a material adverse change in, or a material adverse effect upon, the operations, business, assets, properties, liabilities (actual or contingent) or financial condition of the Loan Parties and their Subsidiaries taken as a whole; or (b) a material impairment of the rights and remedies of the Administrative Agent or any Lender under any Loan Document, or of the ability of any Loan Party to perform its obligations under any Loan Document to which it is a party or (c)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legality, validity, binding effect or enforceability against any Loan Party of any Loan Document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Material Agreement</w:t>
      </w:r>
      <w:r>
        <w:rPr>
          <w:rFonts w:ascii="Times New Roman;Times;Serif" w:hAnsi="Times New Roman;Times;Serif"/>
          <w:b w:val="false"/>
          <w:i w:val="false"/>
          <w:caps w:val="false"/>
          <w:smallCaps w:val="false"/>
          <w:sz w:val="20"/>
        </w:rPr>
        <w:t>” means any agreement which if breached or terminated would reasonably be expected to result in a Material Adverse Effect and required to be filed with the SEC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Material Subsidiary</w:t>
      </w:r>
      <w:r>
        <w:rPr>
          <w:rFonts w:ascii="Times New Roman;Times;Serif" w:hAnsi="Times New Roman;Times;Serif"/>
          <w:b w:val="false"/>
          <w:i w:val="false"/>
          <w:caps w:val="false"/>
          <w:smallCaps w:val="false"/>
          <w:sz w:val="20"/>
        </w:rPr>
        <w:t xml:space="preserve">” means any Subsidiary of the Borrower that, together with its Subsidiaries, (a) generates more than 5% of Consolidated EBITDA on a Pro Forma Basis for the four (4) fiscal quarter period most recently ended or (b) has total assets (including Equity Interests in other Subsidiaries and excluding investments that are eliminated in consolidation) of equal to or greater than 5% of the total assets of the Borrower and its Subsidiaries, on a consolidated basis as of the end of the most recent four (4) fiscal quarters;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at any time there are Subsidiaries which are not classified as “Material Subsidiaries” but which collectively (i) generate more than 10% of Consolidated EBITDA on a Pro Forma Basis or (ii) have total assets (including Equity Interests in other Subsidiaries and excluding investments that are eliminated in consolidation) of equal to or greater than 10% of the total assets of the Borrower and its Subsidiaries on a Consolidated basis, then the Borrower shall promptly designate one or more of such Subsidiaries (other than any Subsidiary that is an Excluded Subsidiary pursuant to clauses (a) through (c) of such definition) as Material Subsidiaries and cause any such Subsidiaries to comply with the provisions of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xml:space="preserve"> such that, after such Subsidiaries become Guarantors hereunder, the Subsidiaries (other than any Subsidiary that is an Excluded Subsidiary pursuant to clauses (a) through (c) of such definition) that are not Guarantors shall (A) generate less than 10% of Consolidated EBITDA and (B) have total assets of less than 10% of the total assets of the Borrower and its Subsidiaries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Maturity Date</w:t>
      </w:r>
      <w:r>
        <w:rPr>
          <w:rFonts w:ascii="Times New Roman;Times;Serif" w:hAnsi="Times New Roman;Times;Serif"/>
          <w:b w:val="false"/>
          <w:i w:val="false"/>
          <w:caps w:val="false"/>
          <w:smallCaps w:val="false"/>
          <w:sz w:val="20"/>
        </w:rPr>
        <w:t xml:space="preserve">” means October 15, 2031;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if such date is not a Business Day, the Maturity Date shall be the next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Measurement Period</w:t>
      </w:r>
      <w:r>
        <w:rPr>
          <w:rFonts w:ascii="Times New Roman;Times;Serif" w:hAnsi="Times New Roman;Times;Serif"/>
          <w:b w:val="false"/>
          <w:i w:val="false"/>
          <w:caps w:val="false"/>
          <w:smallCaps w:val="false"/>
          <w:sz w:val="20"/>
        </w:rPr>
        <w:t>” means, as of any date of determination, the period of four (4) consecutive fiscal quarters ended on or immediately prior to such date for which financial statements of the Borrower and its Subsidiaries have been delivered to the Administrative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Minimum Collateral Amount</w:t>
      </w:r>
      <w:r>
        <w:rPr>
          <w:rFonts w:ascii="Times New Roman;Times;Serif" w:hAnsi="Times New Roman;Times;Serif"/>
          <w:b w:val="false"/>
          <w:i w:val="false"/>
          <w:caps w:val="false"/>
          <w:smallCaps w:val="false"/>
          <w:sz w:val="20"/>
        </w:rPr>
        <w:t>” means, at any time, (a) with respect to Cash Collateral consisting of cash or Deposit Account balances, an amount equal to 105% of the Fronting Exposure of the L/C Issuer with respect to Letters of Credit issued and outstanding at such time and (b) otherwise, an amount determined by the Administrative Agent and the L/C Issuer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Moody</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s</w:t>
      </w:r>
      <w:r>
        <w:rPr>
          <w:rFonts w:ascii="Times New Roman;Times;Serif" w:hAnsi="Times New Roman;Times;Serif"/>
          <w:b w:val="false"/>
          <w:i w:val="false"/>
          <w:caps w:val="false"/>
          <w:smallCaps w:val="false"/>
          <w:sz w:val="20"/>
        </w:rPr>
        <w:t>” means Moody’s Investors Service,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MUFG</w:t>
      </w:r>
      <w:r>
        <w:rPr>
          <w:rFonts w:ascii="Times New Roman;Times;Serif" w:hAnsi="Times New Roman;Times;Serif"/>
          <w:b w:val="false"/>
          <w:i w:val="false"/>
          <w:caps w:val="false"/>
          <w:smallCaps w:val="false"/>
          <w:sz w:val="20"/>
        </w:rPr>
        <w:t>” means MUFG Bank, Ltd. and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Multiemployer Plan</w:t>
      </w:r>
      <w:r>
        <w:rPr>
          <w:rFonts w:ascii="Times New Roman;Times;Serif" w:hAnsi="Times New Roman;Times;Serif"/>
          <w:b w:val="false"/>
          <w:i w:val="false"/>
          <w:caps w:val="false"/>
          <w:smallCaps w:val="false"/>
          <w:sz w:val="20"/>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Net Cash Proceeds</w:t>
      </w:r>
      <w:r>
        <w:rPr>
          <w:rFonts w:ascii="Times New Roman;Times;Serif" w:hAnsi="Times New Roman;Times;Serif"/>
          <w:b w:val="false"/>
          <w:i w:val="false"/>
          <w:caps w:val="false"/>
          <w:smallCaps w:val="false"/>
          <w:sz w:val="20"/>
        </w:rPr>
        <w:t>” means the aggregate cash or Cash Equivalents proceeds received by the Borrower or any Subsidiary in respect of any Disposition, Debt Issuance, Extraordinary Receipt or Involuntary Disposition, net of (a) direct costs incurred in connection therewith (including, without limitation, legal, accounting and investment banking fees and sales commissions), (b) taxes paid or payable as a result thereof and (c) in the case of any Disposition or any Involuntary Disposition, the amount necessary to retire any Indebtedness secured by a Permitted Lien (ranking senior to any Lien of the Administrative Agent) on the related property; it being understood that “Net Cash Proceeds”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any cash or Cash Equivalents received upon the sale or other disposition of any non-cash consideration received by the Borrower or any Subsidiary in any Disposition, Debt Issuance or Involuntary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Non</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Consenting Lender</w:t>
      </w:r>
      <w:r>
        <w:rPr>
          <w:rFonts w:ascii="Times New Roman;Times;Serif" w:hAnsi="Times New Roman;Times;Serif"/>
          <w:b w:val="false"/>
          <w:i w:val="false"/>
          <w:caps w:val="false"/>
          <w:smallCaps w:val="false"/>
          <w:sz w:val="20"/>
        </w:rPr>
        <w:t xml:space="preserve">” means any Lender that does not approve any consent, waiver or amendment that (a) requires the approval of all Lenders or all affected Lenders, in accordance with the terms of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and (b) has been approved by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Non</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Defaulting Lender</w:t>
      </w:r>
      <w:r>
        <w:rPr>
          <w:rFonts w:ascii="Times New Roman;Times;Serif" w:hAnsi="Times New Roman;Times;Serif"/>
          <w:b w:val="false"/>
          <w:i w:val="false"/>
          <w:caps w:val="false"/>
          <w:smallCaps w:val="false"/>
          <w:sz w:val="20"/>
        </w:rPr>
        <w:t>” means, at any time, each Lender that is not a Defaulting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Note</w:t>
      </w:r>
      <w:r>
        <w:rPr>
          <w:rFonts w:ascii="Times New Roman;Times;Serif" w:hAnsi="Times New Roman;Times;Serif"/>
          <w:b w:val="false"/>
          <w:i w:val="false"/>
          <w:caps w:val="false"/>
          <w:smallCaps w:val="false"/>
          <w:sz w:val="20"/>
        </w:rPr>
        <w:t>” means a Term A Note, DD Term Note or a Revolving Note,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Notice of Additional L</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C Issuer</w:t>
      </w:r>
      <w:r>
        <w:rPr>
          <w:rFonts w:ascii="Times New Roman;Times;Serif" w:hAnsi="Times New Roman;Times;Serif"/>
          <w:b w:val="false"/>
          <w:i w:val="false"/>
          <w:caps w:val="false"/>
          <w:smallCaps w:val="false"/>
          <w:sz w:val="20"/>
        </w:rPr>
        <w:t xml:space="preserve">” means a certificate substantially the form of </w:t>
      </w:r>
      <w:r>
        <w:rPr>
          <w:rFonts w:ascii="Times New Roman;Times;Serif" w:hAnsi="Times New Roman;Times;Serif"/>
          <w:b w:val="false"/>
          <w:i w:val="false"/>
          <w:caps w:val="false"/>
          <w:smallCaps w:val="false"/>
          <w:sz w:val="20"/>
          <w:u w:val="single"/>
        </w:rPr>
        <w:t>Exhibit S</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Notice of Loan Prepayment</w:t>
      </w:r>
      <w:r>
        <w:rPr>
          <w:rFonts w:ascii="Times New Roman;Times;Serif" w:hAnsi="Times New Roman;Times;Serif"/>
          <w:b w:val="false"/>
          <w:i w:val="false"/>
          <w:caps w:val="false"/>
          <w:smallCaps w:val="false"/>
          <w:sz w:val="20"/>
        </w:rPr>
        <w:t xml:space="preserve">” means a notice of prepayment with respect to a Loan, which shall be substantially in the form of </w:t>
      </w:r>
      <w:r>
        <w:rPr>
          <w:rFonts w:ascii="Times New Roman;Times;Serif" w:hAnsi="Times New Roman;Times;Serif"/>
          <w:b w:val="false"/>
          <w:i w:val="false"/>
          <w:caps w:val="false"/>
          <w:smallCaps w:val="false"/>
          <w:sz w:val="20"/>
          <w:u w:val="single"/>
        </w:rPr>
        <w:t>Exhibit K</w:t>
      </w:r>
      <w:r>
        <w:rPr>
          <w:rFonts w:ascii="Times New Roman;Times;Serif" w:hAnsi="Times New Roman;Times;Serif"/>
          <w:b w:val="false"/>
          <w:i w:val="false"/>
          <w:caps w:val="false"/>
          <w:smallCaps w:val="false"/>
          <w:sz w:val="20"/>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Obligations</w:t>
      </w:r>
      <w:r>
        <w:rPr>
          <w:rFonts w:ascii="Times New Roman;Times;Serif" w:hAnsi="Times New Roman;Times;Serif"/>
          <w:b w:val="false"/>
          <w:i w:val="false"/>
          <w:caps w:val="false"/>
          <w:smallCaps w:val="false"/>
          <w:sz w:val="20"/>
        </w:rPr>
        <w:t xml:space="preserve">” means (a) all advances to, and debts, liabilities, obligations, covenants and duties of, any Loan Party arising under any Loan Document or otherwise with respect to any Loan, or Letter of Credit (including any Erroneous Payment Subrogation Rights)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without limiting the foregoing, the Obligations of a Guarantor shall exclude any Excluded Swap Obligations with respect to such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United States Department of the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Officer</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s Certificate</w:t>
      </w:r>
      <w:r>
        <w:rPr>
          <w:rFonts w:ascii="Times New Roman;Times;Serif" w:hAnsi="Times New Roman;Times;Serif"/>
          <w:b w:val="false"/>
          <w:i w:val="false"/>
          <w:caps w:val="false"/>
          <w:smallCaps w:val="false"/>
          <w:sz w:val="20"/>
        </w:rPr>
        <w:t xml:space="preserve">” means a certificate substantially the form of </w:t>
      </w:r>
      <w:r>
        <w:rPr>
          <w:rFonts w:ascii="Times New Roman;Times;Serif" w:hAnsi="Times New Roman;Times;Serif"/>
          <w:b w:val="false"/>
          <w:i w:val="false"/>
          <w:caps w:val="false"/>
          <w:smallCaps w:val="false"/>
          <w:sz w:val="20"/>
          <w:u w:val="single"/>
        </w:rPr>
        <w:t>Exhibit L</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Organization Documents</w:t>
      </w:r>
      <w:r>
        <w:rPr>
          <w:rFonts w:ascii="Times New Roman;Times;Serif" w:hAnsi="Times New Roman;Times;Serif"/>
          <w:b w:val="false"/>
          <w:i w:val="false"/>
          <w:caps w:val="false"/>
          <w:smallCaps w:val="false"/>
          <w:sz w:val="20"/>
        </w:rPr>
        <w:t>” means, (a) with respect to any corporation, the charter or certificate or articles of incorporation or articles of association, the bylaws and any change of name certificate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Other Taxes</w:t>
      </w:r>
      <w:r>
        <w:rPr>
          <w:rFonts w:ascii="Times New Roman;Times;Serif" w:hAnsi="Times New Roman;Times;Serif"/>
          <w:b w:val="false"/>
          <w:i w:val="false"/>
          <w:caps w:val="false"/>
          <w:smallCaps w:val="false"/>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Outbound Investment Rules</w:t>
      </w:r>
      <w:r>
        <w:rPr>
          <w:rFonts w:ascii="Times New Roman;Times;Serif" w:hAnsi="Times New Roman;Times;Serif"/>
          <w:b w:val="false"/>
          <w:i w:val="false"/>
          <w:caps w:val="false"/>
          <w:smallCaps w:val="false"/>
          <w:sz w:val="20"/>
        </w:rPr>
        <w:t>” means the regulations administered and enforced, together with any related public guidance issued, by the United States Treasury Department under U.S. Executive Order 14105 of August 9, 2023, or any similar law or regulation; as of the Closing Date, and as codified at 31 C.F.R. § 850.101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Outstanding Amount</w:t>
      </w:r>
      <w:r>
        <w:rPr>
          <w:rFonts w:ascii="Times New Roman;Times;Serif" w:hAnsi="Times New Roman;Times;Serif"/>
          <w:b w:val="false"/>
          <w:i w:val="false"/>
          <w:caps w:val="false"/>
          <w:smallCaps w:val="false"/>
          <w:sz w:val="20"/>
        </w:rPr>
        <w:t>” means (a) with respect to Term A Loans, DD Term Loans, Revolving Loans and Swingline Loans on any date, the aggregate outstanding principal amount thereof after giving effect to any Borrowings and prepayments or repayments of Term A Loans, DD Term Loans, Revolving Loans and Swingline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Participant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11.06(d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Participant Register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11.06(d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Patriot Act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Payment Recipient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Pension Funding Rules</w:t>
      </w:r>
      <w:r>
        <w:rPr>
          <w:rFonts w:ascii="Times New Roman;Times;Serif" w:hAnsi="Times New Roman;Times;Serif"/>
          <w:b w:val="false"/>
          <w:i w:val="false"/>
          <w:caps w:val="false"/>
          <w:smallCaps w:val="false"/>
          <w:sz w:val="20"/>
        </w:rPr>
        <w:t>” means the rules of the Code and ERISA regarding minimum funding standards with respect to Pension Plans and set forth in Sections 412, 430, 431, 432 and 436 of the Code and Sections 302, 303, 304 and 305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Pension Plan</w:t>
      </w:r>
      <w:r>
        <w:rPr>
          <w:rFonts w:ascii="Times New Roman;Times;Serif" w:hAnsi="Times New Roman;Times;Serif"/>
          <w:b w:val="false"/>
          <w:i w:val="false"/>
          <w:caps w:val="false"/>
          <w:smallCaps w:val="false"/>
          <w:sz w:val="20"/>
        </w:rPr>
        <w:t>” means any employee pension benefit plan (including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 or Section 302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Permit</w:t>
      </w:r>
      <w:r>
        <w:rPr>
          <w:rFonts w:ascii="Times New Roman;Times;Serif" w:hAnsi="Times New Roman;Times;Serif"/>
          <w:b w:val="false"/>
          <w:i w:val="false"/>
          <w:caps w:val="false"/>
          <w:smallCaps w:val="false"/>
          <w:sz w:val="20"/>
        </w:rPr>
        <w:t>” means all licenses, certificates, accreditations, authorizations, franchises, qualifications, registrations, permits, consents and approvals of a Loan Party issued or required under Laws applicable to the business of the Loan Parties or any of their Subsidiaries or necessary in the manufacturing, importing, exporting, possession, ownership, warehousing, marketing, promoting, sale, labeling, furnishing, distribution or delivery of goods or services under Laws applicable to the business of the Loan Parties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their Subsidiaries. Without limiting the generality of the foregoing, “Permit” includes all Regulatory Required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Permitted Acquisition</w:t>
      </w:r>
      <w:r>
        <w:rPr>
          <w:rFonts w:ascii="Times New Roman;Times;Serif" w:hAnsi="Times New Roman;Times;Serif"/>
          <w:b w:val="false"/>
          <w:i w:val="false"/>
          <w:caps w:val="false"/>
          <w:smallCaps w:val="false"/>
          <w:sz w:val="20"/>
        </w:rPr>
        <w:t>” means an Acquisition by the Borrower or any of its Subsidiaries (the Person or division, line of business or other business unit of the Person to be acquired in such Acquisition shall be referred to herein as the “</w:t>
      </w:r>
      <w:r>
        <w:rPr>
          <w:rFonts w:ascii="Times New Roman;Times;Serif" w:hAnsi="Times New Roman;Times;Serif"/>
          <w:b w:val="false"/>
          <w:i/>
          <w:caps w:val="false"/>
          <w:smallCaps w:val="false"/>
          <w:sz w:val="20"/>
          <w:u w:val="single"/>
        </w:rPr>
        <w:t>Target</w:t>
      </w:r>
      <w:r>
        <w:rPr>
          <w:rFonts w:ascii="Times New Roman;Times;Serif" w:hAnsi="Times New Roman;Times;Serif"/>
          <w:b w:val="false"/>
          <w:i w:val="false"/>
          <w:caps w:val="false"/>
          <w:smallCaps w:val="false"/>
          <w:sz w:val="20"/>
        </w:rPr>
        <w:t>”), in each case that is a type of business (or assets used in a type of business) permitted to be engaged in by the Borrower and its Subsidiaries pursuant to the terms of this Agreement, in each case so long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Event of Default shall then exist or would exist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Loan Parties shall demonstrate to the reasonable satisfaction of the Administrative Agent that, after giving effect to the Acquisition and the transactions related thereto (including the assumption or incurrence of any indebtedness in connection therewith) on a Pro Forma Basis, the Consolidated Net Leverage Ratio shall be no greater than 0.50:1.00 inside the then-applicable covenant set forth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(after giving effect to any step-up for such Permitted Acquisition, as set forth in </w:t>
      </w:r>
      <w:r>
        <w:rPr>
          <w:rFonts w:ascii="Times New Roman;Times;Serif" w:hAnsi="Times New Roman;Times;Serif"/>
          <w:b w:val="false"/>
          <w:i w:val="false"/>
          <w:caps w:val="false"/>
          <w:smallCaps w:val="false"/>
          <w:sz w:val="20"/>
          <w:u w:val="single"/>
        </w:rPr>
        <w:t>Section 7.11(b)</w:t>
      </w:r>
      <w:r>
        <w:rPr>
          <w:rFonts w:ascii="Times New Roman;Times;Serif" w:hAnsi="Times New Roman;Times;Serif"/>
          <w:b w:val="false"/>
          <w:i w:val="false"/>
          <w:caps w:val="false"/>
          <w:smallCaps w:val="false"/>
          <w:sz w:val="20"/>
        </w:rPr>
        <w:t>), calculated using the same Measurement Period used to determine Pro Forma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Administrative Agent, on behalf of the Secured Parties, shall have received (or shall receive in connection with the closing of such Acquisition) a first priority perfected security interest (subject to Permitted Liens), to extent required by the Collateral Documents, in all property constituting Collateral (including, without limitation, Equity Interests) acquired with respect to the Target in accordance with the terms of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and the Target, if a Person, shall have executed a Joinder Agreement in accordance with, and to the extent required by, the terms of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an Acquisition or series of related Acquisitions where the Cost of Acquisition paid or payable in connection therewith is greater than $7,500,000, the Administrative Agent and the Lenders shall have received (i) not less than ten (10) days (or such shorter period as the Administrative Agent may reasonably agree) prior to the consummation of any such Acquisition (x) a description of the material terms of such Acquisition, (y) audited financial statements (or, if unavailable, management-prepared financial statements) of the Target for its two most recent fiscal years and for any fiscal quarters ended within the fiscal year to date, and (z) with respect to any Acquisition or series of related Acquisitions for which the Cost of Acquisition paid or payable in connection therewith is greater than $20,000,000, for the ensuing four (4) fiscal quarters after such Acquisition or series of Acquisitions, Consolidated projected income statements of the Borrower and its Subsidiaries (giving effect to such Acquisition), and (ii) not less than five (5) Business Days prior to the consummation of any such Permitted Acquisition, a Permitted Acquisition Certificate, executed by a Responsible Officer of the Borrower certifying that such Permitted Acquisition complies with the requirements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with respect to an Acquisition of a Customer or Customer’s assets, the Target shall have earnings before interest, taxes, depreciation and amortization for its most recent fiscal year and its most recent interim fiscal quarter completed within forty-five (45) days prior to the acquisition date, and after giving effect to any pro forma adjustments reasonably acceptable to the Administrative Agent, in an amount greater than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business acquired in connection with such Acquisition (i) is not engaged, directly or indirectly, in any line of business other than the businesses in which the Loan Parties are engaged on the Closing Date or any business activities that are substantially similar, related, or incidental thereto or (ii) is a Customer of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Loan Party shall, as a result of or in connection with any such Acquisition, assume or incur any direct or contingent liabilities (whether relating to environmental, tax, litigation, or other matters) that could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such Acquisition shall not be a “hostile” Acquisition and shall have been approved by the board of directors (or equivalent) and/or shareholders (or equivalent) of the applicable Loan Party and the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transactions in connection with such Acquisition shall be consummated in accordance with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Indebtedness or Liens (other than Permitted Indebtedness or Permitted Liens, including Permitted Indebtedness and Permitted Liens of any new Subsidiary which becomes a Loan Party in accordance with this definition) are assumed or created in connection with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unless Administrative Agent shall otherwise consent in writing (in its sole discretion), (x) if the Acquisition is an equity purchase or merger, the Target and its subsidiaries must have as their jurisdiction of formation a state within the United States or the District of Columbia, and (y) if the Acquisition is an asset purchase, all or substantially all of the assets so acquired shall be located within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consideration payable by the Loan Parties and their Subsidiaries in connection with such Acquisition shall consist solely of (x) noncash Equity Interests (other than Disqualified Equity Interests) in Borrower, (y) cash and Cash Equivalents and/or (z) the issuance by the applicable Loan Party of Subordinated Debt from the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with respect to any such Acquisition of assets that do not become Collateral or of any Equity Interests of a Person that does not become a Loan Party hereunder, the aggregate Cost of Acquisition of all such Acquisitions does not exceed $10,000,000 in any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Permitted Acquisition Certificate</w:t>
      </w:r>
      <w:r>
        <w:rPr>
          <w:rFonts w:ascii="Times New Roman;Times;Serif" w:hAnsi="Times New Roman;Times;Serif"/>
          <w:b w:val="false"/>
          <w:i w:val="false"/>
          <w:caps w:val="false"/>
          <w:smallCaps w:val="false"/>
          <w:sz w:val="20"/>
        </w:rPr>
        <w:t xml:space="preserve">” means a certificate substantially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Permitted Liens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Permitted Transfers</w:t>
      </w:r>
      <w:r>
        <w:rPr>
          <w:rFonts w:ascii="Times New Roman;Times;Serif" w:hAnsi="Times New Roman;Times;Serif"/>
          <w:b w:val="false"/>
          <w:i w:val="false"/>
          <w:caps w:val="false"/>
          <w:smallCaps w:val="false"/>
          <w:sz w:val="20"/>
        </w:rPr>
        <w:t xml:space="preserve">” means (a) Dispositions of inventory in the ordinary course of business; (b) Dispositions of property to the Borrower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transferor of such property is a Loan Party then the transferee thereof must be a Loan Party; (c) Dispositions of accounts receivable in connection with the collection, settlement or compromise thereof; (d) licenses, sublicenses, leases or subleases granted to others not interfering in any material respect with the business of the Borrower and its Subsidiaries; (e) the sale or disposition of Cash Equivalents for fair market value, (f) the abandonment, expiration, cancellation, non-renewal or discontinuance of intellectual property rights, which, in the reasonable business judgment of the Borrower, is not material to the business of the Borrower and its Subsidiaries, taken as a whole, (g) the termination, unwinding or settlement of any Swap Contract, (h) the use or transfer of cash in a manner that is not prohibited by this Agreement, (i) Dispositions permitted by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and (j) to the extent constituting a Disposition,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Plan</w:t>
      </w:r>
      <w:r>
        <w:rPr>
          <w:rFonts w:ascii="Times New Roman;Times;Serif" w:hAnsi="Times New Roman;Times;Serif"/>
          <w:b w:val="false"/>
          <w:i w:val="false"/>
          <w:caps w:val="false"/>
          <w:smallCaps w:val="false"/>
          <w:sz w:val="20"/>
        </w:rPr>
        <w:t>” means any employee pension benefit plan within the meaning of Section 3(3) of ERISA (including a Pension Plan) that is subject to Title IV of ERISA, maintained for employees of the Borrower or any ERISA Affiliate or any such Plan to which the Borrower or any ERISA Affiliate is required to contribute on behalf of any of its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Platform</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6.02(o)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Pledged Equity</w:t>
      </w:r>
      <w:r>
        <w:rPr>
          <w:rFonts w:ascii="Times New Roman;Times;Serif" w:hAnsi="Times New Roman;Times;Serif"/>
          <w:b w:val="false"/>
          <w:i w:val="false"/>
          <w:caps w:val="false"/>
          <w:smallCaps w:val="false"/>
          <w:sz w:val="20"/>
        </w:rPr>
        <w:t>” has the meaning specified in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Pro Forma Basis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u w:val="single"/>
        </w:rPr>
        <w:t>Pro Forma Effect</w:t>
      </w:r>
      <w:r>
        <w:rPr>
          <w:rFonts w:ascii="Times New Roman;Times;Serif" w:hAnsi="Times New Roman;Times;Serif"/>
          <w:b w:val="false"/>
          <w:i w:val="false"/>
          <w:caps w:val="false"/>
          <w:smallCaps w:val="false"/>
          <w:sz w:val="20"/>
        </w:rPr>
        <w:t xml:space="preserve">” means, for any Disposition of all or substantially all of a division or a line of business or for any Acquisition, whether actual or proposed, for purposes of determining compliance with the financial covenants set forth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each such transaction or proposed transaction shall be deemed to have occurred on and as of the first day of the relevant Measurement Period, and the following pro forma adjustments shall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an actual or proposed Disposition, all income statement items (whether positive or negative) attributable to the line of business or the Person subject to such Disposition shall be excluded from the results of the Borrower and its Subsidiaries for such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an actual or proposed Acquisition, income statement items (whether positive or negative) attributable to the property, line of business or the Person subject to such Acquisition shall be included in the results of the Borrower and its Subsidiaries for such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accrued during the relevant Measurement Period on, and the principal of, any Indebtedness repaid or to be repaid or refinanced in such transaction shall be excluded from the results of the Borrower and its Subsidiaries for such Measurement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Borrower and its Subsidiaries for such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Pro Forma Compliance</w:t>
      </w:r>
      <w:r>
        <w:rPr>
          <w:rFonts w:ascii="Times New Roman;Times;Serif" w:hAnsi="Times New Roman;Times;Serif"/>
          <w:b w:val="false"/>
          <w:i w:val="false"/>
          <w:caps w:val="false"/>
          <w:smallCaps w:val="false"/>
          <w:sz w:val="20"/>
        </w:rPr>
        <w:t>” means, with respect to any transaction, that such transaction does not cause, create or result in a Default after giving Pro Forma Effect, based upon the results of operations for the most recently completed Measurement Period to (a) such transaction and (b) all other transactions which are contemplated or required to be given Pro Forma Effect hereunder that have occurred on or after the first day of the relevant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Public Lender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6.02(p)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QFC Credit Support</w:t>
      </w:r>
      <w:r>
        <w:rPr>
          <w:rFonts w:ascii="Times New Roman;Times;Serif" w:hAnsi="Times New Roman;Times;Serif"/>
          <w:b w:val="false"/>
          <w:i w:val="false"/>
          <w:caps w:val="false"/>
          <w:smallCaps w:val="false"/>
          <w:sz w:val="20"/>
        </w:rPr>
        <w:t>” has the meaning specified in Section 11.21.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Qualified ECP Guarantor</w:t>
      </w:r>
      <w:r>
        <w:rPr>
          <w:rFonts w:ascii="Times New Roman;Times;Serif" w:hAnsi="Times New Roman;Times;Serif"/>
          <w:b w:val="false"/>
          <w:i w:val="false"/>
          <w:caps w:val="false"/>
          <w:smallCaps w:val="false"/>
          <w:sz w:val="20"/>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Qualifying Control Agreement</w:t>
      </w:r>
      <w:r>
        <w:rPr>
          <w:rFonts w:ascii="Times New Roman;Times;Serif" w:hAnsi="Times New Roman;Times;Serif"/>
          <w:b w:val="false"/>
          <w:i w:val="false"/>
          <w:caps w:val="false"/>
          <w:smallCaps w:val="false"/>
          <w:sz w:val="20"/>
        </w:rPr>
        <w:t>” means an agreement, among a U.S. Loan Party, a depository institution or securities intermediary and the Administrative Agent, which agreement is in form and substance reasonably acceptable to the Administrative Agent and which provides the Administrative Agent with “control” (as such term is used in Article 9 of the UCC) over the U.S. Deposit Account(s) or Securities Account(s) described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Rate Determination Date</w:t>
      </w:r>
      <w:r>
        <w:rPr>
          <w:rFonts w:ascii="Times New Roman;Times;Serif" w:hAnsi="Times New Roman;Times;Serif"/>
          <w:b w:val="false"/>
          <w:i w:val="false"/>
          <w:caps w:val="false"/>
          <w:smallCaps w:val="false"/>
          <w:sz w:val="20"/>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such market practice is not administratively feasible for the Administrative Agent, then “Rate Determination Date” means such other day as otherwise reasonably determined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Recipient</w:t>
      </w:r>
      <w:r>
        <w:rPr>
          <w:rFonts w:ascii="Times New Roman;Times;Serif" w:hAnsi="Times New Roman;Times;Serif"/>
          <w:b w:val="false"/>
          <w:i w:val="false"/>
          <w:caps w:val="false"/>
          <w:smallCaps w:val="false"/>
          <w:sz w:val="20"/>
        </w:rPr>
        <w:t>” means the Administrative Agent, any Lender, the L/C Issuer or any other recipient of any payment to be made by or on account of any obligation of any Loan Party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Register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11.06(c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Regulation U</w:t>
      </w:r>
      <w:r>
        <w:rPr>
          <w:rFonts w:ascii="Times New Roman;Times;Serif" w:hAnsi="Times New Roman;Times;Serif"/>
          <w:b w:val="false"/>
          <w:i w:val="false"/>
          <w:caps w:val="false"/>
          <w:smallCaps w:val="false"/>
          <w:sz w:val="20"/>
        </w:rPr>
        <w:t>” means Regulation U of the FRB, as in effect from time to time and all official rulings and interpretations thereunder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Regulatory Required Permit</w:t>
      </w:r>
      <w:r>
        <w:rPr>
          <w:rFonts w:ascii="Times New Roman;Times;Serif" w:hAnsi="Times New Roman;Times;Serif"/>
          <w:b w:val="false"/>
          <w:i w:val="false"/>
          <w:caps w:val="false"/>
          <w:smallCaps w:val="false"/>
          <w:sz w:val="20"/>
        </w:rPr>
        <w:t>” means any and all licenses, registrations, approvals and permits issued by any applicable Governmental Authority necessary or required by applicable Law for any Loan Party or Subsidiary to conduct money transmission, payroll and payroll tax processing, benefits brokerage services, insurance brokerage services, third party administrator services or any other financial services or related licensable activity related to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Related Parties</w:t>
      </w:r>
      <w:r>
        <w:rPr>
          <w:rFonts w:ascii="Times New Roman;Times;Serif" w:hAnsi="Times New Roman;Times;Serif"/>
          <w:b w:val="false"/>
          <w:i w:val="false"/>
          <w:caps w:val="false"/>
          <w:smallCaps w:val="false"/>
          <w:sz w:val="20"/>
        </w:rPr>
        <w:t>” means, with respect to any Person, such Person’s Affiliates and the partners, directors, officers, employees, agents, trustees, administrators, managers, advisors, consultants, service providers and representatives of such Person and of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Release</w:t>
      </w:r>
      <w:r>
        <w:rPr>
          <w:rFonts w:ascii="Times New Roman;Times;Serif" w:hAnsi="Times New Roman;Times;Serif"/>
          <w:b w:val="false"/>
          <w:i w:val="false"/>
          <w:caps w:val="false"/>
          <w:smallCaps w:val="false"/>
          <w:sz w:val="20"/>
        </w:rPr>
        <w:t>” means any release, spill, emission, discharge, deposit, disposal, leaking, pumping, pouring, dumping, emptying, injection or leaching into the Environment, or into, from or through any building, structure or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Reportable Event</w:t>
      </w:r>
      <w:r>
        <w:rPr>
          <w:rFonts w:ascii="Times New Roman;Times;Serif" w:hAnsi="Times New Roman;Times;Serif"/>
          <w:b w:val="false"/>
          <w:i w:val="false"/>
          <w:caps w:val="false"/>
          <w:smallCaps w:val="false"/>
          <w:sz w:val="20"/>
        </w:rPr>
        <w:t>” means any of the events set forth in Section 4043(c) of ERISA, other than events for which the thirty (30) day notice period has been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Request for Credit Extension</w:t>
      </w:r>
      <w:r>
        <w:rPr>
          <w:rFonts w:ascii="Times New Roman;Times;Serif" w:hAnsi="Times New Roman;Times;Serif"/>
          <w:b w:val="false"/>
          <w:i w:val="false"/>
          <w:caps w:val="false"/>
          <w:smallCaps w:val="false"/>
          <w:sz w:val="20"/>
        </w:rPr>
        <w:t>” means (a) with respect to a Borrowing, conversion or continuation of Term A Loans, DD Term Loans, or Revolving Loans, a Loan Notice, (b) with respect to an L/C Credit Extension, a Letter of Credit Application, and (c) with respect to a Swingline Loan, a Swingline Loan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Required Lenders</w:t>
      </w:r>
      <w:r>
        <w:rPr>
          <w:rFonts w:ascii="Times New Roman;Times;Serif" w:hAnsi="Times New Roman;Times;Serif"/>
          <w:b w:val="false"/>
          <w:i w:val="false"/>
          <w:caps w:val="false"/>
          <w:smallCaps w:val="false"/>
          <w:sz w:val="20"/>
        </w:rPr>
        <w:t xml:space="preserve">” means, at any time, at least two (2) Lenders that are not Affiliates having Total Credit Exposures representing more than 50% of the Total Credit Exposures of all Lenders at such time. The Total Credit Exposure of any Defaulting Lender shall be disregarded in determining Required Lenders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any participation in any Swingline Loan and Unreimbursed Amounts that such Defaulting Lender has failed to fund that have not been reallocated to and funded by another Lender shall be deemed to be held by the Lender that is the Swingline Lender or the L/C Issuer, as the case may be, in making such determination;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this definition is subject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Rescindable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2.12(b)(ii)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Resignation Effective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9.06(a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Responsible Officer</w:t>
      </w:r>
      <w:r>
        <w:rPr>
          <w:rFonts w:ascii="Times New Roman;Times;Serif" w:hAnsi="Times New Roman;Times;Serif"/>
          <w:b w:val="false"/>
          <w:i w:val="false"/>
          <w:caps w:val="false"/>
          <w:smallCaps w:val="false"/>
          <w:sz w:val="20"/>
        </w:rPr>
        <w:t xml:space="preserve">” means the chief executive officer, president, chief financial officer, treasurer, assistant treasurer or controller of a Loan Party set forth on the incumbency certificate delivered pursuant to Section 4.01(b) (or such other incumbency certificate delivered to the Administrative Agent after the Closing Date) and, solely for purposes of the delivery of incumbency certificates pursuant to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the directors,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reasonably requested by the Administrative Agent, each Responsible Officer will provide an incumbency certificate and to the extent reasonably requested by the Administrative Agent, appropriate authorization documentation, in form and substance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Restricted Payment</w:t>
      </w:r>
      <w:r>
        <w:rPr>
          <w:rFonts w:ascii="Times New Roman;Times;Serif" w:hAnsi="Times New Roman;Times;Serif"/>
          <w:b w:val="false"/>
          <w:i w:val="false"/>
          <w:caps w:val="false"/>
          <w:smallCaps w:val="false"/>
          <w:sz w:val="20"/>
        </w:rPr>
        <w:t>” means (a) any dividend or other distribution, direct or indirect, on account of any shares (or equivalent) of any class of Equity Interests of the Borrower or any of its Subsidiaries, now or hereafter outstanding, (b) any redemption, retirement, sinking fund or similar payment, purchase or other acquisition for value, direct or indirect, of any shares (or equivalent) of any class of Equity Interests of the Borrower or any of its Subsidiaries, now or hereafter outstanding, (c) any payment made to retire, or to obtain the surrender of, any outstanding warrants, options or other rights to acquire shares of any class of Equity Interests of any Loan Party or any of its Subsidiaries, now or hereafter outstanding and (d) any payment with respect to any Contingent Acquisition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Revolving Borrowing</w:t>
      </w:r>
      <w:r>
        <w:rPr>
          <w:rFonts w:ascii="Times New Roman;Times;Serif" w:hAnsi="Times New Roman;Times;Serif"/>
          <w:b w:val="false"/>
          <w:i w:val="false"/>
          <w:caps w:val="false"/>
          <w:smallCaps w:val="false"/>
          <w:sz w:val="20"/>
        </w:rPr>
        <w:t xml:space="preserve">” means a borrowing consisting of simultaneous Revolving Loans of the same Type and, in the case of Term SOFR Loans having the same Interest Period made by each of the Revolving Lenders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Revolving Commitment</w:t>
      </w:r>
      <w:r>
        <w:rPr>
          <w:rFonts w:ascii="Times New Roman;Times;Serif" w:hAnsi="Times New Roman;Times;Serif"/>
          <w:b w:val="false"/>
          <w:i w:val="false"/>
          <w:caps w:val="false"/>
          <w:smallCaps w:val="false"/>
          <w:sz w:val="20"/>
        </w:rPr>
        <w:t xml:space="preserve">” means, as to each Revolving Lender, its obligation to (a) make Revolving Loans to the Borrower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(b) purchase participations in L/C Obligations, and (c) purchase participations in Swingline Loans, in an aggregate principal amount at any one time outstanding not to exceed the amount set forth opposite such Lender’s name on </w:t>
      </w:r>
      <w:r>
        <w:rPr>
          <w:rFonts w:ascii="Times New Roman;Times;Serif" w:hAnsi="Times New Roman;Times;Serif"/>
          <w:b w:val="false"/>
          <w:i w:val="false"/>
          <w:caps w:val="false"/>
          <w:smallCaps w:val="false"/>
          <w:sz w:val="20"/>
          <w:u w:val="single"/>
        </w:rPr>
        <w:t>Schedule 1.01(b</w:t>
      </w:r>
      <w:r>
        <w:rPr>
          <w:rFonts w:ascii="Times New Roman;Times;Serif" w:hAnsi="Times New Roman;Times;Serif"/>
          <w:b w:val="false"/>
          <w:i w:val="false"/>
          <w:caps w:val="false"/>
          <w:smallCaps w:val="false"/>
          <w:sz w:val="20"/>
        </w:rPr>
        <w:t>) under the caption “Revolving Commitment” or opposite such caption in the Assignment and Assumption pursuant to which such Lender becomes a party hereto, as applicable, as such amount may be adjusted from time to time in accordance with this Agreement. The Revolving Commitment of all of the Revolving Lenders on the Closing Date shall be $10,000,000.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Revolving Exposure</w:t>
      </w:r>
      <w:r>
        <w:rPr>
          <w:rFonts w:ascii="Times New Roman;Times;Serif" w:hAnsi="Times New Roman;Times;Serif"/>
          <w:b w:val="false"/>
          <w:i w:val="false"/>
          <w:caps w:val="false"/>
          <w:smallCaps w:val="false"/>
          <w:sz w:val="20"/>
        </w:rPr>
        <w:t>” means, as to any Lender at any time, the aggregate principal amount at such time of its outstanding Revolving Loans and such Lender’s participation in L/C Obligations and Swingline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Revolving Facility</w:t>
      </w:r>
      <w:r>
        <w:rPr>
          <w:rFonts w:ascii="Times New Roman;Times;Serif" w:hAnsi="Times New Roman;Times;Serif"/>
          <w:b w:val="false"/>
          <w:i w:val="false"/>
          <w:caps w:val="false"/>
          <w:smallCaps w:val="false"/>
          <w:sz w:val="20"/>
        </w:rPr>
        <w:t>” means, at any time, the aggregate amount of the Revolving Lenders’ Revolving Commitments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Revolving Lender</w:t>
      </w:r>
      <w:r>
        <w:rPr>
          <w:rFonts w:ascii="Times New Roman;Times;Serif" w:hAnsi="Times New Roman;Times;Serif"/>
          <w:b w:val="false"/>
          <w:i w:val="false"/>
          <w:caps w:val="false"/>
          <w:smallCaps w:val="false"/>
          <w:sz w:val="20"/>
        </w:rPr>
        <w:t>” means, at any time, (a) so long as any Revolving Commitment is in effect, any Lender that has a Revolving Commitment at such time or (b) if the Revolving Commitments have terminated or expired, any Lender that has a Revolving Loan or a participation in L/C Obligations or Swingline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Revolving Loan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Revolving Note</w:t>
      </w:r>
      <w:r>
        <w:rPr>
          <w:rFonts w:ascii="Times New Roman;Times;Serif" w:hAnsi="Times New Roman;Times;Serif"/>
          <w:b w:val="false"/>
          <w:i w:val="false"/>
          <w:caps w:val="false"/>
          <w:smallCaps w:val="false"/>
          <w:sz w:val="20"/>
        </w:rPr>
        <w:t xml:space="preserve">” means a promissory note made by the Borrower in favor of a Revolving Lender evidencing Revolving Loans or Swingline Loans, as the case may be, made by such Revolving Lender,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S&amp;P</w:t>
      </w:r>
      <w:r>
        <w:rPr>
          <w:rFonts w:ascii="Times New Roman;Times;Serif" w:hAnsi="Times New Roman;Times;Serif"/>
          <w:b w:val="false"/>
          <w:i w:val="false"/>
          <w:caps w:val="false"/>
          <w:smallCaps w:val="false"/>
          <w:sz w:val="20"/>
        </w:rPr>
        <w:t>” means Standard &amp; Poor’s Financial Services LLC, a subsidiary of S&amp;P Global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Sale and Leaseback Transaction</w:t>
      </w:r>
      <w:r>
        <w:rPr>
          <w:rFonts w:ascii="Times New Roman;Times;Serif" w:hAnsi="Times New Roman;Times;Serif"/>
          <w:b w:val="false"/>
          <w:i w:val="false"/>
          <w:caps w:val="false"/>
          <w:smallCaps w:val="false"/>
          <w:sz w:val="20"/>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Sanction</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means any sanction administered or enforced by the United States Government (including, without limitation, OFAC), the United Nations Security Council, the Hong Kong Monetary Authority, the European Union, His Majesty’s Treasury (“</w:t>
      </w:r>
      <w:r>
        <w:rPr>
          <w:rFonts w:ascii="Times New Roman;Times;Serif" w:hAnsi="Times New Roman;Times;Serif"/>
          <w:b w:val="false"/>
          <w:i/>
          <w:caps w:val="false"/>
          <w:smallCaps w:val="false"/>
          <w:sz w:val="20"/>
          <w:u w:val="single"/>
        </w:rPr>
        <w:t>HMT</w:t>
      </w:r>
      <w:r>
        <w:rPr>
          <w:rFonts w:ascii="Times New Roman;Times;Serif" w:hAnsi="Times New Roman;Times;Serif"/>
          <w:b w:val="false"/>
          <w:i w:val="false"/>
          <w:caps w:val="false"/>
          <w:smallCaps w:val="false"/>
          <w:sz w:val="20"/>
        </w:rPr>
        <w:t>”), or other relevant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 or any Governmental Authority succeeding to any of its principal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Secured Cash Management Agreement</w:t>
      </w:r>
      <w:r>
        <w:rPr>
          <w:rFonts w:ascii="Times New Roman;Times;Serif" w:hAnsi="Times New Roman;Times;Serif"/>
          <w:b w:val="false"/>
          <w:i w:val="false"/>
          <w:caps w:val="false"/>
          <w:smallCaps w:val="false"/>
          <w:sz w:val="20"/>
        </w:rPr>
        <w:t>” means any Cash Management Agreement between the any Loan Party and any of its Subsidiaries and any Cash Management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Secured Hedge Agreement</w:t>
      </w:r>
      <w:r>
        <w:rPr>
          <w:rFonts w:ascii="Times New Roman;Times;Serif" w:hAnsi="Times New Roman;Times;Serif"/>
          <w:b w:val="false"/>
          <w:i w:val="false"/>
          <w:caps w:val="false"/>
          <w:smallCaps w:val="false"/>
          <w:sz w:val="20"/>
        </w:rPr>
        <w:t xml:space="preserve">” means any interest rate, currency, foreign exchange, or commodity Swap Contract required by or not prohibited under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between any Loan Party and any of its Subsidiaries and any Hedge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Secured Obligations</w:t>
      </w:r>
      <w:r>
        <w:rPr>
          <w:rFonts w:ascii="Times New Roman;Times;Serif" w:hAnsi="Times New Roman;Times;Serif"/>
          <w:b w:val="false"/>
          <w:i w:val="false"/>
          <w:caps w:val="false"/>
          <w:smallCaps w:val="false"/>
          <w:sz w:val="20"/>
        </w:rPr>
        <w:t>” means all Obligations and all Additional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Secured Parties</w:t>
      </w:r>
      <w:r>
        <w:rPr>
          <w:rFonts w:ascii="Times New Roman;Times;Serif" w:hAnsi="Times New Roman;Times;Serif"/>
          <w:b w:val="false"/>
          <w:i w:val="false"/>
          <w:caps w:val="false"/>
          <w:smallCaps w:val="false"/>
          <w:sz w:val="20"/>
        </w:rPr>
        <w:t xml:space="preserve">” means, collectively, the Administrative Agent, the Lenders, the L/C Issuer, the Hedge Banks, the Cash Management Banks, the Indemnitees and each co-agent or sub-agent appointed by the Administrative Agent from time to time pursuant to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Secured Party Designation Notice</w:t>
      </w:r>
      <w:r>
        <w:rPr>
          <w:rFonts w:ascii="Times New Roman;Times;Serif" w:hAnsi="Times New Roman;Times;Serif"/>
          <w:b w:val="false"/>
          <w:i w:val="false"/>
          <w:caps w:val="false"/>
          <w:smallCaps w:val="false"/>
          <w:sz w:val="20"/>
        </w:rPr>
        <w:t xml:space="preserve">” means a notice from any Lender or an Affiliate of a Lender substantially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including all amendments thereto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Security Agreement</w:t>
      </w:r>
      <w:r>
        <w:rPr>
          <w:rFonts w:ascii="Times New Roman;Times;Serif" w:hAnsi="Times New Roman;Times;Serif"/>
          <w:b w:val="false"/>
          <w:i w:val="false"/>
          <w:caps w:val="false"/>
          <w:smallCaps w:val="false"/>
          <w:sz w:val="20"/>
        </w:rPr>
        <w:t>” means the security and pledge agreement, dated as of the Closing Date, executed in favor of the Administrative Agent by each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Shareholders</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caps w:val="false"/>
          <w:smallCaps w:val="false"/>
          <w:sz w:val="20"/>
          <w:u w:val="single"/>
        </w:rPr>
        <w:t>Equity</w:t>
      </w:r>
      <w:r>
        <w:rPr>
          <w:rFonts w:ascii="Times New Roman;Times;Serif" w:hAnsi="Times New Roman;Times;Serif"/>
          <w:b w:val="false"/>
          <w:i w:val="false"/>
          <w:caps w:val="false"/>
          <w:smallCaps w:val="false"/>
          <w:sz w:val="20"/>
        </w:rPr>
        <w:t>” means, as of any date of determination, consolidated shareholders’ equity of the Borrower and its Subsidiaries as of such date,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SOFR</w:t>
      </w:r>
      <w:r>
        <w:rPr>
          <w:rFonts w:ascii="Times New Roman;Times;Serif" w:hAnsi="Times New Roman;Times;Serif"/>
          <w:b w:val="false"/>
          <w:i w:val="false"/>
          <w:caps w:val="false"/>
          <w:smallCaps w:val="false"/>
          <w:sz w:val="20"/>
        </w:rPr>
        <w:t>” means the Secured Overnight Financing Rate as administered by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SOFR Administrator</w:t>
      </w:r>
      <w:r>
        <w:rPr>
          <w:rFonts w:ascii="Times New Roman;Times;Serif" w:hAnsi="Times New Roman;Times;Serif"/>
          <w:b w:val="false"/>
          <w:i w:val="false"/>
          <w:caps w:val="false"/>
          <w:smallCaps w:val="false"/>
          <w:sz w:val="20"/>
        </w:rPr>
        <w:t>” means the Federal Reserve Bank of New York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D0D0D"/>
        </w:rPr>
      </w:pPr>
      <w:r>
        <w:rPr>
          <w:caps w:val="false"/>
          <w:smallCaps w:val="false"/>
          <w:color w:val="0D0D0D"/>
        </w:rPr>
        <w:t>“</w:t>
      </w:r>
      <w:r>
        <w:rPr>
          <w:rFonts w:ascii="Times New Roman;Times;Serif" w:hAnsi="Times New Roman;Times;Serif"/>
          <w:b w:val="false"/>
          <w:i/>
          <w:caps w:val="false"/>
          <w:smallCaps w:val="false"/>
          <w:color w:val="0D0D0D"/>
          <w:sz w:val="20"/>
          <w:u w:val="single"/>
        </w:rPr>
        <w:t>SOFR Scheduled Unavailability Date</w:t>
      </w:r>
      <w:r>
        <w:rPr>
          <w:rFonts w:ascii="Times New Roman;Times;Serif" w:hAnsi="Times New Roman;Times;Serif"/>
          <w:b w:val="false"/>
          <w:i w:val="false"/>
          <w:caps w:val="false"/>
          <w:smallCaps w:val="false"/>
          <w:color w:val="0D0D0D"/>
          <w:sz w:val="20"/>
        </w:rPr>
        <w:t xml:space="preserve">” has the meaning specified in </w:t>
      </w:r>
      <w:r>
        <w:rPr>
          <w:rFonts w:ascii="Times New Roman;Times;Serif" w:hAnsi="Times New Roman;Times;Serif"/>
          <w:b w:val="false"/>
          <w:i w:val="false"/>
          <w:caps w:val="false"/>
          <w:smallCaps w:val="false"/>
          <w:color w:val="0D0D0D"/>
          <w:sz w:val="20"/>
          <w:u w:val="single"/>
        </w:rPr>
        <w:t>Section 3.03(b)(ii)</w:t>
      </w:r>
      <w:r>
        <w:rPr>
          <w:rFonts w:ascii="Times New Roman;Times;Serif" w:hAnsi="Times New Roman;Times;Serif"/>
          <w:b w:val="false"/>
          <w:i w:val="false"/>
          <w:caps w:val="false"/>
          <w:smallCaps w:val="false"/>
          <w:color w:val="0D0D0D"/>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Solvency Certificate</w:t>
      </w:r>
      <w:r>
        <w:rPr>
          <w:rFonts w:ascii="Times New Roman;Times;Serif" w:hAnsi="Times New Roman;Times;Serif"/>
          <w:b w:val="false"/>
          <w:i w:val="false"/>
          <w:caps w:val="false"/>
          <w:smallCaps w:val="false"/>
          <w:sz w:val="20"/>
        </w:rPr>
        <w:t xml:space="preserve">” means a solvency certificate in substantially in the form of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Solvent</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u w:val="single"/>
        </w:rPr>
        <w:t>Solvency</w:t>
      </w:r>
      <w:r>
        <w:rPr>
          <w:rFonts w:ascii="Times New Roman;Times;Serif" w:hAnsi="Times New Roman;Times;Serif"/>
          <w:b w:val="false"/>
          <w:i w:val="false"/>
          <w:caps w:val="false"/>
          <w:smallCaps w:val="false"/>
          <w:sz w:val="20"/>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Specified Laws</w:t>
      </w:r>
      <w:r>
        <w:rPr>
          <w:rFonts w:ascii="Times New Roman;Times;Serif" w:hAnsi="Times New Roman;Times;Serif"/>
          <w:b w:val="false"/>
          <w:i w:val="false"/>
          <w:caps w:val="false"/>
          <w:smallCaps w:val="false"/>
          <w:sz w:val="20"/>
        </w:rPr>
        <w:t>” means, collectively, (a) F.I.C.A.; (b) F.U.T.A.; (c) all applicable Laws regarding money transmission, payroll processing, payment processing, and other financial services; (d) all consumer protection statutes, including the Dodd-Frank Wall Street Reform and Consumer Protection Act, 12 U.S.C. 5301 et seq., including but not limited to any prohibitions for deceptive, unfair, and abusive acts and practices, as well as all enumerated statutes under the Dodd-Frank Wall Street Reform and Consumer Protection Act; (e) the Health Insurance Portability and Accountability Act of 1996; (f) all applicable Laws related to the licensing, permitting, or other authorizing of financial products or services; (g) Anti-Terrorism Laws; (h) all applicable Data Privacy and Cybersecurity Laws; and (i) any state or local analogues to such laws, together with, in each case, all regulations issued by any applicable Governmental Authority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Specified Loan Party</w:t>
      </w:r>
      <w:r>
        <w:rPr>
          <w:rFonts w:ascii="Times New Roman;Times;Serif" w:hAnsi="Times New Roman;Times;Serif"/>
          <w:b w:val="false"/>
          <w:i w:val="false"/>
          <w:caps w:val="false"/>
          <w:smallCaps w:val="false"/>
          <w:sz w:val="20"/>
        </w:rPr>
        <w:t xml:space="preserve">” means any Loan Party that is not then an “eligible contract participant” under the Commodity Exchange Act (determined prior to giving effect to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Specified Permitted Acquisition</w:t>
      </w:r>
      <w:r>
        <w:rPr>
          <w:rFonts w:ascii="Times New Roman;Times;Serif" w:hAnsi="Times New Roman;Times;Serif"/>
          <w:b w:val="false"/>
          <w:i w:val="false"/>
          <w:caps w:val="false"/>
          <w:smallCaps w:val="false"/>
          <w:sz w:val="20"/>
        </w:rPr>
        <w:t>” means a Permitted Acquisition, the total consideration (including maximum potential total amount of all deferred payment obligations (including earn-outs) and Indebtedness assumed or incurred) for which equals or exceeds $75,000,000.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Subordinated Debt</w:t>
      </w:r>
      <w:r>
        <w:rPr>
          <w:rFonts w:ascii="Times New Roman;Times;Serif" w:hAnsi="Times New Roman;Times;Serif"/>
          <w:b w:val="false"/>
          <w:i w:val="false"/>
          <w:caps w:val="false"/>
          <w:smallCaps w:val="false"/>
          <w:sz w:val="20"/>
        </w:rPr>
        <w:t>” means any Indebtedness of Loan Parties incurred pursuant to (a) Subordinated Existing Holdover Notes Documents so long as such Indebtedness remains unsecured,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guaranteed and subordinated to the Liens granted in favor of Administrative Agent and the Lenders securing the Secured Obligations and all payments in respect of such Indebtedness remains subordinated to the payment in full of the Secured Obligations pursuant to a subordination agreement or subordination provisions in the applicable Subordinated Existing Holdover Notes of which Administrative Agent is an express third party beneficiary, which subordination provisions are in form and substances reasonably satisfactory to Administrative Agent, (b) Subordinated Unsecured Seller Notes Documents so long as such Debt remains unsecured, not guaranteed and subordinated to the Liens granted in favor of Administrative Agent and the Lenders securing the Obligations and all payments in respect of such Indebtedness remains subordinated to the payment in full of the Obligations pursuant to a subordination agreement or subordination provisions in the applicable Subordinated Unsecured Seller Notes Documents of which Administrative Agent is an express third party beneficiary, which subordination provisions are in form and substances reasonably satisfactory to Administrative Agent and (c) the terms of the other Subordinated Debt Documents and with the prior written consent of Administrative Agent, all of which documents must be in form and substance acceptable to Administrative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Subordinated Debt Documents</w:t>
      </w:r>
      <w:r>
        <w:rPr>
          <w:rFonts w:ascii="Times New Roman;Times;Serif" w:hAnsi="Times New Roman;Times;Serif"/>
          <w:b w:val="false"/>
          <w:i w:val="false"/>
          <w:caps w:val="false"/>
          <w:smallCaps w:val="false"/>
          <w:sz w:val="20"/>
        </w:rPr>
        <w:t>” means each of (a) the Subordinated Existing Holdover Notes Documents, (b) the Subordinated Unsecured Seller Notes Documents and (c) any other documents evidencing and/or securing Indebtedness governed by a Subordination Agreement, all of which documents must be in form and substance acceptable to Administrative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Subordinated Existing Holdover Notes</w:t>
      </w:r>
      <w:r>
        <w:rPr>
          <w:rFonts w:ascii="Times New Roman;Times;Serif" w:hAnsi="Times New Roman;Times;Serif"/>
          <w:b w:val="false"/>
          <w:i w:val="false"/>
          <w:caps w:val="false"/>
          <w:smallCaps w:val="false"/>
          <w:sz w:val="20"/>
        </w:rPr>
        <w:t xml:space="preserve">” means those certain subordinated unsecured promissory notes identified on </w:t>
      </w:r>
      <w:r>
        <w:rPr>
          <w:rFonts w:ascii="Times New Roman;Times;Serif" w:hAnsi="Times New Roman;Times;Serif"/>
          <w:b w:val="false"/>
          <w:i w:val="false"/>
          <w:caps w:val="false"/>
          <w:smallCaps w:val="false"/>
          <w:sz w:val="20"/>
          <w:u w:val="single"/>
        </w:rPr>
        <w:t>Schedule 1.01(e)</w:t>
      </w:r>
      <w:r>
        <w:rPr>
          <w:rFonts w:ascii="Times New Roman;Times;Serif" w:hAnsi="Times New Roman;Times;Serif"/>
          <w:b w:val="false"/>
          <w:i w:val="false"/>
          <w:caps w:val="false"/>
          <w:smallCaps w:val="false"/>
          <w:sz w:val="20"/>
        </w:rPr>
        <w:t> (in each case as amended, restated, supplemented or otherwise modified from time to time prior to the date hereof or after the date hereof in accordance with the terms of such Subordinated Existing Holdover Note and not in violation of this Agreement or any other financing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Subordinated Existing Holdover Notes Documents</w:t>
      </w:r>
      <w:r>
        <w:rPr>
          <w:rFonts w:ascii="Times New Roman;Times;Serif" w:hAnsi="Times New Roman;Times;Serif"/>
          <w:b w:val="false"/>
          <w:i w:val="false"/>
          <w:caps w:val="false"/>
          <w:smallCaps w:val="false"/>
          <w:sz w:val="20"/>
        </w:rPr>
        <w:t>” means (a) the Subordinated Existing Holdover Notes and (b) each other document or instrument executed by any Loan Party or Subsidiary thereof in respect of the Subordinated Existing Holdover Notes or the obligation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Subordinated Unsecured Seller Notes</w:t>
      </w:r>
      <w:r>
        <w:rPr>
          <w:rFonts w:ascii="Times New Roman;Times;Serif" w:hAnsi="Times New Roman;Times;Serif"/>
          <w:b w:val="false"/>
          <w:i w:val="false"/>
          <w:caps w:val="false"/>
          <w:smallCaps w:val="false"/>
          <w:sz w:val="20"/>
        </w:rPr>
        <w:t>” means each unsecured subordinated promissory note issued by a Loan Party to a seller in connection with a Permitted Acquisition and such promissory note is either (a) in the form of Subordinated Existing Holdover Notes or (b) in form and substance acceptable to the Administrative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Subordinated Unsecured Seller Notes Documents</w:t>
      </w:r>
      <w:r>
        <w:rPr>
          <w:rFonts w:ascii="Times New Roman;Times;Serif" w:hAnsi="Times New Roman;Times;Serif"/>
          <w:b w:val="false"/>
          <w:i w:val="false"/>
          <w:caps w:val="false"/>
          <w:smallCaps w:val="false"/>
          <w:sz w:val="20"/>
        </w:rPr>
        <w:t>” means (a) the Subordinated Unsecured Seller Notes and (b) each other document or instrument executed by any Loan Party or Subsidiary thereof in respect of the Subordinated Unsecured Seller Notes or the obligation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Subordination Agreement</w:t>
      </w:r>
      <w:r>
        <w:rPr>
          <w:rFonts w:ascii="Times New Roman;Times;Serif" w:hAnsi="Times New Roman;Times;Serif"/>
          <w:b w:val="false"/>
          <w:i w:val="false"/>
          <w:caps w:val="false"/>
          <w:smallCaps w:val="false"/>
          <w:sz w:val="20"/>
        </w:rPr>
        <w:t>” means each agreement between Administrative Agent and another creditor of Loan Parties, as the same may be amended, supplemented, restated or otherwise modified from time to time in accordance with the terms thereof, pursuant to which the Indebtedness owing from any Loan Party and/or the Liens securing such Indebtedness granted by any Loan Party to such creditor are subordinated in any way to the Secured Obligations and the Liens created under the Collateral Documents, the terms and provisions of such Subordination Agreements to have been agreed to by and be acceptable to Administrative Agent in the exercise of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Subsidiary</w:t>
      </w:r>
      <w:r>
        <w:rPr>
          <w:rFonts w:ascii="Times New Roman;Times;Serif" w:hAnsi="Times New Roman;Times;Serif"/>
          <w:b w:val="false"/>
          <w:i w:val="false"/>
          <w:caps w:val="false"/>
          <w:smallCaps w:val="false"/>
          <w:sz w:val="20"/>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intermediaries, or both, by such Person. Unless otherwise specified, all references herein to a “Subsidiary” or to “Subsidiaries” shall refer to a Subsidiary or Subsidiaries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Successor Rate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has the meaning specified in </w:t>
      </w:r>
      <w:r>
        <w:rPr>
          <w:rFonts w:ascii="Times New Roman;Times;Serif" w:hAnsi="Times New Roman;Times;Serif"/>
          <w:b w:val="false"/>
          <w:i w:val="false"/>
          <w:caps w:val="false"/>
          <w:smallCaps w:val="false"/>
          <w:sz w:val="20"/>
          <w:u w:val="single"/>
        </w:rPr>
        <w:t>Section 3.03(b)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Supported QFC</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Swap Contract</w:t>
      </w:r>
      <w:r>
        <w:rPr>
          <w:rFonts w:ascii="Times New Roman;Times;Serif" w:hAnsi="Times New Roman;Times;Serif"/>
          <w:b w:val="false"/>
          <w:i w:val="false"/>
          <w:caps w:val="false"/>
          <w:smallCaps w:val="false"/>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Times;Serif" w:hAnsi="Times New Roman;Times;Serif"/>
          <w:b w:val="false"/>
          <w:i/>
          <w:caps w:val="false"/>
          <w:smallCaps w:val="false"/>
          <w:sz w:val="20"/>
          <w:u w:val="single"/>
        </w:rPr>
        <w:t>Master Agreement</w:t>
      </w:r>
      <w:r>
        <w:rPr>
          <w:rFonts w:ascii="Times New Roman;Times;Serif" w:hAnsi="Times New Roman;Times;Serif"/>
          <w:b w:val="false"/>
          <w:i w:val="false"/>
          <w:caps w:val="false"/>
          <w:smallCaps w:val="false"/>
          <w:sz w:val="20"/>
        </w:rPr>
        <w:t>”), including any such obligations or liabilities under any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Swap Obligations</w:t>
      </w:r>
      <w:r>
        <w:rPr>
          <w:rFonts w:ascii="Times New Roman;Times;Serif" w:hAnsi="Times New Roman;Times;Serif"/>
          <w:b w:val="false"/>
          <w:i w:val="false"/>
          <w:caps w:val="false"/>
          <w:smallCaps w:val="false"/>
          <w:sz w:val="20"/>
        </w:rPr>
        <w:t>” means with respect to any Guarantor any obligation to pay or perform under any agreement, contract or transaction that constitutes a “swap” within the meaning of Section 1a(47)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Swap Termination Value</w:t>
      </w:r>
      <w:r>
        <w:rPr>
          <w:rFonts w:ascii="Times New Roman;Times;Serif" w:hAnsi="Times New Roman;Times;Serif"/>
          <w:b w:val="false"/>
          <w:i w:val="false"/>
          <w:caps w:val="false"/>
          <w:smallCaps w:val="false"/>
          <w:sz w:val="20"/>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the amount(s) determined as the mark-to-market value(s) for such Swap Contracts, as determined in good faith by the Borrower in accordance with the terms thereof based upon one or more mid-market or other readily available quotations provided by any recognized dealer in such Swap Contracts (which may include a Lender or any Affiliate of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Swingline Borrowing</w:t>
      </w:r>
      <w:r>
        <w:rPr>
          <w:rFonts w:ascii="Times New Roman;Times;Serif" w:hAnsi="Times New Roman;Times;Serif"/>
          <w:b w:val="false"/>
          <w:i w:val="false"/>
          <w:caps w:val="false"/>
          <w:smallCaps w:val="false"/>
          <w:sz w:val="20"/>
        </w:rPr>
        <w:t xml:space="preserve">” means a borrowing of a Swingline Loan pursuant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Swingline Lender</w:t>
      </w:r>
      <w:r>
        <w:rPr>
          <w:rFonts w:ascii="Times New Roman;Times;Serif" w:hAnsi="Times New Roman;Times;Serif"/>
          <w:b w:val="false"/>
          <w:i w:val="false"/>
          <w:caps w:val="false"/>
          <w:smallCaps w:val="false"/>
          <w:sz w:val="20"/>
        </w:rPr>
        <w:t>” means MUFG, in its capacity as provider of Swingline Loans, or any successor swingline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Swingline Loan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Swingline Loan Notice</w:t>
      </w:r>
      <w:r>
        <w:rPr>
          <w:rFonts w:ascii="Times New Roman;Times;Serif" w:hAnsi="Times New Roman;Times;Serif"/>
          <w:b w:val="false"/>
          <w:i w:val="false"/>
          <w:caps w:val="false"/>
          <w:smallCaps w:val="false"/>
          <w:sz w:val="20"/>
        </w:rPr>
        <w:t xml:space="preserve">” means a notice of a Swingline Borrowing pursuant to </w:t>
      </w:r>
      <w:r>
        <w:rPr>
          <w:rFonts w:ascii="Times New Roman;Times;Serif" w:hAnsi="Times New Roman;Times;Serif"/>
          <w:b w:val="false"/>
          <w:i w:val="false"/>
          <w:caps w:val="false"/>
          <w:smallCaps w:val="false"/>
          <w:sz w:val="20"/>
          <w:u w:val="single"/>
        </w:rPr>
        <w:t>Section 2.04(b</w:t>
      </w:r>
      <w:r>
        <w:rPr>
          <w:rFonts w:ascii="Times New Roman;Times;Serif" w:hAnsi="Times New Roman;Times;Serif"/>
          <w:b w:val="false"/>
          <w:i w:val="false"/>
          <w:caps w:val="false"/>
          <w:smallCaps w:val="false"/>
          <w:sz w:val="20"/>
        </w:rPr>
        <w:t xml:space="preserve">), which shall be substantially in the form of </w:t>
      </w:r>
      <w:r>
        <w:rPr>
          <w:rFonts w:ascii="Times New Roman;Times;Serif" w:hAnsi="Times New Roman;Times;Serif"/>
          <w:b w:val="false"/>
          <w:i w:val="false"/>
          <w:caps w:val="false"/>
          <w:smallCaps w:val="false"/>
          <w:sz w:val="20"/>
          <w:u w:val="single"/>
        </w:rPr>
        <w:t>Exhibit J</w:t>
      </w:r>
      <w:r>
        <w:rPr>
          <w:rFonts w:ascii="Times New Roman;Times;Serif" w:hAnsi="Times New Roman;Times;Serif"/>
          <w:b w:val="false"/>
          <w:i w:val="false"/>
          <w:caps w:val="false"/>
          <w:smallCaps w:val="false"/>
          <w:sz w:val="20"/>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Swingline Sublimit</w:t>
      </w:r>
      <w:r>
        <w:rPr>
          <w:rFonts w:ascii="Times New Roman;Times;Serif" w:hAnsi="Times New Roman;Times;Serif"/>
          <w:b w:val="false"/>
          <w:i w:val="false"/>
          <w:caps w:val="false"/>
          <w:smallCaps w:val="false"/>
          <w:sz w:val="20"/>
        </w:rPr>
        <w:t>” means an amount equal to the lesser of (a) $5,000,000 and (b) the Revolving Facility. The Swingline Sublimit is part of, and not in addition to, the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Synthetic Debt</w:t>
      </w:r>
      <w:r>
        <w:rPr>
          <w:rFonts w:ascii="Times New Roman;Times;Serif" w:hAnsi="Times New Roman;Times;Serif"/>
          <w:b w:val="false"/>
          <w:i w:val="false"/>
          <w:caps w:val="false"/>
          <w:smallCaps w:val="false"/>
          <w:sz w:val="20"/>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“Indebtedness” or as a liability on the Consolidated balance sheet of such Person and its Subsidiaries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Synthetic Lease Obligation</w:t>
      </w:r>
      <w:r>
        <w:rPr>
          <w:rFonts w:ascii="Times New Roman;Times;Serif" w:hAnsi="Times New Roman;Times;Serif"/>
          <w:b w:val="false"/>
          <w:i w:val="false"/>
          <w:caps w:val="false"/>
          <w:smallCaps w:val="false"/>
          <w:sz w:val="20"/>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Target</w:t>
      </w:r>
      <w:r>
        <w:rPr>
          <w:rFonts w:ascii="Times New Roman;Times;Serif" w:hAnsi="Times New Roman;Times;Serif"/>
          <w:b w:val="false"/>
          <w:i w:val="false"/>
          <w:caps w:val="false"/>
          <w:smallCaps w:val="false"/>
          <w:sz w:val="20"/>
        </w:rPr>
        <w:t>” has the meaning set forth in the definition of “Permitted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A Borrowing</w:t>
      </w:r>
      <w:r>
        <w:rPr>
          <w:rFonts w:ascii="Times New Roman;Times;Serif" w:hAnsi="Times New Roman;Times;Serif"/>
          <w:b w:val="false"/>
          <w:i w:val="false"/>
          <w:caps w:val="false"/>
          <w:smallCaps w:val="false"/>
          <w:sz w:val="20"/>
        </w:rPr>
        <w:t xml:space="preserve">” means a borrowing consisting of simultaneous Term A Loans of the same Type and, in the case of Term SOFR Loans, having the same Interest Period made by each of the Term A Lenders pursuant to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A Commitment</w:t>
      </w:r>
      <w:r>
        <w:rPr>
          <w:rFonts w:ascii="Times New Roman;Times;Serif" w:hAnsi="Times New Roman;Times;Serif"/>
          <w:b w:val="false"/>
          <w:i w:val="false"/>
          <w:caps w:val="false"/>
          <w:smallCaps w:val="false"/>
          <w:sz w:val="20"/>
        </w:rPr>
        <w:t xml:space="preserve">” means, as to each Term A Lender, its obligation to make Term A Loans to the Borrower pursuant to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xml:space="preserve">) in an aggregate principal amount at any one time outstanding not to exceed the amount set forth opposite such Term A Lender’s name on </w:t>
      </w:r>
      <w:r>
        <w:rPr>
          <w:rFonts w:ascii="Times New Roman;Times;Serif" w:hAnsi="Times New Roman;Times;Serif"/>
          <w:b w:val="false"/>
          <w:i w:val="false"/>
          <w:caps w:val="false"/>
          <w:smallCaps w:val="false"/>
          <w:sz w:val="20"/>
          <w:u w:val="single"/>
        </w:rPr>
        <w:t>Schedule 1.01(b)</w:t>
      </w:r>
      <w:r>
        <w:rPr>
          <w:rFonts w:ascii="Times New Roman;Times;Serif" w:hAnsi="Times New Roman;Times;Serif"/>
          <w:b w:val="false"/>
          <w:i w:val="false"/>
          <w:caps w:val="false"/>
          <w:smallCaps w:val="false"/>
          <w:sz w:val="20"/>
        </w:rPr>
        <w:t> under the caption “Term A Commitment” or opposite such caption in the Assignment and Assumption pursuant to which such Term A Lender becomes a party hereto, as applicable, as such amount may be adjusted from time to time in accordance with this Agreement. The Term A Commitment of all of the Term A Lenders on the Closing Date shall be $85,000,000.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A Facility</w:t>
      </w:r>
      <w:r>
        <w:rPr>
          <w:rFonts w:ascii="Times New Roman;Times;Serif" w:hAnsi="Times New Roman;Times;Serif"/>
          <w:b w:val="false"/>
          <w:i w:val="false"/>
          <w:caps w:val="false"/>
          <w:smallCaps w:val="false"/>
          <w:sz w:val="20"/>
        </w:rPr>
        <w:t>” means, at any time, (a) on or prior to the Closing Date, the aggregate amount of the Term A Commitments at such time and (b) thereafter, the aggregate principal amount of the Term A Loans of all Term A Lenders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A Lender</w:t>
      </w:r>
      <w:r>
        <w:rPr>
          <w:rFonts w:ascii="Times New Roman;Times;Serif" w:hAnsi="Times New Roman;Times;Serif"/>
          <w:b w:val="false"/>
          <w:i w:val="false"/>
          <w:caps w:val="false"/>
          <w:smallCaps w:val="false"/>
          <w:sz w:val="20"/>
        </w:rPr>
        <w:t>” means (a) at any time on or prior to the Closing Date, any Lender that has a Term A Commitment at such time and (b) at any time after the Closing Date, any Lender that holds Term A Loans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A Loan</w:t>
      </w:r>
      <w:r>
        <w:rPr>
          <w:rFonts w:ascii="Times New Roman;Times;Serif" w:hAnsi="Times New Roman;Times;Serif"/>
          <w:b w:val="false"/>
          <w:i w:val="false"/>
          <w:caps w:val="false"/>
          <w:smallCaps w:val="false"/>
          <w:sz w:val="20"/>
        </w:rPr>
        <w:t>” means an advance made by any Term A Lender under the Term A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A Note</w:t>
      </w:r>
      <w:r>
        <w:rPr>
          <w:rFonts w:ascii="Times New Roman;Times;Serif" w:hAnsi="Times New Roman;Times;Serif"/>
          <w:b w:val="false"/>
          <w:i w:val="false"/>
          <w:caps w:val="false"/>
          <w:smallCaps w:val="false"/>
          <w:sz w:val="20"/>
        </w:rPr>
        <w:t xml:space="preserve">” means a promissory note made by the Borrower in favor of a Term A Lender evidencing Term A Loans made by such Term A Lender, substantially in the form of </w:t>
      </w:r>
      <w:r>
        <w:rPr>
          <w:rFonts w:ascii="Times New Roman;Times;Serif" w:hAnsi="Times New Roman;Times;Serif"/>
          <w:b w:val="false"/>
          <w:i w:val="false"/>
          <w:caps w:val="false"/>
          <w:smallCaps w:val="false"/>
          <w:sz w:val="20"/>
          <w:u w:val="single"/>
        </w:rPr>
        <w:t>Exhibit N-1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Borrowing</w:t>
      </w:r>
      <w:r>
        <w:rPr>
          <w:rFonts w:ascii="Times New Roman;Times;Serif" w:hAnsi="Times New Roman;Times;Serif"/>
          <w:b w:val="false"/>
          <w:i w:val="false"/>
          <w:caps w:val="false"/>
          <w:smallCaps w:val="false"/>
          <w:sz w:val="20"/>
        </w:rPr>
        <w:t>” means a Term A Borrowing or a DD Term Borrowing,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Commitment</w:t>
      </w:r>
      <w:r>
        <w:rPr>
          <w:rFonts w:ascii="Times New Roman;Times;Serif" w:hAnsi="Times New Roman;Times;Serif"/>
          <w:b w:val="false"/>
          <w:i w:val="false"/>
          <w:caps w:val="false"/>
          <w:smallCaps w:val="false"/>
          <w:sz w:val="20"/>
        </w:rPr>
        <w:t>” means the Term A Commitment or the DD Term Commitment,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Facility</w:t>
      </w:r>
      <w:r>
        <w:rPr>
          <w:rFonts w:ascii="Times New Roman;Times;Serif" w:hAnsi="Times New Roman;Times;Serif"/>
          <w:b w:val="false"/>
          <w:i w:val="false"/>
          <w:caps w:val="false"/>
          <w:smallCaps w:val="false"/>
          <w:sz w:val="20"/>
        </w:rPr>
        <w:t>” means the Term A Facility or the DD Term Facility,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Lender</w:t>
      </w:r>
      <w:r>
        <w:rPr>
          <w:rFonts w:ascii="Times New Roman;Times;Serif" w:hAnsi="Times New Roman;Times;Serif"/>
          <w:b w:val="false"/>
          <w:i w:val="false"/>
          <w:caps w:val="false"/>
          <w:smallCaps w:val="false"/>
          <w:sz w:val="20"/>
        </w:rPr>
        <w:t>” means a Term A Lender or a DD Term Lender,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Loan</w:t>
      </w:r>
      <w:r>
        <w:rPr>
          <w:rFonts w:ascii="Times New Roman;Times;Serif" w:hAnsi="Times New Roman;Times;Serif"/>
          <w:b w:val="false"/>
          <w:i w:val="false"/>
          <w:caps w:val="false"/>
          <w:smallCaps w:val="false"/>
          <w:sz w:val="20"/>
        </w:rPr>
        <w:t>” means Term A Loan or a DD Term Loan,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SOFR</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Interest Period with respect to a Term SOFR Loan, the rate per annum equal to the Term SOFR Screen Rate two (2)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interest calculation with respect to a Base Rate Loan on any date, the rate per annum equal to the Term SOFR Screen Rate two (2) U.S. Government Securities Business Days prior to such date with a term of one month commencing that day; provided that if the rate is not published prior to 11:00 a.m. on such determination date then Term SOFR means the Term SOFR Screen Rate on the first U.S. Government Securities Business Day immediately prior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Term SOFR determined in accordance with either of the foregoing provisions (a) or (b) of this definition would otherwise be less than zero, the Term SOFR shall be deemed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SOFR Loan</w:t>
      </w:r>
      <w:r>
        <w:rPr>
          <w:rFonts w:ascii="Times New Roman;Times;Serif" w:hAnsi="Times New Roman;Times;Serif"/>
          <w:b w:val="false"/>
          <w:i w:val="false"/>
          <w:caps w:val="false"/>
          <w:smallCaps w:val="false"/>
          <w:sz w:val="20"/>
        </w:rPr>
        <w:t>” means a Loan that bears interest at a rate based on clause (a) of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SOFR Replacement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Term SOFR Screen Rate</w:t>
      </w:r>
      <w:r>
        <w:rPr>
          <w:rFonts w:ascii="Times New Roman;Times;Serif" w:hAnsi="Times New Roman;Times;Serif"/>
          <w:b w:val="false"/>
          <w:i w:val="false"/>
          <w:caps w:val="false"/>
          <w:smallCaps w:val="false"/>
          <w:sz w:val="20"/>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Threshold Amount</w:t>
      </w:r>
      <w:r>
        <w:rPr>
          <w:rFonts w:ascii="Times New Roman;Times;Serif" w:hAnsi="Times New Roman;Times;Serif"/>
          <w:b w:val="false"/>
          <w:i w:val="false"/>
          <w:caps w:val="false"/>
          <w:smallCaps w:val="false"/>
          <w:sz w:val="20"/>
        </w:rPr>
        <w:t>” means an amount equal to $10,000,000.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Total Credit Exposure</w:t>
      </w:r>
      <w:r>
        <w:rPr>
          <w:rFonts w:ascii="Times New Roman;Times;Serif" w:hAnsi="Times New Roman;Times;Serif"/>
          <w:b w:val="false"/>
          <w:i w:val="false"/>
          <w:caps w:val="false"/>
          <w:smallCaps w:val="false"/>
          <w:sz w:val="20"/>
        </w:rPr>
        <w:t>” means, as to any Lender at any time, the unused Commitments, Revolving Exposure and Outstanding Amount of all Term Loans of such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Total Revolving Exposure</w:t>
      </w:r>
      <w:r>
        <w:rPr>
          <w:rFonts w:ascii="Times New Roman;Times;Serif" w:hAnsi="Times New Roman;Times;Serif"/>
          <w:b w:val="false"/>
          <w:i w:val="false"/>
          <w:caps w:val="false"/>
          <w:smallCaps w:val="false"/>
          <w:sz w:val="20"/>
        </w:rPr>
        <w:t>” means, as to any Revolving Lender at any time, the unused Commitments and Revolving Exposure of such Revolving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Total Revolving Outstandings</w:t>
      </w:r>
      <w:r>
        <w:rPr>
          <w:rFonts w:ascii="Times New Roman;Times;Serif" w:hAnsi="Times New Roman;Times;Serif"/>
          <w:b w:val="false"/>
          <w:i w:val="false"/>
          <w:caps w:val="false"/>
          <w:smallCaps w:val="false"/>
          <w:sz w:val="20"/>
        </w:rPr>
        <w:t>” means, as of any date of determination, the aggregate Outstanding Amount of all Revolving Loans, Swingline Loans and L/C Obligations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Type</w:t>
      </w:r>
      <w:r>
        <w:rPr>
          <w:rFonts w:ascii="Times New Roman;Times;Serif" w:hAnsi="Times New Roman;Times;Serif"/>
          <w:b w:val="false"/>
          <w:i w:val="false"/>
          <w:caps w:val="false"/>
          <w:smallCaps w:val="false"/>
          <w:sz w:val="20"/>
        </w:rPr>
        <w:t>” means, with respect to a Loan, its character as a Base Rate Loan or a Term SOFR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UCC</w:t>
      </w:r>
      <w:r>
        <w:rPr>
          <w:rFonts w:ascii="Times New Roman;Times;Serif" w:hAnsi="Times New Roman;Times;Serif"/>
          <w:b w:val="false"/>
          <w:i w:val="false"/>
          <w:caps w:val="false"/>
          <w:smallCaps w:val="false"/>
          <w:sz w:val="20"/>
        </w:rPr>
        <w:t xml:space="preserve">” means the Uniform Commercial Code as in effect in the State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Times;Serif" w:hAnsi="Times New Roman;Times;Serif"/>
          <w:b w:val="false"/>
          <w:i/>
          <w:caps w:val="false"/>
          <w:smallCaps w:val="false"/>
          <w:sz w:val="20"/>
          <w:u w:val="single"/>
        </w:rPr>
        <w:t>UCC</w:t>
      </w:r>
      <w:r>
        <w:rPr>
          <w:rFonts w:ascii="Times New Roman;Times;Serif" w:hAnsi="Times New Roman;Times;Serif"/>
          <w:b w:val="false"/>
          <w:i w:val="false"/>
          <w:caps w:val="false"/>
          <w:smallCaps w:val="false"/>
          <w:sz w:val="20"/>
        </w:rPr>
        <w:t>” means the Uniform Commercial Code as in effect from time to time in such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for purposes of the provisions hereof relating to such perfection, effect of perfection or non-perfection or 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United States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u w:val="single"/>
        </w:rPr>
        <w:t>U</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Unreimbursed Amount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2.03(f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Unrestricted Cash</w:t>
      </w:r>
      <w:r>
        <w:rPr>
          <w:rFonts w:ascii="Times New Roman;Times;Serif" w:hAnsi="Times New Roman;Times;Serif"/>
          <w:b w:val="false"/>
          <w:i w:val="false"/>
          <w:caps w:val="false"/>
          <w:smallCaps w:val="false"/>
          <w:sz w:val="20"/>
        </w:rPr>
        <w:t>” means, as of any date of determination, the aggregate amount of cash and Cash Equivalents of the Loan Parties that (i) do not appear (and are not required to appear) as “restricted” on the consolidated balance sheet of such Loan Party (unless such appearance is related to the Liens granted to the Administrative Agent to secure the Secured Obligations), (ii) are not subject to any Lien in favor of any person other than (A) the perfected security interest of the Administrative Agent and (B) bankers’ liens arising in connection with depository relations or Securities Accounts entered into in the ordinary course of business and (iii) are otherwise generally available for use by such Loan Parties, in each case, solely to the extent any such cash and Cash Equivalents are (or would be) included on the balance sheet of such Loan Parties, in each case, as of such date of determination. For the avoidance of doubt, no amounts held in, or required to be held in, any Excluded Accounts shall be considered Unrestricted Cash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U.S. Government Securities Business Day</w:t>
      </w:r>
      <w:r>
        <w:rPr>
          <w:rFonts w:ascii="Times New Roman;Times;Serif" w:hAnsi="Times New Roman;Times;Serif"/>
          <w:b w:val="false"/>
          <w:i w:val="false"/>
          <w:caps w:val="false"/>
          <w:smallCaps w:val="false"/>
          <w:sz w:val="20"/>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U</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S</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caps w:val="false"/>
          <w:smallCaps w:val="false"/>
          <w:sz w:val="20"/>
          <w:u w:val="single"/>
        </w:rPr>
        <w:t>Loan Party</w:t>
      </w:r>
      <w:r>
        <w:rPr>
          <w:rFonts w:ascii="Times New Roman;Times;Serif" w:hAnsi="Times New Roman;Times;Serif"/>
          <w:b w:val="false"/>
          <w:i w:val="false"/>
          <w:caps w:val="false"/>
          <w:smallCaps w:val="false"/>
          <w:sz w:val="20"/>
        </w:rPr>
        <w:t>” means any Loan Party that is organized under the laws of the United States, any state thereof for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U</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S</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caps w:val="false"/>
          <w:smallCaps w:val="false"/>
          <w:sz w:val="20"/>
          <w:u w:val="single"/>
        </w:rPr>
        <w:t>Person</w:t>
      </w:r>
      <w:r>
        <w:rPr>
          <w:rFonts w:ascii="Times New Roman;Times;Serif" w:hAnsi="Times New Roman;Times;Serif"/>
          <w:b w:val="false"/>
          <w:i w:val="false"/>
          <w:caps w:val="false"/>
          <w:smallCaps w:val="false"/>
          <w:sz w:val="20"/>
        </w:rPr>
        <w:t>” means any United States citizen, lawful permanent resident, entity organized under the laws of the United States or any jurisdiction within the United States, including any foreign branch of any such entity, or any person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U.S. Special Resolution Regimes</w:t>
      </w:r>
      <w:r>
        <w:rPr>
          <w:rFonts w:ascii="Times New Roman;Times;Serif" w:hAnsi="Times New Roman;Times;Serif"/>
          <w:b w:val="false"/>
          <w:i w:val="false"/>
          <w:caps w:val="false"/>
          <w:smallCaps w:val="false"/>
          <w:sz w:val="20"/>
        </w:rPr>
        <w:t>” has the meaning specified in Section 11.21.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U</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S</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caps w:val="false"/>
          <w:smallCaps w:val="false"/>
          <w:sz w:val="20"/>
          <w:u w:val="single"/>
        </w:rPr>
        <w:t>Tax Compliance Certificate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3.01(f)(ii)(B)(3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Voting Stock</w:t>
      </w:r>
      <w:r>
        <w:rPr>
          <w:rFonts w:ascii="Times New Roman;Times;Serif" w:hAnsi="Times New Roman;Times;Serif"/>
          <w:b w:val="false"/>
          <w:i w:val="false"/>
          <w:caps w:val="false"/>
          <w:smallCaps w:val="false"/>
          <w:sz w:val="20"/>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Write</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w:t>
      </w:r>
      <w:r>
        <w:rPr>
          <w:rFonts w:ascii="Times New Roman;Times;Serif" w:hAnsi="Times New Roman;Times;Serif"/>
          <w:b/>
          <w:i w:val="false"/>
          <w:caps w:val="false"/>
          <w:smallCaps w:val="false"/>
          <w:sz w:val="20"/>
          <w:u w:val="single"/>
        </w:rPr>
        <w:t>Other Interpretive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reference to this Agreement and each other Loan Document, unless otherwise specified herein or in such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 Any and all references to “L/C Issuer” regardless of whether preceded by the term “a”, “any”, “each of”, “all”, “and/or”, or any other similar term shall be deemed to refer, as the context requires, to each and every (and/or any, one or all) parties constituting a L/C Issuer, individually and/or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headings herein and in the other Loan Documents are included for convenience of reference only and shall not affect the interpretation of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reference herein to a merger, transfer, consolidation, amalgamation, assignment, sale, disposition or transfer, or similar term, shall be deemed to apply to a division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w:t>
      </w:r>
      <w:r>
        <w:rPr>
          <w:rFonts w:ascii="Times New Roman;Times;Serif" w:hAnsi="Times New Roman;Times;Serif"/>
          <w:b/>
          <w:i w:val="false"/>
          <w:caps w:val="false"/>
          <w:smallCaps w:val="false"/>
          <w:sz w:val="20"/>
          <w:u w:val="single"/>
        </w:rPr>
        <w:t>Accounting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generally and in all material respects, with that used in preparing the Audited Financial Statements, except as otherwise specifically prescribed herein. Notwithstanding the foregoing, (a)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 and (b) any obligations of a Person that are or would have been treated as operating leases for purposes of GAAP prior to the implementation of Financial Accounting Standards Board ASU No. 2016-02, Leases (Topic 842) and any interpretations thereof (“ASU 842”) shall continue to be accounted for as operating leases for purposes of all financial definitions, calculations and covenants for purpose of this Agreement (other than for purposes of the delivery of financial statements prepared in accordance with GAAP), notwithstanding the fact that such obligations are required in accordance with ASU 842 to be treated as capitalized lease or finance lease obligations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Changes in GAAP</w:t>
      </w:r>
      <w:r>
        <w:rPr>
          <w:rFonts w:ascii="Times New Roman;Times;Serif" w:hAnsi="Times New Roman;Times;Serif"/>
          <w:b w:val="false"/>
          <w:i w:val="false"/>
          <w:caps w:val="false"/>
          <w:smallCaps w:val="false"/>
          <w:sz w:val="20"/>
        </w:rPr>
        <w:t xml:space="preserve">. If at any time any change in GAAP (or in the application thereof)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(or in the application thereof) (subject to the approval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until so amended, (i) such ratio or requirement shall continue to be computed in accordance with GAAP prior to such change therein (or in the application thereof)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(or in the application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Consolidation of Variable Interest Entities</w:t>
      </w:r>
      <w:r>
        <w:rPr>
          <w:rFonts w:ascii="Times New Roman;Times;Serif" w:hAnsi="Times New Roman;Times;Serif"/>
          <w:b w:val="false"/>
          <w:i w:val="false"/>
          <w:caps w:val="false"/>
          <w:smallCaps w:val="false"/>
          <w:sz w:val="20"/>
        </w:rPr>
        <w:t>. All references herein to Consolidated financial statements of Borrower and its Subsidiaries or to the determination of any amount for Borrower and its Subsidiaries on a Consolidated basis or any similar reference shall, in each case, be deemed to include each variable interest entity that Borrower is required to consolidate pursuant to FASB ASC 810 as if such variable interest entity were a Subsidiary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Pro Forma Treatment</w:t>
      </w:r>
      <w:r>
        <w:rPr>
          <w:rFonts w:ascii="Times New Roman;Times;Serif" w:hAnsi="Times New Roman;Times;Serif"/>
          <w:b w:val="false"/>
          <w:i w:val="false"/>
          <w:caps w:val="false"/>
          <w:smallCaps w:val="false"/>
          <w:sz w:val="20"/>
        </w:rPr>
        <w:t>. Each Disposition of all or substantially all of a line of business, and each Acquisition, by the Borrower and its Subsidiaries that is consummated during any Measurement Period shall, for purposes of determining compliance with the financial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covenants set forth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and for purposes of determining the Applicable Rate, be given Pro Forma Effect as of the first day of such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 Timing</w:t>
      </w:r>
      <w:r>
        <w:rPr>
          <w:rFonts w:ascii="Times New Roman;Times;Serif" w:hAnsi="Times New Roman;Times;Serif"/>
          <w:b w:val="false"/>
          <w:i w:val="false"/>
          <w:caps w:val="false"/>
          <w:smallCaps w:val="false"/>
          <w:sz w:val="20"/>
        </w:rPr>
        <w:t>. For purposes of determining the permissibility of any action, change, transaction, or other event (each of the foregoing, a “</w:t>
      </w:r>
      <w:r>
        <w:rPr>
          <w:rFonts w:ascii="Times New Roman;Times;Serif" w:hAnsi="Times New Roman;Times;Serif"/>
          <w:b w:val="false"/>
          <w:i/>
          <w:caps w:val="false"/>
          <w:smallCaps w:val="false"/>
          <w:sz w:val="20"/>
          <w:u w:val="single"/>
        </w:rPr>
        <w:t>Proposed Event</w:t>
      </w:r>
      <w:r>
        <w:rPr>
          <w:rFonts w:ascii="Times New Roman;Times;Serif" w:hAnsi="Times New Roman;Times;Serif"/>
          <w:b w:val="false"/>
          <w:i w:val="false"/>
          <w:caps w:val="false"/>
          <w:smallCaps w:val="false"/>
          <w:sz w:val="20"/>
        </w:rPr>
        <w:t xml:space="preserve">”) that requires a calculation of any financial ratio or test (including, without limitation,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any Consolidated Net Leverage Ratio test, any Consolidated Fixed Charge Coverage Ratio test, and/or the amount of Consolidated EBITDA), such financial ratio or test shall be calculated at the time such action is taken, such change is made, such transaction is consummated or such event occurs, as the case may be (any such time, the “</w:t>
      </w:r>
      <w:r>
        <w:rPr>
          <w:rFonts w:ascii="Times New Roman;Times;Serif" w:hAnsi="Times New Roman;Times;Serif"/>
          <w:b w:val="false"/>
          <w:i/>
          <w:caps w:val="false"/>
          <w:smallCaps w:val="false"/>
          <w:sz w:val="20"/>
          <w:u w:val="single"/>
        </w:rPr>
        <w:t>Reference Time</w:t>
      </w:r>
      <w:r>
        <w:rPr>
          <w:rFonts w:ascii="Times New Roman;Times;Serif" w:hAnsi="Times New Roman;Times;Serif"/>
          <w:b w:val="false"/>
          <w:i w:val="false"/>
          <w:caps w:val="false"/>
          <w:smallCaps w:val="false"/>
          <w:sz w:val="20"/>
        </w:rPr>
        <w:t>”). No Default or Event of Default shall be deemed to have occurred as a result of the Proposed Event having occurred notwithstanding the fact that a change in such financial ratio or test occurred after the applicable Reference Time which would have otherwise made the Proposed Event impermissible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w:t>
      </w:r>
      <w:r>
        <w:rPr>
          <w:rFonts w:ascii="Times New Roman;Times;Serif" w:hAnsi="Times New Roman;Times;Serif"/>
          <w:b/>
          <w:i w:val="false"/>
          <w:caps w:val="false"/>
          <w:smallCaps w:val="false"/>
          <w:sz w:val="20"/>
          <w:u w:val="single"/>
        </w:rPr>
        <w:t>Rounding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        </w:t>
      </w:r>
      <w:r>
        <w:rPr>
          <w:rFonts w:ascii="Times New Roman;Times;Serif" w:hAnsi="Times New Roman;Times;Serif"/>
          <w:b/>
          <w:i w:val="false"/>
          <w:caps w:val="false"/>
          <w:smallCaps w:val="false"/>
          <w:sz w:val="20"/>
          <w:u w:val="single"/>
        </w:rPr>
        <w:t>Times of Day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all references herein to times of day shall be references to Eastern time (daylight or standard,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1.06        </w:t>
      </w:r>
      <w:r>
        <w:rPr>
          <w:rFonts w:ascii="Times New Roman;Times;Serif" w:hAnsi="Times New Roman;Times;Serif"/>
          <w:b/>
          <w:i w:val="false"/>
          <w:caps w:val="false"/>
          <w:smallCaps w:val="false"/>
          <w:sz w:val="20"/>
          <w:u w:val="single"/>
        </w:rPr>
        <w:t>Letter of Credit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specified herein, the amount of a Letter of Credit at any time shall be deemed to be the stated amount of such Letter of Credit in effect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        </w:t>
      </w:r>
      <w:r>
        <w:rPr>
          <w:rFonts w:ascii="Times New Roman;Times;Serif" w:hAnsi="Times New Roman;Times;Serif"/>
          <w:b/>
          <w:i w:val="false"/>
          <w:caps w:val="false"/>
          <w:smallCaps w:val="false"/>
          <w:sz w:val="20"/>
          <w:u w:val="single"/>
        </w:rPr>
        <w:t>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or any component of any of the foregoing), in each case pursuant to the terms of this Agreement, and shall have no liability to the Borrower, any Lender or any other person or entity for damages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1.08        </w:t>
      </w:r>
      <w:r>
        <w:rPr>
          <w:rFonts w:ascii="Times New Roman;Times;Serif" w:hAnsi="Times New Roman;Times;Serif"/>
          <w:b/>
          <w:i w:val="false"/>
          <w:caps w:val="false"/>
          <w:smallCaps w:val="false"/>
          <w:sz w:val="20"/>
          <w:u w:val="single"/>
        </w:rPr>
        <w:t>UCC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that are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COMMITMENTS AND CREDIT EXTENSIONS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        </w:t>
      </w:r>
      <w:r>
        <w:rPr>
          <w:rFonts w:ascii="Times New Roman;Times;Serif" w:hAnsi="Times New Roman;Times;Serif"/>
          <w:b/>
          <w:i w:val="false"/>
          <w:caps w:val="false"/>
          <w:smallCaps w:val="false"/>
          <w:sz w:val="20"/>
          <w:u w:val="single"/>
        </w:rPr>
        <w:t>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 A Borrowing</w:t>
      </w:r>
      <w:r>
        <w:rPr>
          <w:rFonts w:ascii="Times New Roman;Times;Serif" w:hAnsi="Times New Roman;Times;Serif"/>
          <w:b w:val="false"/>
          <w:i w:val="false"/>
          <w:caps w:val="false"/>
          <w:smallCaps w:val="false"/>
          <w:sz w:val="20"/>
        </w:rPr>
        <w:t>. Subject to the terms and conditions set forth herein, each Term A Lender severally agrees to make a single loan to the Borrower, in Dollars, on the Closing Date in an amount not to exceed such Term A Lender’s Applicable Percentage of the Term A Facility. The Term A Borrowing shall consist of Term A Loans made simultaneously by the Term A Lenders in accordance with their respective Applicable Percentage of the Term A Facility. Term A Borrowings repaid or prepaid may not be reborrowed. Term A Loans may be Base Rate Loans or Term SOFR Loans, as further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Revolving Borrowings</w:t>
      </w:r>
      <w:r>
        <w:rPr>
          <w:rFonts w:ascii="Times New Roman;Times;Serif" w:hAnsi="Times New Roman;Times;Serif"/>
          <w:b w:val="false"/>
          <w:i w:val="false"/>
          <w:caps w:val="false"/>
          <w:smallCaps w:val="false"/>
          <w:sz w:val="20"/>
        </w:rPr>
        <w:t>. Subject to the terms and conditions set forth herein, each Revolving Lender severally agrees to make loans (each such loan, a “</w:t>
      </w:r>
      <w:r>
        <w:rPr>
          <w:rFonts w:ascii="Times New Roman;Times;Serif" w:hAnsi="Times New Roman;Times;Serif"/>
          <w:b w:val="false"/>
          <w:i/>
          <w:caps w:val="false"/>
          <w:smallCaps w:val="false"/>
          <w:sz w:val="20"/>
          <w:u w:val="single"/>
        </w:rPr>
        <w:t>Revolving Loan</w:t>
      </w:r>
      <w:r>
        <w:rPr>
          <w:rFonts w:ascii="Times New Roman;Times;Serif" w:hAnsi="Times New Roman;Times;Serif"/>
          <w:b w:val="false"/>
          <w:i w:val="false"/>
          <w:caps w:val="false"/>
          <w:smallCaps w:val="false"/>
          <w:sz w:val="20"/>
        </w:rPr>
        <w:t xml:space="preserve">”) to the Borrower, in Dollars, from time to time, on any Business Day during the Availability Period for the Revolving Facility, in an aggregate amount not to exceed at any time outstanding the amount of such Lender’s Revolving Commitment;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after giving effect to any Revolving Borrowing, (i) the Total Revolving Outstandings shall not exceed the Revolving Facility, and (ii) the Revolving Exposure of any Lender shall not exceed such Revolving Lender’s Revolving Commitment. Within the limits of each Revolving Lender’s Revolving Commitment, and subject to the other terms and conditions hereof, the Borrower may borrow Revolving Loans, prepay under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and reborrow under this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 Revolving Loans may be Base Rate Loans or Term SOFR Loans, as further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DD Term Borrowing</w:t>
      </w:r>
      <w:r>
        <w:rPr>
          <w:rFonts w:ascii="Times New Roman;Times;Serif" w:hAnsi="Times New Roman;Times;Serif"/>
          <w:b w:val="false"/>
          <w:i w:val="false"/>
          <w:caps w:val="false"/>
          <w:smallCaps w:val="false"/>
          <w:sz w:val="20"/>
        </w:rPr>
        <w:t>. Subject to the terms and conditions set forth herein, each DD Term Lender severally agrees to make up to three (3) DD Term Loans time to time, on any Business Day during the Availability Period for the DD Term Facility, in an aggregate amount not to exceed such DD Term Lender’s Applicable Percentage of the DD Term Facility. Each DD Term Borrowing shall consist of DD Term Loans made simultaneously by the DD Term Lenders in accordance with their respective Applicable Percentage of the DD Term Facility. DD Term Borrowings repaid or prepaid may not be reborrowed. DD Term Loans may be Base Rate Loans or Term SOFR Loans, as further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w:t>
      </w:r>
      <w:r>
        <w:rPr>
          <w:rFonts w:ascii="Times New Roman;Times;Serif" w:hAnsi="Times New Roman;Times;Serif"/>
          <w:b/>
          <w:i w:val="false"/>
          <w:caps w:val="false"/>
          <w:smallCaps w:val="false"/>
          <w:sz w:val="20"/>
          <w:u w:val="single"/>
        </w:rPr>
        <w:t>Borrowings, Conversions and Continuations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Each Borrowing, each conversion of Loans from one Type to the other, and each continuation of Term SOFR Loans shall be made upon the Borrower’s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irrevocable notice to the Administrative Agent, which may be given by (A) telephone or (B) a Loan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telephonic notice must be confirmed immediately by delivery to the Administrative Agent of a Loan Notice. Each such Loan Notice must be received by the Administrative Agent not later than 12:00 p.m. (i) three (3) Business Days prior to the requested date of any Borrowing of, conversion to or continuation of Term SOFR Loans or of any conversion of Term SOFR Loans to Base Rate Loans, and (ii) on the requested date of any Borrowing of Base Rate Loans. Each Borrowing of, conversion to or continuation of Term SOFR Loans shall be in a principal amount of $5,000,000 or a whole multiple of $1,000,000 in excess thereof (or, in connection with any conversion or continuation of a Term Loan, if less, the entire principal thereof then outstanding). Except as provided in </w:t>
      </w:r>
      <w:r>
        <w:rPr>
          <w:rFonts w:ascii="Times New Roman;Times;Serif" w:hAnsi="Times New Roman;Times;Serif"/>
          <w:b w:val="false"/>
          <w:i w:val="false"/>
          <w:caps w:val="false"/>
          <w:smallCaps w:val="false"/>
          <w:sz w:val="20"/>
          <w:u w:val="single"/>
        </w:rPr>
        <w:t>Sections 2.03(f)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2.04(c)</w:t>
      </w:r>
      <w:r>
        <w:rPr>
          <w:rFonts w:ascii="Times New Roman;Times;Serif" w:hAnsi="Times New Roman;Times;Serif"/>
          <w:b w:val="false"/>
          <w:i w:val="false"/>
          <w:caps w:val="false"/>
          <w:smallCaps w:val="false"/>
          <w:sz w:val="20"/>
        </w:rPr>
        <w:t>, each Borrowing of or conversion to Base Rate Loans shall be in a principal amount of $500,000 or a whole multiple of $100,000 in excess thereof (or, in connection with any conversion or continuation of a Term Loan, if less, the entire principal thereof then outstanding). Each Loan Notice shall specify (i) the applicable Facility and whether the Borrower is requesting a Borrowing, a conversion of Loans from one Type to the other, or a continuation of Loans, as the case may be, under such Facility, (ii) the requested date of the Borrowing, conversion or continuation, as the case may be (which shall be a Business Day), (iii) the principal amount of Loans to be borrowed, converted or continued, and (iv) the Type of Loans to be borrowed or to which existing Loans are to be converted,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month. Notwithstanding anything to the contrary herein, a Swingline Loan may not be converted to a Term SOFR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Advances</w:t>
      </w:r>
      <w:r>
        <w:rPr>
          <w:rFonts w:ascii="Times New Roman;Times;Serif" w:hAnsi="Times New Roman;Times;Serif"/>
          <w:b w:val="false"/>
          <w:i w:val="false"/>
          <w:caps w:val="false"/>
          <w:smallCaps w:val="false"/>
          <w:sz w:val="20"/>
        </w:rPr>
        <w:t xml:space="preserve">. Following receipt of a Loan Notice for a Facility, the Administrative Agent shall promptly notify each Appropriate Lender of the amount of its Applicable Percentage under such Facility of the applicable Loans, and if no timely notice of a conversion or continuation is provided by the Borrower, the Administrative Agent shall notify each Lender of the details of any automatic conversion to Base Rate Loans described in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 xml:space="preserve">. In the case of a Borrowing, each Appropriate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(and, if such Borrowing is the initial Credit Extension,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the Administrative Agent shall make all funds so received available to the Borrower in like funds as received by the Administrative Agent either by (i) crediting the account of the Borrower on the books of MUFG with the amount of such funds or (ii) wire transfer of such funds, in each case in accordance with instructions provided to (and reasonably acceptable to) the Administrative Agent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on the date the Loan Notice with respect to a Revolving Borrowing is given by the Borrower, there are L/C Borrowings outstanding, then the proceeds of a Revolving Borrowing,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shall be applied to the payment in full of any such L/C Borrowings, and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shall be made available to the Borrower as provided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 SOFR Loans</w:t>
      </w:r>
      <w:r>
        <w:rPr>
          <w:rFonts w:ascii="Times New Roman;Times;Serif" w:hAnsi="Times New Roman;Times;Serif"/>
          <w:b w:val="false"/>
          <w:i w:val="false"/>
          <w:caps w:val="false"/>
          <w:smallCaps w:val="false"/>
          <w:sz w:val="20"/>
        </w:rPr>
        <w:t>. 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 and the Required Lenders may demand that any or all of the outstanding Term SOFR Loans be converted immediately to Base Rate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Interest Rates</w:t>
      </w:r>
      <w:r>
        <w:rPr>
          <w:rFonts w:ascii="Times New Roman;Times;Serif" w:hAnsi="Times New Roman;Times;Serif"/>
          <w:b w:val="false"/>
          <w:i w:val="false"/>
          <w:caps w:val="false"/>
          <w:smallCaps w:val="false"/>
          <w:sz w:val="20"/>
        </w:rPr>
        <w:t>. Each determination of an interest rate by the Administrative Agent pursuant to any provision of this Agreement shall be conclusive and binding on the Borrower and the Lenders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Interest Periods</w:t>
      </w:r>
      <w:r>
        <w:rPr>
          <w:rFonts w:ascii="Times New Roman;Times;Serif" w:hAnsi="Times New Roman;Times;Serif"/>
          <w:b w:val="false"/>
          <w:i w:val="false"/>
          <w:caps w:val="false"/>
          <w:smallCaps w:val="false"/>
          <w:sz w:val="20"/>
        </w:rPr>
        <w:t>. After giving effect to all Term Borrowings, all conversions of Term Loans from one Type to the other, and all continuations of Term Loans as the same Type, there shall not be more than eight (8) Interest Periods in effect in respect of the Term Facility. After giving effect to all Revolving Borrowings, all conversions of Revolving Loans from one Type to the other, and all continuations of Revolving Loans as the same Type, there shall not be more than eight (8) Interest Periods in effect in respect of the Revolving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Cashless Settlement Mechanism</w:t>
      </w:r>
      <w:r>
        <w:rPr>
          <w:rFonts w:ascii="Times New Roman;Times;Serif" w:hAnsi="Times New Roman;Times;Serif"/>
          <w:b w:val="false"/>
          <w:i w:val="false"/>
          <w:caps w:val="false"/>
          <w:smallCaps w:val="false"/>
          <w:sz w:val="20"/>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xml:space="preserve">.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        </w:t>
      </w:r>
      <w:r>
        <w:rPr>
          <w:rFonts w:ascii="Times New Roman;Times;Serif" w:hAnsi="Times New Roman;Times;Serif"/>
          <w:b/>
          <w:i w:val="false"/>
          <w:caps w:val="false"/>
          <w:smallCaps w:val="false"/>
          <w:sz w:val="20"/>
          <w:u w:val="single"/>
        </w:rPr>
        <w:t>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The L/C Commitment</w:t>
      </w:r>
      <w:r>
        <w:rPr>
          <w:rFonts w:ascii="Times New Roman;Times;Serif" w:hAnsi="Times New Roman;Times;Serif"/>
          <w:b w:val="false"/>
          <w:i w:val="false"/>
          <w:caps w:val="false"/>
          <w:smallCaps w:val="false"/>
          <w:sz w:val="20"/>
        </w:rPr>
        <w:t xml:space="preserve">. Subject to the terms and conditions set forth herein, in addition to the Loans provided for in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the Borrower may request that the L/C Issuer, in reliance on the agreements of the Revolving Lenders set forth in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issue, at any time and from time to time during the Availability Period, Letters of Credit denominated in Dollars for its own account or the account of any of its Subsidiaries in such form as is acceptable to the Administrative Agent and the L/C Issuer in its reasonable determination. Letters of Credit issued hereunder shall constitute utilization of the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Issuance, Amendment, Extension, Reinstatement or Renewal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selected by it and to the Administrative Agent not later than 12:00 p.m. at least two (2)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the amount of such Letter of Credit, the name and address of the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 L/C Issuer relating to any Letter of Credit, the terms and conditions of this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Limitations on Amounts, Issuance and Amendment</w:t>
      </w:r>
      <w:r>
        <w:rPr>
          <w:rFonts w:ascii="Times New Roman;Times;Serif" w:hAnsi="Times New Roman;Times;Serif"/>
          <w:b w:val="false"/>
          <w:i w:val="false"/>
          <w:caps w:val="false"/>
          <w:smallCaps w:val="false"/>
          <w:sz w:val="20"/>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(w) the aggregate amount of the outstanding Letters of Credit issued by the L/C Issuer shall not exceed its L/C Commitment, (x) the aggregate L/C Obligations shall not exceed the Letter of Credit Sublimit, (y) the Revolving Exposure of any Lender shall not exceed its Revolving Commitment and (z) the Total Revolving Exposure shall not exceed the total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L/C Issuer shall not be under any obligation to issue any Letter of Credit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issuance of such Letter of Credit would violate one or more policies of the L/C Issuer applicable to letters of credit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agreed by the Administrative Agent and the L/C Issuer, the Letter of Credit is in an initial stated amount less than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Revolving Lender is at that time a Defaulting Lender, unless the L/C Issuer has entered into arrangements, including the delivery of Cash Collateral, satisfactory to the L/C Issuer (in its reasonable discretion) with the Borrower or such Lender to eliminate the L/C Issuer’s actual or potential Fronting Exposure (after giving effect to </w:t>
      </w:r>
      <w:r>
        <w:rPr>
          <w:rFonts w:ascii="Times New Roman;Times;Serif" w:hAnsi="Times New Roman;Times;Serif"/>
          <w:b w:val="false"/>
          <w:i w:val="false"/>
          <w:caps w:val="false"/>
          <w:smallCaps w:val="false"/>
          <w:sz w:val="20"/>
          <w:u w:val="single"/>
        </w:rPr>
        <w:t>Section 2.15(a)(iv</w:t>
      </w:r>
      <w:r>
        <w:rPr>
          <w:rFonts w:ascii="Times New Roman;Times;Serif" w:hAnsi="Times New Roman;Times;Serif"/>
          <w:b w:val="false"/>
          <w:i w:val="false"/>
          <w:caps w:val="false"/>
          <w:smallCaps w:val="false"/>
          <w:sz w:val="20"/>
        </w:rPr>
        <w:t>)) with respect to the Defaulting Lender arising from either the Letter of Credit then proposed to be issued or that Letter of Credit and all other L/C Obligations as to which the L/C Issuer has actual or potential Fronting Exposure, as it may elect in its reasonable discretion;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Letter of Credit contains any provisions for automatic reinstatement of the stated amount after any drawing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Each Letter of Credit shall have a stated expiration date no later than the earlier of (i) the date twelve (12) months after the date of the issuance of such Letter of Credit (or, in the case of any extension of the expiration date thereof, whether automatic or by amendment, twelve (12) months after the then-current expiration date of such Letter of Credit) and (ii) the date that is five (5) Business Days prior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By the issuance of a Letter of Credit (or an amendment to a Letter of Credit increasing the amount or extending the expiration date thereof), and without any further action on the part of the L/C Issuer or the Lenders, the L/C Issuer hereby grants to each Revolving Lender, and each Revolving Lender hereby acquires from the L/C Issuer, a participation in such Letter of Credit equal to such Lender’s Applicable Revolving Percentage of the aggregate amount available to be drawn under such Letter of Credit. Each Revolving Lender acknowledges and agrees that its obligation to acquire participations pursuant to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consideration and in furtherance of the foregoing, each Revolving Lender hereby absolutely, unconditionally and irrevocably agrees to pay to the Administrative Agent in Dollars, for account of the L/C Issuer, such Lender’s Applicable Percentage of each L/C Disbursement made by the L/C Issuer not later than 1:00 p.m. on the Business Day specified in the notice provided by the Administrative Agent to the Revolving Lenders pursuant to </w:t>
      </w:r>
      <w:r>
        <w:rPr>
          <w:rFonts w:ascii="Times New Roman;Times;Serif" w:hAnsi="Times New Roman;Times;Serif"/>
          <w:b w:val="false"/>
          <w:i w:val="false"/>
          <w:caps w:val="false"/>
          <w:smallCaps w:val="false"/>
          <w:sz w:val="20"/>
          <w:u w:val="single"/>
        </w:rPr>
        <w:t>Section 2.03(f</w:t>
      </w:r>
      <w:r>
        <w:rPr>
          <w:rFonts w:ascii="Times New Roman;Times;Serif" w:hAnsi="Times New Roman;Times;Serif"/>
          <w:b w:val="false"/>
          <w:i w:val="false"/>
          <w:caps w:val="false"/>
          <w:smallCaps w:val="false"/>
          <w:sz w:val="20"/>
        </w:rPr>
        <w:t xml:space="preserve">)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with respect to Loans made by such Lender (and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the payment obligations of the Revolving Lenders pursuant to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and the Administrative Agent shall promptly pay to the L/C Issuer the amounts so received by it from the Lenders. Promptly following receipt by the Administrative Agent of any payment from the Borrower pursuant to </w:t>
      </w:r>
      <w:r>
        <w:rPr>
          <w:rFonts w:ascii="Times New Roman;Times;Serif" w:hAnsi="Times New Roman;Times;Serif"/>
          <w:b w:val="false"/>
          <w:i w:val="false"/>
          <w:caps w:val="false"/>
          <w:smallCaps w:val="false"/>
          <w:sz w:val="20"/>
          <w:u w:val="single"/>
        </w:rPr>
        <w:t>Section 2.03(f</w:t>
      </w:r>
      <w:r>
        <w:rPr>
          <w:rFonts w:ascii="Times New Roman;Times;Serif" w:hAnsi="Times New Roman;Times;Serif"/>
          <w:b w:val="false"/>
          <w:i w:val="false"/>
          <w:caps w:val="false"/>
          <w:smallCaps w:val="false"/>
          <w:sz w:val="20"/>
        </w:rPr>
        <w:t xml:space="preserve">), the Administrative Agent shall distribute such payment to the L/C Issuer or, to the extent that the Revolving Lenders have made payments pursuant to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to reimburse the L/C Issuer, then to such Lenders and the L/C Issuer as their interests may appear. Any payment made by a Lender pursuant to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to reimburse the L/C Issuer for any L/C Disbursement shall not constitute a Loan and shall not relieve the Borrower of its obligation to reimburse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Revolving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as a result of an assignment in accordance with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or otherwise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any Revolving Lender fails to make available to the Administrative Agent for the account of the L/C Issuer any amount required to be paid by such Lender pursuant to the foregoing provisions of this </w:t>
      </w:r>
      <w:r>
        <w:rPr>
          <w:rFonts w:ascii="Times New Roman;Times;Serif" w:hAnsi="Times New Roman;Times;Serif"/>
          <w:b w:val="false"/>
          <w:i w:val="false"/>
          <w:caps w:val="false"/>
          <w:smallCaps w:val="false"/>
          <w:sz w:val="20"/>
          <w:u w:val="single"/>
        </w:rPr>
        <w:t>Section 2.03(e</w:t>
      </w:r>
      <w:r>
        <w:rPr>
          <w:rFonts w:ascii="Times New Roman;Times;Serif" w:hAnsi="Times New Roman;Times;Serif"/>
          <w:b w:val="false"/>
          <w:i w:val="false"/>
          <w:caps w:val="false"/>
          <w:smallCaps w:val="false"/>
          <w:sz w:val="20"/>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w:t>
      </w:r>
      <w:r>
        <w:rPr>
          <w:rFonts w:ascii="Times New Roman;Times;Serif" w:hAnsi="Times New Roman;Times;Serif"/>
          <w:b w:val="false"/>
          <w:i/>
          <w:caps w:val="false"/>
          <w:smallCaps w:val="false"/>
          <w:sz w:val="20"/>
        </w:rPr>
        <w:t>greater of</w:t>
      </w:r>
      <w:r>
        <w:rPr>
          <w:rFonts w:ascii="Times New Roman;Times;Serif" w:hAnsi="Times New Roman;Times;Serif"/>
          <w:b w:val="false"/>
          <w:i w:val="false"/>
          <w:caps w:val="false"/>
          <w:smallCaps w:val="false"/>
          <w:sz w:val="20"/>
        </w:rPr>
        <w:t xml:space="preserve"> the Federal Funds Rate and a rate determined by the L/C Issuer in accordance with banking industry rules on interbank compensation,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any administrative, processing or similar fees customarily charged by the L/C Issuer in connection with the foregoing. If such Lender pays such amount (with interest and fees as aforesaid), the amount so paid shall constitute such Lender’s Revolving Loan included in the relevant Revolving Borrowing or L/C Advance in respect of the relevant L/C Borrowing, as the case may be. A certificate of the L/C Issuer submitted to any Revolving Lender (through the Administrative Agent) with respect to any amounts owing under this </w:t>
      </w:r>
      <w:r>
        <w:rPr>
          <w:rFonts w:ascii="Times New Roman;Times;Serif" w:hAnsi="Times New Roman;Times;Serif"/>
          <w:b w:val="false"/>
          <w:i w:val="false"/>
          <w:caps w:val="false"/>
          <w:smallCaps w:val="false"/>
          <w:sz w:val="20"/>
          <w:u w:val="single"/>
        </w:rPr>
        <w:t>clause (e)(iv</w:t>
      </w:r>
      <w:r>
        <w:rPr>
          <w:rFonts w:ascii="Times New Roman;Times;Serif" w:hAnsi="Times New Roman;Times;Serif"/>
          <w:b w:val="false"/>
          <w:i w:val="false"/>
          <w:caps w:val="false"/>
          <w:smallCaps w:val="false"/>
          <w:sz w:val="20"/>
        </w:rPr>
        <w:t>)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xml:space="preserve">. If the L/C Issuer shall make any L/C Disbursement in respect of a Letter of Credit, the Borrower shall reimburse the L/C Issuer in respect of such L/C Disbursement by paying to the Administrative Agent an amount equal to such L/C Disbursement not later than 1:00 p.m. on (i) the Business Day that the Borrower receives notice of such L/C Disbursement in the currency in which such L/C Disbursement was made if such notice is received prior to 10:00 a.m. or (ii) the Business Day immediately following the day that the Borrower receives such notice, if such notice is not received prior to such time, provided that, if such L/C Disbursement is not less than $1,000,000, the Borrower may, subject to the conditions to borrowing set forth herein, request in accordance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that such payment be financed with a Borrowing of a Base Rate Loan or a Swingline Loan in an equivalent amount and, to the extent so financed, the Borrower’s obligation to make such payment shall be discharged and replaced by the resulting Borrowing of Base Rate Loans or Swingline Loan. If the Borrower fails to make such payment when due, the Administrative Agent shall notify each Revolving Lender of the L/C Disbursement, the payment then due from the Borrower in respect thereof (the “</w:t>
      </w:r>
      <w:r>
        <w:rPr>
          <w:rFonts w:ascii="Times New Roman;Times;Serif" w:hAnsi="Times New Roman;Times;Serif"/>
          <w:b w:val="false"/>
          <w:i/>
          <w:caps w:val="false"/>
          <w:smallCaps w:val="false"/>
          <w:sz w:val="20"/>
          <w:u w:val="single"/>
        </w:rPr>
        <w:t>Unreimbursed Amount</w:t>
      </w:r>
      <w:r>
        <w:rPr>
          <w:rFonts w:ascii="Times New Roman;Times;Serif" w:hAnsi="Times New Roman;Times;Serif"/>
          <w:b w:val="false"/>
          <w:i w:val="false"/>
          <w:caps w:val="false"/>
          <w:smallCaps w:val="false"/>
          <w:sz w:val="20"/>
        </w:rPr>
        <w:t xml:space="preserve">”) and such Lender’s Applicable Percentage thereof. Promptly upon receipt of such notice, each Revolving Lender shall pay to the Administrative Agent its Applicable Percentage of the Unreimbursed Amount pursuant to </w:t>
      </w:r>
      <w:r>
        <w:rPr>
          <w:rFonts w:ascii="Times New Roman;Times;Serif" w:hAnsi="Times New Roman;Times;Serif"/>
          <w:b w:val="false"/>
          <w:i w:val="false"/>
          <w:caps w:val="false"/>
          <w:smallCaps w:val="false"/>
          <w:sz w:val="20"/>
          <w:u w:val="single"/>
        </w:rPr>
        <w:t>Section 2.03(e)(ii</w:t>
      </w:r>
      <w:r>
        <w:rPr>
          <w:rFonts w:ascii="Times New Roman;Times;Serif" w:hAnsi="Times New Roman;Times;Serif"/>
          <w:b w:val="false"/>
          <w:i w:val="false"/>
          <w:caps w:val="false"/>
          <w:smallCaps w:val="false"/>
          <w:sz w:val="20"/>
        </w:rPr>
        <w:t xml:space="preserve">), subject to the amount of the unutilized portion of the aggregate Revolving Commitments. Any notice given by the L/C Issuer or the Administrative Agent pursuant to this </w:t>
      </w:r>
      <w:r>
        <w:rPr>
          <w:rFonts w:ascii="Times New Roman;Times;Serif" w:hAnsi="Times New Roman;Times;Serif"/>
          <w:b w:val="false"/>
          <w:i w:val="false"/>
          <w:caps w:val="false"/>
          <w:smallCaps w:val="false"/>
          <w:sz w:val="20"/>
          <w:u w:val="single"/>
        </w:rPr>
        <w:t>Section 2.03(f</w:t>
      </w:r>
      <w:r>
        <w:rPr>
          <w:rFonts w:ascii="Times New Roman;Times;Serif" w:hAnsi="Times New Roman;Times;Serif"/>
          <w:b w:val="false"/>
          <w:i w:val="false"/>
          <w:caps w:val="false"/>
          <w:smallCaps w:val="false"/>
          <w:sz w:val="20"/>
        </w:rPr>
        <w:t xml:space="preserve">) may be given by telephone if immediately confirmed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lack of such an immediate confirmation shall not affect the conclusiveness or binding effect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 xml:space="preserve">. The Borrower’s obligation to reimburse L/C Disbursements as provided in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shall be absolute, unconditional and irrevocable, and shall be performed strictly in accordance with the terms of this Agreement under any and all circumstances whatsoever and irrespective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lack of validity or enforceability of this Agreement, any other Loan Document or any Letter of Credit, or any term or provision herein 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draft, demand, certificate or other document presented under such Letter of Credit proving to be forged, fraudulent, invalid or insufficient in any respect or any statement in such draft or other document being untrue or inaccurate in any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waiver by the L/C Issuer of any requirement that exists for the L/C Issuer’s protection and not the protection of the Borrower or any waiver by the L/C Issuer which does not in fact materially prejudice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honor of a demand for payment presented electronically even if such Letter of Credit required that demand be in the form of a draft;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payment by the L/C Issuer under a Letter of Credit against presentation of a draft or other document that does not comply strictly with the terms of such Letter of Credit;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any other event or circumstance whatsoever, whether or not similar to any of the foregoing, that might, but for the provisions of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constitute a legal or equitable discharge of, or provide a right of setoff against, the Borrower’s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Examination</w:t>
      </w:r>
      <w:r>
        <w:rPr>
          <w:rFonts w:ascii="Times New Roman;Times;Serif" w:hAnsi="Times New Roman;Times;Serif"/>
          <w:b w:val="false"/>
          <w:i w:val="false"/>
          <w:caps w:val="false"/>
          <w:smallCaps w:val="false"/>
          <w:sz w:val="20"/>
        </w:rPr>
        <w:t>. 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xml:space="preserve">. None of the Administrative Agent, the Lenders, the L/C Issuer, or any of their Related Parties shall have any 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be construed to excuse the L/C Issuer from liability to the Borrower to the extent of any direct damages (as opposed to consequential damages, claims in respect of which are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L/C Issuer may replace a purportedly lost, stolen, or destroyed original Letter of Credit or missing amendment thereto with a certified true copy marked as such or waive a requirement for its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L/C Issuer shall have the right, in its sole discretion, to decline to accept such documents and to make such payment if such documents are not in strict compliance with the terms of such Letter of Credit;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none of the Administrative Agent, the Lenders, the L/C Issuer, or any of their Related Parties shall have any liability or responsibility by reason of (A) any presentation that includes forged or fraudulent documents or that is otherwise affected by the fraudulent, bad faith, or illegal conduct of the beneficiary or other Person, (B) the L/C Issuer declining to take-up documents and make payment, (C) against documents that are fraudulent, forged, or for other reasons by which that it is entitled not to honor, (D) following a Borrower’s waiver of discrepancies with respect to such documents or request for honor of such documents or (E) the L/C Issuer retaining proceeds of a Letter of Credit based on an apparently applicable attachment order, blocking regulation, or third-party claim notified to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Applicability of ISP</w:t>
      </w:r>
      <w:r>
        <w:rPr>
          <w:rFonts w:ascii="Times New Roman;Times;Serif" w:hAnsi="Times New Roman;Times;Serif"/>
          <w:b w:val="false"/>
          <w:i w:val="false"/>
          <w:caps w:val="false"/>
          <w:smallCaps w:val="false"/>
          <w:sz w:val="20"/>
        </w:rPr>
        <w:t>. Unless otherwise expressly agreed by the L/C Issuer and the Borrower when a Letter of Credit is issued by it, the rules of the ISP shall apply to each standby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Benefits</w:t>
      </w:r>
      <w:r>
        <w:rPr>
          <w:rFonts w:ascii="Times New Roman;Times;Serif" w:hAnsi="Times New Roman;Times;Serif"/>
          <w:b w:val="false"/>
          <w:i w:val="false"/>
          <w:caps w:val="false"/>
          <w:smallCaps w:val="false"/>
          <w:sz w:val="20"/>
        </w:rPr>
        <w:t xml:space="preserve">. The L/C Issuer shall act on behalf of the Lenders with respect to any Letters of Credit issued by it and the documents associated therewith, and the L/C Issuer shall have all of the benefits and immunities (i) provided to the Administrative Agent in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included the L/C Issuer with respect to such acts or omissions, and (ii) as additionally provided herein with respect to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Letter of Credit Fees</w:t>
      </w:r>
      <w:r>
        <w:rPr>
          <w:rFonts w:ascii="Times New Roman;Times;Serif" w:hAnsi="Times New Roman;Times;Serif"/>
          <w:b w:val="false"/>
          <w:i w:val="false"/>
          <w:caps w:val="false"/>
          <w:smallCaps w:val="false"/>
          <w:sz w:val="20"/>
        </w:rPr>
        <w:t>. The Borrower shall pay to the Administrative Agent for the account of each Revolving Lender in accordance with its Applicable Revolving Percentage a Letter of Credit fee (the “</w:t>
      </w:r>
      <w:r>
        <w:rPr>
          <w:rFonts w:ascii="Times New Roman;Times;Serif" w:hAnsi="Times New Roman;Times;Serif"/>
          <w:b w:val="false"/>
          <w:i/>
          <w:caps w:val="false"/>
          <w:smallCaps w:val="false"/>
          <w:sz w:val="20"/>
          <w:u w:val="single"/>
        </w:rPr>
        <w:t>Letter of Credit Fee</w:t>
      </w:r>
      <w:r>
        <w:rPr>
          <w:rFonts w:ascii="Times New Roman;Times;Serif" w:hAnsi="Times New Roman;Times;Serif"/>
          <w:b w:val="false"/>
          <w:i w:val="false"/>
          <w:caps w:val="false"/>
          <w:smallCaps w:val="false"/>
          <w:sz w:val="20"/>
        </w:rPr>
        <w:t xml:space="preserve">”) for each Letter of Credit equal to the Applicable Rate </w:t>
      </w:r>
      <w:r>
        <w:rPr>
          <w:rFonts w:ascii="Times New Roman;Times;Serif" w:hAnsi="Times New Roman;Times;Serif"/>
          <w:b w:val="false"/>
          <w:i/>
          <w:caps w:val="false"/>
          <w:smallCaps w:val="false"/>
          <w:sz w:val="20"/>
        </w:rPr>
        <w:t>times</w:t>
      </w:r>
      <w:r>
        <w:rPr>
          <w:rFonts w:ascii="Times New Roman;Times;Serif" w:hAnsi="Times New Roman;Times;Serif"/>
          <w:b w:val="false"/>
          <w:i w:val="false"/>
          <w:caps w:val="false"/>
          <w:smallCaps w:val="false"/>
          <w:sz w:val="20"/>
        </w:rPr>
        <w:t xml:space="preserve"> the daily amount available to be drawn under such Letter of Credit. For purposes of computing the daily amount available to be drawn under any standby Letter of Credit, the amount of such Letter of Credit shall be determined in accordance with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Letter of Credit Fees shall be (i) payable on the first Business Day following the end of each March, June, September and December, commencing with the first such date to occur after the issuance of such Letter of Credit and (ii) accrued through and including the last day of each calendar quarter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that are Revolving Lenders, while any Event of Default exists, all Letter of Credit Fees shall accrue at the Default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Fronting Fee and Documentary and Processing Charges Payable to L/C Issuer</w:t>
      </w:r>
      <w:r>
        <w:rPr>
          <w:rFonts w:ascii="Times New Roman;Times;Serif" w:hAnsi="Times New Roman;Times;Serif"/>
          <w:b w:val="false"/>
          <w:i w:val="false"/>
          <w:caps w:val="false"/>
          <w:smallCaps w:val="false"/>
          <w:sz w:val="20"/>
        </w:rPr>
        <w:t xml:space="preserve">. The Borrower shall pay directly to the L/C Issuer for its own account a fronting fee with respect to each Letter of Credit, at the rate per annum equal to 0.125%, computed on the daily amount available to be drawn under such Letter of Credit on a quarterly basis in arrears. Such fronting fee shall be due and payable no later than the tenth Business Day after the end of each March, June, September and December in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Disbursement Procedures</w:t>
      </w:r>
      <w:r>
        <w:rPr>
          <w:rFonts w:ascii="Times New Roman;Times;Serif" w:hAnsi="Times New Roman;Times;Serif"/>
          <w:b w:val="false"/>
          <w:i w:val="false"/>
          <w:caps w:val="false"/>
          <w:smallCaps w:val="false"/>
          <w:sz w:val="20"/>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failure to give or delay in giving such notice shall not relieve the Borrower of its obligation to reimburse the L/C Issuer and the Lenders with respect to any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Interim Interest</w:t>
      </w:r>
      <w:r>
        <w:rPr>
          <w:rFonts w:ascii="Times New Roman;Times;Serif" w:hAnsi="Times New Roman;Times;Serif"/>
          <w:b w:val="false"/>
          <w:i w:val="false"/>
          <w:caps w:val="false"/>
          <w:smallCaps w:val="false"/>
          <w:sz w:val="20"/>
        </w:rPr>
        <w:t>. If the L/C Issuer for any standby Letter of Credit shall make any L/C Disbursement, then, unless the Borrower shall reimburse such L/C Disbursement in full on the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Borrower fails to reimburse such L/C Disbursement when due pursuant to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then </w:t>
      </w:r>
      <w:r>
        <w:rPr>
          <w:rFonts w:ascii="Times New Roman;Times;Serif" w:hAnsi="Times New Roman;Times;Serif"/>
          <w:b w:val="false"/>
          <w:i w:val="false"/>
          <w:caps w:val="false"/>
          <w:smallCaps w:val="false"/>
          <w:sz w:val="20"/>
          <w:u w:val="single"/>
        </w:rPr>
        <w:t>Section 2.08(b</w:t>
      </w:r>
      <w:r>
        <w:rPr>
          <w:rFonts w:ascii="Times New Roman;Times;Serif" w:hAnsi="Times New Roman;Times;Serif"/>
          <w:b w:val="false"/>
          <w:i w:val="false"/>
          <w:caps w:val="false"/>
          <w:smallCaps w:val="false"/>
          <w:sz w:val="20"/>
        </w:rPr>
        <w:t xml:space="preserve">) shall apply. Interest accrued pursuant to this </w:t>
      </w:r>
      <w:r>
        <w:rPr>
          <w:rFonts w:ascii="Times New Roman;Times;Serif" w:hAnsi="Times New Roman;Times;Serif"/>
          <w:b w:val="false"/>
          <w:i w:val="false"/>
          <w:caps w:val="false"/>
          <w:smallCaps w:val="false"/>
          <w:sz w:val="20"/>
          <w:u w:val="single"/>
        </w:rPr>
        <w:t>clause (p</w:t>
      </w:r>
      <w:r>
        <w:rPr>
          <w:rFonts w:ascii="Times New Roman;Times;Serif" w:hAnsi="Times New Roman;Times;Serif"/>
          <w:b w:val="false"/>
          <w:i w:val="false"/>
          <w:caps w:val="false"/>
          <w:smallCaps w:val="false"/>
          <w:sz w:val="20"/>
        </w:rPr>
        <w:t xml:space="preserve">) shall be for account of the L/C Issuer, except that interest accrued on and after the date of payment by any Lender pursuant to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to reimburse the L/C Issuer shall be for account of such Lender to the extent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Replacement and Resignation of the L/C Issuer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L/C Issuer may be replaced at any time by written agreement between the Borrower, 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pursuant to </w:t>
      </w:r>
      <w:r>
        <w:rPr>
          <w:rFonts w:ascii="Times New Roman;Times;Serif" w:hAnsi="Times New Roman;Times;Serif"/>
          <w:b w:val="false"/>
          <w:i w:val="false"/>
          <w:caps w:val="false"/>
          <w:smallCaps w:val="false"/>
          <w:sz w:val="20"/>
          <w:u w:val="single"/>
        </w:rPr>
        <w:t>Section 2.03(m</w:t>
      </w:r>
      <w:r>
        <w:rPr>
          <w:rFonts w:ascii="Times New Roman;Times;Serif" w:hAnsi="Times New Roman;Times;Serif"/>
          <w:b w:val="false"/>
          <w:i w:val="false"/>
          <w:caps w:val="false"/>
          <w:smallCaps w:val="false"/>
          <w:sz w:val="20"/>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the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L/C Issuer may resign at any time by giving thirty (30) days’ prior notice to the Administrative Agent, the Lenders and the Borrower. After the resignation of a L/C Issuer hereunder, the retiring L/C Issuer shall remain a party hereto and shall continue to have all the rights and obligations of an L/C Issuer under this Agreement and the other Loan Documents with respect to Letters of Credit issued by it prior to such resignation, but shall not be required to issue additional Letters of Credit or to extend, renew or increase the outstanding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Cash Collateralization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any Event of Default shall occur and be continuing, on the Business Day that the Borrower receives notice from the Administrative Agent or the Required Lenders that are Revolving Lenders (or, if the maturity of the Loans has been accelerated, Revolving Lenders with L/C Obligations representing at least 66-2/3% of the total L/C Obligations) demanding the deposit of Cash Collateral pursuant to this </w:t>
      </w:r>
      <w:r>
        <w:rPr>
          <w:rFonts w:ascii="Times New Roman;Times;Serif" w:hAnsi="Times New Roman;Times;Serif"/>
          <w:b w:val="false"/>
          <w:i w:val="false"/>
          <w:caps w:val="false"/>
          <w:smallCaps w:val="false"/>
          <w:sz w:val="20"/>
          <w:u w:val="single"/>
        </w:rPr>
        <w:t>clause (q)</w:t>
      </w:r>
      <w:r>
        <w:rPr>
          <w:rFonts w:ascii="Times New Roman;Times;Serif" w:hAnsi="Times New Roman;Times;Serif"/>
          <w:b w:val="false"/>
          <w:i w:val="false"/>
          <w:caps w:val="false"/>
          <w:smallCaps w:val="false"/>
          <w:sz w:val="20"/>
        </w:rPr>
        <w:t>, the Borrower shall immediately deposit into an account established and maintained on the books and records of the Administrative Agent (the “</w:t>
      </w:r>
      <w:r>
        <w:rPr>
          <w:rFonts w:ascii="Times New Roman;Times;Serif" w:hAnsi="Times New Roman;Times;Serif"/>
          <w:b w:val="false"/>
          <w:i/>
          <w:caps w:val="false"/>
          <w:smallCaps w:val="false"/>
          <w:sz w:val="20"/>
          <w:u w:val="single"/>
        </w:rPr>
        <w:t>Collateral Account</w:t>
      </w:r>
      <w:r>
        <w:rPr>
          <w:rFonts w:ascii="Times New Roman;Times;Serif" w:hAnsi="Times New Roman;Times;Serif"/>
          <w:b w:val="false"/>
          <w:i w:val="false"/>
          <w:caps w:val="false"/>
          <w:smallCaps w:val="false"/>
          <w:sz w:val="20"/>
        </w:rPr>
        <w:t xml:space="preserve">”) an amount in cash equal to 105% of the total L/C Obligations as of such date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any accrued and unpaid interest thereon,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Times;Serif" w:hAnsi="Times New Roman;Times;Serif"/>
          <w:b w:val="false"/>
          <w:i w:val="false"/>
          <w:caps w:val="false"/>
          <w:smallCaps w:val="false"/>
          <w:sz w:val="20"/>
          <w:u w:val="single"/>
        </w:rPr>
        <w:t>clause (f</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Such deposit shall be held by the Administrative Agent as collateral for the payment and performance of the obligations of the Borrower under this Agreement. In addition, and without limiting the foregoing or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if any L/C Obligations remain outstanding after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expiration date specified in said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the Borrower shall immediately deposit into the Collateral Account an amount in cash equal to 105% of such L/C Obligations as of such date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any accrued and unpaid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shall have exclusive dominion and control, including the exclusive right of withdrawal, over the Collateral Account. Other than any interest earned on the investment of such deposits, which investments shall be made at the option and reasonable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the L/C Issuer for L/C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Loans has been accelerated (but subject to the consent of Lenders with L/C Obligations representing 66-2/3% of the total L/C Obligations),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Letters of Credit Issued for Subsidiaries</w:t>
      </w:r>
      <w:r>
        <w:rPr>
          <w:rFonts w:ascii="Times New Roman;Times;Serif" w:hAnsi="Times New Roman;Times;Serif"/>
          <w:b w:val="false"/>
          <w:i w:val="false"/>
          <w:caps w:val="false"/>
          <w:smallCaps w:val="false"/>
          <w:sz w:val="20"/>
        </w:rPr>
        <w:t>. Notwithstanding that a Letter of Credit issued or outstanding hereunder is in support of any obligations of, or is for the account of, a Subsidiary, the Borrower shall be obligated to reimburse, indemnify and compensate the L/C Issuer hereunder for any and all drawings under such Letter of Credit as if such Letter of Credit had been issues solely for the account of the Borrower. The Borrower irrevocably waives any and all defenses that might otherwise be available to it as a guarantor or surety of any or all of the obligations of such Subsidiary in respect of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L/C Issuer Reports to the Administrative Agent</w:t>
      </w:r>
      <w:r>
        <w:rPr>
          <w:rFonts w:ascii="Times New Roman;Times;Serif" w:hAnsi="Times New Roman;Times;Serif"/>
          <w:b w:val="false"/>
          <w:i w:val="false"/>
          <w:caps w:val="false"/>
          <w:smallCaps w:val="false"/>
          <w:sz w:val="20"/>
        </w:rPr>
        <w:t xml:space="preserve">. Unless otherwise agreed by the Administrative Agent, each L/C Issuer shall, in addition to its notification obligations set forth elsewhere in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provide the Administrative Agent a Letter of Credit Report,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each Business Day on which such L/C Issuer makes a payment pursuant to a Letter of Credit, the date and amount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any Business Day on which the Borrower fails to reimburse a payment made pursuant to a Letter of Credit required to be reimbursed to such L/C Issuer on such day, the date of such failure and the amount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on any other Business Day, such other information as the Administrative Agent shall reasonably request as to the Letters of Credit issued by such L/C Issuer;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 so long as any Letter of Credit issued by an L/C Issuer is outstanding, such L/C Issuer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Additional L/C Issuers</w:t>
      </w:r>
      <w:r>
        <w:rPr>
          <w:rFonts w:ascii="Times New Roman;Times;Serif" w:hAnsi="Times New Roman;Times;Serif"/>
          <w:b w:val="false"/>
          <w:i w:val="false"/>
          <w:caps w:val="false"/>
          <w:smallCaps w:val="false"/>
          <w:sz w:val="20"/>
        </w:rPr>
        <w:t>. Any Lender hereunder may become an L/C Issuer upon receipt by the Administrative Agent of a fully executed Notice of Additional L/C Issuer which shall be signed by the Borrower, the Administrative Agent and each L/C Issuer. Such new L/C Issuer shall provide its L/C Commitment in such Notice of Additional L/C Issuer and upon the receipt by the Administrative Agent of the fully executed Notice of Additional L/C Issuer, the defined term L/C Commitment shall be deemed amended to incorporate the L/C Commitment of such new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Conflict with Issuer Documents</w:t>
      </w:r>
      <w:r>
        <w:rPr>
          <w:rFonts w:ascii="Times New Roman;Times;Serif" w:hAnsi="Times New Roman;Times;Serif"/>
          <w:b w:val="false"/>
          <w:i w:val="false"/>
          <w:caps w:val="false"/>
          <w:smallCaps w:val="false"/>
          <w:sz w:val="20"/>
        </w:rPr>
        <w:t>. In the event of any conflict between the terms hereof and the terms of any Issuer Document, the terms hereof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        </w:t>
      </w:r>
      <w:r>
        <w:rPr>
          <w:rFonts w:ascii="Times New Roman;Times;Serif" w:hAnsi="Times New Roman;Times;Serif"/>
          <w:b/>
          <w:i w:val="false"/>
          <w:caps w:val="false"/>
          <w:smallCaps w:val="false"/>
          <w:sz w:val="20"/>
          <w:u w:val="single"/>
        </w:rPr>
        <w:t>Swingline Loans</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The Swingline</w:t>
      </w:r>
      <w:r>
        <w:rPr>
          <w:rFonts w:ascii="Times New Roman;Times;Serif" w:hAnsi="Times New Roman;Times;Serif"/>
          <w:b w:val="false"/>
          <w:i w:val="false"/>
          <w:caps w:val="false"/>
          <w:smallCaps w:val="false"/>
          <w:sz w:val="20"/>
        </w:rPr>
        <w:t xml:space="preserve">. Subject to the terms and conditions set forth herein, the Swingline Lender, in reliance upon the agreements of the other Lenders set forth in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may in its sole discretion make loans to the Borrower (each such loan, a “</w:t>
      </w:r>
      <w:r>
        <w:rPr>
          <w:rFonts w:ascii="Times New Roman;Times;Serif" w:hAnsi="Times New Roman;Times;Serif"/>
          <w:b w:val="false"/>
          <w:i/>
          <w:caps w:val="false"/>
          <w:smallCaps w:val="false"/>
          <w:sz w:val="20"/>
          <w:u w:val="single"/>
        </w:rPr>
        <w:t>Swingline Loan</w:t>
      </w:r>
      <w:r>
        <w:rPr>
          <w:rFonts w:ascii="Times New Roman;Times;Serif" w:hAnsi="Times New Roman;Times;Serif"/>
          <w:b w:val="false"/>
          <w:i w:val="false"/>
          <w:caps w:val="false"/>
          <w:smallCaps w:val="false"/>
          <w:sz w:val="20"/>
        </w:rPr>
        <w:t xml:space="preserve">”). Each such Swingline Loan may be made, subject to the terms and conditions set forth herein, to the Borrower, in Dollars, from time to time on any Business Day during the Availability Period in an aggregate amount not to exceed at any time outstanding the amount of the Swingline Sublimit;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after giving effect to any Swingline Loan, (A) the Total Revolving Outstandings shall not exceed the Revolving Facility at such time, (B) the Revolving Exposure of any Revolving Lender at such time shall not exceed such Lender’s Revolving Commitment and (C) the aggregate outstanding principal amount of Swingline Loans shall not exceed the Swingline Sublimit,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prepay under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and reborrow under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Each Swingline Loan shall bear interest only at a rate based on the Base Rate plus the Applicable Rate.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Revolving Percentage times the amount of such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Borrowing Procedures</w:t>
      </w:r>
      <w:r>
        <w:rPr>
          <w:rFonts w:ascii="Times New Roman;Times;Serif" w:hAnsi="Times New Roman;Times;Serif"/>
          <w:b w:val="false"/>
          <w:i w:val="false"/>
          <w:caps w:val="false"/>
          <w:smallCaps w:val="false"/>
          <w:sz w:val="20"/>
        </w:rPr>
        <w:t xml:space="preserve">. Each Swingline Borrowing shall be made upon the Borrower’s irrevocable notice to the Swingline Lender and the Administrative Agent, which may be given by: (i) telephone or (ii) a Swingline Loan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telephonic notice must be confirmed immediately by delivery to the Swingline Lender and the Administrative Agent of a Swingline Loan Notice. Each such Swingline Loan Notice must be received by the Swingline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Lender and the Administrative Agent not later than 1:00 p.m. on the requested borrowing date, and shall specify (A) the amount to be borrowed, which shall be a minimum of $250,000, and (B) the requested date of the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Revolving Lender) prior to 2:00 p.m. on the date of the proposed Swingline Borrowing (1) directing the Swingline Lender not to make such Swingline Loan as a result of the limitations set forth in the first proviso to the first sentence of </w:t>
      </w:r>
      <w:r>
        <w:rPr>
          <w:rFonts w:ascii="Times New Roman;Times;Serif" w:hAnsi="Times New Roman;Times;Serif"/>
          <w:b w:val="false"/>
          <w:i w:val="false"/>
          <w:caps w:val="false"/>
          <w:smallCaps w:val="false"/>
          <w:sz w:val="20"/>
          <w:u w:val="single"/>
        </w:rPr>
        <w:t>Section 2.04(a</w:t>
      </w:r>
      <w:r>
        <w:rPr>
          <w:rFonts w:ascii="Times New Roman;Times;Serif" w:hAnsi="Times New Roman;Times;Serif"/>
          <w:b w:val="false"/>
          <w:i w:val="false"/>
          <w:caps w:val="false"/>
          <w:smallCaps w:val="false"/>
          <w:sz w:val="20"/>
        </w:rPr>
        <w:t xml:space="preserve">), or (2) that one or more of the applicable conditions specified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is not then satisfied, then, subject to the terms and conditions hereof, the Swingline Lender may make the amount of its Swingline Loan available to the Borrower at its office by crediting the account of the Borrower on the books of the Swingline Lender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Refinancing of 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Swingline Lender at any time in its sole and absolute discretion may request, on behalf of the Borrower (which hereby irrevocably authorizes the Swingline Lender to so request on its behalf), that each Revolving Lender make a Base Rate Loan in an amount equal to such Lender’s Applicable Revolving Percentage of the amount of Swingline Loans then outstanding. Such request shall be made in writing (which written request shall be deemed to be a Loan Notice for purposes hereof) and in accordance with the requirements of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without regard to the minimum and multiples specified therein for the principal amount of Base Rate Loans, but subject to the unutilized portion of the Revolving Facility and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The Swingline Lender shall furnish the Borrower with a copy of the applicable Loan Notice promptly after delivering such notice to the Administrative Agent. Each Revolving Lender shall make an amount equal to its Applicable Revolving Percentage of the amount specified in such Loan Notice available to the Administrative Agent in immediately available funds (and the Administrative Agent may apply Cash Collateral available with respect to the applicable Swingline Loan) for the account of the Swingline Lender at the Administrative Agent’s Office not later than 1:00 p.m. on the day specified in such Loan Notice, whereupon, subject to </w:t>
      </w:r>
      <w:r>
        <w:rPr>
          <w:rFonts w:ascii="Times New Roman;Times;Serif" w:hAnsi="Times New Roman;Times;Serif"/>
          <w:b w:val="false"/>
          <w:i w:val="false"/>
          <w:caps w:val="false"/>
          <w:smallCaps w:val="false"/>
          <w:sz w:val="20"/>
          <w:u w:val="single"/>
        </w:rPr>
        <w:t>Section 2.04(c)(ii</w:t>
      </w:r>
      <w:r>
        <w:rPr>
          <w:rFonts w:ascii="Times New Roman;Times;Serif" w:hAnsi="Times New Roman;Times;Serif"/>
          <w:b w:val="false"/>
          <w:i w:val="false"/>
          <w:caps w:val="false"/>
          <w:smallCaps w:val="false"/>
          <w:sz w:val="20"/>
        </w:rPr>
        <w:t>), each Revolving Lender that so makes funds available shall be deemed to have made a Base Rate Loan to the Borrower in such amount. The Administrative Agent shall remit the funds so received to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in the foregoing, if for any reason any Swingline Loan cannot be refinanced by such a Revolving Borrowing in accordance with </w:t>
      </w:r>
      <w:r>
        <w:rPr>
          <w:rFonts w:ascii="Times New Roman;Times;Serif" w:hAnsi="Times New Roman;Times;Serif"/>
          <w:b w:val="false"/>
          <w:i w:val="false"/>
          <w:caps w:val="false"/>
          <w:smallCaps w:val="false"/>
          <w:sz w:val="20"/>
          <w:u w:val="single"/>
        </w:rPr>
        <w:t>Section 2.04(c)(i</w:t>
      </w:r>
      <w:r>
        <w:rPr>
          <w:rFonts w:ascii="Times New Roman;Times;Serif" w:hAnsi="Times New Roman;Times;Serif"/>
          <w:b w:val="false"/>
          <w:i w:val="false"/>
          <w:caps w:val="false"/>
          <w:smallCaps w:val="false"/>
          <w:sz w:val="20"/>
        </w:rPr>
        <w:t xml:space="preserve">) (including, without limitation, the failure to satisfy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Times New Roman;Times;Serif" w:hAnsi="Times New Roman;Times;Serif"/>
          <w:b w:val="false"/>
          <w:i w:val="false"/>
          <w:caps w:val="false"/>
          <w:smallCaps w:val="false"/>
          <w:sz w:val="20"/>
          <w:u w:val="single"/>
        </w:rPr>
        <w:t>Section 2.04(c)(i</w:t>
      </w:r>
      <w:r>
        <w:rPr>
          <w:rFonts w:ascii="Times New Roman;Times;Serif" w:hAnsi="Times New Roman;Times;Serif"/>
          <w:b w:val="false"/>
          <w:i w:val="false"/>
          <w:caps w:val="false"/>
          <w:smallCaps w:val="false"/>
          <w:sz w:val="20"/>
        </w:rPr>
        <w:t>) shall be deemed payment in respect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any Revolving Lender fails to make available to the Administrative Agent for the account of the Swingline Lender any amount required to be paid by such Lender pursuant to the foregoing provisions of this </w:t>
      </w:r>
      <w:r>
        <w:rPr>
          <w:rFonts w:ascii="Times New Roman;Times;Serif" w:hAnsi="Times New Roman;Times;Serif"/>
          <w:b w:val="false"/>
          <w:i w:val="false"/>
          <w:caps w:val="false"/>
          <w:smallCaps w:val="false"/>
          <w:sz w:val="20"/>
          <w:u w:val="single"/>
        </w:rPr>
        <w:t>Section 2.04(c</w:t>
      </w:r>
      <w:r>
        <w:rPr>
          <w:rFonts w:ascii="Times New Roman;Times;Serif" w:hAnsi="Times New Roman;Times;Serif"/>
          <w:b w:val="false"/>
          <w:i w:val="false"/>
          <w:caps w:val="false"/>
          <w:smallCaps w:val="false"/>
          <w:sz w:val="20"/>
        </w:rPr>
        <w:t>) by the time specified 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2.04(c)(i</w:t>
      </w:r>
      <w:r>
        <w:rPr>
          <w:rFonts w:ascii="Times New Roman;Times;Serif" w:hAnsi="Times New Roman;Times;Serif"/>
          <w:b w:val="false"/>
          <w:i w:val="false"/>
          <w:caps w:val="false"/>
          <w:smallCaps w:val="false"/>
          <w:sz w:val="20"/>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 certificate of the Swingline Lender submitted to any Lender (through the Administrative Agent) with respect to any amounts owing under this </w:t>
      </w:r>
      <w:r>
        <w:rPr>
          <w:rFonts w:ascii="Times New Roman;Times;Serif" w:hAnsi="Times New Roman;Times;Serif"/>
          <w:b w:val="false"/>
          <w:i w:val="false"/>
          <w:caps w:val="false"/>
          <w:smallCaps w:val="false"/>
          <w:sz w:val="20"/>
          <w:u w:val="single"/>
        </w:rPr>
        <w:t>clause (c)(iii</w:t>
      </w:r>
      <w:r>
        <w:rPr>
          <w:rFonts w:ascii="Times New Roman;Times;Serif" w:hAnsi="Times New Roman;Times;Serif"/>
          <w:b w:val="false"/>
          <w:i w:val="false"/>
          <w:caps w:val="false"/>
          <w:smallCaps w:val="false"/>
          <w:sz w:val="20"/>
        </w:rPr>
        <w:t>)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Each Revolving Lender’s obligation to make Revolving Loans or to purchase and fund risk participations in Swingline Loans pursuant to this </w:t>
      </w:r>
      <w:r>
        <w:rPr>
          <w:rFonts w:ascii="Times New Roman;Times;Serif" w:hAnsi="Times New Roman;Times;Serif"/>
          <w:b w:val="false"/>
          <w:i w:val="false"/>
          <w:caps w:val="false"/>
          <w:smallCaps w:val="false"/>
          <w:sz w:val="20"/>
          <w:u w:val="single"/>
        </w:rPr>
        <w:t>Section 2.04(c</w:t>
      </w:r>
      <w:r>
        <w:rPr>
          <w:rFonts w:ascii="Times New Roman;Times;Serif" w:hAnsi="Times New Roman;Times;Serif"/>
          <w:b w:val="false"/>
          <w:i w:val="false"/>
          <w:caps w:val="false"/>
          <w:smallCaps w:val="false"/>
          <w:sz w:val="20"/>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Revolving Lender’s obligation to make Revolving Loans pursuant to this </w:t>
      </w:r>
      <w:r>
        <w:rPr>
          <w:rFonts w:ascii="Times New Roman;Times;Serif" w:hAnsi="Times New Roman;Times;Serif"/>
          <w:b w:val="false"/>
          <w:i w:val="false"/>
          <w:caps w:val="false"/>
          <w:smallCaps w:val="false"/>
          <w:sz w:val="20"/>
          <w:u w:val="single"/>
        </w:rPr>
        <w:t>Section 2.04(c</w:t>
      </w:r>
      <w:r>
        <w:rPr>
          <w:rFonts w:ascii="Times New Roman;Times;Serif" w:hAnsi="Times New Roman;Times;Serif"/>
          <w:b w:val="false"/>
          <w:i w:val="false"/>
          <w:caps w:val="false"/>
          <w:smallCaps w:val="false"/>
          <w:sz w:val="20"/>
        </w:rPr>
        <w:t xml:space="preserve">) is subject to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(other than delivery by the Borrower of a Loan Notice). No such funding of risk participations shall relieve or otherwise impair the obligation of the Borrower to repay Swingline Loans, together with interest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Repayment of 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any time after any Revolving Lender has purchased and funded a risk participation in a Swingline Loan, if the Swingline Lender receives any payment on account of such Swingline Loan, the Swingline Lender will distribute to such Revolving Lender its Applicable Revolving Percentage thereof in the same funds as those received by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payment received by the Swingline Lender in respect of principal or interest on any Swingline Loan is required to be returned by the Swingline Lender under any of the circumstances described in </w:t>
      </w:r>
      <w:r>
        <w:rPr>
          <w:rFonts w:ascii="Times New Roman;Times;Serif" w:hAnsi="Times New Roman;Times;Serif"/>
          <w:b w:val="false"/>
          <w:i w:val="false"/>
          <w:caps w:val="false"/>
          <w:smallCaps w:val="false"/>
          <w:sz w:val="20"/>
          <w:u w:val="single"/>
        </w:rPr>
        <w:t>Section 11.05</w:t>
      </w:r>
      <w:r>
        <w:rPr>
          <w:rFonts w:ascii="Times New Roman;Times;Serif" w:hAnsi="Times New Roman;Times;Serif"/>
          <w:b w:val="false"/>
          <w:i w:val="false"/>
          <w:caps w:val="false"/>
          <w:smallCaps w:val="false"/>
          <w:sz w:val="20"/>
        </w:rPr>
        <w:t xml:space="preserve"> (including pursuant to any settlement entered into by the Swingline Lender in its discretion), each Revolving Lender shall pay to the Swingline Lender its Applicable Revolving Percentage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Interest for Account of Swingline Lender</w:t>
      </w:r>
      <w:r>
        <w:rPr>
          <w:rFonts w:ascii="Times New Roman;Times;Serif" w:hAnsi="Times New Roman;Times;Serif"/>
          <w:b w:val="false"/>
          <w:i w:val="false"/>
          <w:caps w:val="false"/>
          <w:smallCaps w:val="false"/>
          <w:sz w:val="20"/>
        </w:rPr>
        <w:t xml:space="preserve">. The Swingline Lender shall be responsible for invoicing the Borrower for interest on the Swingline Loans. Until each Revolving Lender funds its Base Rate Loan or risk participation pursuant to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to refinance such Revolving Lender’s Applicable Revolving Percentage of any Swingline Loan, interest in respect of such Applicable Revolving Percentage shall be solely for the account of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Payments Directly to Swingline Lender</w:t>
      </w:r>
      <w:r>
        <w:rPr>
          <w:rFonts w:ascii="Times New Roman;Times;Serif" w:hAnsi="Times New Roman;Times;Serif"/>
          <w:b w:val="false"/>
          <w:i w:val="false"/>
          <w:caps w:val="false"/>
          <w:smallCaps w:val="false"/>
          <w:sz w:val="20"/>
        </w:rPr>
        <w:t>. The Borrower shall make all payments of principal and interest in respect of the Swingline Loans directly to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2.05        </w:t>
      </w:r>
      <w:r>
        <w:rPr>
          <w:rFonts w:ascii="Times New Roman;Times;Serif" w:hAnsi="Times New Roman;Times;Serif"/>
          <w:b/>
          <w:i w:val="false"/>
          <w:caps w:val="false"/>
          <w:smallCaps w:val="false"/>
          <w:sz w:val="20"/>
          <w:u w:val="single"/>
        </w:rPr>
        <w:t>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Optional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may, upon notice to the Administrative Agent pursuant to delivery to the Administrative Agent of a Notice of Loan Prepayment, at any time or from time to time voluntarily prepay DD Term Loans, Term A Loans and Revolving Loans in whole or in part without premium or penalty, subject to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otherwise agreed by the Administrative Agent (i) such notice must be received by the Administrative Agent not later than 12:00 p.m. (A) two (2) Business Days prior to any date of prepayment of Term SOFR Loans and (B) on the date of prepayment of Base Rate Loans; (ii) any prepayment of Term SOFR Loans shall be in a principal amount of $5,000,000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notice may be conditional on the effectiveness of a replacement credit agreement (or other similar document) or the receipt of proceeds of the issuance of Indebtedness or some other identifiable event or condition and may be revoked by the Borrower (by written notice to the Administrative Agent at least one (1) Business Day prior to the specified effective date). Any prepayment of any Term SOFR Loan shall be accompanied by all accrued interest on the amount prepaid, together with any additional amounts required pursuant to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Each prepayment of the outstanding Term Loans pursuant to this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 xml:space="preserve"> shall be applied to the principal repayment installments thereof in inverse order of maturity. Subject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such prepayments shall be paid to the Lenders in accordance with their respective Applicable Percentages in respect of each of the relevant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otherwise agreed by the Swingline Lender, (A) such notice must be received by the Swingline Lender and the Administrative Agent not later than 1:00 p.m. on the date of the prepayment, and (B) any such prepayment shall be in a minimum principal amount of $100,000 or a whole multiple of $100,000 in excess 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notice may be conditional on the effectiveness of a replacement credit agreement (or other similar document) or the receipt of proceeds of the issuance of Indebtedness or some other identifiable event or condition and may be revoked by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(by written notice to the Administrative Agent at least one (1) Business Day prior to the specified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Mandatory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Dispositions and Involuntary Dispositions</w:t>
      </w:r>
      <w:r>
        <w:rPr>
          <w:rFonts w:ascii="Times New Roman;Times;Serif" w:hAnsi="Times New Roman;Times;Serif"/>
          <w:b w:val="false"/>
          <w:i w:val="false"/>
          <w:caps w:val="false"/>
          <w:smallCaps w:val="false"/>
          <w:sz w:val="20"/>
        </w:rPr>
        <w:t xml:space="preserve">. The Borrower shall prepay the Term Loans and/or Cash Collateralize the L/C Obligations as hereinafter provided in an aggregate amount equal to 100% of the Net Cash Proceeds received by any Loan Party or any Subsidiary from all Dispositions (other than Permitted Transfers) and Involuntary Dispositions within three (3) days of the date of such Disposition or Involuntary Disposition;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so long as no Default shall have occurred and be continuing, such Net Cash Proceeds shall not be required to be so applied at the election of the Borrower (as notified by the Borrower to the Administrative Agent on or prior to the date of such Disposition or Involuntary Disposition) to the extent such Loan Party or such Subsidiary reinvests all or any portion of such Net Cash Proceeds in like assets or other assets useful to the business of the Borrower and its Subsidiaries (but specifically excluding current assets as classified by GAAP) within one hundred eighty (180) days after the receipt of such Net Cash Proceeds;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Net Cash Proceeds shall have not been so reinvested within such period, such Net Cash Proceeds shall be immediately applied to prepay the Loans and/or Cash Collateralize the L/C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Debt Issuance</w:t>
      </w:r>
      <w:r>
        <w:rPr>
          <w:rFonts w:ascii="Times New Roman;Times;Serif" w:hAnsi="Times New Roman;Times;Serif"/>
          <w:b w:val="false"/>
          <w:i w:val="false"/>
          <w:caps w:val="false"/>
          <w:smallCaps w:val="false"/>
          <w:sz w:val="20"/>
        </w:rPr>
        <w:t>. Immediately upon the receipt by the Borrower or any Subsidiary of the Net Cash Proceeds of any Debt Issuance, the Borrower shall prepay the Loans and/or Cash Collateralize the L/C Obligations as hereinafter provided in an aggregate amount equal to 100% of such Net Cash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Extraordinary Receipts</w:t>
      </w:r>
      <w:r>
        <w:rPr>
          <w:rFonts w:ascii="Times New Roman;Times;Serif" w:hAnsi="Times New Roman;Times;Serif"/>
          <w:b w:val="false"/>
          <w:i w:val="false"/>
          <w:caps w:val="false"/>
          <w:smallCaps w:val="false"/>
          <w:sz w:val="20"/>
        </w:rPr>
        <w:t xml:space="preserve">. Within three (3) days of receipt by any Loan Party or any Subsidiary of any Extraordinary Receipt received by or paid to or for the account of any Loan Party or any of its Subsidiaries, and not otherwise included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 the Borrower shall prepay the Loans and/or Cash Collateralize the L/C Obligations as hereinafter provided in an aggregate principal amount equal to 100% of all Net Cash Proceeds received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Application of Payments</w:t>
      </w:r>
      <w:r>
        <w:rPr>
          <w:rFonts w:ascii="Times New Roman;Times;Serif" w:hAnsi="Times New Roman;Times;Serif"/>
          <w:b w:val="false"/>
          <w:i w:val="false"/>
          <w:caps w:val="false"/>
          <w:smallCaps w:val="false"/>
          <w:sz w:val="20"/>
        </w:rPr>
        <w:t xml:space="preserve">. Each prepayment of Loans pursuant to the foregoing provisions of clauses (i) through (iii) of this Section 2.05(b) shall be applied first to the principal repayment installments of the Term Loan in inverse order of maturity, including, without limitation, the final principal repayment installment on the Maturity Date, and second to the Revolving Facility in the manner set forth in </w:t>
      </w:r>
      <w:r>
        <w:rPr>
          <w:rFonts w:ascii="Times New Roman;Times;Serif" w:hAnsi="Times New Roman;Times;Serif"/>
          <w:b w:val="false"/>
          <w:i w:val="false"/>
          <w:caps w:val="false"/>
          <w:smallCaps w:val="false"/>
          <w:sz w:val="20"/>
          <w:u w:val="single"/>
        </w:rPr>
        <w:t>clause (vi)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such prepayments shall be paid to eh Lenders in accordance with their respective Applicable Percentages in respect of the relevant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Revolving Outstandings</w:t>
      </w:r>
      <w:r>
        <w:rPr>
          <w:rFonts w:ascii="Times New Roman;Times;Serif" w:hAnsi="Times New Roman;Times;Serif"/>
          <w:b w:val="false"/>
          <w:i w:val="false"/>
          <w:caps w:val="false"/>
          <w:smallCaps w:val="false"/>
          <w:sz w:val="20"/>
        </w:rPr>
        <w:t xml:space="preserve">. If for any reason the Total Revolving Outstandings at any time exceed the Revolving Facility at such time, the Borrower shall immediately prepay Revolving Loans, Swingline Loans and L/C Borrowings and/or Cash Collateralize the L/C Obligations in an aggregate amount equal to such excess;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Cash Collateralize the L/C Obligations pursuant to this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 unless, after the prepayment of the Revolving Loans and Swingline Loans, the Total Revolving Outstandings exceed the Revolving Facility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Application of Other Payments</w:t>
      </w:r>
      <w:r>
        <w:rPr>
          <w:rFonts w:ascii="Times New Roman;Times;Serif" w:hAnsi="Times New Roman;Times;Serif"/>
          <w:b w:val="false"/>
          <w:i w:val="false"/>
          <w:caps w:val="false"/>
          <w:smallCaps w:val="false"/>
          <w:sz w:val="20"/>
        </w:rPr>
        <w:t xml:space="preserve">. Except as otherwise provided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prepayments of the Revolving Facility made pursuant to this Section 2.05(b), </w:t>
      </w:r>
      <w:r>
        <w:rPr>
          <w:rFonts w:ascii="Times New Roman;Times;Serif" w:hAnsi="Times New Roman;Times;Serif"/>
          <w:b w:val="false"/>
          <w:i/>
          <w:caps w:val="false"/>
          <w:smallCaps w:val="false"/>
          <w:sz w:val="20"/>
          <w:u w:val="single"/>
        </w:rPr>
        <w:t>first</w:t>
      </w:r>
      <w:r>
        <w:rPr>
          <w:rFonts w:ascii="Times New Roman;Times;Serif" w:hAnsi="Times New Roman;Times;Serif"/>
          <w:b w:val="false"/>
          <w:i w:val="false"/>
          <w:caps w:val="false"/>
          <w:smallCaps w:val="false"/>
          <w:sz w:val="20"/>
        </w:rPr>
        <w:t xml:space="preserve">, shall be applied ratably to the L/C Borrowings and the Swingline Loans, </w:t>
      </w:r>
      <w:r>
        <w:rPr>
          <w:rFonts w:ascii="Times New Roman;Times;Serif" w:hAnsi="Times New Roman;Times;Serif"/>
          <w:b w:val="false"/>
          <w:i/>
          <w:caps w:val="false"/>
          <w:smallCaps w:val="false"/>
          <w:sz w:val="20"/>
          <w:u w:val="single"/>
        </w:rPr>
        <w:t>second</w:t>
      </w:r>
      <w:r>
        <w:rPr>
          <w:rFonts w:ascii="Times New Roman;Times;Serif" w:hAnsi="Times New Roman;Times;Serif"/>
          <w:b w:val="false"/>
          <w:i w:val="false"/>
          <w:caps w:val="false"/>
          <w:smallCaps w:val="false"/>
          <w:sz w:val="20"/>
        </w:rPr>
        <w:t xml:space="preserve">, shall be applied to the outstanding Revolving Loans, and </w:t>
      </w:r>
      <w:r>
        <w:rPr>
          <w:rFonts w:ascii="Times New Roman;Times;Serif" w:hAnsi="Times New Roman;Times;Serif"/>
          <w:b w:val="false"/>
          <w:i/>
          <w:caps w:val="false"/>
          <w:smallCaps w:val="false"/>
          <w:sz w:val="20"/>
          <w:u w:val="single"/>
        </w:rPr>
        <w:t>third</w:t>
      </w:r>
      <w:r>
        <w:rPr>
          <w:rFonts w:ascii="Times New Roman;Times;Serif" w:hAnsi="Times New Roman;Times;Serif"/>
          <w:b w:val="false"/>
          <w:i w:val="false"/>
          <w:caps w:val="false"/>
          <w:smallCaps w:val="false"/>
          <w:sz w:val="20"/>
        </w:rPr>
        <w:t>, shall be used to Cash Collateralize the remaining L/C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the parameters of the applications set forth above, prepayments pursuant to this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 xml:space="preserve">) shall be applied first to Base Rate Loans and then to Term SOFR Loans in direct order of Interest Period maturities. All prepayments under this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 xml:space="preserve">) shall be subject to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but otherwise without premium or penalty, and shall be accompanied by interest on the principal amount prepaid through the date of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2.06        </w:t>
      </w:r>
      <w:r>
        <w:rPr>
          <w:rFonts w:ascii="Times New Roman;Times;Serif" w:hAnsi="Times New Roman;Times;Serif"/>
          <w:b/>
          <w:i w:val="false"/>
          <w:caps w:val="false"/>
          <w:smallCaps w:val="false"/>
          <w:sz w:val="20"/>
          <w:u w:val="single"/>
        </w:rPr>
        <w:t>Termination or Reduction of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Optional</w:t>
      </w:r>
      <w:r>
        <w:rPr>
          <w:rFonts w:ascii="Times New Roman;Times;Serif" w:hAnsi="Times New Roman;Times;Serif"/>
          <w:b w:val="false"/>
          <w:i w:val="false"/>
          <w:caps w:val="false"/>
          <w:smallCaps w:val="false"/>
          <w:sz w:val="20"/>
        </w:rPr>
        <w:t xml:space="preserve">. The Borrower may, upon notice to the Administrative Agent, terminate the Revolving Facility, the Letter of Credit Sublimit or the Swingline Sublimit, or from time to time permanently reduce the Revolving Facility, the Letter of Credit Sublimit or the Swingline Sublimit;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such notice shall be received by the Administrative Agent not later than 12:00 p.m. five (5) Business Days prior to the date of termination or reduction, (ii) any such partial reduction shall be in an aggregate amount of $10,000,000 or any whole multiple of $1,000,000 in excess thereof and (iii) the Borrower shall not terminate or reduce (A) the Revolving Facility if, after giving effect thereto and to any concurrent prepayments hereunder, the Total Revolving Outstandings would exceed the Revolving Facility, (B) the Letter of Credit Sublimit if, after giving effect thereto, the Outstanding Amount of L/C Obligations not fully Cash Collateralized hereunder would exceed the Letter of Credit Sublimit, or (C) the Swingline Sublimit if, after giving effect thereto and to any concurrent prepayments hereunder, the Outstanding Amount of Swingline Loans would exceed the Swingline Sublimit. In addition, during the Availability Period in respect of the DD Term Facility, the Borrower may, upon notice to the Administrative Agent as set forth above, from time to time terminate (in whole or in part) the unused portion of the aggregate DD Term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Mandatory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Term A Commitments shall be automatically and permanently reduced to zero on the date of the Term A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DD Term Commitments shall be automatically and permanently reduced (A) by the amount of any DD Term Loan made on such date and (B) to zero on the last day of the Availability Period for the DD Term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after giving effect to any reduction or termination of Revolving Commitments under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the Letter of Credit Sublimit or the Swingline Sublimit exceeds the Revolving Facility at such time, the Letter of Credit Sublimit or the Swingline Sublimit, as the case may be, shall be automatically reduced by the amount of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Application of Commitment Reductions; Payment of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Administrative Agent will promptly notify the Lenders of any termination or reduction of the Letter of Credit Sublimit, Swingline Sublimit or the Revolving Commitment under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Upon any reduction of the Revolving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the Revolving Commitment of each Revolving Lender shall be reduced by such Lender’s Applicable Revolving Percentage of such reduction. All fees in respect of the Revolving Facility accrued until the effective date of any termination of the Revolving Facility shall be paid on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Administrative Agent will promptly notify the Lenders of any termination or reduction of the unused portion of the aggregate DD Term Commitments under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Upon any reduction of the unused portion of the aggregate DD Term Commitments, the DD Term Commitment of each DD Term Lender shall be reduced by such Lender’s ratable portion of such reduction. All fees in respect of the DD Term Facility accrued until the effective date of any termination of the DD Term Facility shall be paid on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2.07        </w:t>
      </w:r>
      <w:r>
        <w:rPr>
          <w:rFonts w:ascii="Times New Roman;Times;Serif" w:hAnsi="Times New Roman;Times;Serif"/>
          <w:b/>
          <w:i w:val="false"/>
          <w:caps w:val="false"/>
          <w:smallCaps w:val="false"/>
          <w:sz w:val="20"/>
          <w:u w:val="single"/>
        </w:rPr>
        <w:t>Repayment of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 A Loans</w:t>
      </w:r>
      <w:r>
        <w:rPr>
          <w:rFonts w:ascii="Times New Roman;Times;Serif" w:hAnsi="Times New Roman;Times;Serif"/>
          <w:b w:val="false"/>
          <w:i w:val="false"/>
          <w:caps w:val="false"/>
          <w:smallCaps w:val="false"/>
          <w:sz w:val="20"/>
        </w:rPr>
        <w:t xml:space="preserve">. The Borrower shall repay to the Term A Lenders on the first Business Day following the end of each fiscal quarter of the Borrower (commencing with the fiscal quarter beginning April 1, 2027) an amount equal to the percentage of the aggregate principal amount of Term A Loans advanced on the Closing Date (as such amount may be increased pursuant to </w:t>
      </w:r>
      <w:r>
        <w:rPr>
          <w:rFonts w:ascii="Times New Roman;Times;Serif" w:hAnsi="Times New Roman;Times;Serif"/>
          <w:b w:val="false"/>
          <w:i w:val="false"/>
          <w:caps w:val="false"/>
          <w:smallCaps w:val="false"/>
          <w:sz w:val="20"/>
          <w:u w:val="single"/>
        </w:rPr>
        <w:t>Section 2.07(b)</w:t>
      </w:r>
      <w:r>
        <w:rPr>
          <w:rFonts w:ascii="Times New Roman;Times;Serif" w:hAnsi="Times New Roman;Times;Serif"/>
          <w:b w:val="false"/>
          <w:i w:val="false"/>
          <w:caps w:val="false"/>
          <w:smallCaps w:val="false"/>
          <w:sz w:val="20"/>
        </w:rPr>
        <w:t xml:space="preserve">) for each fiscal quarter indicated below, unless accelerated sooner pursuant to </w:t>
      </w:r>
      <w:r>
        <w:rPr>
          <w:rFonts w:ascii="Times New Roman;Times;Serif" w:hAnsi="Times New Roman;Times;Serif"/>
          <w:b w:val="false"/>
          <w:i w:val="false"/>
          <w:caps w:val="false"/>
          <w:smallCaps w:val="false"/>
          <w:sz w:val="20"/>
          <w:u w:val="single"/>
        </w:rPr>
        <w:t>Section 8.02</w:t>
      </w:r>
    </w:p>
    <w:p>
      <w:pPr>
        <w:pStyle w:val="TextBody"/>
        <w:bidi w:val="0"/>
        <w:spacing w:before="0" w:after="0"/>
        <w:ind w:left="0" w:right="0" w:hanging="0"/>
        <w:jc w:val="left"/>
        <w:rPr>
          <w:caps w:val="false"/>
          <w:smallCaps w:val="false"/>
        </w:rPr>
      </w:pPr>
      <w:r>
        <w:rPr>
          <w:caps w:val="false"/>
          <w:smallCaps w:val="false"/>
        </w:rPr>
        <w:t> </w:t>
      </w:r>
    </w:p>
    <w:tbl>
      <w:tblPr>
        <w:tblW w:w="3220" w:type="dxa"/>
        <w:jc w:val="center"/>
        <w:tblInd w:w="0" w:type="dxa"/>
        <w:tblLayout w:type="fixed"/>
        <w:tblCellMar>
          <w:top w:w="28" w:type="dxa"/>
          <w:left w:w="108" w:type="dxa"/>
          <w:bottom w:w="28" w:type="dxa"/>
          <w:right w:w="108" w:type="dxa"/>
        </w:tblCellMar>
      </w:tblPr>
      <w:tblGrid>
        <w:gridCol w:w="1340"/>
        <w:gridCol w:w="1880"/>
      </w:tblGrid>
      <w:tr>
        <w:trPr/>
        <w:tc>
          <w:tcPr>
            <w:tcW w:w="1340"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Payment Dates</w:t>
            </w:r>
          </w:p>
        </w:tc>
        <w:tc>
          <w:tcPr>
            <w:tcW w:w="1880"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Principal Repayment </w:t>
              <w:br/>
              <w:t>Installments</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2027</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0.625%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 2027</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0.625%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1, 2027</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0.625%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 2028</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0.625%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2028</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 2028</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1, 2028</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 2029</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2029</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 2029</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1, 2029</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 2030</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2030</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1.875%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 2030</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1.875%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1, 2030</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1.875%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 2031</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1.875%</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 2031</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2.50%</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 2031</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2.50%</w:t>
            </w:r>
          </w:p>
        </w:tc>
      </w:tr>
      <w:tr>
        <w:trPr/>
        <w:tc>
          <w:tcPr>
            <w:tcW w:w="134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1, 2031</w:t>
            </w:r>
          </w:p>
        </w:tc>
        <w:tc>
          <w:tcPr>
            <w:tcW w:w="188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the final principal repayment installment of the Term A Loans shall be repaid on the Maturity Date and in any event shall be in an amount equal to the aggregate principal amount of all Term A Loans outstanding on such date, (ii) if any principal repayment installment to be made by the Borrower (other than principal repayment installments on Term SOFR Loans) shall come due on a day other than a Business Day, such principal repayment installment shall be due on the next succeeding Business Day, and such extension of time shall be reflected 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computing interest or fees, as the case may be and (iii) if any principal repayment installment to be made by the Borrower on a Term SOFR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DD Term Loans</w:t>
      </w:r>
      <w:r>
        <w:rPr>
          <w:rFonts w:ascii="Times New Roman;Times;Serif" w:hAnsi="Times New Roman;Times;Serif"/>
          <w:b w:val="false"/>
          <w:i w:val="false"/>
          <w:caps w:val="false"/>
          <w:smallCaps w:val="false"/>
          <w:sz w:val="20"/>
        </w:rPr>
        <w:t xml:space="preserve">. From and after each DD Term Conversion Date, the DD Term Conversion Amount on such date shall automatically become part of, and subject to, the amortization schedule in respect of the Term A Loans and the Borrower shall, from and after such date, make, from and after such date, the payments required in </w:t>
      </w:r>
      <w:r>
        <w:rPr>
          <w:rFonts w:ascii="Times New Roman;Times;Serif" w:hAnsi="Times New Roman;Times;Serif"/>
          <w:b w:val="false"/>
          <w:i w:val="false"/>
          <w:caps w:val="false"/>
          <w:smallCaps w:val="false"/>
          <w:sz w:val="20"/>
          <w:u w:val="single"/>
        </w:rPr>
        <w:t>Section 2.07(a)</w:t>
      </w:r>
      <w:r>
        <w:rPr>
          <w:rFonts w:ascii="Times New Roman;Times;Serif" w:hAnsi="Times New Roman;Times;Serif"/>
          <w:b w:val="false"/>
          <w:i w:val="false"/>
          <w:caps w:val="false"/>
          <w:smallCaps w:val="false"/>
          <w:sz w:val="20"/>
        </w:rPr>
        <w:t xml:space="preserve"> in respect of such DD Term Conversion Amount (in addition to the payments required in respect of the Term A Loan), unless accelerated sooner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the final principal repayment installment of the DD Term Loans shall be repaid on the Maturity Date and in any event shall be in an amount equal to the aggregate principal amount of all DD Term Loans outstanding on such date, (ii) if any principal repayment installment to be made by the Borrower (other than principal repayment installments on Term SOFR Loans) shall come due on a day other than a Business Day, such principal repayment installment shall be due on the next succeeding Business Day, and such extension of time shall be reflected in computing interest or fees, as the case may be and (iii) if any principal repayment installment to be made by the Borrower on a Term SOFR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Revolving Loans</w:t>
      </w:r>
      <w:r>
        <w:rPr>
          <w:rFonts w:ascii="Times New Roman;Times;Serif" w:hAnsi="Times New Roman;Times;Serif"/>
          <w:b w:val="false"/>
          <w:i w:val="false"/>
          <w:caps w:val="false"/>
          <w:smallCaps w:val="false"/>
          <w:sz w:val="20"/>
        </w:rPr>
        <w:t>. The Borrower shall repay to the Revolving Lenders on the Maturity Date the aggregate principal amount of all Revolving Loans outstanding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 The Borrower shall repay each Swingline Loan on or before the earlier to occur of (i) the date ten (10) Business Days after such Loan is made and (ii)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2.08        </w:t>
      </w:r>
      <w:r>
        <w:rPr>
          <w:rFonts w:ascii="Times New Roman;Times;Serif" w:hAnsi="Times New Roman;Times;Serif"/>
          <w:b/>
          <w:i w:val="false"/>
          <w:caps w:val="false"/>
          <w:smallCaps w:val="false"/>
          <w:sz w:val="20"/>
          <w:u w:val="single"/>
        </w:rPr>
        <w:t>Interest and Default Rate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2.08(b</w:t>
      </w:r>
      <w:r>
        <w:rPr>
          <w:rFonts w:ascii="Times New Roman;Times;Serif" w:hAnsi="Times New Roman;Times;Serif"/>
          <w:b w:val="false"/>
          <w:i w:val="false"/>
          <w:caps w:val="false"/>
          <w:smallCaps w:val="false"/>
          <w:sz w:val="20"/>
        </w:rPr>
        <w:t>), (i) each Term SOFR Loan under such Facility shall bear interest on the outstanding principal amount thereof for each Interest Period from the applicable Borrowing date at a rate per annum equal to the Term SOFR for such Interest Period plus the Applicable Rate under such Facility; (ii) each Base Rate Loan under a Facility shall bear interest on the outstanding principal amount thereof from the applicable Borrowing date at a rate per annum equal to the Base Rate plus the Applicable Rate for such Facility;  and (iii) each Swingline Loan shall bear interest on the outstanding principal amount thereof from the applicable Borrowing date at a rate per annum equal to the Base Rate for the Revolving Facility plus the Applicable Rate. To the extent that any calculation of interest or any fee required to be paid under this Agreement shall be based on (or result in) a calculation that is less than zero, such calculation shall be deemed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While any Event of Default of the type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exists, all outstanding Obligations (including Letter of Credit Fees) shall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 at a fluctuating interest rate per annum at all times equal to the Default Rate to the fullest extent permitted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request of the Required Lenders, while any Event of Default exists (including a payment default), all outstanding Obligations (including Letter of Credit Fees) may accrue at a fluctuating interest rate per annum at all times equal to the Default Rate to the fullest extent permitted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Accrued and unpaid interest on past due amounts (including interest on past due interest) shall be due and payable upon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Interest Payments</w:t>
      </w:r>
      <w:r>
        <w:rPr>
          <w:rFonts w:ascii="Times New Roman;Times;Serif" w:hAnsi="Times New Roman;Times;Serif"/>
          <w:b w:val="false"/>
          <w:i w:val="false"/>
          <w:caps w:val="false"/>
          <w:smallCaps w:val="false"/>
          <w:sz w:val="20"/>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2.09        </w:t>
      </w:r>
      <w:r>
        <w:rPr>
          <w:rFonts w:ascii="Times New Roman;Times;Serif" w:hAnsi="Times New Roman;Times;Serif"/>
          <w:b/>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certain fees described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xml:space="preserve">. The Borrower shall pay to the Administrative Agent for the account of each Lender in accordance with its Applicable Percentage, a commitment fee in Dollars equal to the Applicable Rate </w:t>
      </w:r>
      <w:r>
        <w:rPr>
          <w:rFonts w:ascii="Times New Roman;Times;Serif" w:hAnsi="Times New Roman;Times;Serif"/>
          <w:b w:val="false"/>
          <w:i/>
          <w:caps w:val="false"/>
          <w:smallCaps w:val="false"/>
          <w:sz w:val="20"/>
        </w:rPr>
        <w:t>times</w:t>
      </w:r>
      <w:r>
        <w:rPr>
          <w:rFonts w:ascii="Times New Roman;Times;Serif" w:hAnsi="Times New Roman;Times;Serif"/>
          <w:b w:val="false"/>
          <w:i w:val="false"/>
          <w:caps w:val="false"/>
          <w:smallCaps w:val="false"/>
          <w:sz w:val="20"/>
        </w:rPr>
        <w:t xml:space="preserve"> the actual daily amount by which the Revolving Facility exceeds the </w:t>
      </w:r>
      <w:r>
        <w:rPr>
          <w:rFonts w:ascii="Times New Roman;Times;Serif" w:hAnsi="Times New Roman;Times;Serif"/>
          <w:b w:val="false"/>
          <w:i/>
          <w:caps w:val="false"/>
          <w:smallCaps w:val="false"/>
          <w:sz w:val="20"/>
        </w:rPr>
        <w:t>sum of</w:t>
      </w:r>
      <w:r>
        <w:rPr>
          <w:rFonts w:ascii="Times New Roman;Times;Serif" w:hAnsi="Times New Roman;Times;Serif"/>
          <w:b w:val="false"/>
          <w:i w:val="false"/>
          <w:caps w:val="false"/>
          <w:smallCaps w:val="false"/>
          <w:sz w:val="20"/>
        </w:rPr>
        <w:t xml:space="preserve"> (x) the Outstanding Amount of Revolving Loans and (y) the Outstanding Amount of L/C Obligations, subject to adjustment as provided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For the avoidance of doubt, the Outstanding Amount of Swingline Loans shall not be counted towards or considered usage of the Revolving Facility for purposes of determining the commitment fee, in each case, subject to adjustment as provided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In addition, the Borrower shall pay to the Administrative Agent for the account of each DD Term Lender in accordance with its Applicable Percentage of the DD Term Facility, a commitment fee equal to the Applicable Rate </w:t>
      </w:r>
      <w:r>
        <w:rPr>
          <w:rFonts w:ascii="Times New Roman;Times;Serif" w:hAnsi="Times New Roman;Times;Serif"/>
          <w:b w:val="false"/>
          <w:i/>
          <w:caps w:val="false"/>
          <w:smallCaps w:val="false"/>
          <w:sz w:val="20"/>
        </w:rPr>
        <w:t xml:space="preserve">times </w:t>
      </w:r>
      <w:r>
        <w:rPr>
          <w:rFonts w:ascii="Times New Roman;Times;Serif" w:hAnsi="Times New Roman;Times;Serif"/>
          <w:b w:val="false"/>
          <w:i w:val="false"/>
          <w:caps w:val="false"/>
          <w:smallCaps w:val="false"/>
          <w:sz w:val="20"/>
        </w:rPr>
        <w:t xml:space="preserve">the actual daily amount of the aggregate DD Term Commitments. The commitment fee shall accrue at all times during the Availability Period, including at any time during which one or more of the conditions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is not met, and shall be due and payable quarterly in arrears on the first Business Day following each March, June, September and December, commencing with the first such date to occur after the Closing Date, and, in the case of the commitment fee with respect to the Revolving Facility, on the last day of the Availability Period for the Revolving Facility or, in the case of the commitment fee with respect to the DD Term Facility, on the last day of the Availability Period for the DD Term Facility.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Other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pay to the Administrative Agent and the Arranger in Dollars for its own account fees in the amounts and at the times specified in the Fee Letter. Such fees shall be fully earned when paid and shall not be refundable for any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Borrower shall pay to the Lenders in Dollars such fees as shall have been separately agreed upon in writing in the amounts and at the times so specified. Such fees shall be fully earned when paid and shall not be refundable for any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        </w:t>
      </w:r>
      <w:r>
        <w:rPr>
          <w:rFonts w:ascii="Times New Roman;Times;Serif" w:hAnsi="Times New Roman;Times;Serif"/>
          <w:b/>
          <w:i w:val="false"/>
          <w:caps w:val="false"/>
          <w:smallCaps w:val="false"/>
          <w:sz w:val="20"/>
          <w:u w:val="single"/>
        </w:rPr>
        <w:t>Computation of Interest and Fees; Retroactive Adjustments of Applicable Rate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Computation of Interest and Fees</w:t>
      </w:r>
      <w:r>
        <w:rPr>
          <w:rFonts w:ascii="Times New Roman;Times;Serif" w:hAnsi="Times New Roman;Times;Serif"/>
          <w:b w:val="false"/>
          <w:i w:val="false"/>
          <w:caps w:val="false"/>
          <w:smallCaps w:val="false"/>
          <w:sz w:val="20"/>
        </w:rPr>
        <w:t xml:space="preserve">. 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three hundred sixty (360) day year and actual days elapsed (which results in more fees or interest, as applicable, being paid than if computed on the basis of a 365 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Times New Roman;Times;Serif" w:hAnsi="Times New Roman;Times;Serif"/>
          <w:b w:val="false"/>
          <w:i w:val="false"/>
          <w:caps w:val="false"/>
          <w:smallCaps w:val="false"/>
          <w:sz w:val="20"/>
          <w:u w:val="single"/>
        </w:rPr>
        <w:t>Section 2.12(a</w:t>
      </w:r>
      <w:r>
        <w:rPr>
          <w:rFonts w:ascii="Times New Roman;Times;Serif" w:hAnsi="Times New Roman;Times;Serif"/>
          <w:b w:val="false"/>
          <w:i w:val="false"/>
          <w:caps w:val="false"/>
          <w:smallCaps w:val="false"/>
          <w:sz w:val="20"/>
        </w:rPr>
        <w:t>), bear interest for one (1) day. Each determination by the Administrative Agent of an interest rate or fee hereunder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Financial Statement Adjustments or Restatements</w:t>
      </w:r>
      <w:r>
        <w:rPr>
          <w:rFonts w:ascii="Times New Roman;Times;Serif" w:hAnsi="Times New Roman;Times;Serif"/>
          <w:b w:val="false"/>
          <w:i w:val="false"/>
          <w:caps w:val="false"/>
          <w:smallCaps w:val="false"/>
          <w:sz w:val="20"/>
        </w:rPr>
        <w:t xml:space="preserve">. If, as a result of any restatement of or other adjustment to the financial statements of the Borrower and its Subsidiaries or for any other reason, the Borrower, or the Lenders determine that (i) the Consolidated Net Leverage Ratio as calculated by the Borrower as of any applicable date was inaccurate and (ii) a proper calculation of the Consolidated Net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not limit the rights of the Administrative Agent, any Lender or the L/C Issuer, as the case may be, under any provision of this Agreement to payment of any Obligations hereunder at the Default Rate or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The Borrower’s obligations under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shall survive the termination of the Aggregate Commitments and the repayment of all other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2.11        </w:t>
      </w:r>
      <w:r>
        <w:rPr>
          <w:rFonts w:ascii="Times New Roman;Times;Serif" w:hAnsi="Times New Roman;Times;Serif"/>
          <w:b/>
          <w:i w:val="false"/>
          <w:caps w:val="false"/>
          <w:smallCaps w:val="false"/>
          <w:sz w:val="20"/>
          <w:u w:val="single"/>
        </w:rPr>
        <w:t>Evidence of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Maintenance of Accounts</w:t>
      </w:r>
      <w:r>
        <w:rPr>
          <w:rFonts w:ascii="Times New Roman;Times;Serif" w:hAnsi="Times New Roman;Times;Serif"/>
          <w:b w:val="false"/>
          <w:i w:val="false"/>
          <w:caps w:val="false"/>
          <w:smallCaps w:val="false"/>
          <w:sz w:val="20"/>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Times New Roman;Times;Serif" w:hAnsi="Times New Roman;Times;Serif"/>
          <w:b w:val="false"/>
          <w:i w:val="false"/>
          <w:caps w:val="false"/>
          <w:smallCaps w:val="false"/>
          <w:sz w:val="20"/>
          <w:u w:val="single"/>
        </w:rPr>
        <w:t>Section 11.06(c</w:t>
      </w:r>
      <w:r>
        <w:rPr>
          <w:rFonts w:ascii="Times New Roman;Times;Serif" w:hAnsi="Times New Roman;Times;Serif"/>
          <w:b w:val="false"/>
          <w:i w:val="false"/>
          <w:caps w:val="false"/>
          <w:smallCaps w:val="false"/>
          <w:sz w:val="20"/>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currency and maturity of its Loans and payments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Maintenance of Records</w:t>
      </w:r>
      <w:r>
        <w:rPr>
          <w:rFonts w:ascii="Times New Roman;Times;Serif" w:hAnsi="Times New Roman;Times;Serif"/>
          <w:b w:val="false"/>
          <w:i w:val="false"/>
          <w:caps w:val="false"/>
          <w:smallCaps w:val="false"/>
          <w:sz w:val="20"/>
        </w:rPr>
        <w:t xml:space="preserve">. In addition to the accounts and records referred to in </w:t>
      </w:r>
      <w:r>
        <w:rPr>
          <w:rFonts w:ascii="Times New Roman;Times;Serif" w:hAnsi="Times New Roman;Times;Serif"/>
          <w:b w:val="false"/>
          <w:i w:val="false"/>
          <w:caps w:val="false"/>
          <w:smallCaps w:val="false"/>
          <w:sz w:val="20"/>
          <w:u w:val="single"/>
        </w:rPr>
        <w:t>Section 2.11(a</w:t>
      </w:r>
      <w:r>
        <w:rPr>
          <w:rFonts w:ascii="Times New Roman;Times;Serif" w:hAnsi="Times New Roman;Times;Serif"/>
          <w:b w:val="false"/>
          <w:i w:val="false"/>
          <w:caps w:val="false"/>
          <w:smallCaps w:val="false"/>
          <w:sz w:val="20"/>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w:t>
      </w:r>
      <w:r>
        <w:rPr>
          <w:rFonts w:ascii="Times New Roman;Times;Serif" w:hAnsi="Times New Roman;Times;Serif"/>
          <w:b/>
          <w:i w:val="false"/>
          <w:caps w:val="false"/>
          <w:smallCaps w:val="false"/>
          <w:sz w:val="20"/>
          <w:u w:val="single"/>
        </w:rPr>
        <w:t>Payments Generally; Administrative Agent’s Clawback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w:t>
      </w:r>
      <w:r>
        <w:rPr>
          <w:rFonts w:ascii="Times New Roman;Times;Serif" w:hAnsi="Times New Roman;Times;Serif"/>
          <w:b w:val="false"/>
          <w:i w:val="false"/>
          <w:caps w:val="false"/>
          <w:smallCaps w:val="false"/>
          <w:sz w:val="20"/>
          <w:u w:val="single"/>
        </w:rPr>
        <w:t>Section 2.07(a)</w:t>
      </w:r>
      <w:r>
        <w:rPr>
          <w:rFonts w:ascii="Times New Roman;Times;Serif" w:hAnsi="Times New Roman;Times;Serif"/>
          <w:b w:val="false"/>
          <w:i w:val="false"/>
          <w:caps w:val="false"/>
          <w:smallCaps w:val="false"/>
          <w:sz w:val="20"/>
        </w:rPr>
        <w:t> and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w:t>
      </w:r>
      <w:r>
        <w:rPr>
          <w:rFonts w:ascii="Times New Roman;Times;Serif" w:hAnsi="Times New Roman;Times;Serif"/>
          <w:b w:val="false"/>
          <w:i w:val="false"/>
          <w:caps w:val="false"/>
          <w:smallCaps w:val="false"/>
          <w:sz w:val="20"/>
          <w:u w:val="single"/>
        </w:rPr>
        <w:t>Funding by Lenders; Presumption by Administrative Agent</w:t>
      </w:r>
      <w:r>
        <w:rPr>
          <w:rFonts w:ascii="Times New Roman;Times;Serif" w:hAnsi="Times New Roman;Times;Serif"/>
          <w:b w:val="false"/>
          <w:i w:val="false"/>
          <w:caps w:val="false"/>
          <w:smallCaps w:val="false"/>
          <w:sz w:val="20"/>
        </w:rPr>
        <w:t xml:space="preserve">. Unless the Administrative Agent shall have received notice from a Lender prior to the proposed date of any Borrowing of Term SOFR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(or, in the case of a Borrowing of Base Rate Loans, that such Lender has made such share available in accordance with and at the time required by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Payments by Borrower; Presumptions by Administrative Agent</w:t>
      </w:r>
      <w:r>
        <w:rPr>
          <w:rFonts w:ascii="Times New Roman;Times;Serif" w:hAnsi="Times New Roman;Times;Serif"/>
          <w:b w:val="false"/>
          <w:i w:val="false"/>
          <w:caps w:val="false"/>
          <w:smallCaps w:val="false"/>
          <w:sz w:val="20"/>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 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Times;Serif" w:hAnsi="Times New Roman;Times;Serif"/>
          <w:b w:val="false"/>
          <w:i/>
          <w:caps w:val="false"/>
          <w:smallCaps w:val="false"/>
          <w:sz w:val="20"/>
          <w:u w:val="single"/>
        </w:rPr>
        <w:t>Rescindable Amount</w:t>
      </w:r>
      <w:r>
        <w:rPr>
          <w:rFonts w:ascii="Times New Roman;Times;Serif" w:hAnsi="Times New Roman;Times;Serif"/>
          <w:b w:val="false"/>
          <w:i w:val="false"/>
          <w:caps w:val="false"/>
          <w:smallCaps w:val="false"/>
          <w:sz w:val="20"/>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Appropriate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notice of the Administrative Agent to any Lender or the Borrower with respect to any amount owing under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Failure to Satisfy Conditions Precedent</w:t>
      </w:r>
      <w:r>
        <w:rPr>
          <w:rFonts w:ascii="Times New Roman;Times;Serif" w:hAnsi="Times New Roman;Times;Serif"/>
          <w:b w:val="false"/>
          <w:i w:val="false"/>
          <w:caps w:val="false"/>
          <w:smallCaps w:val="false"/>
          <w:sz w:val="20"/>
        </w:rPr>
        <w:t xml:space="preserve">. If any Lender makes available to the Administrative Agent funds for any Loan to be made by such Lender as provided in the foregoing provisions of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such funds are not made available to the Borrower by the Administrative Agent because the conditions to the applicable Credit Extension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are not satisfied or waived in accordance with the terms hereof, the Administrative Agent shall return such funds (in like funds as received from such Lender) to such Lender, without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Obligations of Lenders Several</w:t>
      </w:r>
      <w:r>
        <w:rPr>
          <w:rFonts w:ascii="Times New Roman;Times;Serif" w:hAnsi="Times New Roman;Times;Serif"/>
          <w:b w:val="false"/>
          <w:i w:val="false"/>
          <w:caps w:val="false"/>
          <w:smallCaps w:val="false"/>
          <w:sz w:val="20"/>
        </w:rPr>
        <w:t xml:space="preserve">. The obligations of the Lenders hereunder to make Term Loans or Revolving Loans, to fund participations in Letters of Credit and Swingline Loans and to make payments pursuant to </w:t>
      </w:r>
      <w:r>
        <w:rPr>
          <w:rFonts w:ascii="Times New Roman;Times;Serif" w:hAnsi="Times New Roman;Times;Serif"/>
          <w:b w:val="false"/>
          <w:i w:val="false"/>
          <w:caps w:val="false"/>
          <w:smallCaps w:val="false"/>
          <w:sz w:val="20"/>
          <w:u w:val="single"/>
        </w:rPr>
        <w:t>Section 11.04(c</w:t>
      </w:r>
      <w:r>
        <w:rPr>
          <w:rFonts w:ascii="Times New Roman;Times;Serif" w:hAnsi="Times New Roman;Times;Serif"/>
          <w:b w:val="false"/>
          <w:i w:val="false"/>
          <w:caps w:val="false"/>
          <w:smallCaps w:val="false"/>
          <w:sz w:val="20"/>
        </w:rPr>
        <w:t xml:space="preserve">) are several and not joint. The failure of any Lender to make any Loan, to fund any such participation or to make any payment under </w:t>
      </w:r>
      <w:r>
        <w:rPr>
          <w:rFonts w:ascii="Times New Roman;Times;Serif" w:hAnsi="Times New Roman;Times;Serif"/>
          <w:b w:val="false"/>
          <w:i w:val="false"/>
          <w:caps w:val="false"/>
          <w:smallCaps w:val="false"/>
          <w:sz w:val="20"/>
          <w:u w:val="single"/>
        </w:rPr>
        <w:t>Section 11.04(c</w:t>
      </w:r>
      <w:r>
        <w:rPr>
          <w:rFonts w:ascii="Times New Roman;Times;Serif" w:hAnsi="Times New Roman;Times;Serif"/>
          <w:b w:val="false"/>
          <w:i w:val="false"/>
          <w:caps w:val="false"/>
          <w:smallCaps w:val="false"/>
          <w:sz w:val="2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Times;Serif" w:hAnsi="Times New Roman;Times;Serif"/>
          <w:b w:val="false"/>
          <w:i w:val="false"/>
          <w:caps w:val="false"/>
          <w:smallCaps w:val="false"/>
          <w:sz w:val="20"/>
          <w:u w:val="single"/>
        </w:rPr>
        <w:t>Section 11.04(c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Funding Source</w:t>
      </w:r>
      <w:r>
        <w:rPr>
          <w:rFonts w:ascii="Times New Roman;Times;Serif" w:hAnsi="Times New Roman;Times;Serif"/>
          <w:b w:val="false"/>
          <w:i w:val="false"/>
          <w:caps w:val="false"/>
          <w:smallCaps w:val="false"/>
          <w:sz w:val="20"/>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Pro Rata Treatment</w:t>
      </w:r>
      <w:r>
        <w:rPr>
          <w:rFonts w:ascii="Times New Roman;Times;Serif" w:hAnsi="Times New Roman;Times;Serif"/>
          <w:b w:val="false"/>
          <w:i w:val="false"/>
          <w:caps w:val="false"/>
          <w:smallCaps w:val="false"/>
          <w:sz w:val="20"/>
        </w:rPr>
        <w:t xml:space="preserve">. Except to the extent otherwise provided herein: (i) each Borrowing (other than Swingline Borrowings) shall be made from the Appropriate Lenders, each payment of fees under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shall be made for account of the Appropriate Lenders, and each termination or reduction of the amount of the Commitments shall be applied to the respective Commitments of the Lenders, pro rata according to the amounts of their respective Commitments; (ii) each Borrowing shall be allocated pro rata among the Lenders according to the amounts of their respective Commitments (in the case of the making of Revolving Loans) or their respective Loans that are to be included in such Borrowing (in the case of conversions and continuations of Loans); (iii) each payment or prepayment of principal of Loans by the Borrower shall be made for account of the Appropriate Lenders pro rata in accordance with the respective unpaid principal amounts of the Loans held by them; and (iv) each payment of interest on Loans by the Borrower shall be made for account of the Appropriate Lenders pro rata in accordance with the amounts of interest on such Loans then due and payable to the respective Appropriate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Insufficient Funds.</w:t>
      </w:r>
      <w:r>
        <w:rPr>
          <w:rFonts w:ascii="Times New Roman;Times;Serif" w:hAnsi="Times New Roman;Times;Serif"/>
          <w:b w:val="false"/>
          <w:i w:val="false"/>
          <w:caps w:val="false"/>
          <w:smallCaps w:val="false"/>
          <w:sz w:val="20"/>
        </w:rPr>
        <w:t>  If at any time insufficient funds are received by and available to the Administrative Agent to pay fully all amounts of principal, L/C Borrowings, interest and fees then due hereunder, such funds shall be applied (i) first, toward payment of interest and fees then due hereunder, ratably among the parties entitled thereto in accordance with the amounts of interest and fees then due to such parties, and (ii) second, toward payment of principal and L/C Borrowings then due hereunder, ratably among the parties entitled thereto in accordance with the amounts of principal and L/C Borrowings then due to such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        </w:t>
      </w:r>
      <w:r>
        <w:rPr>
          <w:rFonts w:ascii="Times New Roman;Times;Serif" w:hAnsi="Times New Roman;Times;Serif"/>
          <w:b/>
          <w:i w:val="false"/>
          <w:caps w:val="false"/>
          <w:smallCaps w:val="false"/>
          <w:sz w:val="20"/>
          <w:u w:val="single"/>
        </w:rPr>
        <w:t>Sharing of Payments by Lenders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provisions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(C)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        </w:t>
      </w:r>
      <w:r>
        <w:rPr>
          <w:rFonts w:ascii="Times New Roman;Times;Serif" w:hAnsi="Times New Roman;Times;Serif"/>
          <w:b/>
          <w:i w:val="false"/>
          <w:caps w:val="false"/>
          <w:smallCaps w:val="false"/>
          <w:sz w:val="20"/>
          <w:u w:val="single"/>
        </w:rPr>
        <w:t>Cash Collateral</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Obligation to Cash Collateralize</w:t>
      </w:r>
      <w:r>
        <w:rPr>
          <w:rFonts w:ascii="Times New Roman;Times;Serif" w:hAnsi="Times New Roman;Times;Serif"/>
          <w:b w:val="false"/>
          <w:i w:val="false"/>
          <w:caps w:val="false"/>
          <w:smallCaps w:val="false"/>
          <w:sz w:val="20"/>
        </w:rPr>
        <w:t xml:space="preserve">. At any time there shall exist a Defaulting Lender, within one Business Day following the written request of the Administrative Agent or the L/C Issuer (with a copy to the Administrative Agent), the Borrower shall Cash Collateralize the L/C Issuer’s Fronting Exposure with respect to such Defaulting Lender (determined after giving effect to </w:t>
      </w:r>
      <w:r>
        <w:rPr>
          <w:rFonts w:ascii="Times New Roman;Times;Serif" w:hAnsi="Times New Roman;Times;Serif"/>
          <w:b w:val="false"/>
          <w:i w:val="false"/>
          <w:caps w:val="false"/>
          <w:smallCaps w:val="false"/>
          <w:sz w:val="20"/>
          <w:u w:val="single"/>
        </w:rPr>
        <w:t>Section 2.15(a)(iv</w:t>
      </w:r>
      <w:r>
        <w:rPr>
          <w:rFonts w:ascii="Times New Roman;Times;Serif" w:hAnsi="Times New Roman;Times;Serif"/>
          <w:b w:val="false"/>
          <w:i w:val="false"/>
          <w:caps w:val="false"/>
          <w:smallCaps w:val="false"/>
          <w:sz w:val="20"/>
        </w:rPr>
        <w:t>) and any Cash Collateral provided by such Defaulting Lender) in an amount not less than the Minimum Collateral Amount. Additionally, if the Administrative Agent notifies the Borrower at any time that the Outstanding Amount of all L/C Obligations at such time exceeds 105% of the Letter of Credit Sublimit then in effect, then within two (2) Business Days after receipt of such notice, the Borrower shall provide Cash Collateral for the Outstanding Amount of the L/C Obligations in an amount not less than the amount by which the Outstanding Amount of all L/C Obligations exceeds the Letter of Credit Sublimit.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Times;Serif" w:hAnsi="Times New Roman;Times;Serif"/>
          <w:b w:val="false"/>
          <w:i w:val="false"/>
          <w:caps w:val="false"/>
          <w:smallCaps w:val="false"/>
          <w:sz w:val="20"/>
          <w:u w:val="single"/>
        </w:rPr>
        <w:t>Section 2.14(c</w:t>
      </w:r>
      <w:r>
        <w:rPr>
          <w:rFonts w:ascii="Times New Roman;Times;Serif" w:hAnsi="Times New Roman;Times;Serif"/>
          <w:b w:val="false"/>
          <w:i w:val="false"/>
          <w:caps w:val="false"/>
          <w:smallCaps w:val="false"/>
          <w:sz w:val="20"/>
        </w:rPr>
        <w:t xml:space="preserve">).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Times;Serif" w:hAnsi="Times New Roman;Times;Serif"/>
          <w:b w:val="false"/>
          <w:i w:val="false"/>
          <w:caps w:val="false"/>
          <w:smallCaps w:val="false"/>
          <w:sz w:val="20"/>
          <w:u w:val="single"/>
        </w:rPr>
        <w:t>Section 2.15(a)(v</w:t>
      </w:r>
      <w:r>
        <w:rPr>
          <w:rFonts w:ascii="Times New Roman;Times;Serif" w:hAnsi="Times New Roman;Times;Serif"/>
          <w:b w:val="false"/>
          <w:i w:val="false"/>
          <w:caps w:val="false"/>
          <w:smallCaps w:val="false"/>
          <w:sz w:val="20"/>
        </w:rPr>
        <w:t xml:space="preserve">), after giving effect to </w:t>
      </w:r>
      <w:r>
        <w:rPr>
          <w:rFonts w:ascii="Times New Roman;Times;Serif" w:hAnsi="Times New Roman;Times;Serif"/>
          <w:b w:val="false"/>
          <w:i w:val="false"/>
          <w:caps w:val="false"/>
          <w:smallCaps w:val="false"/>
          <w:sz w:val="20"/>
          <w:u w:val="single"/>
        </w:rPr>
        <w:t>Section 2.15(a)(v</w:t>
      </w:r>
      <w:r>
        <w:rPr>
          <w:rFonts w:ascii="Times New Roman;Times;Serif" w:hAnsi="Times New Roman;Times;Serif"/>
          <w:b w:val="false"/>
          <w:i w:val="false"/>
          <w:caps w:val="false"/>
          <w:smallCaps w:val="false"/>
          <w:sz w:val="20"/>
        </w:rPr>
        <w:t>) and any Cash Collateral provided by the Defaulting Lender). All Cash Collateral (other than credit support not constituting funds subject to deposit) shall be maintained in one or more Controlled Accounts at MUFG. The Borrower shall pay on demand therefor from time to time all customary account opening, activity and other administrative fees and charges in connection with the maintenance and disbursement of Cash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xml:space="preserve">. Notwithstanding anything to the contrary contained in this Agreement, Cash Collateral provided under any of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Sections 2.03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8.02</w:t>
      </w:r>
      <w:r>
        <w:rPr>
          <w:rFonts w:ascii="Times New Roman;Times;Serif" w:hAnsi="Times New Roman;Times;Serif"/>
          <w:b w:val="false"/>
          <w:i w:val="false"/>
          <w:caps w:val="false"/>
          <w:smallCaps w:val="false"/>
          <w:sz w:val="20"/>
        </w:rPr>
        <w:t xml:space="preserve"> in respect of Letters of Credit shall be held and applied to the satisfaction of the specific L/C Obligations, obligations to fund participations therein (including, as to Cash Collateral provided 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Revolving Lender that is a Defaulting Lender, any interest accrued on such obligation) and other obligations for which the Cash Collateral was so provided, prior to any other application of such property as may be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Times New Roman;Times;Serif" w:hAnsi="Times New Roman;Times;Serif"/>
          <w:b w:val="false"/>
          <w:i w:val="false"/>
          <w:caps w:val="false"/>
          <w:smallCaps w:val="false"/>
          <w:sz w:val="20"/>
          <w:u w:val="single"/>
        </w:rPr>
        <w:t>Section 11.06(b)(vi</w:t>
      </w:r>
      <w:r>
        <w:rPr>
          <w:rFonts w:ascii="Times New Roman;Times;Serif" w:hAnsi="Times New Roman;Times;Serif"/>
          <w:b w:val="false"/>
          <w:i w:val="false"/>
          <w:caps w:val="false"/>
          <w:smallCaps w:val="false"/>
          <w:sz w:val="20"/>
        </w:rPr>
        <w:t xml:space="preserve">))) or (ii) the determination by the Administrative Agent and the L/C Issuer that there exists excess Cash Collateral;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w:t>
      </w:r>
      <w:r>
        <w:rPr>
          <w:rFonts w:ascii="Times New Roman;Times;Serif" w:hAnsi="Times New Roman;Times;Serif"/>
          <w:b/>
          <w:i w:val="false"/>
          <w:caps w:val="false"/>
          <w:smallCaps w:val="false"/>
          <w:sz w:val="20"/>
          <w:u w:val="single"/>
        </w:rPr>
        <w:t>Defaulting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Waivers and Amendments</w:t>
      </w:r>
      <w:r>
        <w:rPr>
          <w:rFonts w:ascii="Times New Roman;Times;Serif" w:hAnsi="Times New Roman;Times;Serif"/>
          <w:b w:val="false"/>
          <w:i w:val="false"/>
          <w:caps w:val="false"/>
          <w:smallCaps w:val="false"/>
          <w:sz w:val="20"/>
        </w:rPr>
        <w:t xml:space="preserve">. Such Defaulting Lender’s right to approve or disapprove any amendment, waiver or consent with respect to this Agreement shall be restricted as set forth in the definition of “Required Lenders” and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Administrative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otherwise) or received by the Administrative Agent from a Defaulting Lender pursuant to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w:t>
      </w:r>
      <w:r>
        <w:rPr>
          <w:rFonts w:ascii="Times New Roman;Times;Serif" w:hAnsi="Times New Roman;Times;Serif"/>
          <w:b w:val="false"/>
          <w:i/>
          <w:caps w:val="false"/>
          <w:smallCaps w:val="false"/>
          <w:sz w:val="20"/>
          <w:u w:val="single"/>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caps w:val="false"/>
          <w:smallCaps w:val="false"/>
          <w:sz w:val="20"/>
          <w:u w:val="single"/>
        </w:rPr>
        <w:t>second</w:t>
      </w:r>
      <w:r>
        <w:rPr>
          <w:rFonts w:ascii="Times New Roman;Times;Serif" w:hAnsi="Times New Roman;Times;Serif"/>
          <w:b w:val="false"/>
          <w:i w:val="false"/>
          <w:caps w:val="false"/>
          <w:smallCaps w:val="false"/>
          <w:sz w:val="20"/>
        </w:rPr>
        <w:t xml:space="preserve">, to the payment on a pro rata basis of any amounts owing by such Defaulting Lender to the L/C Issuer or the Swingline Lender hereunder; </w:t>
      </w:r>
      <w:r>
        <w:rPr>
          <w:rFonts w:ascii="Times New Roman;Times;Serif" w:hAnsi="Times New Roman;Times;Serif"/>
          <w:b w:val="false"/>
          <w:i/>
          <w:caps w:val="false"/>
          <w:smallCaps w:val="false"/>
          <w:sz w:val="20"/>
          <w:u w:val="single"/>
        </w:rPr>
        <w:t>third</w:t>
      </w:r>
      <w:r>
        <w:rPr>
          <w:rFonts w:ascii="Times New Roman;Times;Serif" w:hAnsi="Times New Roman;Times;Serif"/>
          <w:b w:val="false"/>
          <w:i w:val="false"/>
          <w:caps w:val="false"/>
          <w:smallCaps w:val="false"/>
          <w:sz w:val="20"/>
        </w:rPr>
        <w:t xml:space="preserve">, to Cash Collateralize the L/C Issuer’s Fronting Exposure with respect to such Defaulting Lender in accordance with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fourth</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caps w:val="false"/>
          <w:smallCaps w:val="false"/>
          <w:sz w:val="20"/>
          <w:u w:val="single"/>
        </w:rPr>
        <w:t>fifth</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pro rata 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sixth</w:t>
      </w:r>
      <w:r>
        <w:rPr>
          <w:rFonts w:ascii="Times New Roman;Times;Serif" w:hAnsi="Times New Roman;Times;Serif"/>
          <w:b w:val="false"/>
          <w:i w:val="false"/>
          <w:caps w:val="false"/>
          <w:smallCaps w:val="false"/>
          <w:sz w:val="20"/>
        </w:rPr>
        <w:t xml:space="preserve">, to the payment of any amounts owing to the Lenders, the L/C Issuer or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Times New Roman;Times;Serif" w:hAnsi="Times New Roman;Times;Serif"/>
          <w:b w:val="false"/>
          <w:i/>
          <w:caps w:val="false"/>
          <w:smallCaps w:val="false"/>
          <w:sz w:val="20"/>
          <w:u w:val="single"/>
        </w:rPr>
        <w:t>seventh</w:t>
      </w:r>
      <w:r>
        <w:rPr>
          <w:rFonts w:ascii="Times New Roman;Times;Serif" w:hAnsi="Times New Roman;Times;Serif"/>
          <w:b w:val="false"/>
          <w:i w:val="false"/>
          <w:caps w:val="false"/>
          <w:smallCaps w:val="false"/>
          <w:sz w:val="20"/>
        </w:rPr>
        <w:t>, so long as no Default or Event of Default exists, to the payment of any amounts owing to the Borrower as a result of any judgment of a court of competent jurisdiction obtained by the Borrower against such Defaulting Lender as a result of such Defaulting Lender’s breach 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its obligations under this Agreement; and </w:t>
      </w:r>
      <w:r>
        <w:rPr>
          <w:rFonts w:ascii="Times New Roman;Times;Serif" w:hAnsi="Times New Roman;Times;Serif"/>
          <w:b w:val="false"/>
          <w:i/>
          <w:caps w:val="false"/>
          <w:smallCaps w:val="false"/>
          <w:sz w:val="20"/>
          <w:u w:val="single"/>
        </w:rPr>
        <w:t>eighth</w:t>
      </w:r>
      <w:r>
        <w:rPr>
          <w:rFonts w:ascii="Times New Roman;Times;Serif" w:hAnsi="Times New Roman;Times;Serif"/>
          <w:b w:val="false"/>
          <w:i w:val="false"/>
          <w:caps w:val="false"/>
          <w:smallCaps w:val="false"/>
          <w:sz w:val="20"/>
        </w:rPr>
        <w:t xml:space="preserve">, to such Defaulting Lender or as otherwise as may be required under the Loan Documents in connection with any Lien conferred thereunder or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Times New Roman;Times;Serif" w:hAnsi="Times New Roman;Times;Serif"/>
          <w:b w:val="false"/>
          <w:i w:val="false"/>
          <w:caps w:val="false"/>
          <w:smallCaps w:val="false"/>
          <w:sz w:val="20"/>
          <w:u w:val="single"/>
        </w:rPr>
        <w:t>Section 2.15(a)(v</w:t>
      </w:r>
      <w:r>
        <w:rPr>
          <w:rFonts w:ascii="Times New Roman;Times;Serif" w:hAnsi="Times New Roman;Times;Serif"/>
          <w:b w:val="false"/>
          <w:i w:val="false"/>
          <w:caps w:val="false"/>
          <w:smallCaps w:val="false"/>
          <w:sz w:val="20"/>
        </w:rPr>
        <w:t xml:space="preserve">).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b w:val="false"/>
          <w:i w:val="false"/>
          <w:caps w:val="false"/>
          <w:smallCaps w:val="false"/>
          <w:sz w:val="20"/>
          <w:u w:val="single"/>
        </w:rPr>
        <w:t>Section 2.15(a)(ii</w:t>
      </w:r>
      <w:r>
        <w:rPr>
          <w:rFonts w:ascii="Times New Roman;Times;Serif" w:hAnsi="Times New Roman;Times;Serif"/>
          <w:b w:val="false"/>
          <w:i w:val="false"/>
          <w:caps w:val="false"/>
          <w:smallCaps w:val="false"/>
          <w:sz w:val="20"/>
        </w:rPr>
        <w:t>)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xml:space="preserve">. No Defaulting Lender shall be entitled to receive any fee payable under </w:t>
      </w:r>
      <w:r>
        <w:rPr>
          <w:rFonts w:ascii="Times New Roman;Times;Serif" w:hAnsi="Times New Roman;Times;Serif"/>
          <w:b w:val="false"/>
          <w:i w:val="false"/>
          <w:caps w:val="false"/>
          <w:smallCaps w:val="false"/>
          <w:sz w:val="20"/>
          <w:u w:val="single"/>
        </w:rPr>
        <w:t>Section 2.09(a</w:t>
      </w:r>
      <w:r>
        <w:rPr>
          <w:rFonts w:ascii="Times New Roman;Times;Serif" w:hAnsi="Times New Roman;Times;Serif"/>
          <w:b w:val="false"/>
          <w:i w:val="false"/>
          <w:caps w:val="false"/>
          <w:smallCaps w:val="false"/>
          <w:sz w:val="20"/>
        </w:rPr>
        <w:t>) for any period during which that Lender is a Defaulting Lender (and the Borrower shall not be required to pay any such fee that otherwise would have been required to have been paid to that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Letter of Credit Fees</w:t>
      </w:r>
      <w:r>
        <w:rPr>
          <w:rFonts w:ascii="Times New Roman;Times;Serif" w:hAnsi="Times New Roman;Times;Serif"/>
          <w:b w:val="false"/>
          <w:i w:val="false"/>
          <w:caps w:val="false"/>
          <w:smallCaps w:val="false"/>
          <w:sz w:val="20"/>
        </w:rPr>
        <w:t xml:space="preserve">. Each Defaulting Lender shall be entitled to receive Letter of Credit Fees for any period during which that Lender is a Defaulting Lender only to the extent allocable to its Applicable Revolving Percentage of the stated amount of Letters of Credit for which it has provided Cash Collateral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Defaulting Lender Fees</w:t>
      </w:r>
      <w:r>
        <w:rPr>
          <w:rFonts w:ascii="Times New Roman;Times;Serif" w:hAnsi="Times New Roman;Times;Serif"/>
          <w:b w:val="false"/>
          <w:i w:val="false"/>
          <w:caps w:val="false"/>
          <w:smallCaps w:val="false"/>
          <w:sz w:val="20"/>
        </w:rPr>
        <w:t xml:space="preserve">. With respect to any Letter of Credit Fee not required to be paid to any Defaulting Lender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the Borrower shall (1) pay to each Non-Defaulting Lender that portion of any such fee otherwise payable to such Defaulting Lender with respect to such Defaulting Lender’s participation in L/C Obligations or Swingline Loans that has been reallocated to such Non-Defaulting Lender pursuant to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below, (2) pay to the L/C Issuer and the Swingline Lender, as applicable, the amount of any such fee otherwise payable to such Defaulting Lender to the extent allocable to such L/C Issuer’s or Swingline Lender’s Fronting Exposure to such Defaulting Lender, and (3) not be required to pay the remaining amount of any such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Reallocation of Applicable Revolving Percentages to Reduce Fronting Exposure</w:t>
      </w:r>
      <w:r>
        <w:rPr>
          <w:rFonts w:ascii="Times New Roman;Times;Serif" w:hAnsi="Times New Roman;Times;Serif"/>
          <w:b w:val="false"/>
          <w:i w:val="false"/>
          <w:caps w:val="false"/>
          <w:smallCaps w:val="false"/>
          <w:sz w:val="20"/>
        </w:rPr>
        <w:t xml:space="preserve">. All or any part of such Defaulting Lender’s participation in L/C Obligations and Swingline Loans shall be reallocated among the Non-Defaulting Lenders in accordance with their respective Applicable Revolving Percentages (calculated without regard to such Defaulting Lender’s Commitment) but only to the extent that such reallocation does not cause the aggregate Revolving Exposure of any Non-Defaulting Lender to exceed such Non-Defaulting Lender’s Revolving Commitment. Subject to </w:t>
      </w:r>
      <w:r>
        <w:rPr>
          <w:rFonts w:ascii="Times New Roman;Times;Serif" w:hAnsi="Times New Roman;Times;Serif"/>
          <w:b w:val="false"/>
          <w:i w:val="false"/>
          <w:caps w:val="false"/>
          <w:smallCaps w:val="false"/>
          <w:sz w:val="20"/>
          <w:u w:val="single"/>
        </w:rPr>
        <w:t>Section 11.20</w:t>
      </w:r>
      <w:r>
        <w:rPr>
          <w:rFonts w:ascii="Times New Roman;Times;Serif" w:hAnsi="Times New Roman;Times;Serif"/>
          <w:b w:val="false"/>
          <w:i w:val="false"/>
          <w:caps w:val="false"/>
          <w:smallCaps w:val="false"/>
          <w:sz w:val="20"/>
        </w:rPr>
        <w:t>, no reallocation hereunder shall constitute a waiver or release of any claim of any party hereunder against a Defaulting Lender arising from that Lender having become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Defaulting Lender, including any claim of a Non-Defaulting Lender as a result of such Non-Defaulting Lender’s increased exposure following such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Cash Collateral, Repayment of Swingline Loans</w:t>
      </w:r>
      <w:r>
        <w:rPr>
          <w:rFonts w:ascii="Times New Roman;Times;Serif" w:hAnsi="Times New Roman;Times;Serif"/>
          <w:b w:val="false"/>
          <w:i w:val="false"/>
          <w:caps w:val="false"/>
          <w:smallCaps w:val="false"/>
          <w:sz w:val="20"/>
        </w:rPr>
        <w:t xml:space="preserve">. If the reallocation described in </w:t>
      </w:r>
      <w:r>
        <w:rPr>
          <w:rFonts w:ascii="Times New Roman;Times;Serif" w:hAnsi="Times New Roman;Times;Serif"/>
          <w:b w:val="false"/>
          <w:i w:val="false"/>
          <w:caps w:val="false"/>
          <w:smallCaps w:val="false"/>
          <w:sz w:val="20"/>
          <w:u w:val="single"/>
        </w:rPr>
        <w:t>clause (a)(v</w:t>
      </w:r>
      <w:r>
        <w:rPr>
          <w:rFonts w:ascii="Times New Roman;Times;Serif" w:hAnsi="Times New Roman;Times;Serif"/>
          <w:b w:val="false"/>
          <w:i w:val="false"/>
          <w:caps w:val="false"/>
          <w:smallCaps w:val="false"/>
          <w:sz w:val="20"/>
        </w:rPr>
        <w:t>) above cannot, or can only partially, be effected, the Borrower shall, without prejudice to any right or remedy available to it hereunder or under Applicable Law, (A) </w:t>
      </w:r>
      <w:r>
        <w:rPr>
          <w:rFonts w:ascii="Times New Roman;Times;Serif" w:hAnsi="Times New Roman;Times;Serif"/>
          <w:b w:val="false"/>
          <w:i/>
          <w:caps w:val="false"/>
          <w:smallCaps w:val="false"/>
          <w:sz w:val="20"/>
          <w:u w:val="single"/>
        </w:rPr>
        <w:t>first</w:t>
      </w:r>
      <w:r>
        <w:rPr>
          <w:rFonts w:ascii="Times New Roman;Times;Serif" w:hAnsi="Times New Roman;Times;Serif"/>
          <w:b w:val="false"/>
          <w:i w:val="false"/>
          <w:caps w:val="false"/>
          <w:smallCaps w:val="false"/>
          <w:sz w:val="20"/>
        </w:rPr>
        <w:t>, prepay Swingline Loans in an amount equal to the Swingline Lender’s Fronting Exposure and (B) </w:t>
      </w:r>
      <w:r>
        <w:rPr>
          <w:rFonts w:ascii="Times New Roman;Times;Serif" w:hAnsi="Times New Roman;Times;Serif"/>
          <w:b w:val="false"/>
          <w:i/>
          <w:caps w:val="false"/>
          <w:smallCaps w:val="false"/>
          <w:sz w:val="20"/>
          <w:u w:val="single"/>
        </w:rPr>
        <w:t>second</w:t>
      </w:r>
      <w:r>
        <w:rPr>
          <w:rFonts w:ascii="Times New Roman;Times;Serif" w:hAnsi="Times New Roman;Times;Serif"/>
          <w:b w:val="false"/>
          <w:i w:val="false"/>
          <w:caps w:val="false"/>
          <w:smallCaps w:val="false"/>
          <w:sz w:val="20"/>
        </w:rPr>
        <w:t xml:space="preserve">, Cash Collateralize the L/C Issuer’s Fronting Exposure in accordance with the procedures set forth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Defaulting Lender Cure</w:t>
      </w:r>
      <w:r>
        <w:rPr>
          <w:rFonts w:ascii="Times New Roman;Times;Serif" w:hAnsi="Times New Roman;Times;Serif"/>
          <w:b w:val="false"/>
          <w:i w:val="false"/>
          <w:caps w:val="false"/>
          <w:smallCaps w:val="false"/>
          <w:sz w:val="20"/>
        </w:rPr>
        <w:t xml:space="preserve">. If the Borrower, the Administrative Agent, the Swingline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Revolving Commitments (without giving effect to </w:t>
      </w:r>
      <w:r>
        <w:rPr>
          <w:rFonts w:ascii="Times New Roman;Times;Serif" w:hAnsi="Times New Roman;Times;Serif"/>
          <w:b w:val="false"/>
          <w:i w:val="false"/>
          <w:caps w:val="false"/>
          <w:smallCaps w:val="false"/>
          <w:sz w:val="20"/>
          <w:u w:val="single"/>
        </w:rPr>
        <w:t>Section 2.15(a)(iv</w:t>
      </w:r>
      <w:r>
        <w:rPr>
          <w:rFonts w:ascii="Times New Roman;Times;Serif" w:hAnsi="Times New Roman;Times;Serif"/>
          <w:b w:val="false"/>
          <w:i w:val="false"/>
          <w:caps w:val="false"/>
          <w:smallCaps w:val="false"/>
          <w:sz w:val="20"/>
        </w:rPr>
        <w:t xml:space="preserve">)), whereupon such Lender will cease to be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 while that Lender was a Defaulting Lender;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New Swingline Loans/Letters of Credit</w:t>
      </w:r>
      <w:r>
        <w:rPr>
          <w:rFonts w:ascii="Times New Roman;Times;Serif" w:hAnsi="Times New Roman;Times;Serif"/>
          <w:b w:val="false"/>
          <w:i w:val="false"/>
          <w:caps w:val="false"/>
          <w:smallCaps w:val="false"/>
          <w:sz w:val="20"/>
        </w:rPr>
        <w:t>. So long as any Revolving Lender is a Defaulting Lender, (i) the Swingline Lender shall not be required to fund any Swingline Loans unless it is satisfied that it will have no Fronting Exposure after giving effect to such Swingline Loan and (ii) the L/C Issuer shall not be required to issue, extend, increase, reinstate or renew any letter of Credit unless it is satisfied that it will have no Fronting Exposure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2.16        </w:t>
      </w:r>
      <w:r>
        <w:rPr>
          <w:rFonts w:ascii="Times New Roman;Times;Serif" w:hAnsi="Times New Roman;Times;Serif"/>
          <w:b/>
          <w:i w:val="false"/>
          <w:caps w:val="false"/>
          <w:smallCaps w:val="false"/>
          <w:sz w:val="20"/>
          <w:u w:val="single"/>
        </w:rPr>
        <w:t>Increase in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by written notice to the Administrative Agent elect to request (x) prior to the Maturity Date, an increase to the existing Revolving Commitments (each, an “</w:t>
      </w:r>
      <w:r>
        <w:rPr>
          <w:rFonts w:ascii="Times New Roman;Times;Serif" w:hAnsi="Times New Roman;Times;Serif"/>
          <w:b w:val="false"/>
          <w:i w:val="false"/>
          <w:caps w:val="false"/>
          <w:smallCaps w:val="false"/>
          <w:sz w:val="20"/>
          <w:u w:val="single"/>
        </w:rPr>
        <w:t>Incremental Revolving Commitment</w:t>
      </w:r>
      <w:r>
        <w:rPr>
          <w:rFonts w:ascii="Times New Roman;Times;Serif" w:hAnsi="Times New Roman;Times;Serif"/>
          <w:b w:val="false"/>
          <w:i w:val="false"/>
          <w:caps w:val="false"/>
          <w:smallCaps w:val="false"/>
          <w:sz w:val="20"/>
        </w:rPr>
        <w:t>”) and/or (y) the establishment of one or more new term loan commitments (each, an “</w:t>
      </w:r>
      <w:r>
        <w:rPr>
          <w:rFonts w:ascii="Times New Roman;Times;Serif" w:hAnsi="Times New Roman;Times;Serif"/>
          <w:b w:val="false"/>
          <w:i w:val="false"/>
          <w:caps w:val="false"/>
          <w:smallCaps w:val="false"/>
          <w:sz w:val="20"/>
          <w:u w:val="single"/>
        </w:rPr>
        <w:t>Incremental Term Commitment</w:t>
      </w:r>
      <w:r>
        <w:rPr>
          <w:rFonts w:ascii="Times New Roman;Times;Serif" w:hAnsi="Times New Roman;Times;Serif"/>
          <w:b w:val="false"/>
          <w:i w:val="false"/>
          <w:caps w:val="false"/>
          <w:smallCaps w:val="false"/>
          <w:sz w:val="20"/>
        </w:rPr>
        <w:t>”), by an aggregate amount not in excess of $30,000,000. Each such notice shall specify (i) the date (each, an “</w:t>
      </w:r>
      <w:r>
        <w:rPr>
          <w:rFonts w:ascii="Times New Roman;Times;Serif" w:hAnsi="Times New Roman;Times;Serif"/>
          <w:b w:val="false"/>
          <w:i w:val="false"/>
          <w:caps w:val="false"/>
          <w:smallCaps w:val="false"/>
          <w:sz w:val="20"/>
          <w:u w:val="single"/>
        </w:rPr>
        <w:t>Increase Effective Date</w:t>
      </w:r>
      <w:r>
        <w:rPr>
          <w:rFonts w:ascii="Times New Roman;Times;Serif" w:hAnsi="Times New Roman;Times;Serif"/>
          <w:b w:val="false"/>
          <w:i w:val="false"/>
          <w:caps w:val="false"/>
          <w:smallCaps w:val="false"/>
          <w:sz w:val="20"/>
        </w:rPr>
        <w:t xml:space="preserve">”) on which the Borrower proposes that the Incremental Commitments shall be effective, which shall be a date not less than ten (10) Business Days after the date on which such notice is delivered to the Administrative Agent and (ii) the identity of each Eligible Assignee to whom the Borrower proposes any portion of such Incremental Commitments be allocated and the amounts of such allocations;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existing Lender approached to provide all or a portion of the Incremental Commitments may elect or decline, in its sole discretion, to provide such Incremental Commitment. Each Incremental Commitment shall be in an aggregate amount of $5,000,000 or any whole multiple of $1,000,000 in excess thereof; provided that such amount may be less than $5,000,000 if such amount represents all remaining availability under the aggregate limit in respect of Incremental Commitments set forth in above. The Borrower may not obtain an Incremental Commitment more than three (3) times during the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 The Incremental Commitments shall become effective as of the Increase Effective Date;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of the conditions set forth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shall be satisfied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Default or Event of Default shall have occurred and be continuing or would result from the borrowings to be made on the Increase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representations and warranties contained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the other Loan Documents are true and correct in all material respects on and as of the Increase Effective Date, except to the extent that such representations and warranties specifically refer to an earlier date, in which case they shall have been true and correct in all material respects as of such earlier date, and except that for purposes of this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val="false"/>
          <w:i w:val="false"/>
          <w:caps w:val="false"/>
          <w:smallCaps w:val="false"/>
          <w:sz w:val="20"/>
          <w:u w:val="single"/>
        </w:rPr>
        <w:t>Section 5.05(a)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5.05(b)</w:t>
      </w:r>
      <w:r>
        <w:rPr>
          <w:rFonts w:ascii="Times New Roman;Times;Serif" w:hAnsi="Times New Roman;Times;Serif"/>
          <w:b w:val="false"/>
          <w:i w:val="false"/>
          <w:caps w:val="false"/>
          <w:smallCaps w:val="false"/>
          <w:sz w:val="20"/>
        </w:rPr>
        <w:t xml:space="preserve"> shall be deemed to refer to the most recent financial statements furnished pursuant to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respectively,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on a Pro Forma Basis (assuming that all existing Commitments and any such Incremental Commitments are fully drawn), the Borrower shall be in compliance with each of the covenants set forth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as of the end of the latest fiscal quarter for which internal financial statements are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Borrower shall make any breakage payments in connection with any adjustment of Revolving Loans pursuant to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Borrower shall deliver or cause to be delivered officer’s certificates and legal opinions of the type delivered on the Closing Date to the extent reasonably requested by, and in form and substance reasonably satisfactory to, the Administrative Agent and the Lenders holding Incremental Commitments;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upon the reasonable request of any Lender made at least five (5) Business Days prior to the Increase Effective Date,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three (3) Business Days prior to the Increase Effective Date and (B) at least three (3) Business Days prior to the Increase Effective Date, any Loan Party that qualifies as a “legal entity customer” under the Beneficial Ownership Regulation shall have delivered, to each Lender that so requests, a Beneficial Ownership Certification in relation to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Lender will be required or otherwise obligated to provide any portion of such Incremental Term Loan or Incremental Revolving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Terms of New Loans and Commitments</w:t>
      </w:r>
      <w:r>
        <w:rPr>
          <w:rFonts w:ascii="Times New Roman;Times;Serif" w:hAnsi="Times New Roman;Times;Serif"/>
          <w:b w:val="false"/>
          <w:i w:val="false"/>
          <w:caps w:val="false"/>
          <w:smallCaps w:val="false"/>
          <w:sz w:val="20"/>
        </w:rPr>
        <w:t>. The terms and provisions of Loans made pursuant to Incremental Commitments shall be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terms and provisions of Incremental Term Loans shall be, except as otherwise set forth herein or in the Increase Joinder, identical to the Term Loans except with respect to interest rate and upfront fees (it being understood that Incremental Term Loans may be a part of the Term Loans) and to the extent that the terms and provisions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Incremental Term Loans are not identical to the Term Loans (except to the extent permitted by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below) they shall be reasonably satisfactory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any event the Incremental Term Loans must comply with </w:t>
      </w:r>
      <w:r>
        <w:rPr>
          <w:rFonts w:ascii="Times New Roman;Times;Serif" w:hAnsi="Times New Roman;Times;Serif"/>
          <w:b w:val="false"/>
          <w:i w:val="false"/>
          <w:caps w:val="false"/>
          <w:smallCaps w:val="false"/>
          <w:sz w:val="20"/>
          <w:u w:val="single"/>
        </w:rPr>
        <w:t>clauses (iii)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terms and provisions of Revolving Loans made pursuant to new Commitments shall be identical to the Revolving Loans except with respect to interest rate, unused fees and upfront fees;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any event the Incremental Revolving Loans must comply with </w:t>
      </w:r>
      <w:r>
        <w:rPr>
          <w:rFonts w:ascii="Times New Roman;Times;Serif" w:hAnsi="Times New Roman;Times;Serif"/>
          <w:b w:val="false"/>
          <w:i w:val="false"/>
          <w:caps w:val="false"/>
          <w:smallCaps w:val="false"/>
          <w:sz w:val="20"/>
          <w:u w:val="single"/>
        </w:rPr>
        <w:t>clause (v)</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weighted average life to maturity of any Incremental Term Loans shall be no shorter than the remaining weighted average life to maturity of the then existing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maturity date of Incremental Term Loans (the “</w:t>
      </w:r>
      <w:r>
        <w:rPr>
          <w:rFonts w:ascii="Times New Roman;Times;Serif" w:hAnsi="Times New Roman;Times;Serif"/>
          <w:b w:val="false"/>
          <w:i w:val="false"/>
          <w:caps w:val="false"/>
          <w:smallCaps w:val="false"/>
          <w:sz w:val="20"/>
          <w:u w:val="single"/>
        </w:rPr>
        <w:t>Incremental Term Loan Maturity Date</w:t>
      </w:r>
      <w:r>
        <w:rPr>
          <w:rFonts w:ascii="Times New Roman;Times;Serif" w:hAnsi="Times New Roman;Times;Serif"/>
          <w:b w:val="false"/>
          <w:i w:val="false"/>
          <w:caps w:val="false"/>
          <w:smallCaps w:val="false"/>
          <w:sz w:val="20"/>
        </w:rPr>
        <w:t>”) shall not be earlier than the then Maturity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Applicable Rate for Incremental Term Loans and Incremental Revolving Commitment shall be determined by the Borrower and the Lenders of the Incremental Term Loans and Incremental Revolving Commitment,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 the event that the Applicable Rate for any Incremental Term Loan is greater than the Applicable Rate for the Term Loans by more than fifty (50) basis points, then the Applicable Rate for the Term Loans shall be increased to the extent necessary so that the Applicable Rate for the Incremental Term Loans is equal to the Applicable Rate for the Term Loans and (II) in the event that the Applicable Rate for any Incremental Revolving Commitment is greater than the Applicable Rate for Revolving Loans by more than fifty (50) basis points then the Applicable Rate for the Revolving Loans shall be increased to the extent necessary so that the Applicable Rate for the Incremental Revolving Commitments is equal to the Applicable Rate for the Revolving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in determining the Applicable Rate applicable to the Loans and the Incremental Commitments, (x) upfront fees payable by the Borrower to the Lenders of the Loans or the Incremental Commitments in the primary syndication thereof shall be included; (y) customary arrangement or commitment fees payable to the Arranger (or its respective affiliates) in connection with the Loans or to one (1) or more arrangers (or their affiliates) of the Incremental Commitments shall be excluded; and (z) if the Term SOFR or Base Rate “floor” for the Incremental Commitments is greater than the Term SOFR or Base Rate “floor,” respectively, for the existing Loans, the difference between such floor for the Incremental Commitments and the existing Loans shall be equated to an increase in the Applicable Rate for purposes of this </w:t>
      </w:r>
      <w:r>
        <w:rPr>
          <w:rFonts w:ascii="Times New Roman;Times;Serif" w:hAnsi="Times New Roman;Times;Serif"/>
          <w:b w:val="false"/>
          <w:i w:val="false"/>
          <w:caps w:val="false"/>
          <w:smallCaps w:val="false"/>
          <w:sz w:val="20"/>
          <w:u w:val="single"/>
        </w:rPr>
        <w:t>clause (v)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Commitments shall be effected by a joinder agreement (the “</w:t>
      </w:r>
      <w:r>
        <w:rPr>
          <w:rFonts w:ascii="Times New Roman;Times;Serif" w:hAnsi="Times New Roman;Times;Serif"/>
          <w:b w:val="false"/>
          <w:i w:val="false"/>
          <w:caps w:val="false"/>
          <w:smallCaps w:val="false"/>
          <w:sz w:val="20"/>
          <w:u w:val="single"/>
        </w:rPr>
        <w:t>Increase Joinder</w:t>
      </w:r>
      <w:r>
        <w:rPr>
          <w:rFonts w:ascii="Times New Roman;Times;Serif" w:hAnsi="Times New Roman;Times;Serif"/>
          <w:b w:val="false"/>
          <w:i w:val="false"/>
          <w:caps w:val="false"/>
          <w:smallCaps w:val="false"/>
          <w:sz w:val="20"/>
        </w:rPr>
        <w:t xml:space="preserve">”) executed by the Borrower, the Administrative Agent and each Lender making such Incremental Commitment, in form and substance reasonably satisfactory to each of them. Notwithstanding the provisions of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the Increase Joinder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In addition, unless otherwise specifically provided herein, all references in Loan Documents to Revolving Loans or Term Loans shall be deemed, unless the context otherwise requires, to include references to Revolving Loans made pursuant to Incremental Revolving Commitments and Incremental Term Loans that are Term Loans, respectively, made pursuant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supersede any provisions in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Adjustment of Revolving Credit Loans</w:t>
      </w:r>
      <w:r>
        <w:rPr>
          <w:rFonts w:ascii="Times New Roman;Times;Serif" w:hAnsi="Times New Roman;Times;Serif"/>
          <w:b w:val="false"/>
          <w:i w:val="false"/>
          <w:caps w:val="false"/>
          <w:smallCaps w:val="false"/>
          <w:sz w:val="20"/>
        </w:rPr>
        <w:t xml:space="preserve">. To the extent the Commitments being increased on the relevant Increase Effective Date are Incremental Revolving Commitments, then each Revolving Lender that is acquiring an Incremental Revolving Commitment on the Increase Effective Date shall make a Revolving Loan, the proceeds of which will be used to prepay the Revolving Loans of the other Revolving Lenders immediately prior to </w:t>
      </w:r>
      <w:r>
        <w:rPr>
          <w:rFonts w:ascii="Times New Roman;Times;Serif" w:hAnsi="Times New Roman;Times;Serif"/>
          <w:b w:val="false"/>
          <w:i w:val="false"/>
          <w:caps w:val="false"/>
          <w:smallCaps w:val="false"/>
          <w:sz w:val="20"/>
          <w:u w:val="single"/>
        </w:rPr>
        <w:t>such</w:t>
      </w:r>
      <w:r>
        <w:rPr>
          <w:rFonts w:ascii="Times New Roman;Times;Serif" w:hAnsi="Times New Roman;Times;Serif"/>
          <w:b w:val="false"/>
          <w:i w:val="false"/>
          <w:caps w:val="false"/>
          <w:smallCaps w:val="false"/>
          <w:sz w:val="20"/>
        </w:rPr>
        <w:t xml:space="preserve"> Increase Effective Date, so that, after giving effect thereto, the Revolving Loans outstanding are held by the Revolving Lenders pro rata based on their Revolving Commitments after giving effect to such Increase Effective Date. If there is a new borrowing of Revolving Loans on such Increase Effective Date, the Revolving Lenders after giving effect to such Increase Effective Date shall make such Revolving Loans in accordance with </w:t>
      </w:r>
      <w:r>
        <w:rPr>
          <w:rFonts w:ascii="Times New Roman;Times;Serif" w:hAnsi="Times New Roman;Times;Serif"/>
          <w:b w:val="false"/>
          <w:i w:val="false"/>
          <w:caps w:val="false"/>
          <w:smallCaps w:val="false"/>
          <w:sz w:val="20"/>
          <w:u w:val="single"/>
        </w:rPr>
        <w:t>Section 2.01(b)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Making of New Term Loans</w:t>
      </w:r>
      <w:r>
        <w:rPr>
          <w:rFonts w:ascii="Times New Roman;Times;Serif" w:hAnsi="Times New Roman;Times;Serif"/>
          <w:b w:val="false"/>
          <w:i w:val="false"/>
          <w:caps w:val="false"/>
          <w:smallCaps w:val="false"/>
          <w:sz w:val="20"/>
        </w:rPr>
        <w:t xml:space="preserve">. On any Increase Effective Date on which new Commitments for Term Loans are effective, subject </w:t>
      </w:r>
      <w:r>
        <w:rPr>
          <w:rFonts w:ascii="Times New Roman;Times;Serif" w:hAnsi="Times New Roman;Times;Serif"/>
          <w:b w:val="false"/>
          <w:i w:val="false"/>
          <w:caps w:val="false"/>
          <w:smallCaps w:val="false"/>
          <w:sz w:val="20"/>
          <w:u w:val="single"/>
        </w:rPr>
        <w:t>to</w:t>
      </w:r>
      <w:r>
        <w:rPr>
          <w:rFonts w:ascii="Times New Roman;Times;Serif" w:hAnsi="Times New Roman;Times;Serif"/>
          <w:b w:val="false"/>
          <w:i w:val="false"/>
          <w:caps w:val="false"/>
          <w:smallCaps w:val="false"/>
          <w:sz w:val="20"/>
        </w:rPr>
        <w:t xml:space="preserve"> the satisfaction of the foregoing terms and conditions, each Lender of such new Commitment shall make a Term Loan to the Borrower in an amount equal to its new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Equal and Ratable Benefit.</w:t>
      </w:r>
      <w:r>
        <w:rPr>
          <w:rFonts w:ascii="Times New Roman;Times;Serif" w:hAnsi="Times New Roman;Times;Serif"/>
          <w:b w:val="false"/>
          <w:i w:val="false"/>
          <w:caps w:val="false"/>
          <w:smallCaps w:val="false"/>
          <w:sz w:val="20"/>
        </w:rPr>
        <w:t xml:space="preserve"> The Loans and Commitments established pursuant to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shall constitute Loans </w:t>
      </w:r>
      <w:r>
        <w:rPr>
          <w:rFonts w:ascii="Times New Roman;Times;Serif" w:hAnsi="Times New Roman;Times;Serif"/>
          <w:b w:val="false"/>
          <w:i w:val="false"/>
          <w:caps w:val="false"/>
          <w:smallCaps w:val="false"/>
          <w:sz w:val="20"/>
          <w:u w:val="single"/>
        </w:rPr>
        <w:t>and</w:t>
      </w:r>
      <w:r>
        <w:rPr>
          <w:rFonts w:ascii="Times New Roman;Times;Serif" w:hAnsi="Times New Roman;Times;Serif"/>
          <w:b w:val="false"/>
          <w:i w:val="false"/>
          <w:caps w:val="false"/>
          <w:smallCaps w:val="false"/>
          <w:sz w:val="20"/>
        </w:rPr>
        <w:t xml:space="preserve"> Commitments under, and shall be entitled to all the benefits afforded by, this Agreement and the other Loan Documents, and shall, without limiting the foregoing, benefit equally and ratably from the Guarantees and security interests created by the Collateral Documents, except that the new Loans may be subordinated in right of payment or the Liens securing the new Loans may be subordinated, in each case, to the extent set forth in the Increase Joinder. The Loan Parties shall take any actions reasonably required by the Administrative Agent to ensure and/or demonstrate that the Lien and security interests granted by the Collateral Documents continue to be perfected under the UCC or otherwise after giving effect to the establishment of any such class of Term Loans or any such new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r>
      <w:r>
        <w:rPr>
          <w:rFonts w:ascii="Times New Roman;Times;Serif" w:hAnsi="Times New Roman;Times;Serif"/>
          <w:b/>
          <w:i w:val="false"/>
          <w:caps/>
          <w:sz w:val="20"/>
          <w:u w:val="single"/>
        </w:rPr>
        <w:t>TAXES, YIELD PROTECTION AND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3.01        </w:t>
      </w:r>
      <w:r>
        <w:rPr>
          <w:rFonts w:ascii="Times New Roman;Times;Serif" w:hAnsi="Times New Roman;Times;Serif"/>
          <w:b/>
          <w:i w:val="false"/>
          <w:caps w:val="false"/>
          <w:smallCaps w:val="false"/>
          <w:sz w:val="20"/>
          <w:u w:val="single"/>
        </w:rPr>
        <w:t>Taxes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the term “Applicable Law” includes FATCA and the term “Lender” includes any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Payments Free of Taxes; Obligation to Withhold; Payments on Account of Taxes</w:t>
      </w:r>
      <w:r>
        <w:rPr>
          <w:rFonts w:ascii="Times New Roman;Times;Serif" w:hAnsi="Times New Roman;Times;Serif"/>
          <w:b w:val="false"/>
          <w:i w:val="false"/>
          <w:caps w:val="false"/>
          <w:smallCaps w:val="false"/>
          <w:sz w:val="20"/>
        </w:rPr>
        <w:t>.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the applicable withholding agent, then: (i) the applicable withholding agent shall be entitled to make such deduction or withholding and shall timely pay the full amount deducted or withheld to the relevant Governmental Authority in accordance with Applicable Law; (ii) the Borrower, if any Loan Party is the applicable withholding agent, will promptly forward to the Administrative Agent an official receipt or other documentation satisfactory to the Administrative Agent evidencing such payment to such Governmental Authority; and (iii), if such Tax is an Indemnified Tax, then the sum payable by the applicable Loan Party shall be increased as necessary so that after any required withholding or the making of all required deductions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deductions applicable to additional sums payable under this Section 3.01) the applicable Recipient receives an amount equal to the sum it would have received had no such withholding or deduction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 of Other Taxes by the Loan Parties</w:t>
      </w:r>
      <w:r>
        <w:rPr>
          <w:rFonts w:ascii="Times New Roman;Times;Serif" w:hAnsi="Times New Roman;Times;Serif"/>
          <w:b w:val="false"/>
          <w:i w:val="false"/>
          <w:caps w:val="false"/>
          <w:smallCaps w:val="false"/>
          <w:sz w:val="20"/>
        </w:rPr>
        <w:t>. The Loan Parties shall timely pay to the relevant Governmental Authority in accordance with Applicable Law, or at the option of the Administrative Agent timely reimburse it for the payment of, any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Tax Indemnifications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Each of the Loan Parties shall also, and does hereby, jointly and severally indemnify the Administrative Agent, and shall make payment in respect thereof within ten (10) days after demand therefor, for any amount which a Lender for any reason fails to pay indefeasibly to the Administrative Agent as required pursuant to </w:t>
      </w:r>
      <w:r>
        <w:rPr>
          <w:rFonts w:ascii="Times New Roman;Times;Serif" w:hAnsi="Times New Roman;Times;Serif"/>
          <w:b w:val="false"/>
          <w:i w:val="false"/>
          <w:caps w:val="false"/>
          <w:smallCaps w:val="false"/>
          <w:sz w:val="20"/>
          <w:u w:val="single"/>
        </w:rPr>
        <w:t>Section 3.01(d)(ii)</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Lender shall, and does hereby, severally indemnify and shall make payment in respect thereof within ten (10) days after demand therefor, (A) the Administrative Agent against any Indemnified Taxes attributable to such Lender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Times New Roman;Times;Serif" w:hAnsi="Times New Roman;Times;Serif"/>
          <w:b w:val="false"/>
          <w:i w:val="false"/>
          <w:caps w:val="false"/>
          <w:smallCaps w:val="false"/>
          <w:sz w:val="20"/>
          <w:u w:val="single"/>
        </w:rPr>
        <w:t>Section 11.06(d</w:t>
      </w:r>
      <w:r>
        <w:rPr>
          <w:rFonts w:ascii="Times New Roman;Times;Serif" w:hAnsi="Times New Roman;Times;Serif"/>
          <w:b w:val="false"/>
          <w:i w:val="false"/>
          <w:caps w:val="false"/>
          <w:smallCaps w:val="false"/>
          <w:sz w:val="20"/>
        </w:rPr>
        <w:t xml:space="preserve">) relating to the maintenance of a Participant Register and (C) the Administrative Agent and the Loan Parties, as applicable,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Times;Serif" w:hAnsi="Times New Roman;Times;Serif"/>
          <w:b w:val="false"/>
          <w:i w:val="false"/>
          <w:caps w:val="false"/>
          <w:smallCaps w:val="false"/>
          <w:sz w:val="20"/>
          <w:u w:val="single"/>
        </w:rPr>
        <w:t>clause (d)(ii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Evidence of Payments</w:t>
      </w:r>
      <w:r>
        <w:rPr>
          <w:rFonts w:ascii="Times New Roman;Times;Serif" w:hAnsi="Times New Roman;Times;Serif"/>
          <w:b w:val="false"/>
          <w:i w:val="false"/>
          <w:caps w:val="false"/>
          <w:smallCaps w:val="false"/>
          <w:sz w:val="20"/>
        </w:rPr>
        <w:t xml:space="preserve">. As soon as practicable after any payment of Taxes by any Loan Party to a Governmental Authority, as provided in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the Borrower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Status of Lenders; Tax Documentation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if reasonably requested by the Borrower or the Administrative Agent, such Lender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Section 3.01(f)(ii)(A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ii)(B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ii)(D</w:t>
      </w:r>
      <w:r>
        <w:rPr>
          <w:rFonts w:ascii="Times New Roman;Times;Serif" w:hAnsi="Times New Roman;Times;Serif"/>
          <w:b w:val="false"/>
          <w:i w:val="false"/>
          <w:caps w:val="false"/>
          <w:smallCaps w:val="false"/>
          <w:sz w:val="20"/>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the event that the Borrower is a “United States Person” as defined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“United States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executed copies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 the case of a Foreign Lender claiming the benefits of the exemption for portfolio interest under Section 881(c) of the Code, (x) a certificate substantially in the form of </w:t>
      </w:r>
      <w:r>
        <w:rPr>
          <w:rFonts w:ascii="Times New Roman;Times;Serif" w:hAnsi="Times New Roman;Times;Serif"/>
          <w:b w:val="false"/>
          <w:i w:val="false"/>
          <w:caps w:val="false"/>
          <w:smallCaps w:val="false"/>
          <w:sz w:val="20"/>
          <w:u w:val="single"/>
        </w:rPr>
        <w:t>Exhibit M–1</w:t>
      </w:r>
      <w:r>
        <w:rPr>
          <w:rFonts w:ascii="Times New Roman;Times;Serif" w:hAnsi="Times New Roman;Times;Serif"/>
          <w:b w:val="false"/>
          <w:i w:val="false"/>
          <w:caps w:val="false"/>
          <w:smallCaps w:val="false"/>
          <w:sz w:val="20"/>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Times;Serif" w:hAnsi="Times New Roman;Times;Serif"/>
          <w:b w:val="false"/>
          <w:i/>
          <w:caps w:val="false"/>
          <w:smallCaps w:val="false"/>
          <w:sz w:val="20"/>
          <w:u w:val="single"/>
        </w:rPr>
        <w:t>U</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S</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caps w:val="false"/>
          <w:smallCaps w:val="false"/>
          <w:sz w:val="20"/>
          <w:u w:val="single"/>
        </w:rPr>
        <w:t>Tax Compliance Certificate</w:t>
      </w:r>
      <w:r>
        <w:rPr>
          <w:rFonts w:ascii="Times New Roman;Times;Serif" w:hAnsi="Times New Roman;Times;Serif"/>
          <w:b w:val="false"/>
          <w:i w:val="false"/>
          <w:caps w:val="false"/>
          <w:smallCaps w:val="false"/>
          <w:sz w:val="20"/>
        </w:rPr>
        <w:t>”) and (y) executed copies of IRS Form W–8BEN–E (or W–8BEN, as applicable); or</w:t>
      </w:r>
    </w:p>
    <w:p>
      <w:pPr>
        <w:pStyle w:val="TextBody"/>
        <w:bidi w:val="0"/>
        <w:spacing w:before="0" w:after="0"/>
        <w:ind w:left="2880" w:right="0" w:firstLine="720"/>
        <w:jc w:val="both"/>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executed copies of IRS Form W–8IMY, accompanied by IRS Form W–8ECI, IRS Form W–8BEN–E (or W–8BEN, as applicable), a U.S. Tax Compliance Certificate substantially in the form of </w:t>
      </w:r>
      <w:r>
        <w:rPr>
          <w:rFonts w:ascii="Times New Roman;Times;Serif" w:hAnsi="Times New Roman;Times;Serif"/>
          <w:b w:val="false"/>
          <w:i w:val="false"/>
          <w:caps w:val="false"/>
          <w:smallCaps w:val="false"/>
          <w:sz w:val="20"/>
          <w:u w:val="single"/>
        </w:rPr>
        <w:t>Exhibit M–2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M–3</w:t>
      </w:r>
      <w:r>
        <w:rPr>
          <w:rFonts w:ascii="Times New Roman;Times;Serif" w:hAnsi="Times New Roman;Times;Serif"/>
          <w:b w:val="false"/>
          <w:i w:val="false"/>
          <w:caps w:val="false"/>
          <w:smallCaps w:val="false"/>
          <w:sz w:val="20"/>
        </w:rPr>
        <w:t xml:space="preserve">, IRS Form W–9,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val="false"/>
          <w:i w:val="false"/>
          <w:caps w:val="false"/>
          <w:smallCaps w:val="false"/>
          <w:sz w:val="20"/>
          <w:u w:val="single"/>
        </w:rPr>
        <w:t>Exhibit M–4</w:t>
      </w:r>
      <w:r>
        <w:rPr>
          <w:rFonts w:ascii="Times New Roman;Times;Serif" w:hAnsi="Times New Roman;Times;Serif"/>
          <w:b w:val="false"/>
          <w:i w:val="false"/>
          <w:caps w:val="false"/>
          <w:smallCaps w:val="false"/>
          <w:sz w:val="20"/>
        </w:rPr>
        <w:t xml:space="preserve">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w:t>
      </w:r>
      <w:r>
        <w:rPr>
          <w:rFonts w:ascii="Times New Roman;Times;Serif" w:hAnsi="Times New Roman;Times;Serif"/>
          <w:b w:val="false"/>
          <w:i w:val="false"/>
          <w:caps w:val="false"/>
          <w:smallCaps w:val="false"/>
          <w:sz w:val="20"/>
          <w:u w:val="single"/>
        </w:rPr>
        <w:t>clause (f)(ii)(D</w:t>
      </w:r>
      <w:r>
        <w:rPr>
          <w:rFonts w:ascii="Times New Roman;Times;Serif" w:hAnsi="Times New Roman;Times;Serif"/>
          <w:b w:val="false"/>
          <w:i w:val="false"/>
          <w:caps w:val="false"/>
          <w:smallCaps w:val="false"/>
          <w:sz w:val="20"/>
        </w:rPr>
        <w:t>),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Lender agrees that if any form or certification it previously delivered pursuant to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expires or becomes obsolete or inaccurate in any respect,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reasonable discretion exercised in good faith, that it has received a refund of any Taxes as to which it has been indemnified by any Loan Party or with respect to which any Loan Party has paid additional amounts pursuant to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it shall pay to such Loan Party an amount equal to such refund (but only to the extent of indemnity payments made, or additional amounts paid, by such Loan Party under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in no event will the applicable Recipient be required to pay any amount to such Loan Party pursuant to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Times;Serif" w:hAnsi="Times New Roman;Times;Serif"/>
          <w:b w:val="false"/>
          <w:i w:val="false"/>
          <w:caps w:val="false"/>
          <w:smallCaps w:val="false"/>
          <w:sz w:val="20"/>
          <w:u w:val="single"/>
        </w:rPr>
        <w:t>clause (g</w:t>
      </w:r>
      <w:r>
        <w:rPr>
          <w:rFonts w:ascii="Times New Roman;Times;Serif" w:hAnsi="Times New Roman;Times;Serif"/>
          <w:b w:val="false"/>
          <w:i w:val="false"/>
          <w:caps w:val="false"/>
          <w:smallCaps w:val="false"/>
          <w:sz w:val="20"/>
        </w:rPr>
        <w:t>) shall not be construed to require any Recipient to make available its tax returns (or any other information relating to its Taxes that it deems confidential) to any Loan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        </w:t>
      </w:r>
      <w:r>
        <w:rPr>
          <w:rFonts w:ascii="Times New Roman;Times;Serif" w:hAnsi="Times New Roman;Times;Serif"/>
          <w:b/>
          <w:i w:val="false"/>
          <w:caps w:val="false"/>
          <w:smallCaps w:val="false"/>
          <w:sz w:val="20"/>
          <w:u w:val="single"/>
        </w:rPr>
        <w:t>Illegality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Lender determines that any Law has made it unlawful, or that any Governmental Authority has asserted that it is unlawful, for any Lender or its applicable Lending Office to make, maintain or fund or charge interest with respect to any Credit Extension, or to determine or charge interest rates based upon SOFR or Term SOFR, then, upon notice thereof by such Lender to the Borrower (through the Administrative Agent), (i) any obligation of such Lender to make or continue Term SOFR Loans or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(A) 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such day, or immediately, if such Lender may not lawfully continue to maintain such Term SOFR Loans and (B)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in any applicable jurisdiction, the Administrative Agent, the L/C Issuer or any Lender determines that any Law has made it unlawful, or that any Governmental Authority has asserted that it is unlawful, for the Administrative Agent, the L/C Issuer or any Lender to (i) perform any of its obligations hereunder or under any other Loan Document, (ii) to fund, hold a commitment or maintain its participation in any Loan or Letter of Credit or (iii) issue, make, maintain, fund or charge interest or fees with respect to any Credit Extension such Person shall promptly notify the Administrative Agent, then, upon the Administrative Agent notifying the Borrower, and until such notice by such Person is revoked, any obligation of such Person to issue, make, maintain, fund or charge interest or fees with respect to any such Credit Extension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Borrower or, if earlier, the date specified by such Person in the notice delivered to the Administrative Agent (being no earlier than the last day of any applicable grace period permitted by Applicable Law), (B) to the extent applicable to the L/C Issuer,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3.03        </w:t>
      </w:r>
      <w:r>
        <w:rPr>
          <w:rFonts w:ascii="Times New Roman;Times;Serif" w:hAnsi="Times New Roman;Times;Serif"/>
          <w:b/>
          <w:i w:val="false"/>
          <w:caps w:val="false"/>
          <w:smallCaps w:val="false"/>
          <w:sz w:val="20"/>
          <w:u w:val="single"/>
        </w:rPr>
        <w:t>Inability to Determine Rates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Inability to Determine SOFR</w:t>
      </w:r>
      <w:r>
        <w:rPr>
          <w:rFonts w:ascii="Times New Roman;Times;Serif" w:hAnsi="Times New Roman;Times;Serif"/>
          <w:b w:val="false"/>
          <w:i w:val="false"/>
          <w:caps w:val="false"/>
          <w:smallCaps w:val="false"/>
          <w:sz w:val="20"/>
        </w:rPr>
        <w:t xml:space="preserve">. 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Times New Roman;Times;Serif" w:hAnsi="Times New Roman;Times;Serif"/>
          <w:b w:val="false"/>
          <w:i w:val="false"/>
          <w:caps w:val="false"/>
          <w:smallCaps w:val="false"/>
          <w:sz w:val="20"/>
          <w:u w:val="single"/>
        </w:rPr>
        <w:t>Section 3.03(b),</w:t>
      </w:r>
      <w:r>
        <w:rPr>
          <w:rFonts w:ascii="Times New Roman;Times;Serif" w:hAnsi="Times New Roman;Times;Serif"/>
          <w:b w:val="false"/>
          <w:i w:val="false"/>
          <w:caps w:val="false"/>
          <w:smallCaps w:val="false"/>
          <w:sz w:val="20"/>
        </w:rPr>
        <w:t xml:space="preserve"> and the circumstances under clause (i) of </w:t>
      </w:r>
      <w:r>
        <w:rPr>
          <w:rFonts w:ascii="Times New Roman;Times;Serif" w:hAnsi="Times New Roman;Times;Serif"/>
          <w:b w:val="false"/>
          <w:i w:val="false"/>
          <w:caps w:val="false"/>
          <w:smallCaps w:val="false"/>
          <w:sz w:val="20"/>
          <w:u w:val="single"/>
        </w:rPr>
        <w:t>Section 3.03(b)</w:t>
      </w:r>
      <w:r>
        <w:rPr>
          <w:rFonts w:ascii="Times New Roman;Times;Serif" w:hAnsi="Times New Roman;Times;Serif"/>
          <w:b w:val="false"/>
          <w:i w:val="false"/>
          <w:caps w:val="false"/>
          <w:smallCaps w:val="false"/>
          <w:sz w:val="20"/>
        </w:rPr>
        <w:t> or the SOFR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Term SOFR Loan does not adequately and fairly reflect the cost to such Lenders of funding such Loan, the Administrative Agent will promptly so notify the Borrower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Times;Serif" w:hAnsi="Times New Roman;Times;Serif"/>
          <w:b w:val="false"/>
          <w:i w:val="false"/>
          <w:caps w:val="false"/>
          <w:smallCaps w:val="false"/>
          <w:sz w:val="20"/>
          <w:u w:val="single"/>
        </w:rPr>
        <w:t>Section 3.03(a)</w:t>
      </w:r>
      <w:r>
        <w:rPr>
          <w:rFonts w:ascii="Times New Roman;Times;Serif" w:hAnsi="Times New Roman;Times;Serif"/>
          <w:b w:val="false"/>
          <w:i w:val="false"/>
          <w:caps w:val="false"/>
          <w:smallCaps w:val="false"/>
          <w:sz w:val="20"/>
        </w:rPr>
        <w:t>, until the Administrative Agent upon instruction of the Required Lenders) revokes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Replacement of SOFR or SOFR Successor Rate</w:t>
      </w:r>
      <w:r>
        <w:rPr>
          <w:rFonts w:ascii="Times New Roman;Times;Serif" w:hAnsi="Times New Roman;Times;Serif"/>
          <w:b w:val="false"/>
          <w:i w:val="false"/>
          <w:caps w:val="false"/>
          <w:smallCaps w:val="false"/>
          <w:sz w:val="20"/>
        </w:rPr>
        <w:t xml:space="preserve">. Notwithstanding anything to the contrary in this Agreement or any other Loan Documents, but without limiting </w:t>
      </w:r>
      <w:r>
        <w:rPr>
          <w:rFonts w:ascii="Times New Roman;Times;Serif" w:hAnsi="Times New Roman;Times;Serif"/>
          <w:b w:val="false"/>
          <w:i w:val="false"/>
          <w:caps w:val="false"/>
          <w:smallCaps w:val="false"/>
          <w:sz w:val="20"/>
          <w:u w:val="single"/>
        </w:rPr>
        <w:t>Sections 3.03(a)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if the Administrative Agent determines (which determination shall be conclusive and binding upon all parties hereto absent manifest error), or the Borrower or Required Lenders notify the Administrative Agent (with, in the case of the Required Lenders, a copy to the Borrower) that the Borrower or Required Lenders (as applicable) have determined (which determination likewise shall be conclusive and binding upon all parties hereto absent manifest error),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Times;Serif" w:hAnsi="Times New Roman;Times;Serif"/>
          <w:b w:val="false"/>
          <w:i/>
          <w:caps w:val="false"/>
          <w:smallCaps w:val="false"/>
          <w:sz w:val="20"/>
          <w:u w:val="single"/>
        </w:rPr>
        <w:t>SOFR Scheduled Unavailability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on a date and time determined by the Administrative Agent (any such date, the “</w:t>
      </w:r>
      <w:r>
        <w:rPr>
          <w:rFonts w:ascii="Times New Roman;Times;Serif" w:hAnsi="Times New Roman;Times;Serif"/>
          <w:b w:val="false"/>
          <w:i/>
          <w:caps w:val="false"/>
          <w:smallCaps w:val="false"/>
          <w:sz w:val="20"/>
          <w:u w:val="single"/>
        </w:rPr>
        <w:t>Term SOFR Replacement Date</w:t>
      </w:r>
      <w:r>
        <w:rPr>
          <w:rFonts w:ascii="Times New Roman;Times;Serif" w:hAnsi="Times New Roman;Times;Serif"/>
          <w:b w:val="false"/>
          <w:i w:val="false"/>
          <w:caps w:val="false"/>
          <w:smallCaps w:val="false"/>
          <w:sz w:val="20"/>
        </w:rPr>
        <w:t>”), which date shall be at the end of an Interest Period or on the relevant Interest Payment Date, as applicable, for interest calculated and, solely with respect to clause (ii) above, no later than the SOFR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Times;Serif" w:hAnsi="Times New Roman;Times;Serif"/>
          <w:b w:val="false"/>
          <w:i/>
          <w:caps w:val="false"/>
          <w:smallCaps w:val="false"/>
          <w:sz w:val="20"/>
          <w:u w:val="single"/>
        </w:rPr>
        <w:t>SOFR Successor Rate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SOFR Successor Rate is Daily Simple SOFR, all interest payments will be payable on a monthly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(i) if the Administrative Agent determines that Daily Simple SOFR is not available on or prior to the Term SOFR Replacement Date or (ii) if the events or circumstances of the type described in Section 3.03(b)(i) or (ii) have occurred with respect to the Successor Rate then in effect, then in each case, the Administrative Agent and the Borrower may amend this Agreement solely for purposes of replacing Term SOFR or any then current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Rate in accordance with this Section 3.03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Successor Rate</w:t>
      </w:r>
      <w:r>
        <w:rPr>
          <w:rFonts w:ascii="Times New Roman;Times;Serif" w:hAnsi="Times New Roman;Times;Serif"/>
          <w:b w:val="false"/>
          <w:i w:val="false"/>
          <w:caps w:val="false"/>
          <w:smallCaps w:val="false"/>
          <w:sz w:val="20"/>
        </w:rPr>
        <w:t>. The Administrative Agent will promptly (in one or more notices) notify the Borrower and each Lender of the implementation of any Successor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Successor Rate shall be applied in a manner consistent with market practice;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such market practice is not administratively feasible for the Administrative Agent, such Successor Rate shall be applied in a manner as otherwise reasonably determined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herein, if at any time any Successor Rate as so determined would otherwise be less than zero percent, the Successor Rate will be deemed to be zero percent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purposes of this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those Lenders that either have not made, or do not have an obligation under this Agreement to make, the relevant Loans in Dollars shall be excluded from any determination of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3.04        </w:t>
      </w:r>
      <w:r>
        <w:rPr>
          <w:rFonts w:ascii="Times New Roman;Times;Serif" w:hAnsi="Times New Roman;Times;Serif"/>
          <w:b/>
          <w:i w:val="false"/>
          <w:caps w:val="false"/>
          <w:smallCaps w:val="false"/>
          <w:sz w:val="20"/>
          <w:u w:val="single"/>
        </w:rPr>
        <w:t>Increased Costs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Increased Costs Generally</w:t>
      </w:r>
      <w:r>
        <w:rPr>
          <w:rFonts w:ascii="Times New Roman;Times;Serif" w:hAnsi="Times New Roman;Times;Serif"/>
          <w:b w:val="false"/>
          <w:i w:val="false"/>
          <w:caps w:val="false"/>
          <w:smallCaps w:val="false"/>
          <w:sz w:val="20"/>
        </w:rPr>
        <w:t>.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compulsory loan, insurance charge or similar requirement against assets of, deposits with or for the account of, or credit extended or participated in by, any Lender or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any Recipient to any Taxes (other than (A) Indemnified Taxes, (B) Taxes described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through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impose on any Lender or the L/C Issuer or any applicable interbank market any other condition, cost or expense affecting this Agreement or Term SOFR Loans made by such Lender or any Letter of Credit or participation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Capital Requirements</w:t>
      </w:r>
      <w:r>
        <w:rPr>
          <w:rFonts w:ascii="Times New Roman;Times;Serif" w:hAnsi="Times New Roman;Times;Serif"/>
          <w:b w:val="false"/>
          <w:i w:val="false"/>
          <w:caps w:val="false"/>
          <w:smallCaps w:val="false"/>
          <w:sz w:val="20"/>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Certificates for Reimbursement</w:t>
      </w:r>
      <w:r>
        <w:rPr>
          <w:rFonts w:ascii="Times New Roman;Times;Serif" w:hAnsi="Times New Roman;Times;Serif"/>
          <w:b w:val="false"/>
          <w:i w:val="false"/>
          <w:caps w:val="false"/>
          <w:smallCaps w:val="false"/>
          <w:sz w:val="20"/>
        </w:rPr>
        <w:t xml:space="preserve">. A certificate of a Lender or the L/C Issuer setting forth the amount or amounts necessary to compensate such Lender or the L/C Issuer or its holding company, as the case may be, as specified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and delivered to the Borrower shall be conclusive absent manifest error. The Borrower shall pay such Lender or the L/C Issuer, as the case may be, the amount shown as due on any such certificate within ten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Delay in Requests</w:t>
      </w:r>
      <w:r>
        <w:rPr>
          <w:rFonts w:ascii="Times New Roman;Times;Serif" w:hAnsi="Times New Roman;Times;Serif"/>
          <w:b w:val="false"/>
          <w:i w:val="false"/>
          <w:caps w:val="false"/>
          <w:smallCaps w:val="false"/>
          <w:sz w:val="20"/>
        </w:rPr>
        <w:t xml:space="preserve">. Failure or delay on the part of any Lender or the L/C Issuer to demand compensation pursuant to the foregoing provisions of this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shall not constitute a waiver of such Lender’s or the L/C Issuer’s right to demand such compensation, provided that the Borrower shall not be required to compensate a Lender or the L/C Issuer pursuant to the foregoing provisions of this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for any increased costs incurred or reductions suffered more than nine (9)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3.05        </w:t>
      </w:r>
      <w:r>
        <w:rPr>
          <w:rFonts w:ascii="Times New Roman;Times;Serif" w:hAnsi="Times New Roman;Times;Serif"/>
          <w:b/>
          <w:i w:val="false"/>
          <w:caps w:val="false"/>
          <w:smallCaps w:val="false"/>
          <w:sz w:val="20"/>
          <w:u w:val="single"/>
        </w:rPr>
        <w:t>Compensation for Losses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demand of any Lender (with a copy to the Administrative Agent) from time to time, the Borrower shall promptly compensate such Lender for and hold such Lender harmless from any loss, cost or expense incurred by it as a result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continuation, conversion, payment or prepayment of any Loan other than a Base Rate Loan on a day other than the last day of the Interest Period for such Loan (whether voluntary, mandatory, automatic, by reason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failure by the Borrower (for a reason other than the failure of such Lender to make a Loan) to prepay, borrow, continue or convert any Loan other than a Base Rate Loan on the date or in the amount notified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assignment of a Term SOFR Loan on a day other than the last day of the Interest Period therefor as a result of a request by the Borrower pursuant to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3.06        </w:t>
      </w:r>
      <w:r>
        <w:rPr>
          <w:rFonts w:ascii="Times New Roman;Times;Serif" w:hAnsi="Times New Roman;Times;Serif"/>
          <w:b/>
          <w:i w:val="false"/>
          <w:caps w:val="false"/>
          <w:smallCaps w:val="false"/>
          <w:sz w:val="20"/>
          <w:u w:val="single"/>
        </w:rPr>
        <w:t>Mitigation Obligations; Replacement of Lenders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Designation of a Different Lending Office</w:t>
      </w:r>
      <w:r>
        <w:rPr>
          <w:rFonts w:ascii="Times New Roman;Times;Serif" w:hAnsi="Times New Roman;Times;Serif"/>
          <w:b w:val="false"/>
          <w:i w:val="false"/>
          <w:caps w:val="false"/>
          <w:smallCaps w:val="false"/>
          <w:sz w:val="20"/>
        </w:rPr>
        <w:t xml:space="preserve">. If any Lender requests compensation under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or requires the Borrower to pay any Indemnified Taxes or additional amounts to any Lender, the L/C Issuer, or any Governmental Authority for the account of any Lender or the L/C Issuer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if any Lender gives a notice pursuant to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3.04</w:t>
      </w:r>
      <w:r>
        <w:rPr>
          <w:rFonts w:ascii="Times New Roman;Times;Serif" w:hAnsi="Times New Roman;Times;Serif"/>
          <w:b w:val="false"/>
          <w:i w:val="false"/>
          <w:caps w:val="false"/>
          <w:smallCaps w:val="false"/>
          <w:sz w:val="20"/>
        </w:rPr>
        <w:t xml:space="preserve">, as the case may be, in the future, or eliminate the need for the notice pursuant to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Replacement of Lenders</w:t>
      </w:r>
      <w:r>
        <w:rPr>
          <w:rFonts w:ascii="Times New Roman;Times;Serif" w:hAnsi="Times New Roman;Times;Serif"/>
          <w:b w:val="false"/>
          <w:i w:val="false"/>
          <w:caps w:val="false"/>
          <w:smallCaps w:val="false"/>
          <w:sz w:val="20"/>
        </w:rPr>
        <w:t xml:space="preserve">. If any Lender requests compensation under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or if the Borrower is required to pay any Indemnified Taxes or additional amounts to any Lender or any Governmental Authority for the account of any Lender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in each case, such Lender has declined or is unable to designate a different Lending Office in accordance with </w:t>
      </w:r>
      <w:r>
        <w:rPr>
          <w:rFonts w:ascii="Times New Roman;Times;Serif" w:hAnsi="Times New Roman;Times;Serif"/>
          <w:b w:val="false"/>
          <w:i w:val="false"/>
          <w:caps w:val="false"/>
          <w:smallCaps w:val="false"/>
          <w:sz w:val="20"/>
          <w:u w:val="single"/>
        </w:rPr>
        <w:t>Section 3.06(a</w:t>
      </w:r>
      <w:r>
        <w:rPr>
          <w:rFonts w:ascii="Times New Roman;Times;Serif" w:hAnsi="Times New Roman;Times;Serif"/>
          <w:b w:val="false"/>
          <w:i w:val="false"/>
          <w:caps w:val="false"/>
          <w:smallCaps w:val="false"/>
          <w:sz w:val="20"/>
        </w:rPr>
        <w:t xml:space="preserve">), the Borrower may replace such Lender in accordance with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3.07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the Borrower’s obligations under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survive termination of the Aggregate Commitments, repayment of all other Obligations hereunder, resignation of the Administrative Agent and the Facility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CONDITIONS PRECEDENT TO CREDIT EXTENSIONS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4.01        </w:t>
      </w:r>
      <w:r>
        <w:rPr>
          <w:rFonts w:ascii="Times New Roman;Times;Serif" w:hAnsi="Times New Roman;Times;Serif"/>
          <w:b/>
          <w:i w:val="false"/>
          <w:caps w:val="false"/>
          <w:smallCaps w:val="false"/>
          <w:sz w:val="20"/>
          <w:u w:val="single"/>
        </w:rPr>
        <w:t>Conditions of Initial Credit Extension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the L/C Issuer and each Lender to make its initial Credit Extension hereunder is subject to satisfaction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Execution of Credit Agreement; Loan Documents</w:t>
      </w:r>
      <w:r>
        <w:rPr>
          <w:rFonts w:ascii="Times New Roman;Times;Serif" w:hAnsi="Times New Roman;Times;Serif"/>
          <w:b w:val="false"/>
          <w:i w:val="false"/>
          <w:caps w:val="false"/>
          <w:smallCaps w:val="false"/>
          <w:sz w:val="20"/>
        </w:rPr>
        <w:t>. The Administrative Agent shall have received (i) counterparts of this Agreement, executed by a Responsible Officer of each Loan Party and a duly authorized officer of each Lender, (ii) for the account of each Lender requesting a Note, a Note executed by a Responsible Officer of the Borrower, (iii) counterparts of the Security Agreement and each other Collateral Document, executed by a Responsible Officer of the applicable Loan Parties and a duly authorized officer of each other Person party thereto, as applicable and (iv) counterparts of any other Loan Document</w:t>
      </w:r>
      <w:r>
        <w:rPr>
          <w:rFonts w:ascii="Times New Roman;Times;Serif" w:hAnsi="Times New Roman;Times;Serif"/>
          <w:b w:val="false"/>
          <w:i w:val="false"/>
          <w:caps w:val="false"/>
          <w:smallCaps w:val="false"/>
          <w:color w:val="7030A0"/>
          <w:sz w:val="20"/>
        </w:rPr>
        <w:t>,</w:t>
      </w:r>
      <w:r>
        <w:rPr>
          <w:rFonts w:ascii="Times New Roman;Times;Serif" w:hAnsi="Times New Roman;Times;Serif"/>
          <w:b w:val="false"/>
          <w:i w:val="false"/>
          <w:caps w:val="false"/>
          <w:smallCaps w:val="false"/>
          <w:sz w:val="20"/>
        </w:rPr>
        <w:t xml:space="preserve"> executed by a Responsible Officer of the applicable Loan Party and a duly authorized officer of each other Person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The Administrative Agent shall have received an Officer’s Certificate dated the Closing Date, certifying as to the Organization Documents of each Loan Party (which, to the extent filed with a Governmental Authority, shall be certified as of a recent date by such Governmental Authority), the board or committee or shareholder resolutions of the governing body of each Loan Party, the good standing, existence or its equivalent of each Loan Party and of the incumbency (including specimen signatures) of the Responsible Officers of each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Legal Opinions of Counsel</w:t>
      </w:r>
      <w:r>
        <w:rPr>
          <w:rFonts w:ascii="Times New Roman;Times;Serif" w:hAnsi="Times New Roman;Times;Serif"/>
          <w:b w:val="false"/>
          <w:i w:val="false"/>
          <w:caps w:val="false"/>
          <w:smallCaps w:val="false"/>
          <w:sz w:val="20"/>
        </w:rPr>
        <w:t>. The Administrative Agent shall have received an opinion or opinions (including, if requested by the Administrative Agent, local counsel opinions) of counsel for the Loan Parties, dated the Closing Date and addressed to the Administrative Agent and the Lenders, in form and substance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Personal Property Collateral</w:t>
      </w:r>
      <w:r>
        <w:rPr>
          <w:rFonts w:ascii="Times New Roman;Times;Serif" w:hAnsi="Times New Roman;Times;Serif"/>
          <w:b w:val="false"/>
          <w:i w:val="false"/>
          <w:caps w:val="false"/>
          <w:smallCaps w:val="false"/>
          <w:sz w:val="20"/>
        </w:rPr>
        <w:t>. The Administrative Agent shall have received, in form and substance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searches of UCC filings, in the jurisdiction of incorporation or formation, as applicable, of each Loan Party and each jurisdiction where any Collateral is located or where a filing would need to be made in order to perfect the Administrative Agent’s security interest in the Collateral, copies of the financing statements on file in such jurisdictions and evidence that no Liens exist other than Permitted Liens and (B) tax lien, judgment, execution and bankruptcy searches;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searches of ownership of Intellectual Property in the appropriate governmental offices and such patent/trademark/copyright filings as requested by the Administrative Agent in order to perfect the Administrative Agent’s security interest in the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completed UCC financing statements, for each appropriate jurisdiction as is necessary, in the Administrative Agent’s reasonable discretion, to perfect the Administrative Agent’s security interest in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stock or membership certificates, if any, evidencing the Pledged Equity and undated stock or transfer powers duly executed in blank; in each case to the extent such Pledged Equity is certificated;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the extent required to be delivered, filed, registered or recorded pursuant to the terms and conditions of the Collateral Documents, all instruments, documents and chattel paper in the possession of any of the Loan Parties, together with any notices, allonges or assignments as may be necessary or appropriate to create and perfect the Administrative Agent’s and the Lenders’ security interest in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Qualifying Control Agreements satisfactory to the Administrative Agent to the extent required to be delivered pursuant to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Collateral Access Agreements satisfactory to the Administrative Agent to the extent required to be delivered pursuant to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customary perfection certificate, executed by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Liability, Casualty, Property, Terrorism and Business Interruption Insurance</w:t>
      </w:r>
      <w:r>
        <w:rPr>
          <w:rFonts w:ascii="Times New Roman;Times;Serif" w:hAnsi="Times New Roman;Times;Serif"/>
          <w:b w:val="false"/>
          <w:i w:val="false"/>
          <w:caps w:val="false"/>
          <w:smallCaps w:val="false"/>
          <w:sz w:val="20"/>
        </w:rPr>
        <w:t>. The Administrative Agent shall have received copies of insurance policies, declaration pages, certificates, and endorsements of insurance or insurance binders evidencing liability, casualty, property, terrorism and business interruption insurance meeting the requirements set forth herein or in the Collateral Documents or as required by the Administrative Agent. The Loan Parties shall have delivered to the Administrative Agent an Authorization to Share Insurance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Solvency Certificate</w:t>
      </w:r>
      <w:r>
        <w:rPr>
          <w:rFonts w:ascii="Times New Roman;Times;Serif" w:hAnsi="Times New Roman;Times;Serif"/>
          <w:b w:val="false"/>
          <w:i w:val="false"/>
          <w:caps w:val="false"/>
          <w:smallCaps w:val="false"/>
          <w:sz w:val="20"/>
        </w:rPr>
        <w:t>. The Administrative Agent shall have received a Solvency Certificate signed by a Responsible Officer of the Borrower certifying that the Borrower, individually, is, and the Loan Parties and their Subsidiaries on a Consolidated basis, taken as a whole, are Solvent after giving effect to the initial Borrowings under the Loan Documents and the other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There shall not have occurred, since December 31, 2025, any event or condition that has had, or could be reasonably expected, either individually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Closing Date Certificate</w:t>
      </w:r>
      <w:r>
        <w:rPr>
          <w:rFonts w:ascii="Times New Roman;Times;Serif" w:hAnsi="Times New Roman;Times;Serif"/>
          <w:b w:val="false"/>
          <w:i w:val="false"/>
          <w:caps w:val="false"/>
          <w:smallCaps w:val="false"/>
          <w:sz w:val="20"/>
        </w:rPr>
        <w:t xml:space="preserve">. The Administrative Agent shall have received a certificate or certificates executed by a Responsible Officer of the Borrower as of the Closing Date, as to certain matters, substantially in the form of </w:t>
      </w:r>
      <w:r>
        <w:rPr>
          <w:rFonts w:ascii="Times New Roman;Times;Serif" w:hAnsi="Times New Roman;Times;Serif"/>
          <w:b w:val="false"/>
          <w:i w:val="false"/>
          <w:caps w:val="false"/>
          <w:smallCaps w:val="false"/>
          <w:sz w:val="20"/>
          <w:u w:val="single"/>
        </w:rPr>
        <w:t>Exhibit 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Seller Notes</w:t>
      </w:r>
      <w:r>
        <w:rPr>
          <w:rFonts w:ascii="Times New Roman;Times;Serif" w:hAnsi="Times New Roman;Times;Serif"/>
          <w:b w:val="false"/>
          <w:i w:val="false"/>
          <w:caps w:val="false"/>
          <w:smallCaps w:val="false"/>
          <w:sz w:val="20"/>
        </w:rPr>
        <w:t>. The Administrative Agent shall have received copies of the Subordinated Existing Holdover Notes Documents which shall be subordinated to the Secured Obligations on terms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Loan Notice</w:t>
      </w:r>
      <w:r>
        <w:rPr>
          <w:rFonts w:ascii="Times New Roman;Times;Serif" w:hAnsi="Times New Roman;Times;Serif"/>
          <w:b w:val="false"/>
          <w:i w:val="false"/>
          <w:caps w:val="false"/>
          <w:smallCaps w:val="false"/>
          <w:sz w:val="20"/>
        </w:rPr>
        <w:t>. The Administrative Agent shall have received a Loan Notice with respect to the Loans to be made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Existing Indebtedness of the Loan Parties</w:t>
      </w:r>
      <w:r>
        <w:rPr>
          <w:rFonts w:ascii="Times New Roman;Times;Serif" w:hAnsi="Times New Roman;Times;Serif"/>
          <w:b w:val="false"/>
          <w:i w:val="false"/>
          <w:caps w:val="false"/>
          <w:smallCaps w:val="false"/>
          <w:sz w:val="20"/>
        </w:rPr>
        <w:t xml:space="preserve">. All of the existing Indebtedness for borrowed money of the Borrower and its Subsidiaries (other than Indebtedness permitted to exist pursuant to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shall be repaid in full and all security interests related thereto shall be terminated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There shall be no actions, suits, investigations or proceedings pending or, to the knowledge of the Loan Parties, threatened in writing in any court or before any arbitrator or Governmental Authority that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Anti-Money-Laundering; Beneficial Ownership</w:t>
      </w:r>
      <w:r>
        <w:rPr>
          <w:rFonts w:ascii="Times New Roman;Times;Serif" w:hAnsi="Times New Roman;Times;Serif"/>
          <w:b w:val="false"/>
          <w:i w:val="false"/>
          <w:caps w:val="false"/>
          <w:smallCaps w:val="false"/>
          <w:sz w:val="20"/>
        </w:rPr>
        <w:t>. Upon the reasonable request of any Lender at least seven (7) days prior to the Closing Date, the Borrower shall have provided to such Lender at least three (3) Business Days prior to the Closing Date,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 at least three (3)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The Administrative Agent shall have received evidence that all boards of directors, shareholder, governmental and material third party consents and approvals necessary or, in the opinion of the Administrative Agent, desirable, in connection with the entering into of this Agreement and the transactions related thereto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The Administrative Agent and the Lenders shall have received all fees and expenses, if any, owing pursuant to the Fee Letter and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Material Agreements</w:t>
      </w:r>
      <w:r>
        <w:rPr>
          <w:rFonts w:ascii="Times New Roman;Times;Serif" w:hAnsi="Times New Roman;Times;Serif"/>
          <w:b w:val="false"/>
          <w:i w:val="false"/>
          <w:caps w:val="false"/>
          <w:smallCaps w:val="false"/>
          <w:sz w:val="20"/>
        </w:rPr>
        <w:t>. The Administrative Agent shall have received true and complete copies of all Material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Due Diligence</w:t>
      </w:r>
      <w:r>
        <w:rPr>
          <w:rFonts w:ascii="Times New Roman;Times;Serif" w:hAnsi="Times New Roman;Times;Serif"/>
          <w:b w:val="false"/>
          <w:i w:val="false"/>
          <w:caps w:val="false"/>
          <w:smallCaps w:val="false"/>
          <w:sz w:val="20"/>
        </w:rPr>
        <w:t>. The Lenders shall have completed a due diligence investigation of the Borrower and its Subsidiaries in scope, and with results, satisfactory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Other Documents</w:t>
      </w:r>
      <w:r>
        <w:rPr>
          <w:rFonts w:ascii="Times New Roman;Times;Serif" w:hAnsi="Times New Roman;Times;Serif"/>
          <w:b w:val="false"/>
          <w:i w:val="false"/>
          <w:caps w:val="false"/>
          <w:smallCaps w:val="false"/>
          <w:sz w:val="20"/>
        </w:rPr>
        <w:t>. All other documents provided for herein or which the Administrative Agent or any other Lender may reasonably request or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Additional Information</w:t>
      </w:r>
      <w:r>
        <w:rPr>
          <w:rFonts w:ascii="Times New Roman;Times;Serif" w:hAnsi="Times New Roman;Times;Serif"/>
          <w:b w:val="false"/>
          <w:i w:val="false"/>
          <w:caps w:val="false"/>
          <w:smallCaps w:val="false"/>
          <w:sz w:val="20"/>
        </w:rPr>
        <w:t>. Such additional information and materials which the Administrative Agent and/or any Lender shall reasonably request or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the provisions of </w:t>
      </w:r>
      <w:r>
        <w:rPr>
          <w:rFonts w:ascii="Times New Roman;Times;Serif" w:hAnsi="Times New Roman;Times;Serif"/>
          <w:b w:val="false"/>
          <w:i w:val="false"/>
          <w:caps w:val="false"/>
          <w:smallCaps w:val="false"/>
          <w:sz w:val="20"/>
          <w:u w:val="single"/>
        </w:rPr>
        <w:t>Section 9.04</w:t>
      </w:r>
      <w:r>
        <w:rPr>
          <w:rFonts w:ascii="Times New Roman;Times;Serif" w:hAnsi="Times New Roman;Times;Serif"/>
          <w:b w:val="false"/>
          <w:i w:val="false"/>
          <w:caps w:val="false"/>
          <w:smallCaps w:val="false"/>
          <w:sz w:val="20"/>
        </w:rPr>
        <w:t xml:space="preserve">, for purposes of determining compliance with the conditions specified in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4.02        </w:t>
      </w:r>
      <w:r>
        <w:rPr>
          <w:rFonts w:ascii="Times New Roman;Times;Serif" w:hAnsi="Times New Roman;Times;Serif"/>
          <w:b/>
          <w:i w:val="false"/>
          <w:caps w:val="false"/>
          <w:smallCaps w:val="false"/>
          <w:sz w:val="20"/>
          <w:u w:val="single"/>
        </w:rPr>
        <w:t>Conditions to all Credit Extensions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each Lender and the L/C Issuer to honor any Request for Credit Extension (other than a Loan Notice requesting only a conversion of Loans to the other Type, or a continuation of Term SOFR Loans) is subject to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the Borrower and each other Loan Party contained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any other Loan Document, or which are contained in any document furnished at any time under or in connection herewith or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shall (i) with respect to representations and warranties that contain a materiality qualification, be true and correct on and as of the date of such Credit Extension and (ii) with respect to representations and warranties that do not contain a materiality qualification, be true and correct in all material respects on and as of the date of such Credit Extension, except that, for purposes of this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val="false"/>
          <w:i w:val="false"/>
          <w:caps w:val="false"/>
          <w:smallCaps w:val="false"/>
          <w:sz w:val="20"/>
          <w:u w:val="single"/>
        </w:rPr>
        <w:t>Sections 5.05(a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shall be deemed to refer to the most recent statements furnished pursuant to </w:t>
      </w:r>
      <w:r>
        <w:rPr>
          <w:rFonts w:ascii="Times New Roman;Times;Serif" w:hAnsi="Times New Roman;Times;Serif"/>
          <w:b w:val="false"/>
          <w:i w:val="false"/>
          <w:caps w:val="false"/>
          <w:smallCaps w:val="false"/>
          <w:sz w:val="20"/>
          <w:u w:val="single"/>
        </w:rPr>
        <w:t>Sections 6.01(a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No Default shall exist, or would result from such proposed Credit Extension or from the application of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Request for Credit Extension</w:t>
      </w:r>
      <w:r>
        <w:rPr>
          <w:rFonts w:ascii="Times New Roman;Times;Serif" w:hAnsi="Times New Roman;Times;Serif"/>
          <w:b w:val="false"/>
          <w:i w:val="false"/>
          <w:caps w:val="false"/>
          <w:smallCaps w:val="false"/>
          <w:sz w:val="20"/>
        </w:rPr>
        <w:t>. The Administrative Agent and, if applicable, the L/C Issuer or the Swingline Lender shall have received a Request for Credit Extension in accordance with the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DD Term Facility</w:t>
      </w:r>
      <w:r>
        <w:rPr>
          <w:rFonts w:ascii="Times New Roman;Times;Serif" w:hAnsi="Times New Roman;Times;Serif"/>
          <w:b w:val="false"/>
          <w:i w:val="false"/>
          <w:caps w:val="false"/>
          <w:smallCaps w:val="false"/>
          <w:sz w:val="20"/>
        </w:rPr>
        <w:t xml:space="preserve">. In respect of any Request for Credit Extension under the DD Term Facility, the Borrower shall have delivered a certificate signed by a Responsible Officer of the Borrower, certifying, on a Pro Forma Basis (after giving effect to such requested DD Term Loans), that the Borrower shall be in compliance with the financial covenants set forth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calculated as of the end of the latest fiscal quarter for which internal financial statements are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Times;Serif" w:hAnsi="Times New Roman;Times;Serif"/>
          <w:b w:val="false"/>
          <w:i w:val="false"/>
          <w:caps w:val="false"/>
          <w:smallCaps w:val="false"/>
          <w:sz w:val="20"/>
          <w:u w:val="single"/>
        </w:rPr>
        <w:t>Sections 4.02(a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have been satisfied on and as of the date of the applicable Credit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represents and warrants to the Administrative Agent and the Lenders, as of the date made or deemed made,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        </w:t>
      </w:r>
      <w:r>
        <w:rPr>
          <w:rFonts w:ascii="Times New Roman;Times;Serif" w:hAnsi="Times New Roman;Times;Serif"/>
          <w:b/>
          <w:i w:val="false"/>
          <w:caps w:val="false"/>
          <w:smallCaps w:val="false"/>
          <w:sz w:val="20"/>
          <w:u w:val="single"/>
        </w:rPr>
        <w:t>Existence, Qualification and Power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Loan Party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Times;Serif" w:hAnsi="Times New Roman;Times;Serif"/>
          <w:b w:val="false"/>
          <w:i w:val="false"/>
          <w:caps w:val="false"/>
          <w:smallCaps w:val="false"/>
          <w:sz w:val="20"/>
          <w:u w:val="single"/>
        </w:rPr>
        <w:t>clause (b)(i</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to the extent that failure to do so could not reasonably be expected to have a Material Adverse Effect. The copy of the Organization Documents of each Loan Party provided to the Administrative Agent pursuant to the terms of this Agreement is a true and correct copy of each such document, each of which is valid and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        </w:t>
      </w:r>
      <w:r>
        <w:rPr>
          <w:rFonts w:ascii="Times New Roman;Times;Serif" w:hAnsi="Times New Roman;Times;Serif"/>
          <w:b/>
          <w:i w:val="false"/>
          <w:caps w:val="false"/>
          <w:smallCaps w:val="false"/>
          <w:sz w:val="20"/>
          <w:u w:val="single"/>
        </w:rPr>
        <w:t>Authorization; No Contravention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(or the requirement to create)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5.03        </w:t>
      </w:r>
      <w:r>
        <w:rPr>
          <w:rFonts w:ascii="Times New Roman;Times;Serif" w:hAnsi="Times New Roman;Times;Serif"/>
          <w:b/>
          <w:i w:val="false"/>
          <w:caps w:val="false"/>
          <w:smallCaps w:val="false"/>
          <w:sz w:val="20"/>
          <w:u w:val="single"/>
        </w:rPr>
        <w:t>Governmental Authorization; Other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(subject to Permitted Liens) to the extent required thereby) or (d) the exercise by the Administrative Agent or any Lender of its rights under the Loan Documents or the remedies in respect of the Collateral pursuant to the Collateral Documents, other than (i) authorizations, approvals, actions, notices and filings which have been duly obtained and (ii) filings to perfect the Liens created by the Collateral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5.04        </w:t>
      </w:r>
      <w:r>
        <w:rPr>
          <w:rFonts w:ascii="Times New Roman;Times;Serif" w:hAnsi="Times New Roman;Times;Serif"/>
          <w:b/>
          <w:i w:val="false"/>
          <w:caps w:val="false"/>
          <w:smallCaps w:val="false"/>
          <w:sz w:val="20"/>
          <w:u w:val="single"/>
        </w:rPr>
        <w:t>Binding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5.05        </w:t>
      </w:r>
      <w:r>
        <w:rPr>
          <w:rFonts w:ascii="Times New Roman;Times;Serif" w:hAnsi="Times New Roman;Times;Serif"/>
          <w:b/>
          <w:i w:val="false"/>
          <w:caps w:val="false"/>
          <w:smallCaps w:val="false"/>
          <w:sz w:val="20"/>
          <w:u w:val="single"/>
        </w:rPr>
        <w:t>Financial Statements; No 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Audited Financial Statements</w:t>
      </w:r>
      <w:r>
        <w:rPr>
          <w:rFonts w:ascii="Times New Roman;Times;Serif" w:hAnsi="Times New Roman;Times;Serif"/>
          <w:b w:val="false"/>
          <w:i w:val="false"/>
          <w:caps w:val="false"/>
          <w:smallCaps w:val="false"/>
          <w:sz w:val="20"/>
        </w:rPr>
        <w:t>. 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Quarterly Financial Statements</w:t>
      </w:r>
      <w:r>
        <w:rPr>
          <w:rFonts w:ascii="Times New Roman;Times;Serif" w:hAnsi="Times New Roman;Times;Serif"/>
          <w:b w:val="false"/>
          <w:i w:val="false"/>
          <w:caps w:val="false"/>
          <w:smallCaps w:val="false"/>
          <w:sz w:val="20"/>
        </w:rPr>
        <w:t>. The unaudited Consolidated balance sheet of the Borrower and its Subsidiaries dated June 30, 2026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changes in Shareholders’ Equity for the period covered thereby, subject, in the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to the absence of footnotes and to normal year-end audit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Since the date of the balance sheet included in the Audited Financial Statements (and, in addition, after delivery of the most recent annual audited financial statements in accordance with the terms hereof, since the date of such annual audited financial statements), there has been no event or circumstance, either individually or in the aggregate, that has had or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Forecasted Financials</w:t>
      </w:r>
      <w:r>
        <w:rPr>
          <w:rFonts w:ascii="Times New Roman;Times;Serif" w:hAnsi="Times New Roman;Times;Serif"/>
          <w:b w:val="false"/>
          <w:i w:val="false"/>
          <w:caps w:val="false"/>
          <w:smallCaps w:val="false"/>
          <w:sz w:val="20"/>
        </w:rPr>
        <w:t xml:space="preserve">. The Consolidated forecasted balance sheet, statements of income and cash flows of the Borrower and its Subsidiaries delivered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were prepared in good faith on the basis of the assumptions stated therein, which assumptions were fair in light of the conditions existing at the time of delivery of such forecasts, and represented, at the time of delivery, the Borrower’s best estimate of its future financial condition and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5.06        </w:t>
      </w:r>
      <w:r>
        <w:rPr>
          <w:rFonts w:ascii="Times New Roman;Times;Serif" w:hAnsi="Times New Roman;Times;Serif"/>
          <w:b/>
          <w:i w:val="false"/>
          <w:caps w:val="false"/>
          <w:smallCaps w:val="false"/>
          <w:sz w:val="20"/>
          <w:u w:val="single"/>
        </w:rPr>
        <w:t>Litigation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actions, suits, proceedings, claims or disputes pending or, to the knowledge of the Loan Parties after due and diligent investigation, threatened or contemplated, at law, in equity, in arbitration or before any Governmental Authority, by or against any Loan Party or any Subsidiary or against any of their properties or revenues that (a) purport to affect or pertain to this Agreement or any other Loan Document or any of the transactions contemplated hereby, or (b) either individually or in the aggregate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5.07        </w:t>
      </w:r>
      <w:r>
        <w:rPr>
          <w:rFonts w:ascii="Times New Roman;Times;Serif" w:hAnsi="Times New Roman;Times;Serif"/>
          <w:b/>
          <w:i w:val="false"/>
          <w:caps w:val="false"/>
          <w:smallCaps w:val="false"/>
          <w:sz w:val="20"/>
          <w:u w:val="single"/>
        </w:rPr>
        <w:t>No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any Loan Party nor any Subsidiary thereof is in default under or with respect to, or a party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5.08        </w:t>
      </w:r>
      <w:r>
        <w:rPr>
          <w:rFonts w:ascii="Times New Roman;Times;Serif" w:hAnsi="Times New Roman;Times;Serif"/>
          <w:b/>
          <w:i w:val="false"/>
          <w:caps w:val="false"/>
          <w:smallCaps w:val="false"/>
          <w:sz w:val="20"/>
          <w:u w:val="single"/>
        </w:rPr>
        <w:t>Ownership of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5.09        </w:t>
      </w:r>
      <w:r>
        <w:rPr>
          <w:rFonts w:ascii="Times New Roman;Times;Serif" w:hAnsi="Times New Roman;Times;Serif"/>
          <w:b/>
          <w:i w:val="false"/>
          <w:caps w:val="false"/>
          <w:smallCaps w:val="false"/>
          <w:sz w:val="20"/>
          <w:u w:val="single"/>
        </w:rPr>
        <w:t>Environmental Matters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could not, individually or in the aggregate, reasonably be expected to result in any Material Adverse Effect on any of the Loan Parties or any of their respective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None of the properties currently or formerly owned, leased or operated by any Loan Party or any of its Subsidiaries is listed or formally proposed for listing on the NPL or on the CERCLIS or any analogous foreign, state or local list or is adjacent to any such property; (B) there are no, and to the best knowledge of the Loan Parties and their Subsidiaries never have been any underground or above-ground storage tanks or any surface impoundments, septic tanks, pits, sumps or lagoons in which Hazardous Materials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being or have been treated, stored or disposed on any property currently owned, leased or operated by any Loan Party or any of its Subsidiaries or, to the best of the knowledge of the Loan Parties, on any property formerly owned, leased or operated by any Loan Party or any of its Subsidiaries; (C) there is no and never has been any asbestos or asbestos-containing material on, at or in any property currently owned, leased or operated by any Loan Party or any of its Subsidiaries; (D) Hazardous Materials have not been released on, at, under or from any property currently or formerly owned, leased or operated by any Loan Party or any of its Subsidiaries or any property by or on behalf, or otherwise arising from the operations, of any Loan Party or any of its Subsidiaries; and (E) no Loan Party or any of its Subsidiaries has become subject to any Environmental Liability or knows of any facts or circumstances that could reasonably be expected to give rise to any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Neither any Loan Party nor any of its Subsidiaries is undertaking, and has not completed, either individually or together with other potentially responsible parties, any investigation or assessment or remedial or response action relating to any actual or threatened Release of Hazardous Materials at, on, under, or from any site, location or operation, either voluntarily or pursuant to the order of any Governmental Authority or the requirements of any Environmental Law; and (B) all Hazardous Materials generated, used, treated, handled or stored at, or transported to or from, any property currently or formerly owned, leased or operated by any Loan Party or any of its Subsidiaries have been disposed of in a manner which could not reasonably be expected to result in liability to any Loan Party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Loan Parties and their respective Subsidiaries: (A) are, and within the period of all applicable statutes of limitation have been, in compliance with all applicable Environmental Laws; (B) hold all Environmental Permits (each of which is in full force and effect) required for any of their current or intended operations or for any property owned, leased, or otherwise operated by any of them; (C) are, and within the period of all applicable statutes of limitation have been, in compliance with all of their Environmental Permits; (D) to the extent within the control of the Loan Parties and their respective Subsidiaries, will timely renew and comply with each of their Environmental Permits and any additional Environmental Permits that may be required of any of them, and timely comply with any current, future or potential Environmental Law; and (E) are not aware of any requirement proposed for adoption or implementation under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such Environmental Laws and claims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properties of the Borrower and its Subsidiaries are insured with financially sound and reputable insurance companies not Affiliates of the Borrower, in such amounts (after giving effect to any self-insurance compatible with the following standards), with such deductibles and covering such risks as are customarily carried by companies engaged in similar businesses and owning similar properties in localities where the applicable Loan Party or the applicable Subsidiary operates. The general liability, casualty, property, terrorism and business interruption insurance coverage of the Loan Parties as in effect on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Closing Date, and as of the last date such Schedule was required to be updated in accordance with </w:t>
      </w:r>
      <w:r>
        <w:rPr>
          <w:rFonts w:ascii="Times New Roman;Times;Serif" w:hAnsi="Times New Roman;Times;Serif"/>
          <w:b w:val="false"/>
          <w:i w:val="false"/>
          <w:caps w:val="false"/>
          <w:smallCaps w:val="false"/>
          <w:sz w:val="20"/>
          <w:u w:val="single"/>
        </w:rPr>
        <w:t>Sections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xml:space="preserve">, is outlined as to carrier, policy number, expiration date, type, amount and deductibles on </w:t>
      </w:r>
      <w:r>
        <w:rPr>
          <w:rFonts w:ascii="Times New Roman;Times;Serif" w:hAnsi="Times New Roman;Times;Serif"/>
          <w:b w:val="false"/>
          <w:i w:val="false"/>
          <w:caps w:val="false"/>
          <w:smallCaps w:val="false"/>
          <w:sz w:val="20"/>
          <w:u w:val="single"/>
        </w:rPr>
        <w:t>Schedule 5.10</w:t>
      </w:r>
      <w:r>
        <w:rPr>
          <w:rFonts w:ascii="Times New Roman;Times;Serif" w:hAnsi="Times New Roman;Times;Serif"/>
          <w:b w:val="false"/>
          <w:i w:val="false"/>
          <w:caps w:val="false"/>
          <w:smallCaps w:val="false"/>
          <w:sz w:val="20"/>
        </w:rPr>
        <w:t xml:space="preserve"> and such insurance coverage complies with the requirements set forth in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and each of its Subsidiaries have timely filed (after all allowable extensions) all (a) federal, and state, provincial and territorial income taxes and (b) other tax returns and reports required to be filed, and have timely paid and remitted all federal, and state, provincial and territorial income and other Taxes (whether or not shown on a tax return), including in its capacity as a withholding agent, levied or imposed upon it or its properties, income or assets otherwise due and payable, except, in the case of clause (b), (x) those which are being contested in good faith by appropriate proceedings diligently conducted and for which adequate reserves have been provided in accordance with GAAP and (y) to the extent failure to do so could not reasonably be expected to have a Material Adverse Effect. There is no proposed tax assessment against any Loan Party or any Subsidiary that would, if made, have a Material Adverse Effect, nor is there any tax sharing agreement applicable to the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5.12        </w:t>
      </w:r>
      <w:r>
        <w:rPr>
          <w:rFonts w:ascii="Times New Roman;Times;Serif" w:hAnsi="Times New Roman;Times;Serif"/>
          <w:b/>
          <w:i w:val="false"/>
          <w:caps w:val="false"/>
          <w:smallCaps w:val="false"/>
          <w:sz w:val="20"/>
          <w:u w:val="single"/>
        </w:rPr>
        <w:t>ERISA Compliance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Plan is in compliance in all material respects with the applicable provisions of ERISA, the Code and other federal or state laws, other than any noncompliance that, in the aggregate, would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pending or, to the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ERISA Event has occurred, or is reasonably expected to occur that, when taken together with all other such ERISA Events for which liability is reasonably expected to occur,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Borrower nor any ERISA Affiliate maintains or contributes to, or has any unsatisfied obligation to contribute to, or liability under, any active or terminated Pension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represents and warrants as of the Closing Date that the Borrower is not using “plan assets” (within the meaning of Section 3(42) of ERISA or otherwise) of one or more Plans with respect to the Borrower’s entrance into, participation in, administration of and performance of the Loans, the Letters of Credit, the Commitments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        </w:t>
      </w:r>
      <w:r>
        <w:rPr>
          <w:rFonts w:ascii="Times New Roman;Times;Serif" w:hAnsi="Times New Roman;Times;Serif"/>
          <w:b/>
          <w:i w:val="false"/>
          <w:caps w:val="false"/>
          <w:smallCaps w:val="false"/>
          <w:sz w:val="20"/>
          <w:u w:val="single"/>
        </w:rPr>
        <w:t>Margin Regulations; 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Margin Regulations</w:t>
      </w:r>
      <w:r>
        <w:rPr>
          <w:rFonts w:ascii="Times New Roman;Times;Serif" w:hAnsi="Times New Roman;Times;Serif"/>
          <w:b w:val="false"/>
          <w:i w:val="false"/>
          <w:caps w:val="false"/>
          <w:smallCaps w:val="false"/>
          <w:sz w:val="20"/>
        </w:rPr>
        <w:t xml:space="preserve">. Neither the Borrower nor any of its Subsidiaries is engaged or will engage, principally or as one of its important activities, in the business of purchasing or carrying margin stock (within the meaning of Regulation U), or extending credit for the purpose of purchasing or carrying margin stock. Following the application of the proceeds of each Borrowing or drawing under each Letter of Credit, not more than twenty-five percent (25%) of the value of the assets (either of the Borrower only or of the Borrower and its Subsidiaries on a Consolidated basis) subject to the provisions of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or subject to any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contained in any agreement or instrument between the Borrower or any of its Subsidiaries and any Lender or any Affiliate of any Lender relating to Indebtedness and within the scope of </w:t>
      </w:r>
      <w:r>
        <w:rPr>
          <w:rFonts w:ascii="Times New Roman;Times;Serif" w:hAnsi="Times New Roman;Times;Serif"/>
          <w:b w:val="false"/>
          <w:i w:val="false"/>
          <w:caps w:val="false"/>
          <w:smallCaps w:val="false"/>
          <w:sz w:val="20"/>
          <w:u w:val="single"/>
        </w:rPr>
        <w:t>Section 8.01(e</w:t>
      </w:r>
      <w:r>
        <w:rPr>
          <w:rFonts w:ascii="Times New Roman;Times;Serif" w:hAnsi="Times New Roman;Times;Serif"/>
          <w:b w:val="false"/>
          <w:i w:val="false"/>
          <w:caps w:val="false"/>
          <w:smallCaps w:val="false"/>
          <w:sz w:val="20"/>
        </w:rPr>
        <w:t>) will be margin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None of the Borrower, any Person Controlling the Borrower, or any Subsidiary is or is required to be registered as an “investment company” under the Investment Company Act of 1940.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5.14        </w:t>
      </w:r>
      <w:r>
        <w:rPr>
          <w:rFonts w:ascii="Times New Roman;Times;Serif" w:hAnsi="Times New Roman;Times;Serif"/>
          <w:b/>
          <w:i w:val="false"/>
          <w:caps w:val="false"/>
          <w:smallCaps w:val="false"/>
          <w:sz w:val="20"/>
          <w:u w:val="single"/>
        </w:rPr>
        <w:t>Disclosure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has disclosed to the Administrative Agent and the Lenders all agreements, instruments and corporate or other restrictions to which it or any of its Subsidiaries or any other Loan Party is subject, and all other matters known to it, that, individually or in the aggregate, could reasonably be expected to result in a Material Adverse Effect. No report, financial statement, certificate or other information furnished (in writing)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contained, when furnished, any material misstatement of fact or omitted to state any material fact necessary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projected financial information, each Loan Party represents only that such information was prepared in good faith based upon assumptions believed to be reasonable at the time,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5.15        </w:t>
      </w:r>
      <w:r>
        <w:rPr>
          <w:rFonts w:ascii="Times New Roman;Times;Serif" w:hAnsi="Times New Roman;Times;Serif"/>
          <w:b/>
          <w:i w:val="false"/>
          <w:caps w:val="false"/>
          <w:smallCaps w:val="false"/>
          <w:sz w:val="20"/>
          <w:u w:val="single"/>
        </w:rPr>
        <w:t>Compliance with Laws, Regulatory Required Permits and Material Contractual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Loan Party and each Subsidiary thereof is in compliance with the requirements of all Applicable Laws (including all applicable Specified Laws) and all orders, writs, injunctions and decrees applicable to it or to its properties, except in such instances in which (i) such requirement of Law or order, writ, injunction or decree is being contested in good faith by appropriate proceedings diligently conducted or (ii) the failure to comply therewith, either individually or in the aggregate,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Loan Party will, and will cause each Subsidiary to perform in all material respects its obligations under Material Agreements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Loan Party and each Subsidiary thereof holds all Regulatory Required Permits in those jurisdictions where a Regulatory Required Permit is required by applicable Law for the operation of the business and such Regulatory Required Permits are in full force and effect. Each Loan Party and each Subsidiary thereof is in material compliance with the requirements applicable to the Loan Party or Subsidiary as a holder of each Regulatory Required Permit, including, without limitation, regulatory reporting requirements and compliance with Anti-Terrorism Laws, as applicable. Each Loan Party and each Subsidiary thereof will maintain each Regulatory Required Permit held by the Loan Party or Subsidiary, except with respect to any Regulatory Required Permit (i) issued by a Governmental Authority in a state or states that do not, as of the applicable date of determination, individually or collectively account for more than ten percent (10%) of the revenue of the Loan Parties and their consolidated Subsidiaries, as determined in accordance with GAAP as of such date of determination, or (ii) the loss of which could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be expected to result in a Material Adverse Effect; provided that no Loan Party or any Subsidiary thereof is conducting or will conduct business in any jurisdiction without the applicable Regulatory Required Permits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5.16        </w:t>
      </w:r>
      <w:r>
        <w:rPr>
          <w:rFonts w:ascii="Times New Roman;Times;Serif" w:hAnsi="Times New Roman;Times;Serif"/>
          <w:b/>
          <w:i w:val="false"/>
          <w:caps w:val="false"/>
          <w:smallCaps w:val="false"/>
          <w:sz w:val="20"/>
          <w:u w:val="single"/>
        </w:rPr>
        <w:t>Solvency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individually, is, and the Loan Parties and their Subsidiaries on a Consolidated basis, taken as a whole, are,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5.17        </w:t>
      </w:r>
      <w:r>
        <w:rPr>
          <w:rFonts w:ascii="Times New Roman;Times;Serif" w:hAnsi="Times New Roman;Times;Serif"/>
          <w:b/>
          <w:i w:val="false"/>
          <w:caps w:val="false"/>
          <w:smallCaps w:val="false"/>
          <w:sz w:val="20"/>
          <w:u w:val="single"/>
        </w:rPr>
        <w:t>Casualty,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5.18        </w:t>
      </w:r>
      <w:r>
        <w:rPr>
          <w:rFonts w:ascii="Times New Roman;Times;Serif" w:hAnsi="Times New Roman;Times;Serif"/>
          <w:b/>
          <w:i w:val="false"/>
          <w:caps w:val="false"/>
          <w:smallCaps w:val="false"/>
          <w:sz w:val="20"/>
          <w:u w:val="single"/>
        </w:rPr>
        <w:t>Sanctions Concerns and Anti-Corruption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Sanctions Concerns</w:t>
      </w:r>
      <w:r>
        <w:rPr>
          <w:rFonts w:ascii="Times New Roman;Times;Serif" w:hAnsi="Times New Roman;Times;Serif"/>
          <w:b w:val="false"/>
          <w:i w:val="false"/>
          <w:caps w:val="false"/>
          <w:smallCaps w:val="false"/>
          <w:sz w:val="20"/>
        </w:rPr>
        <w:t>. No Loan Party, nor any Subsidiary, nor, to the knowledge of the Loan Parties and their Subsidiaries, any director, officer, employee, agent, affiliate or representative thereof, is an individual or entity that is, or is owned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Borrower and its Subsidiaries have conducted their businesses in compliance with all applicable Sanctions and have instituted and maintained policies and procedures designed to promote and achieve compliance with such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The Loan Parties and their Subsidiaries have conducted their business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5.19        </w:t>
      </w:r>
      <w:r>
        <w:rPr>
          <w:rFonts w:ascii="Times New Roman;Times;Serif" w:hAnsi="Times New Roman;Times;Serif"/>
          <w:b/>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Loan Party, nor any Subsidiary thereof, is subject to any proceeding, suit or, to any Loan Party’s knowledge, investigation by any federal, state or local government or quasi-governmental body, agency, board or authority or any other administrative or investigative body, which could reasonably be expected to result in the revocation, transfer, surrender, suspension of any Permits (including Regulatory Required Permits) of any Loan Party or any Subsidiary thereof, which revocation, transfer, surrender or suspension could reasonably be expected to (a) result in a Material Adverse Effect, or (b) require the Loan Parties and their subsidiaries to cease material operations in or with respect to a state or states that do not, as of the applicable date of determination, individually or collectively account for more than ten percent (10%) of the revenue of the Loan Parties and their consolidated Subsidiaries, as determined in accordance with GAAP as of such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5.20        </w:t>
      </w:r>
      <w:r>
        <w:rPr>
          <w:rFonts w:ascii="Times New Roman;Times;Serif" w:hAnsi="Times New Roman;Times;Serif"/>
          <w:b/>
          <w:i w:val="false"/>
          <w:caps w:val="false"/>
          <w:smallCaps w:val="false"/>
          <w:sz w:val="20"/>
          <w:u w:val="single"/>
        </w:rPr>
        <w:t>Subsidiaries; Equity Interests; Loan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Subsidiaries, Joint Ventures, Partnerships and Equity Investments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5.20(a</w:t>
      </w:r>
      <w:r>
        <w:rPr>
          <w:rFonts w:ascii="Times New Roman;Times;Serif" w:hAnsi="Times New Roman;Times;Serif"/>
          <w:b w:val="false"/>
          <w:i w:val="false"/>
          <w:caps w:val="false"/>
          <w:smallCaps w:val="false"/>
          <w:sz w:val="20"/>
        </w:rPr>
        <w:t xml:space="preserve">), is the following information which is true and complete in all respects as of the Closing Date and as of the last date such Schedule was required to be updated in accordance with </w:t>
      </w:r>
      <w:r>
        <w:rPr>
          <w:rFonts w:ascii="Times New Roman;Times;Serif" w:hAnsi="Times New Roman;Times;Serif"/>
          <w:b w:val="false"/>
          <w:i w:val="false"/>
          <w:caps w:val="false"/>
          <w:smallCaps w:val="false"/>
          <w:sz w:val="20"/>
          <w:u w:val="single"/>
        </w:rPr>
        <w:t>Sections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xml:space="preserve">: (i) a complete and accurate list of all Subsidiaries, joint ventures and partnerships and other equity investments of the Loan Parties as of the Closing Date and as of the last date such Schedule was required to be updated in accordance with </w:t>
      </w:r>
      <w:r>
        <w:rPr>
          <w:rFonts w:ascii="Times New Roman;Times;Serif" w:hAnsi="Times New Roman;Times;Serif"/>
          <w:b w:val="false"/>
          <w:i w:val="false"/>
          <w:caps w:val="false"/>
          <w:smallCaps w:val="false"/>
          <w:sz w:val="20"/>
          <w:u w:val="single"/>
        </w:rPr>
        <w:t>Sections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and (ii) the percentage of outstanding shares of each class of Equity Interests owned by the Loan Parties and their Subsidiaries. The outstanding Equity Interests in all Subsidiaries are validly issued, fully paid and non-assessable and are owned free and clear of all Liens. There are no outstanding subscriptions, options, warrants, calls, rights or other agreements or commitments (other than stock options granted to employees or directors and directors’ qualifying shares) of any nature relating to the Equity Interests of any Loan Party (other than the Borrower) or any Subsidiary thereof, except as contemplated in connection with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5.20(b</w:t>
      </w:r>
      <w:r>
        <w:rPr>
          <w:rFonts w:ascii="Times New Roman;Times;Serif" w:hAnsi="Times New Roman;Times;Serif"/>
          <w:b w:val="false"/>
          <w:i w:val="false"/>
          <w:caps w:val="false"/>
          <w:smallCaps w:val="false"/>
          <w:sz w:val="20"/>
        </w:rPr>
        <w:t xml:space="preserve">) is a complete and accurate list of all Loan Parties, showing as of the Closing Date, or as of the last date such Schedule was required to be updated in accordance with </w:t>
      </w:r>
      <w:r>
        <w:rPr>
          <w:rFonts w:ascii="Times New Roman;Times;Serif" w:hAnsi="Times New Roman;Times;Serif"/>
          <w:b w:val="false"/>
          <w:i w:val="false"/>
          <w:caps w:val="false"/>
          <w:smallCaps w:val="false"/>
          <w:sz w:val="20"/>
          <w:u w:val="single"/>
        </w:rPr>
        <w:t>Sections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(as to each Loan Party) (i) the exact legal name, (ii) any former legal names of such Loan Party in the four (4) months prior to the Closing Date, (iii) the jurisdiction of its incorporation or organization, as applicable, (iv) the type of organization, (v) the jurisdictions in which such Loan Party is qualified to do business, (vi) the address of its chief executive office, (vii) the address of its principal place of business, (viii) its U.S. federal taxpayer identification number or, in the case of any non-U.S. Loan Party that does not have a U.S. taxpayer identification number, its unique identification number issued to it by the jurisdiction of its incorporation or organization, (ix) the organization identification number, (x) ownership information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publicly held or if private or partnership, the owners and partners of each of the Loan Parties) and (xi) the industry or nature of business of such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5.21        </w:t>
      </w:r>
      <w:r>
        <w:rPr>
          <w:rFonts w:ascii="Times New Roman;Times;Serif" w:hAnsi="Times New Roman;Times;Serif"/>
          <w:b/>
          <w:i w:val="false"/>
          <w:caps w:val="false"/>
          <w:smallCaps w:val="false"/>
          <w:sz w:val="20"/>
          <w:u w:val="single"/>
        </w:rPr>
        <w:t>Collateral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Collateral Documents</w:t>
      </w:r>
      <w:r>
        <w:rPr>
          <w:rFonts w:ascii="Times New Roman;Times;Serif" w:hAnsi="Times New Roman;Times;Serif"/>
          <w:b w:val="false"/>
          <w:i w:val="false"/>
          <w:caps w:val="false"/>
          <w:smallCaps w:val="false"/>
          <w:sz w:val="20"/>
        </w:rPr>
        <w:t>. The provisions of the Collateral Documents are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completed prior to the Closing Date and as contemplated hereby and by the Collateral Documents, no filing or other action will be necessary to perfect or protect such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5.21(b)</w:t>
      </w:r>
      <w:r>
        <w:rPr>
          <w:rFonts w:ascii="Times New Roman;Times;Serif" w:hAnsi="Times New Roman;Times;Serif"/>
          <w:b w:val="false"/>
          <w:i w:val="false"/>
          <w:caps w:val="false"/>
          <w:smallCaps w:val="false"/>
          <w:sz w:val="20"/>
        </w:rPr>
        <w:t xml:space="preserve">, as of the Closing Date and as of the last date such Schedule was required to be updated in accordance with </w:t>
      </w:r>
      <w:r>
        <w:rPr>
          <w:rFonts w:ascii="Times New Roman;Times;Serif" w:hAnsi="Times New Roman;Times;Serif"/>
          <w:b w:val="false"/>
          <w:i w:val="false"/>
          <w:caps w:val="false"/>
          <w:smallCaps w:val="false"/>
          <w:sz w:val="20"/>
          <w:u w:val="single"/>
        </w:rPr>
        <w:t>Sections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is a list of all registered or issued Intellectual Property (including all applications for registration or issuance) owned by each of the Loan Parties (including the name/title, current owner, registration or application number, and registration or application date and such other information as reasonably requested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Documents, Instrument, and Tangible Chattel Paper</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5.21(c</w:t>
      </w:r>
      <w:r>
        <w:rPr>
          <w:rFonts w:ascii="Times New Roman;Times;Serif" w:hAnsi="Times New Roman;Times;Serif"/>
          <w:b w:val="false"/>
          <w:i w:val="false"/>
          <w:caps w:val="false"/>
          <w:smallCaps w:val="false"/>
          <w:sz w:val="20"/>
        </w:rPr>
        <w:t xml:space="preserve">), as of the Closing Date and as of the last date such </w:t>
      </w:r>
      <w:r>
        <w:rPr>
          <w:rFonts w:ascii="Times New Roman;Times;Serif" w:hAnsi="Times New Roman;Times;Serif"/>
          <w:b w:val="false"/>
          <w:i w:val="false"/>
          <w:caps w:val="false"/>
          <w:smallCaps w:val="false"/>
          <w:sz w:val="20"/>
          <w:u w:val="single"/>
        </w:rPr>
        <w:t>Schedule 5.21(c</w:t>
      </w:r>
      <w:r>
        <w:rPr>
          <w:rFonts w:ascii="Times New Roman;Times;Serif" w:hAnsi="Times New Roman;Times;Serif"/>
          <w:b w:val="false"/>
          <w:i w:val="false"/>
          <w:caps w:val="false"/>
          <w:smallCaps w:val="false"/>
          <w:sz w:val="20"/>
        </w:rPr>
        <w:t xml:space="preserve">) was required to be updated in accordance with </w:t>
      </w:r>
      <w:r>
        <w:rPr>
          <w:rFonts w:ascii="Times New Roman;Times;Serif" w:hAnsi="Times New Roman;Times;Serif"/>
          <w:b w:val="false"/>
          <w:i w:val="false"/>
          <w:caps w:val="false"/>
          <w:smallCaps w:val="false"/>
          <w:sz w:val="20"/>
          <w:u w:val="single"/>
        </w:rPr>
        <w:t>Sections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is a description of all Documents, Instruments, and Tangible Chattel Paper (each as defined in the UCC) of the Loan Parties (including the Loan Party owning such Document, Instrument and Tangible Chattel Paper and such other information as reasonably requested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Deposit Accounts, Electronic Chattel Paper, Letter-of-Credit Rights, and Securities Accounts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Set forth on </w:t>
      </w:r>
      <w:r>
        <w:rPr>
          <w:rFonts w:ascii="Times New Roman;Times;Serif" w:hAnsi="Times New Roman;Times;Serif"/>
          <w:b w:val="false"/>
          <w:i w:val="false"/>
          <w:caps w:val="false"/>
          <w:smallCaps w:val="false"/>
          <w:sz w:val="20"/>
          <w:u w:val="single"/>
        </w:rPr>
        <w:t>Schedule 5.21(d)(i</w:t>
      </w:r>
      <w:r>
        <w:rPr>
          <w:rFonts w:ascii="Times New Roman;Times;Serif" w:hAnsi="Times New Roman;Times;Serif"/>
          <w:b w:val="false"/>
          <w:i w:val="false"/>
          <w:caps w:val="false"/>
          <w:smallCaps w:val="false"/>
          <w:sz w:val="20"/>
        </w:rPr>
        <w:t xml:space="preserve">), as of the Closing Date and as of the last date such </w:t>
      </w:r>
      <w:r>
        <w:rPr>
          <w:rFonts w:ascii="Times New Roman;Times;Serif" w:hAnsi="Times New Roman;Times;Serif"/>
          <w:b w:val="false"/>
          <w:i w:val="false"/>
          <w:caps w:val="false"/>
          <w:smallCaps w:val="false"/>
          <w:sz w:val="20"/>
          <w:u w:val="single"/>
        </w:rPr>
        <w:t>Schedule 5.21(d)(i</w:t>
      </w:r>
      <w:r>
        <w:rPr>
          <w:rFonts w:ascii="Times New Roman;Times;Serif" w:hAnsi="Times New Roman;Times;Serif"/>
          <w:b w:val="false"/>
          <w:i w:val="false"/>
          <w:caps w:val="false"/>
          <w:smallCaps w:val="false"/>
          <w:sz w:val="20"/>
        </w:rPr>
        <w:t xml:space="preserve">) was required to be updated in accordance with </w:t>
      </w:r>
      <w:r>
        <w:rPr>
          <w:rFonts w:ascii="Times New Roman;Times;Serif" w:hAnsi="Times New Roman;Times;Serif"/>
          <w:b w:val="false"/>
          <w:i w:val="false"/>
          <w:caps w:val="false"/>
          <w:smallCaps w:val="false"/>
          <w:sz w:val="20"/>
          <w:u w:val="single"/>
        </w:rPr>
        <w:t>Sections 6.02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is a description of all Deposit Accounts and Securities Accounts of the Loan Parties, including the name of (A) the applicable Loan Party, (B) in the case of a Deposit Account, the depository institution and average amount held in such Deposit Account and whether such account is a zero balance account or a payroll account, and (C) in the case of a Securities Account, the securities intermediary or issuer and the average aggregate market value held in such Securities Account,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Set forth on </w:t>
      </w:r>
      <w:r>
        <w:rPr>
          <w:rFonts w:ascii="Times New Roman;Times;Serif" w:hAnsi="Times New Roman;Times;Serif"/>
          <w:b w:val="false"/>
          <w:i w:val="false"/>
          <w:caps w:val="false"/>
          <w:smallCaps w:val="false"/>
          <w:sz w:val="20"/>
          <w:u w:val="single"/>
        </w:rPr>
        <w:t>Schedule 5.21(d)(ii)</w:t>
      </w:r>
      <w:r>
        <w:rPr>
          <w:rFonts w:ascii="Times New Roman;Times;Serif" w:hAnsi="Times New Roman;Times;Serif"/>
          <w:b w:val="false"/>
          <w:i w:val="false"/>
          <w:caps w:val="false"/>
          <w:smallCaps w:val="false"/>
          <w:sz w:val="20"/>
        </w:rPr>
        <w:t xml:space="preserve">, as of the Closing Date and as of the last date such </w:t>
      </w:r>
      <w:r>
        <w:rPr>
          <w:rFonts w:ascii="Times New Roman;Times;Serif" w:hAnsi="Times New Roman;Times;Serif"/>
          <w:b w:val="false"/>
          <w:i w:val="false"/>
          <w:caps w:val="false"/>
          <w:smallCaps w:val="false"/>
          <w:sz w:val="20"/>
          <w:u w:val="single"/>
        </w:rPr>
        <w:t>Schedule 5.21(d)(ii</w:t>
      </w:r>
      <w:r>
        <w:rPr>
          <w:rFonts w:ascii="Times New Roman;Times;Serif" w:hAnsi="Times New Roman;Times;Serif"/>
          <w:b w:val="false"/>
          <w:i w:val="false"/>
          <w:caps w:val="false"/>
          <w:smallCaps w:val="false"/>
          <w:sz w:val="20"/>
        </w:rPr>
        <w:t xml:space="preserve">) was required to be updated in accordance with </w:t>
      </w:r>
      <w:r>
        <w:rPr>
          <w:rFonts w:ascii="Times New Roman;Times;Serif" w:hAnsi="Times New Roman;Times;Serif"/>
          <w:b w:val="false"/>
          <w:i w:val="false"/>
          <w:caps w:val="false"/>
          <w:smallCaps w:val="false"/>
          <w:sz w:val="20"/>
          <w:u w:val="single"/>
        </w:rPr>
        <w:t>Sections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is a description of all Electronic Chattel Paper (as defined in the UCC) and Letter-of-Credit Rights (as defined in the UCC) of the Loan Parties, including the name of (A) the applicable Loan Party, (B) in the case of Electronic Chattel Paper (as defined in the UCC), the account debtor and (C) in the case of Letter-of-Credit Rights (as defined in the UCC), the issuer or nominated person,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Commercial Tort Claims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5.21(e</w:t>
      </w:r>
      <w:r>
        <w:rPr>
          <w:rFonts w:ascii="Times New Roman;Times;Serif" w:hAnsi="Times New Roman;Times;Serif"/>
          <w:b w:val="false"/>
          <w:i w:val="false"/>
          <w:caps w:val="false"/>
          <w:smallCaps w:val="false"/>
          <w:sz w:val="20"/>
        </w:rPr>
        <w:t xml:space="preserve">), as of the Closing Date and as of the last date such </w:t>
      </w:r>
      <w:r>
        <w:rPr>
          <w:rFonts w:ascii="Times New Roman;Times;Serif" w:hAnsi="Times New Roman;Times;Serif"/>
          <w:b w:val="false"/>
          <w:i w:val="false"/>
          <w:caps w:val="false"/>
          <w:smallCaps w:val="false"/>
          <w:sz w:val="20"/>
          <w:u w:val="single"/>
        </w:rPr>
        <w:t>Schedule 5.21(e</w:t>
      </w:r>
      <w:r>
        <w:rPr>
          <w:rFonts w:ascii="Times New Roman;Times;Serif" w:hAnsi="Times New Roman;Times;Serif"/>
          <w:b w:val="false"/>
          <w:i w:val="false"/>
          <w:caps w:val="false"/>
          <w:smallCaps w:val="false"/>
          <w:sz w:val="20"/>
        </w:rPr>
        <w:t xml:space="preserve">) was required to be updated in accordance with </w:t>
      </w:r>
      <w:r>
        <w:rPr>
          <w:rFonts w:ascii="Times New Roman;Times;Serif" w:hAnsi="Times New Roman;Times;Serif"/>
          <w:b w:val="false"/>
          <w:i w:val="false"/>
          <w:caps w:val="false"/>
          <w:smallCaps w:val="false"/>
          <w:sz w:val="20"/>
          <w:u w:val="single"/>
        </w:rPr>
        <w:t>Sections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is a description of all Commercial Tort Claims (as defined in the UCC) of the Loan Parties (detailing such Commercial Tort Claim in such detail as reasonably requested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Pledged Equity Interests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5.21(f</w:t>
      </w:r>
      <w:r>
        <w:rPr>
          <w:rFonts w:ascii="Times New Roman;Times;Serif" w:hAnsi="Times New Roman;Times;Serif"/>
          <w:b w:val="false"/>
          <w:i w:val="false"/>
          <w:caps w:val="false"/>
          <w:smallCaps w:val="false"/>
          <w:sz w:val="20"/>
        </w:rPr>
        <w:t xml:space="preserve">), as of the Closing Date and as of the last date such </w:t>
      </w:r>
      <w:r>
        <w:rPr>
          <w:rFonts w:ascii="Times New Roman;Times;Serif" w:hAnsi="Times New Roman;Times;Serif"/>
          <w:b w:val="false"/>
          <w:i w:val="false"/>
          <w:caps w:val="false"/>
          <w:smallCaps w:val="false"/>
          <w:sz w:val="20"/>
          <w:u w:val="single"/>
        </w:rPr>
        <w:t>Schedule 5.21(f</w:t>
      </w:r>
      <w:r>
        <w:rPr>
          <w:rFonts w:ascii="Times New Roman;Times;Serif" w:hAnsi="Times New Roman;Times;Serif"/>
          <w:b w:val="false"/>
          <w:i w:val="false"/>
          <w:caps w:val="false"/>
          <w:smallCaps w:val="false"/>
          <w:sz w:val="20"/>
        </w:rPr>
        <w:t xml:space="preserve">) was required to be updated in accordance with </w:t>
      </w:r>
      <w:r>
        <w:rPr>
          <w:rFonts w:ascii="Times New Roman;Times;Serif" w:hAnsi="Times New Roman;Times;Serif"/>
          <w:b w:val="false"/>
          <w:i w:val="false"/>
          <w:caps w:val="false"/>
          <w:smallCaps w:val="false"/>
          <w:sz w:val="20"/>
          <w:u w:val="single"/>
        </w:rPr>
        <w:t>Sections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is a list of (i) all Pledged Equity and (ii) all other Equity Interests required to be pledged to the Administrative Agent pursuant to the Collateral Documents (in each case, detailing the Grantor (as defined in the Security Agreement), the Person whose Equity Interests are pledged, the number of shares of each class of Equity Interests, the certificate number and percentage ownership of outstanding shares of each class of Equity Interests and the class or nature of such Equity Interests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voting, non-voting, preferred,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5.21(g)</w:t>
      </w:r>
      <w:r>
        <w:rPr>
          <w:rFonts w:ascii="Times New Roman;Times;Serif" w:hAnsi="Times New Roman;Times;Serif"/>
          <w:b w:val="false"/>
          <w:i w:val="false"/>
          <w:caps w:val="false"/>
          <w:smallCaps w:val="false"/>
          <w:sz w:val="20"/>
        </w:rPr>
        <w:t xml:space="preserve">, as of the Closing Date and as of the last date such </w:t>
      </w:r>
      <w:r>
        <w:rPr>
          <w:rFonts w:ascii="Times New Roman;Times;Serif" w:hAnsi="Times New Roman;Times;Serif"/>
          <w:b w:val="false"/>
          <w:i w:val="false"/>
          <w:caps w:val="false"/>
          <w:smallCaps w:val="false"/>
          <w:sz w:val="20"/>
          <w:u w:val="single"/>
        </w:rPr>
        <w:t>Schedule 5.21(g)</w:t>
      </w:r>
      <w:r>
        <w:rPr>
          <w:rFonts w:ascii="Times New Roman;Times;Serif" w:hAnsi="Times New Roman;Times;Serif"/>
          <w:b w:val="false"/>
          <w:i w:val="false"/>
          <w:caps w:val="false"/>
          <w:smallCaps w:val="false"/>
          <w:sz w:val="20"/>
        </w:rPr>
        <w:t xml:space="preserve"> was required to be updated in accordance with </w:t>
      </w:r>
      <w:r>
        <w:rPr>
          <w:rFonts w:ascii="Times New Roman;Times;Serif" w:hAnsi="Times New Roman;Times;Serif"/>
          <w:b w:val="false"/>
          <w:i w:val="false"/>
          <w:caps w:val="false"/>
          <w:smallCaps w:val="false"/>
          <w:sz w:val="20"/>
          <w:u w:val="single"/>
        </w:rPr>
        <w:t>Sections 6.02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is a list of (A) each headquarter location of the Loan Parties, (B) each other location where any significant administrative or governmental functions are performed, (C) each other location where the Loan Parties maintain any books or records (electronic or otherwise) and (D) each location where any personal property Collateral is located at any premises owned or leased by a Loan Party (in each case, including (1) an indication if such location is leased or owned, (2), if leased, the name of the lessor, and if owned, the name of the Loan Party owning such property, (3) the address of such property (including, the city, county, state and zip code) and (4) to the extent owned, the approximate fair market value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5.22        </w:t>
      </w:r>
      <w:r>
        <w:rPr>
          <w:rFonts w:ascii="Times New Roman;Times;Serif" w:hAnsi="Times New Roman;Times;Serif"/>
          <w:b/>
          <w:i w:val="false"/>
          <w:caps w:val="false"/>
          <w:smallCaps w:val="false"/>
          <w:sz w:val="20"/>
          <w:u w:val="single"/>
        </w:rPr>
        <w:t>Affected Financial Institutions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Loan Party is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5.23        </w:t>
      </w:r>
      <w:r>
        <w:rPr>
          <w:rFonts w:ascii="Times New Roman;Times;Serif" w:hAnsi="Times New Roman;Times;Serif"/>
          <w:b/>
          <w:i w:val="false"/>
          <w:caps w:val="false"/>
          <w:smallCaps w:val="false"/>
          <w:sz w:val="20"/>
          <w:u w:val="single"/>
        </w:rPr>
        <w:t>Covered Entities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Loan Party is an Affected Covered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5.24        </w:t>
      </w:r>
      <w:r>
        <w:rPr>
          <w:rFonts w:ascii="Times New Roman;Times;Serif" w:hAnsi="Times New Roman;Times;Serif"/>
          <w:b/>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the Beneficial Ownership Certification, if applicable, is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5.25        </w:t>
      </w:r>
      <w:r>
        <w:rPr>
          <w:rFonts w:ascii="Times New Roman;Times;Serif" w:hAnsi="Times New Roman;Times;Serif"/>
          <w:b/>
          <w:i w:val="false"/>
          <w:caps w:val="false"/>
          <w:smallCaps w:val="false"/>
          <w:sz w:val="20"/>
          <w:u w:val="single"/>
        </w:rPr>
        <w:t>Intellectual Property; Licenses;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and each of its Subsidiaries own, or possess the right to use, all of the trademarks, service marks, trade names, copyrights, patents, patent rights, trade secrets, know-how, franchises, licenses and other intellectual property rights that are material to the operation of their respective businesses, without, to Loan Parties’ knowledge, conflict with the rights of any other Person. To the best knowledge of the Borrower, neither the operation of the business, nor any product, service, process, method, substance, part or other material now used, or now contemplated to be used, by any Loan Party or any of its Subsidiaries infringes, misappropriates or otherwise violates upon any rights held by any other Person. No claim or litigation regarding any of the foregoing is pending or, to the best knowledge of any Loan Party, threatened in writing, which, either individually or in the aggregate, could reasonably be expected to have a Material Adverse Effect. To the best knowledge of the any Loan Party, there has been no unauthorized use, access, interruption, modification, corruption or malfunction of any information technology assets or systems (or any information or transactions stored or contained therein or transmitted thereby) owned or used by any Loan Party or any of its Subsidiaries, which, either individually or in the aggregate,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5.26        </w:t>
      </w:r>
      <w:r>
        <w:rPr>
          <w:rFonts w:ascii="Times New Roman;Times;Serif" w:hAnsi="Times New Roman;Times;Serif"/>
          <w:b/>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collective bargaining agreements or Multiemployer Plans covering the employees of the Borrower or any of its Subsidiaries as of the Closing Date and neither the Borrower nor any Subsidiary has suffered any strikes, walkouts, work stoppages or other material labor difficulty within the last five (5) years preceding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5.27        </w:t>
      </w:r>
      <w:r>
        <w:rPr>
          <w:rFonts w:ascii="Times New Roman;Times;Serif" w:hAnsi="Times New Roman;Times;Serif"/>
          <w:b/>
          <w:i w:val="false"/>
          <w:caps w:val="false"/>
          <w:smallCaps w:val="false"/>
          <w:sz w:val="20"/>
          <w:u w:val="single"/>
        </w:rPr>
        <w:t>Designation as Senior Indebtedness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constitute “Designated Senior Indebtedness” or any similar designation (with respect to indebtedness that has the maximum rights as “senior debt”) under and as defined in any agreement governing any Subordinated Debt and the subordination provisions set forth in each such agreement are legally valid and enforceable against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5.28        </w:t>
      </w:r>
      <w:r>
        <w:rPr>
          <w:rFonts w:ascii="Times New Roman;Times;Serif" w:hAnsi="Times New Roman;Times;Serif"/>
          <w:b/>
          <w:i w:val="false"/>
          <w:caps w:val="false"/>
          <w:smallCaps w:val="false"/>
          <w:sz w:val="20"/>
          <w:u w:val="single"/>
        </w:rPr>
        <w:t>Material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Material Agreements to which any Loan Party or any Subsidiary is a party or is bound as of the date of this Agreement are listed on Schedule 5.28. No Loan Party or any Subsidiary is in default in the performance, observance or fulfillment of any of the obligations, covenants or conditions contained in (a) any Material Agreement to which it is a party or (b) any agreement or instrument evidencing or governing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5.29        </w:t>
      </w:r>
      <w:r>
        <w:rPr>
          <w:rFonts w:ascii="Times New Roman;Times;Serif" w:hAnsi="Times New Roman;Times;Serif"/>
          <w:b/>
          <w:i w:val="false"/>
          <w:caps w:val="false"/>
          <w:smallCaps w:val="false"/>
          <w:sz w:val="20"/>
          <w:u w:val="single"/>
        </w:rPr>
        <w:t>Outbound Investment Rule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or such Subsidiary were a U.S. Person or (iii) any other activity that would cause Administrative Agent or any Lender to be in violation of the Outbound Investment Rules or cause Administrative Agent or any Lender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5.30        </w:t>
      </w:r>
      <w:r>
        <w:rPr>
          <w:rFonts w:ascii="Times New Roman;Times;Serif" w:hAnsi="Times New Roman;Times;Serif"/>
          <w:b/>
          <w:i w:val="false"/>
          <w:caps w:val="false"/>
          <w:smallCaps w:val="false"/>
          <w:sz w:val="20"/>
          <w:u w:val="single"/>
        </w:rPr>
        <w:t>Data Privacy and Cybersecurity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could not reasonably be expected to have a Material Adverse Effect, since January 1, 2024, no Loan Party or any Subsidiary thereof has experienced any Material Cybersecurity Incident, and no Loan Party or any Subsidiary thereof has received any written notice or complaint from any Governmental Authority alleging any material violation of any Data Privacy and Cybersecurity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Loan Party and each Subsidiary thereof (i) is in compliance in all material respects with all applicable Data Privacy and Cybersecurity Laws, (ii) has implemented and maintains commercially reasonable administrative, technical, and physical safeguards, policies, and procedures designed to protect Client Data and the confidentiality, integrity, and availability of its information technology systems (a “</w:t>
      </w:r>
      <w:r>
        <w:rPr>
          <w:rFonts w:ascii="Times New Roman;Times;Serif" w:hAnsi="Times New Roman;Times;Serif"/>
          <w:b w:val="false"/>
          <w:i/>
          <w:caps w:val="false"/>
          <w:smallCaps w:val="false"/>
          <w:sz w:val="20"/>
          <w:u w:val="single"/>
        </w:rPr>
        <w:t>Cybersecurity Program</w:t>
      </w:r>
      <w:r>
        <w:rPr>
          <w:rFonts w:ascii="Times New Roman;Times;Serif" w:hAnsi="Times New Roman;Times;Serif"/>
          <w:b w:val="false"/>
          <w:i w:val="false"/>
          <w:caps w:val="false"/>
          <w:smallCaps w:val="false"/>
          <w:sz w:val="20"/>
        </w:rPr>
        <w:t>”), (iii) has implemented and maintains commercially reasonable written policies and procedures for responding to and recovering from Cybersecurity Incidents, and (iv) maintains an incident response plan that is designed to ensure timely notification of any Material Cybersecurity Incident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5.31        </w:t>
      </w:r>
      <w:r>
        <w:rPr>
          <w:rFonts w:ascii="Times New Roman;Times;Serif" w:hAnsi="Times New Roman;Times;Serif"/>
          <w:b/>
          <w:i w:val="false"/>
          <w:caps w:val="false"/>
          <w:smallCaps w:val="false"/>
          <w:sz w:val="20"/>
          <w:u w:val="single"/>
        </w:rPr>
        <w:t>Benefits Administration and ERISA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Loan Party or any Subsidiary thereof acts as a fiduciary (as defined in Section 3(21) of ERISA) with respect to any Client Plan, each such Loan Party and Subsidiary (i) has discharged and is discharging its fiduciary duties with respect to such Client Plan in accordance with ERISA and any other applicable Law, (ii) has not engaged in any transaction with respect to any Client Plan which would subject such Loan Party or Subsidiary to any material tax or penalty on prohibited transactions imposed by Section 4975 of the Code or the sanctions imposed under Title I of ERISA, and (iii) has not breached any fiduciary responsibility that has resulted or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Loan Party and each Subsidiary thereof that provides Benefits Administration Services (i) maintains all required fidelity bonds with respect to such services, (ii) is in compliance in all material respects with all applicable reporting, disclosure, and recordkeeping requirements of ERISA, the Code, and applicable regulations of the Department of Labor, (iii) is not the subject of any pending or, to the knowledge of the Loan Parties, threatened investigation, audit, or enforcement action by the Department of Labor, the Internal Revenue Service, or any other Governmental Authority with respect to any Client Plan that could reasonably be expected to result in a Material Adverse Effect, and (iv) has implemented commercially reasonable policies and procedures to ensure the proper handling of Client Plan assets and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Loan Parties hereby covenants and agrees that on the Closing Date and thereafter until the Facility Termination Date, such Loan Party shall, and shall cause each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to the Administrative Agent and each Lender, in form and detail satisfactory to the Administrative Agent and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Audited Financial Statements</w:t>
      </w:r>
      <w:r>
        <w:rPr>
          <w:rFonts w:ascii="Times New Roman;Times;Serif" w:hAnsi="Times New Roman;Times;Serif"/>
          <w:b w:val="false"/>
          <w:i w:val="false"/>
          <w:caps w:val="false"/>
          <w:smallCaps w:val="false"/>
          <w:sz w:val="20"/>
        </w:rPr>
        <w:t>. As soon as available, but in any event within ninety (90) days after the end of each fiscal year of the Borrower (or, if earlier, fifteen (15) days after the date required to be filed with the SEC (without giving effect to any extension permitted by the SEC)) (commencing with the fiscal year ended December 31, 2026), a 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(other than any exception or explanatory paragraph, but not a qualification, with respect to, or resulting from, the maturity of the Loans hereunder occurring within one year from the time such opinion is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Quarterly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available, but in any event within forty-five (45) days after the end of each of the first three fiscal quarters of each fiscal year of the Borrower (or, if earlier, five (5) days after the date required to be filed with the SEC (without giving effect to any extension permitted by the SEC)) (commencing with the fiscal quarter ended September 30, 2026), a Consolidated balance sheet of the Borrower and its Subsidiaries as at the end of such fiscal quarter, and the related Consolidated statements of income or operations, changes in Shareholders’ Equity and cash flows for such fiscal quarter and for the portion of the Borrower fiscal year then ended, setting forth in each case in comparative form the figures for the corresponding fiscal quarter of the previous fiscal year and the corresponding portion of the previous fiscal year, all in reasonable detail and prepared in accordance with GAAP and including management discussion and analysis of operating results inclusive of operating metrics in comparative form, certified by the chief executive officer, chief financial officer, treasurer or controller who is a Responsible Officer of the Borrower as fairly presenting the financial condition, results of operations, Shareholders’ Equity and cash flows of the Borrower and its Subsidiaries, subject only to normal year-end audit adjustments and the absence of footnotes.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 soon as available, but in any event within forty-five (45) days after the end of each of the fourth fiscal quarters of each fiscal year of the Borrower (commencing with the fiscal quarter ended December 31, 2026), an unaudited management-prepared consolidated balance sheet of the Borrower and its Subsidiaries as at the end of such fiscal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 and the related consolidated statements of income or operations for such fiscal quarter, without footnotes, certified by the chief executive officer, chief financial officer, treasurer or controller who is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Business Plan and Budget</w:t>
      </w:r>
      <w:r>
        <w:rPr>
          <w:rFonts w:ascii="Times New Roman;Times;Serif" w:hAnsi="Times New Roman;Times;Serif"/>
          <w:b w:val="false"/>
          <w:i w:val="false"/>
          <w:caps w:val="false"/>
          <w:smallCaps w:val="false"/>
          <w:sz w:val="20"/>
        </w:rPr>
        <w:t>. As soon as available, but in any event within sixty (60) days after the end of each fiscal year of the Borrower, an annual business plan and budget of the Borrower and its Subsidiaries on a Consolidated basis, including forecasts prepared by management of the Borrower, in form satisfactory to the Administrative Agent, of Consolidated balance sheet and statements of income or operations and cash flows of the Borrower and its Subsidiaries on an annual basis for the immediately following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to any information contained in materials furnished pursuant to </w:t>
      </w:r>
      <w:r>
        <w:rPr>
          <w:rFonts w:ascii="Times New Roman;Times;Serif" w:hAnsi="Times New Roman;Times;Serif"/>
          <w:b w:val="false"/>
          <w:i w:val="false"/>
          <w:caps w:val="false"/>
          <w:smallCaps w:val="false"/>
          <w:sz w:val="20"/>
          <w:u w:val="single"/>
        </w:rPr>
        <w:t>Section 6.02(e</w:t>
      </w:r>
      <w:r>
        <w:rPr>
          <w:rFonts w:ascii="Times New Roman;Times;Serif" w:hAnsi="Times New Roman;Times;Serif"/>
          <w:b w:val="false"/>
          <w:i w:val="false"/>
          <w:caps w:val="false"/>
          <w:smallCaps w:val="false"/>
          <w:sz w:val="20"/>
        </w:rPr>
        <w:t xml:space="preserve">), the Borrower shall not be separately required to furnish such information under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but the foregoing shall not be in derogation of the obligation of the Borrower to furnish the information and materials described in </w:t>
      </w:r>
      <w:r>
        <w:rPr>
          <w:rFonts w:ascii="Times New Roman;Times;Serif" w:hAnsi="Times New Roman;Times;Serif"/>
          <w:b w:val="false"/>
          <w:i w:val="false"/>
          <w:caps w:val="false"/>
          <w:smallCaps w:val="false"/>
          <w:sz w:val="20"/>
          <w:u w:val="single"/>
        </w:rPr>
        <w:t>Sections 6.01(a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at the times specified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6.02        </w:t>
      </w:r>
      <w:r>
        <w:rPr>
          <w:rFonts w:ascii="Times New Roman;Times;Serif" w:hAnsi="Times New Roman;Times;Serif"/>
          <w:b/>
          <w:i w:val="false"/>
          <w:caps w:val="false"/>
          <w:smallCaps w:val="false"/>
          <w:sz w:val="20"/>
          <w:u w:val="single"/>
        </w:rPr>
        <w:t>Certificates; Other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to the Administrative Agent and each Lender, in form and detail satisfactory to the Administrative Agent and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Concurrently with the delivery of the financial statements referred to in </w:t>
      </w:r>
      <w:r>
        <w:rPr>
          <w:rFonts w:ascii="Times New Roman;Times;Serif" w:hAnsi="Times New Roman;Times;Serif"/>
          <w:b w:val="false"/>
          <w:i w:val="false"/>
          <w:caps w:val="false"/>
          <w:smallCaps w:val="false"/>
          <w:sz w:val="20"/>
          <w:u w:val="single"/>
        </w:rPr>
        <w:t>Sections 6.01(a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(commencing with the delivery of the financial statements for the fiscal quarter ended September 30, 2026), a duly completed Compliance Certificate signed by the chief executive officer, chief financial officer, treasurer or controller which is a Responsible Officer of the Borrower. Unless the Administrative Agent or a Lender requests executed originals, delivery of the Compliance Certificate may be by electronic communication including fax or email and shall be deemed to be an original and authentic counterpart thereof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Updated Schedules</w:t>
      </w:r>
      <w:r>
        <w:rPr>
          <w:rFonts w:ascii="Times New Roman;Times;Serif" w:hAnsi="Times New Roman;Times;Serif"/>
          <w:b w:val="false"/>
          <w:i w:val="false"/>
          <w:caps w:val="false"/>
          <w:smallCaps w:val="false"/>
          <w:sz w:val="20"/>
        </w:rPr>
        <w:t xml:space="preserve">. Concurrently with the delivery of the Compliance Certificate referred to in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the following updated Schedules (which may be attached to the Compliance Certificate) to the extent required to make the representation related to such Schedule true and correct as of the date of such Compliance Certificate: </w:t>
      </w:r>
      <w:r>
        <w:rPr>
          <w:rFonts w:ascii="Times New Roman;Times;Serif" w:hAnsi="Times New Roman;Times;Serif"/>
          <w:b w:val="false"/>
          <w:i w:val="false"/>
          <w:caps w:val="false"/>
          <w:smallCaps w:val="false"/>
          <w:sz w:val="20"/>
          <w:u w:val="single"/>
        </w:rPr>
        <w:t>Schedules 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5.20(a)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5.20(b)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5.21(d)(i)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5.21(g)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xml:space="preserve">. Concurrently with the delivery of the Compliance Certificate referred to in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required to be delivered with the financial statements referred to in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xml:space="preserve">), a certificate (which may be included in such Compliance Certificate) including the amount of all Restricted Payments paid in cash (other than Restricted Payments permitted by </w:t>
      </w:r>
      <w:r>
        <w:rPr>
          <w:rFonts w:ascii="Times New Roman;Times;Serif" w:hAnsi="Times New Roman;Times;Serif"/>
          <w:b w:val="false"/>
          <w:i w:val="false"/>
          <w:caps w:val="false"/>
          <w:smallCaps w:val="false"/>
          <w:sz w:val="20"/>
          <w:u w:val="single"/>
        </w:rPr>
        <w:t>Sections 7.06(d)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Investments made pursuant to </w:t>
      </w:r>
      <w:r>
        <w:rPr>
          <w:rFonts w:ascii="Times New Roman;Times;Serif" w:hAnsi="Times New Roman;Times;Serif"/>
          <w:b w:val="false"/>
          <w:i w:val="false"/>
          <w:caps w:val="false"/>
          <w:smallCaps w:val="false"/>
          <w:sz w:val="20"/>
          <w:u w:val="single"/>
        </w:rPr>
        <w:t>Sections 7.03(b)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 xml:space="preserve">), Dispositions made pursuant to </w:t>
      </w:r>
      <w:r>
        <w:rPr>
          <w:rFonts w:ascii="Times New Roman;Times;Serif" w:hAnsi="Times New Roman;Times;Serif"/>
          <w:b w:val="false"/>
          <w:i w:val="false"/>
          <w:caps w:val="false"/>
          <w:smallCaps w:val="false"/>
          <w:sz w:val="20"/>
          <w:u w:val="single"/>
        </w:rPr>
        <w:t>Section 7.05(j)</w:t>
      </w:r>
      <w:r>
        <w:rPr>
          <w:rFonts w:ascii="Times New Roman;Times;Serif" w:hAnsi="Times New Roman;Times;Serif"/>
          <w:b w:val="false"/>
          <w:i w:val="false"/>
          <w:caps w:val="false"/>
          <w:smallCaps w:val="false"/>
          <w:sz w:val="20"/>
        </w:rPr>
        <w:t>, non-financed Capital Expenditures that were made during the prior fiscal year and amounts received in connection with any Extraordinary Receipts during the prior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Changes in Entity Structure</w:t>
      </w:r>
      <w:r>
        <w:rPr>
          <w:rFonts w:ascii="Times New Roman;Times;Serif" w:hAnsi="Times New Roman;Times;Serif"/>
          <w:b w:val="false"/>
          <w:i w:val="false"/>
          <w:caps w:val="false"/>
          <w:smallCaps w:val="false"/>
          <w:sz w:val="20"/>
        </w:rPr>
        <w:t>. Within ten (10) days prior to any merger, consolidation, dissolution or other change in entity form of any Loan Party or any of its Subsidiaries permitted pursuant to the terms hereof, provide notice of such change in entity structure to the Administrative Agent, along with such other information as reasonably requested by the Administrative Agent. Provide notice to the Administrative Agent, not less than five (5) days prior (or such extended period of time as agreed to by the Administrative Agent) of any change in any Loan Party’s legal name, state of organization, or form of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Audit Reports; Management Letters; Recommendations</w:t>
      </w:r>
      <w:r>
        <w:rPr>
          <w:rFonts w:ascii="Times New Roman;Times;Serif" w:hAnsi="Times New Roman;Times;Serif"/>
          <w:b w:val="false"/>
          <w:i w:val="false"/>
          <w:caps w:val="false"/>
          <w:smallCaps w:val="false"/>
          <w:sz w:val="20"/>
        </w:rPr>
        <w:t>. Promptly after any request by the Administrative Agent or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Annual Reports; Etc</w:t>
      </w:r>
      <w:r>
        <w:rPr>
          <w:rFonts w:ascii="Times New Roman;Times;Serif" w:hAnsi="Times New Roman;Times;Serif"/>
          <w:b w:val="false"/>
          <w:i w:val="false"/>
          <w:caps w:val="false"/>
          <w:smallCaps w:val="false"/>
          <w:sz w:val="20"/>
        </w:rPr>
        <w:t>. 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Debt Securities Statements and Reports</w:t>
      </w:r>
      <w:r>
        <w:rPr>
          <w:rFonts w:ascii="Times New Roman;Times;Serif" w:hAnsi="Times New Roman;Times;Serif"/>
          <w:b w:val="false"/>
          <w:i w:val="false"/>
          <w:caps w:val="false"/>
          <w:smallCaps w:val="false"/>
          <w:sz w:val="20"/>
        </w:rPr>
        <w:t xml:space="preserve">. Promptly after the furnishing thereof, copies of any statement or report furnished to any holder of debt securities of any Loan Party or of any of its Subsidiaries by such Loan Party or Subsidiary, if applicable, pursuant to the terms of any indenture, loan or credit or similar agreement and not otherwise required to be furnished to the Lenders pursuant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any other clause of this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Notices</w:t>
      </w:r>
      <w:r>
        <w:rPr>
          <w:rFonts w:ascii="Times New Roman;Times;Serif" w:hAnsi="Times New Roman;Times;Serif"/>
          <w:b w:val="false"/>
          <w:i w:val="false"/>
          <w:caps w:val="false"/>
          <w:smallCaps w:val="false"/>
          <w:sz w:val="20"/>
        </w:rPr>
        <w:t>. Promptly, and in any event within five (5) Business Days after receipt thereof by any Loan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 later than five (5) Business Days after receipt thereof by any Loan Party or any Subsidiary thereof, copies of all notices, requests and other documents (including amendments, waivers and other modifications) so received under or pursuant to any instrument, indenture, loan or credit or similar agreement regarding or related to any breach or default by any party thereto or any other event that could materially impair the value of the interests or the rights of any Loan Party or otherwise have a Material Adverse Effect and, from time to time upon request by the Administrative Agent, such information and reports regarding such instruments, indentures and loan and credit and similar agreements as the Administrative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Environmental Notice</w:t>
      </w:r>
      <w:r>
        <w:rPr>
          <w:rFonts w:ascii="Times New Roman;Times;Serif" w:hAnsi="Times New Roman;Times;Serif"/>
          <w:b w:val="false"/>
          <w:i w:val="false"/>
          <w:caps w:val="false"/>
          <w:smallCaps w:val="false"/>
          <w:sz w:val="20"/>
        </w:rPr>
        <w:t>. Promptly after the assertion (in writing) or occurrence thereof, notice of any action or proceeding against or of any noncompliance by any Loan Party or any of its Subsidiaries with any Environmental Law or Environmental Permit that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Anti-Money-Laundering; Beneficial Ownership Regulation</w:t>
      </w:r>
      <w:r>
        <w:rPr>
          <w:rFonts w:ascii="Times New Roman;Times;Serif" w:hAnsi="Times New Roman;Times;Serif"/>
          <w:b w:val="false"/>
          <w:i w:val="false"/>
          <w:caps w:val="false"/>
          <w:smallCaps w:val="false"/>
          <w:sz w:val="20"/>
        </w:rPr>
        <w:t>. 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To the extent any Loan Party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Regulatory Required Permits</w:t>
      </w:r>
      <w:r>
        <w:rPr>
          <w:rFonts w:ascii="Times New Roman;Times;Serif" w:hAnsi="Times New Roman;Times;Serif"/>
          <w:b w:val="false"/>
          <w:i w:val="false"/>
          <w:caps w:val="false"/>
          <w:smallCaps w:val="false"/>
          <w:sz w:val="20"/>
        </w:rPr>
        <w:t>. Provide written notice to the Administrative Agent no later than ten (10) Business Days after receiving written notice thereof or otherwise becoming aware that (i) any Governmental Authority is conducting an investigation, audit, examination, or review of any Regulatory Required Permit, the loss of which could reasonably be expected to result in a Material Adverse Effect, other than those routine investigations, audits, examinations and reviews that are consistent with the Governmental Authority’s past practices or processes in connection with the issuance and maintenance of the Regulatory Required Permit or (ii) any material Regulatory Required Permit has been or could reasonably be expected to be revoked or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Additional Information</w:t>
      </w:r>
      <w:r>
        <w:rPr>
          <w:rFonts w:ascii="Times New Roman;Times;Serif" w:hAnsi="Times New Roman;Times;Serif"/>
          <w:b w:val="false"/>
          <w:i w:val="false"/>
          <w:caps w:val="false"/>
          <w:smallCaps w:val="false"/>
          <w:sz w:val="20"/>
        </w:rPr>
        <w:t>. Promptly, such additional information regarding the business, financial, legal or corporate affairs of any Loan Party or any Subsidiary thereof, or compliance with the terms of the Loan Documents, as the Administrative Agent or any Lender may from time to time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Documents required to be delivered pursuant to </w:t>
      </w:r>
      <w:r>
        <w:rPr>
          <w:rFonts w:ascii="Times New Roman;Times;Serif" w:hAnsi="Times New Roman;Times;Serif"/>
          <w:b w:val="false"/>
          <w:i w:val="false"/>
          <w:caps w:val="false"/>
          <w:smallCaps w:val="false"/>
          <w:sz w:val="20"/>
          <w:u w:val="single"/>
        </w:rPr>
        <w:t>Section 6.01(a</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6.02(f</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(to the extent any such documents are included in materials otherwise filed with the SEC) may be delivered electronically and if so delivered, shall be deemed to have been delivered on the date (i) on which the Borrower files or furnishes such financial statements and other information with the SEC via the EDGAR filing system or any successor electronic delivery procedures; or (ii) on which such documents are posted on the Borrower’s behalf on an Internet or intranet website, if any, to which each Lender and the Administrative Agent have access (whether a commercial, third-party website or whether sponsored by the Administrative Agent).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Borrower hereby acknowledges that (i) the Administrative Agent and/or an Affiliate thereof may, but shall not be obligated to, make available to the Lenders and the L/C Issuer materials and/or information provided by or on behalf of the Borrower hereunder (collectively, “</w:t>
      </w:r>
      <w:r>
        <w:rPr>
          <w:rFonts w:ascii="Times New Roman;Times;Serif" w:hAnsi="Times New Roman;Times;Serif"/>
          <w:b w:val="false"/>
          <w:i/>
          <w:caps w:val="false"/>
          <w:smallCaps w:val="false"/>
          <w:sz w:val="20"/>
          <w:u w:val="single"/>
        </w:rPr>
        <w:t>Borrower Materials</w:t>
      </w:r>
      <w:r>
        <w:rPr>
          <w:rFonts w:ascii="Times New Roman;Times;Serif" w:hAnsi="Times New Roman;Times;Serif"/>
          <w:b w:val="false"/>
          <w:i w:val="false"/>
          <w:caps w:val="false"/>
          <w:smallCaps w:val="false"/>
          <w:sz w:val="20"/>
        </w:rPr>
        <w:t>”) by posting the Borrower Materials on IntraLinks, Syndtrak, ClearPar or a substantially similar electronic transmission system (the “</w:t>
      </w:r>
      <w:r>
        <w:rPr>
          <w:rFonts w:ascii="Times New Roman;Times;Serif" w:hAnsi="Times New Roman;Times;Serif"/>
          <w:b w:val="false"/>
          <w:i/>
          <w:caps w:val="false"/>
          <w:smallCaps w:val="false"/>
          <w:sz w:val="20"/>
          <w:u w:val="single"/>
        </w:rPr>
        <w:t>Platform</w:t>
      </w:r>
      <w:r>
        <w:rPr>
          <w:rFonts w:ascii="Times New Roman;Times;Serif" w:hAnsi="Times New Roman;Times;Serif"/>
          <w:b w:val="false"/>
          <w:i w:val="false"/>
          <w:caps w:val="false"/>
          <w:smallCaps w:val="false"/>
          <w:sz w:val="20"/>
        </w:rPr>
        <w:t>”) and (ii) certain of the Lenders (each, a “</w:t>
      </w:r>
      <w:r>
        <w:rPr>
          <w:rFonts w:ascii="Times New Roman;Times;Serif" w:hAnsi="Times New Roman;Times;Serif"/>
          <w:b w:val="false"/>
          <w:i/>
          <w:caps w:val="false"/>
          <w:smallCaps w:val="false"/>
          <w:sz w:val="20"/>
          <w:u w:val="single"/>
        </w:rPr>
        <w:t>Public Lender</w:t>
      </w:r>
      <w:r>
        <w:rPr>
          <w:rFonts w:ascii="Times New Roman;Times;Serif" w:hAnsi="Times New Roman;Times;Serif"/>
          <w:b w:val="false"/>
          <w:i w:val="false"/>
          <w:caps w:val="false"/>
          <w:smallCaps w:val="false"/>
          <w:sz w:val="20"/>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(A) all such Borrower Materials shall be clearly and conspicuously marked “PUBLIC” which, at a minimum, shall mean that the word “PUBLIC” shall appear prominently on the first page thereof; (B) by marking Borrower Materials “PUBLIC,” the Borrower shall be deemed to have authorized the Administrative Agent, any Affiliate thereof, the Arranger,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Borrower Materials constitute Information, they shall be treated as set forth in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(C) all Borrower Materials marked “PUBLIC” are permitted to be made available through a portion of the Platform designated “Public Side Information;” and (D) the Administrative Agent and any Affiliate thereof and the Arranger shall be entitled to treat any Borrower Materials that are not marked “PUBLIC” as being suitable only for posting on a portion of the Platform not designated “Public Side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6.03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but in any event within two (2) Business Days of a Responsible Officer’s knowledge thereof, notify the Administrative Agent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of the occurrence of any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of any matter that has resulted or could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of the occurrence of any ERISA Event when taken together with all other ERISA Events which reasonably could be expected to result in a liability no less than the Threshold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of any material change in accounting policies or financial reporting practices by any Loan Party or any Subsidiary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of any occurrence of any (i) Disposition of property or assets for which the Borrower is required to make a mandatory prepayment pursuant to </w:t>
      </w:r>
      <w:r>
        <w:rPr>
          <w:rFonts w:ascii="Times New Roman;Times;Serif" w:hAnsi="Times New Roman;Times;Serif"/>
          <w:b w:val="false"/>
          <w:i w:val="false"/>
          <w:caps w:val="false"/>
          <w:smallCaps w:val="false"/>
          <w:sz w:val="20"/>
          <w:u w:val="single"/>
        </w:rPr>
        <w:t>Section 2.05(b)(i)</w:t>
      </w:r>
      <w:r>
        <w:rPr>
          <w:rFonts w:ascii="Times New Roman;Times;Serif" w:hAnsi="Times New Roman;Times;Serif"/>
          <w:b w:val="false"/>
          <w:i w:val="false"/>
          <w:caps w:val="false"/>
          <w:smallCaps w:val="false"/>
          <w:sz w:val="20"/>
        </w:rPr>
        <w:t xml:space="preserve">, (ii) issuance of debt or equity for which the Borrower is required to make a mandatory prepayment pursuant to </w:t>
      </w:r>
      <w:r>
        <w:rPr>
          <w:rFonts w:ascii="Times New Roman;Times;Serif" w:hAnsi="Times New Roman;Times;Serif"/>
          <w:b w:val="false"/>
          <w:i w:val="false"/>
          <w:caps w:val="false"/>
          <w:smallCaps w:val="false"/>
          <w:sz w:val="20"/>
          <w:u w:val="single"/>
        </w:rPr>
        <w:t>Section 2.05(b)(ii)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(b)(iii)</w:t>
      </w:r>
      <w:r>
        <w:rPr>
          <w:rFonts w:ascii="Times New Roman;Times;Serif" w:hAnsi="Times New Roman;Times;Serif"/>
          <w:b w:val="false"/>
          <w:i w:val="false"/>
          <w:caps w:val="false"/>
          <w:smallCaps w:val="false"/>
          <w:sz w:val="20"/>
        </w:rPr>
        <w:t xml:space="preserve"> or (iii) receipt of any Extraordinary Receipt for which the Borrower is required to make a mandatory prepayment pursuant to </w:t>
      </w:r>
      <w:r>
        <w:rPr>
          <w:rFonts w:ascii="Times New Roman;Times;Serif" w:hAnsi="Times New Roman;Times;Serif"/>
          <w:b w:val="false"/>
          <w:i w:val="false"/>
          <w:caps w:val="false"/>
          <w:smallCaps w:val="false"/>
          <w:sz w:val="20"/>
          <w:u w:val="single"/>
        </w:rPr>
        <w:t>Section 2.05(b)(iv)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of (i) any notice of any amendment, waiver, supplement or other modification of any Subordinated Debt Document and provide copies of any such amendment, waiver, supplement or other modification and (ii) any notice of default required to be delivered pursuant to any Subordinated Debt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of any notice, request or other document (including amendments, waivers and other modifications) so received under or pursuant to any instrument, indenture, loan or credit or similar agreement regarding or related to any breach or default by any party thereto or any other event that could materially impair the value of the interests or the rights of any Loan Party or otherwise have a Material Adverse Effect and, from time to time upon request by the Administrative Agent, provide such information and reports regarding such instruments, indentures and loan and credit and similar agreements as the Administrative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of (i) any investigation, audit, examination or review of any Regulatory Required Permit by a Governmental Authority, the loss of which could reasonably be expected to result in a Material Adverse Effect, other than those routine investigations, audits, examinations and reviews that are consistent with the Governmental Authority’s past practices or process in connection with the issuance and maintenance of the Regulatory Required Permit or (ii) any material Regulatory Required Permit that has been or could reasonably be expected to be revoked or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of any claim, demand, inquiry, investigation, or enforcement action by any Governmental Authority (including the Department of Labor) relating to (i) any Material Cybersecurity Incident, (ii) any material alleged violation of any Data Privacy and Cybersecurity Law, or (iii) any alleged breach of fiduciary duty or prohibited transaction with respect to any Client Plan;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of any Material Cybersecurity Incident, which notice shall be given promptly (and in any event within seventy-two (72) hours) after confirmation thereof and shall include (i) 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the nature and scope of the incident, (ii) an estimate of the number of individuals whose data may have been affected, (iii) the remediation steps being taken, and (iv) a timeline for notifying affected individuals and Governmental Authorities as required by Applicable Law, provided that if any information required to be delivered pursuant to clauses (i) through (iv) is not available to the Loan Parties at the time such notice is given, the Loan Parties shall promptly supplement such notice upon receipt of any or all of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notice pursuant to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shall be accompanied by a statement of a Responsible Officer of the Borrower setting forth details of the occurrence referred to therein and to the extent applicable, stating what action the Borrower has taken and proposes to take with respect thereto. Each notice pursuant to </w:t>
      </w:r>
      <w:r>
        <w:rPr>
          <w:rFonts w:ascii="Times New Roman;Times;Serif" w:hAnsi="Times New Roman;Times;Serif"/>
          <w:b w:val="false"/>
          <w:i w:val="false"/>
          <w:caps w:val="false"/>
          <w:smallCaps w:val="false"/>
          <w:sz w:val="20"/>
          <w:u w:val="single"/>
        </w:rPr>
        <w:t>Section 6.03(a</w:t>
      </w:r>
      <w:r>
        <w:rPr>
          <w:rFonts w:ascii="Times New Roman;Times;Serif" w:hAnsi="Times New Roman;Times;Serif"/>
          <w:b w:val="false"/>
          <w:i w:val="false"/>
          <w:caps w:val="false"/>
          <w:smallCaps w:val="false"/>
          <w:sz w:val="20"/>
        </w:rPr>
        <w:t>) shall describe with particularity any and all provisions of this Agreement and any other Loan Document that have been breached.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6.04        </w:t>
      </w:r>
      <w:r>
        <w:rPr>
          <w:rFonts w:ascii="Times New Roman;Times;Serif" w:hAnsi="Times New Roman;Times;Serif"/>
          <w:b/>
          <w:i w:val="false"/>
          <w:caps w:val="false"/>
          <w:smallCaps w:val="false"/>
          <w:sz w:val="20"/>
          <w:u w:val="single"/>
        </w:rPr>
        <w:t>Payment of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 and discharge as the same shall become due and payable, (a) all its obligations and liabilities, including all material tax liabilities, assessments and governmental charges or levies upon it or its properties or assets, unless (i) the same are being contested in good faith by appropriate proceedings diligently conducted and adequate reserves in accordance with GAAP are being maintained by the Borrower or such Subsidiary and (ii) the failure to do so could not reasonably be expected to have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federal and state withholding taxes and all other material payroll taxes shall be paid to the appropriate Governmental Authorities as and when claimed by such Governmental Authorities in writing to be due, notwithstanding the foregoing exceptions; (b) all lawful claims which, if unpaid, would by law become a Lien (other than a Permitted Lien) upon its property; and (c) all Indebtedness, as and when due and payable (subject to any applicable grace or cure periods), but subject to any subordination provisions contained in any instrument or agreement evidencing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6.05        </w:t>
      </w:r>
      <w:r>
        <w:rPr>
          <w:rFonts w:ascii="Times New Roman;Times;Serif" w:hAnsi="Times New Roman;Times;Serif"/>
          <w:b/>
          <w:i w:val="false"/>
          <w:caps w:val="false"/>
          <w:smallCaps w:val="false"/>
          <w:sz w:val="20"/>
          <w:u w:val="single"/>
        </w:rPr>
        <w:t>Preservation of Existence,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Preserve, renew and maintain in full force and effect its legal existence and good standing under the Laws of the jurisdiction of its organization except in a transaction permitted by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preserve or renew all of its registered patents, trademarks, trade names and service marks, the non-preservation of which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6.06        </w:t>
      </w:r>
      <w:r>
        <w:rPr>
          <w:rFonts w:ascii="Times New Roman;Times;Serif" w:hAnsi="Times New Roman;Times;Serif"/>
          <w:b/>
          <w:i w:val="false"/>
          <w:caps w:val="false"/>
          <w:smallCaps w:val="false"/>
          <w:sz w:val="20"/>
          <w:u w:val="single"/>
        </w:rPr>
        <w:t>Maintenance of 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Maintain, preserve and protect all of its material properties and equipment necessary in the operation of its business in good working order and condition, ordinary wear and tear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make all necessary repairs thereto and renewals and replacements thereof except where the failure to do so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use the standard of care typical in the industry in the operation and maintenance of its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6.07        </w:t>
      </w:r>
      <w:r>
        <w:rPr>
          <w:rFonts w:ascii="Times New Roman;Times;Serif" w:hAnsi="Times New Roman;Times;Serif"/>
          <w:b/>
          <w:i w:val="false"/>
          <w:caps w:val="false"/>
          <w:smallCaps w:val="false"/>
          <w:sz w:val="20"/>
          <w:u w:val="single"/>
        </w:rPr>
        <w:t>Maintenance of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and all such insurance shall (i) provide for not less than thirty (30) days’ prior notice to the Administrative Agent of termination, lapse or cancellation of such insurance, (ii) name the Administrative Agent as mortgagee (in the case of property insurance) or additional insured on behalf of the Secured Parties (in the case of liability insurance) or loss payee (in the case of property insurance), as applicable, (iii) if reasonably requested by the Administrative Agent, include a breach of warranty clause and (iv) be reasonably satisfactory in all other respects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Evidence of Insurance</w:t>
      </w:r>
      <w:r>
        <w:rPr>
          <w:rFonts w:ascii="Times New Roman;Times;Serif" w:hAnsi="Times New Roman;Times;Serif"/>
          <w:b w:val="false"/>
          <w:i w:val="false"/>
          <w:caps w:val="false"/>
          <w:smallCaps w:val="false"/>
          <w:sz w:val="20"/>
        </w:rPr>
        <w:t>. Cause the Administrative Agent to be named as lenders’ loss payable, loss payee or mortgagee, as its interest may appear, and/or additional insured with respect of any such insurance providing liability coverage or coverage in respect of any Collateral, and cause, unless otherwise agreed to by the Administrative Agent,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be altered or cancelled (or ten (10) days prior notice in the case of cancellation due to the nonpayment of premiums). Annually, upon expiration of current insurance coverage, the Loan Parties shall provide, or cause to be provided, to the Administrative Agent, such evidence of insurance as required by the Administrative Agent, including, but not limited to: (i) certified copies of such insurance policies, (ii) evidence of such insurance policies (including, without limitation and as applicable, ACORD Form 28 certificates (or similar form of insurance certificate), and ACORD Form 25 certificates (or similar form of insurance certificate)), (iii) declaration pages for each insurance policy and (iv) lender’s loss payable endorsement if the Administrative Agent for the benefit of the Secured Parties is not on the declarations page for such policy. As reasonably requested by the Administrative Agent, the Loan Parties agree to deliver to the Administrative Agent an Authorization to Share Insurance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Cyber Liability and Technology E&amp;O Insurance</w:t>
      </w:r>
      <w:r>
        <w:rPr>
          <w:rFonts w:ascii="Times New Roman;Times;Serif" w:hAnsi="Times New Roman;Times;Serif"/>
          <w:b w:val="false"/>
          <w:i w:val="false"/>
          <w:caps w:val="false"/>
          <w:smallCaps w:val="false"/>
          <w:sz w:val="20"/>
        </w:rPr>
        <w:t xml:space="preserve">. Maintain at all times (i) cyber liability insurance coverage (including coverage for network security liability, privacy liability, regulatory defense and penalties, data breach response costs, cyber extortion, and business interruption resulting from a Cybersecurity Incident) with a minimum limit of not less than $10,000,000 per occurrence (in the aggregate when taking into account excess policy coverage), and (ii) technology errors and omissions insurance (including coverage for professional liability arising from the provision of technology and data processing services, including payroll processing, benefits administration, and human resources management services) with a minimum limit of not less than $10,000,000 per occurrence (in the aggregate when taking into account excess policy coverage); in each case, with financially sound and reputable insurers rated at least “A-” by A.M. Best (or an equivalent rating by another nationally recognized rating agency) and which coverage is in a combined policy on the Closing Date. Such insurance policy shall provide for not less than thirty (30) days’ prior written notice to the Administrative Agent of termination, lapse, 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such insurance (or ten (10) days’ prior notice in the case of cancellation due to nonpayment of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6.08        </w:t>
      </w:r>
      <w:r>
        <w:rPr>
          <w:rFonts w:ascii="Times New Roman;Times;Serif" w:hAnsi="Times New Roman;Times;Serif"/>
          <w:b/>
          <w:i w:val="false"/>
          <w:caps w:val="false"/>
          <w:smallCaps w:val="false"/>
          <w:sz w:val="20"/>
          <w:u w:val="single"/>
        </w:rPr>
        <w:t>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the requirements of all Applicable Laws (including all Specified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6.09        </w:t>
      </w:r>
      <w:r>
        <w:rPr>
          <w:rFonts w:ascii="Times New Roman;Times;Serif" w:hAnsi="Times New Roman;Times;Serif"/>
          <w:b/>
          <w:i w:val="false"/>
          <w:caps w:val="false"/>
          <w:smallCaps w:val="false"/>
          <w:sz w:val="20"/>
          <w:u w:val="single"/>
        </w:rPr>
        <w:t>Books and Records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Maintain proper books of record and account in a manner that permits the preparation of financial statements in conformity with GAAP (it being understood and agreed that Foreign Subsidiaries may maintain individual books and records in conformity with generally accepted accounting principles that are applicable in their respective jurisdiction of organization, amalgamation or incorporation);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maintain such books of record and account in material conformity with all applicable requirements of any Governmental Authority having regulatory jurisdiction over such Loan Party or such Subsidiary,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w:t>
      </w:r>
      <w:r>
        <w:rPr>
          <w:rFonts w:ascii="Times New Roman;Times;Serif" w:hAnsi="Times New Roman;Times;Serif"/>
          <w:b/>
          <w:i w:val="false"/>
          <w:caps w:val="false"/>
          <w:smallCaps w:val="false"/>
          <w:sz w:val="20"/>
          <w:u w:val="single"/>
        </w:rPr>
        <w:t>Inspection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no Event of Default exists, such visits and inspections shall be limited to once per fiscal year with at least five (5) Business Days’ notice;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requested by the Administrative Agent in its sole discretion, permit the Administrative Agent and its representatives, upon reasonable advance notice to the Borrower, to conduct, at the expense of the Borrower, unless an Event of Default exists and is continuing, no more than once annually (for the avoidance of doubt, there shall be no restriction on the number of appraisals and exams while an Event of Default exists) (i) personal property asset appraisal on personal property Collateral of the Borrower and its Subsidiaries and (ii) field exam on the accounts receivable, inventory, payables, controls and systems of the Borrower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requested by the Administrative Agent in its sole discretion, permit the Administrative Agent, and its representatives, upon reasonable advance notice to the Borrower, to conduct an annual audit of the Collateral at the expense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6.11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the proceeds of the Credit Extensions (i) in respect of the Revolving Facility, shall be used to (subject to the restrictions herein) (w) for ongoing working capital requirements, (x) capital expenditures, (y) to finance Permitted Acquisitions and (z)other general corporate purposes not in contravention of any Law or of any Loan Document, (ii) in respect of the DD Term Facility, shall be used to finance Permitted Acquisitions and (iii) in respect of the Term A Facility, shall be used to (x) complete the refinancing of the Indebtedness outstanding on the Closing Date, (y) to finance Permitted Acquisitions and (z) pay fees, commissions and expenses incurred in connection with the refinancing of the Indebtedness contemplated herein. The proceeds of any Incremental Term Loan or any Incremental Revolving Loan will be used for working capital and general corporate purposes of the Borrower and its Subsidiaries, including for Permitted Acquisitions permitted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6.12        </w:t>
      </w:r>
      <w:r>
        <w:rPr>
          <w:rFonts w:ascii="Times New Roman;Times;Serif" w:hAnsi="Times New Roman;Times;Serif"/>
          <w:b/>
          <w:i w:val="false"/>
          <w:caps w:val="false"/>
          <w:smallCaps w:val="false"/>
          <w:sz w:val="20"/>
          <w:u w:val="single"/>
        </w:rPr>
        <w:t>Covenant to Guarantee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Loan Parties will cause each Material Subsidiary (other than any Excluded Subsidiary) whether newly formed, after acquired or otherwise existing to promptly (and in any event within sixty (60) days after such Material Subsidiary is formed or acquired (or such longer period of time as agreed to by the Administrative Agent in its reasonable discretion)) become a Guarantor hereunder by way of execution of a Joinder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no Foreign Subsidiary shall be required to become a Guarantor to the extent such Guaranty would result in a material adverse tax consequence for the Borrower. In connection therewith, the Loan Parties shall give notice to the Administrative Agent not less than ten (10) days prior to creating a Material Subsidiary (or such shorter period of time as agreed to by the Administrative Agent in its reasonable discretion), or acquiring the Equity Interests of any Person that will be Material Subsidiary. In connection with the foregoing, the Loan Parties shall deliver to the Administrative Agent, with respect to each new Guarantor to the extent applicable, substantially the same documentation required pursuant to the applicable clauses of </w:t>
      </w:r>
      <w:r>
        <w:rPr>
          <w:rFonts w:ascii="Times New Roman;Times;Serif" w:hAnsi="Times New Roman;Times;Serif"/>
          <w:b w:val="false"/>
          <w:i w:val="false"/>
          <w:caps w:val="false"/>
          <w:smallCaps w:val="false"/>
          <w:sz w:val="20"/>
          <w:u w:val="single"/>
        </w:rPr>
        <w:t>Sections 4.01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xml:space="preserve"> and such other documents or agreements as the Administrative Agent may reasonably request, including without limitation, updated </w:t>
      </w:r>
      <w:r>
        <w:rPr>
          <w:rFonts w:ascii="Times New Roman;Times;Serif" w:hAnsi="Times New Roman;Times;Serif"/>
          <w:b w:val="false"/>
          <w:i w:val="false"/>
          <w:caps w:val="false"/>
          <w:smallCaps w:val="false"/>
          <w:sz w:val="20"/>
          <w:u w:val="single"/>
        </w:rPr>
        <w:t>Schedules 5.10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5.20(a)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5.20(b)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5.21(d)(i)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5.28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6.13        </w:t>
      </w:r>
      <w:r>
        <w:rPr>
          <w:rFonts w:ascii="Times New Roman;Times;Serif" w:hAnsi="Times New Roman;Times;Serif"/>
          <w:b/>
          <w:i w:val="false"/>
          <w:caps w:val="false"/>
          <w:smallCaps w:val="false"/>
          <w:sz w:val="20"/>
          <w:u w:val="single"/>
        </w:rPr>
        <w:t>Covenant to Give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respect to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Equity Interests and Personal Property</w:t>
      </w:r>
      <w:r>
        <w:rPr>
          <w:rFonts w:ascii="Times New Roman;Times;Serif" w:hAnsi="Times New Roman;Times;Serif"/>
          <w:b w:val="false"/>
          <w:i w:val="false"/>
          <w:caps w:val="false"/>
          <w:smallCaps w:val="false"/>
          <w:sz w:val="20"/>
        </w:rPr>
        <w:t>. Each Loan Party will cause the Pledged Equity and all of its tangible and intangible personal property now owned or hereafter acquired by it to be subject at all times to a first priority, perfected Lien (subject to Permitted Liens) in favor of the Administrative Agent for the benefit of the Secured Parties to secure the Secured Obligations pursuant to the terms and conditions of the Collateral Documents. Each Loan Party shall provide opinions of counsel and any filings and deliveries reasonably necessary in connection therewith to perfect the security interests therein, all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Collateral Access Agreement</w:t>
      </w:r>
      <w:r>
        <w:rPr>
          <w:rFonts w:ascii="Times New Roman;Times;Serif" w:hAnsi="Times New Roman;Times;Serif"/>
          <w:b w:val="false"/>
          <w:i w:val="false"/>
          <w:caps w:val="false"/>
          <w:smallCaps w:val="false"/>
          <w:sz w:val="20"/>
        </w:rPr>
        <w:t>. Each Loan Party shall use commercially reasonable efforts to deliver a Collateral Access Agreement for the Borrower’s property located at 405 Colorado Street, Suite 1800, Austin,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Deposit Accounts</w:t>
      </w:r>
      <w:r>
        <w:rPr>
          <w:rFonts w:ascii="Times New Roman;Times;Serif" w:hAnsi="Times New Roman;Times;Serif"/>
          <w:b w:val="false"/>
          <w:i w:val="false"/>
          <w:caps w:val="false"/>
          <w:smallCaps w:val="false"/>
          <w:sz w:val="20"/>
        </w:rPr>
        <w:t xml:space="preserve">. Commencing one hundred twenty (120) days after the Closing Date (or such later date as the Administrative Agent may agree in its sole discretion), each of the Loan Parties shall not open, maintain or otherwise have any deposit or other accounts (including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Accounts) at any bank or other financial institution, other than (i) Deposit Accounts that are maintained at all times with (A) MUFG, (B) any other Lender or (C) other Deposit Accounts, so long as such accounts are subject to a Qualifying Control Agreement, (ii) Securities Accounts that are maintained at all times with (A) MUFG, (B) any other Lender or (C) other Securities Accounts, so long as such accounts are subject to a Qualifying Control Agreement, (iii) Excluded Accounts and (iv) other Deposit Accounts, so long as the aggregate monthly balance in all such accounts does not exceed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Updated Schedules</w:t>
      </w:r>
      <w:r>
        <w:rPr>
          <w:rFonts w:ascii="Times New Roman;Times;Serif" w:hAnsi="Times New Roman;Times;Serif"/>
          <w:b w:val="false"/>
          <w:i w:val="false"/>
          <w:caps w:val="false"/>
          <w:smallCaps w:val="false"/>
          <w:sz w:val="20"/>
        </w:rPr>
        <w:t xml:space="preserve">. Concurrently with the delivery of any Collateral pursuant to the terms of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the Borrower shall provide the Administrative Agent with the applicable updated Schedule(s): </w:t>
      </w:r>
      <w:r>
        <w:rPr>
          <w:rFonts w:ascii="Times New Roman;Times;Serif" w:hAnsi="Times New Roman;Times;Serif"/>
          <w:b w:val="false"/>
          <w:i w:val="false"/>
          <w:caps w:val="false"/>
          <w:smallCaps w:val="false"/>
          <w:sz w:val="20"/>
          <w:u w:val="single"/>
        </w:rPr>
        <w:t>5.20(a)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5.20(b)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5.21(d)(i)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5.21(d)(ii)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5.21(g)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5.28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At any time upon request of the Administrative Agent, promptly execute and deliver any and all further instruments and documents and take all such other action as the Administrative Agent may deem necessary or desirable to maintain in favor of the Administrative Agent, for the benefit of the Secured Parties, Liens and insurance rights on the Collateral that are duly perfected in accordance with the requirements of, or the obligations of the Loan Parties under, the Loan Documents and all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6.14        </w:t>
      </w:r>
      <w:r>
        <w:rPr>
          <w:rFonts w:ascii="Times New Roman;Times;Serif" w:hAnsi="Times New Roman;Times;Serif"/>
          <w:b/>
          <w:i w:val="false"/>
          <w:caps w:val="false"/>
          <w:smallCaps w:val="false"/>
          <w:sz w:val="20"/>
          <w:u w:val="single"/>
        </w:rPr>
        <w:t>Anti-Corruption Laws; Sanctions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its business in compliance in all material respects with the United States Foreign Corrupt Practices Act of 1977, the UK Bribery Act 2010, the Anti-Terrorism Laws and other applicable anti-corruption legislation in other jurisdictions and with all applicable Sanctions, and maintain policies and procedures designed to promote and achieve compliance with such laws and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6.15       </w:t>
      </w:r>
      <w:r>
        <w:rPr>
          <w:rFonts w:ascii="Times New Roman;Times;Serif" w:hAnsi="Times New Roman;Times;Serif"/>
          <w:b/>
          <w:i w:val="false"/>
          <w:caps w:val="false"/>
          <w:smallCaps w:val="false"/>
          <w:sz w:val="20"/>
          <w:u w:val="single"/>
        </w:rPr>
        <w:t>Cash Management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prior to the date that is one hundred twenty (120) days after the Closing Date (or such later date as the Administrative Agent approve in its sole discretion), maintain, subject to </w:t>
      </w:r>
      <w:r>
        <w:rPr>
          <w:rFonts w:ascii="Times New Roman;Times;Serif" w:hAnsi="Times New Roman;Times;Serif"/>
          <w:b w:val="false"/>
          <w:i w:val="false"/>
          <w:caps w:val="false"/>
          <w:smallCaps w:val="false"/>
          <w:sz w:val="20"/>
          <w:u w:val="single"/>
        </w:rPr>
        <w:t>Section 6.13(c)</w:t>
      </w:r>
      <w:r>
        <w:rPr>
          <w:rFonts w:ascii="Times New Roman;Times;Serif" w:hAnsi="Times New Roman;Times;Serif"/>
          <w:b w:val="false"/>
          <w:i w:val="false"/>
          <w:caps w:val="false"/>
          <w:smallCaps w:val="false"/>
          <w:sz w:val="20"/>
        </w:rPr>
        <w:t>, all primary cash management with MUFG, including, without limitation, all primary Deposit Accounts; so long as such accounts shall contain fees, interest rates, income and performance terms that are the same as or more favorable to the Borrower compared to the terms the Borrower maintains with its current depository institutions and excluding, for the avoidance of doubt, any Customer Funds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6.16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 or under any other instrument executed in connection with any Loan Document to which any Loan Party or any of its Subsidiaries is or is to be a party, and cause each of its Subsidiaries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6.17        </w:t>
      </w:r>
      <w:r>
        <w:rPr>
          <w:rFonts w:ascii="Times New Roman;Times;Serif" w:hAnsi="Times New Roman;Times;Serif"/>
          <w:b/>
          <w:i w:val="false"/>
          <w:caps w:val="false"/>
          <w:smallCaps w:val="false"/>
          <w:sz w:val="20"/>
          <w:u w:val="single"/>
        </w:rPr>
        <w:t>Post-Closing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later than the dates set forth on </w:t>
      </w:r>
      <w:r>
        <w:rPr>
          <w:rFonts w:ascii="Times New Roman;Times;Serif" w:hAnsi="Times New Roman;Times;Serif"/>
          <w:b w:val="false"/>
          <w:i w:val="false"/>
          <w:caps w:val="false"/>
          <w:smallCaps w:val="false"/>
          <w:sz w:val="20"/>
          <w:u w:val="single"/>
        </w:rPr>
        <w:t>Schedule 6.17</w:t>
      </w:r>
      <w:r>
        <w:rPr>
          <w:rFonts w:ascii="Times New Roman;Times;Serif" w:hAnsi="Times New Roman;Times;Serif"/>
          <w:b w:val="false"/>
          <w:i w:val="false"/>
          <w:caps w:val="false"/>
          <w:smallCaps w:val="false"/>
          <w:sz w:val="20"/>
        </w:rPr>
        <w:t xml:space="preserve"> (or such later dates as the Administrative Agent shall agree in its reasonable discretion), the Loan Parties shall take the actions set forth on </w:t>
      </w:r>
      <w:r>
        <w:rPr>
          <w:rFonts w:ascii="Times New Roman;Times;Serif" w:hAnsi="Times New Roman;Times;Serif"/>
          <w:b w:val="false"/>
          <w:i w:val="false"/>
          <w:caps w:val="false"/>
          <w:smallCaps w:val="false"/>
          <w:sz w:val="20"/>
          <w:u w:val="single"/>
        </w:rPr>
        <w:t>Schedule 6.17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6.18        </w:t>
      </w:r>
      <w:r>
        <w:rPr>
          <w:rFonts w:ascii="Times New Roman;Times;Serif" w:hAnsi="Times New Roman;Times;Serif"/>
          <w:b/>
          <w:i w:val="false"/>
          <w:caps w:val="false"/>
          <w:smallCaps w:val="false"/>
          <w:sz w:val="20"/>
          <w:u w:val="single"/>
        </w:rPr>
        <w:t>Compliance with Environmental Laws; Preparation of Environmental 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Comply, and cause all lessees and other Persons operating or occupying its properties to comply, in each case, in all material respects, with all applicable Environmental Laws and Environmental Permits; obtain and renew all Environmental Permits reasonably necessary for its operations and properties; and conduct any investigation, study, sampling and testing, cleanup, removal, remedial or other action necessary to remove and clean up all Hazardous Materials from any of its properties, in accordance in all material respects with all Environmental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neither the Borrower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6.19        </w:t>
      </w:r>
      <w:r>
        <w:rPr>
          <w:rFonts w:ascii="Times New Roman;Times;Serif" w:hAnsi="Times New Roman;Times;Serif"/>
          <w:b/>
          <w:i w:val="false"/>
          <w:caps w:val="false"/>
          <w:smallCaps w:val="false"/>
          <w:sz w:val="20"/>
          <w:u w:val="single"/>
        </w:rPr>
        <w:t>Approvals and Authorizations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all authorizations, 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6.20        </w:t>
      </w:r>
      <w:r>
        <w:rPr>
          <w:rFonts w:ascii="Times New Roman;Times;Serif" w:hAnsi="Times New Roman;Times;Serif"/>
          <w:b/>
          <w:i w:val="false"/>
          <w:caps w:val="false"/>
          <w:smallCaps w:val="false"/>
          <w:sz w:val="20"/>
          <w:u w:val="single"/>
        </w:rPr>
        <w:t>Pari Passu Ranking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that the payment obligations of the Loan Parties under the Loan Documents rank and continue to rank at least pari passu with the claims of all of the Loan Parties’ other unsecured and unsubordinated creditors, except for obligations mandatorily preferred by law applying to companies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6.21        </w:t>
      </w:r>
      <w:r>
        <w:rPr>
          <w:rFonts w:ascii="Times New Roman;Times;Serif" w:hAnsi="Times New Roman;Times;Serif"/>
          <w:b/>
          <w:i w:val="false"/>
          <w:caps w:val="false"/>
          <w:smallCaps w:val="false"/>
          <w:sz w:val="20"/>
          <w:u w:val="single"/>
        </w:rPr>
        <w:t>Material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and their Subsidiaries shall comply, in all material respects, with any of the obligations, covenants or conditions contained in (a) any Material Agreement to which it is a party or (b) any agreement or instrument evidencing a material leasehold.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6.22        </w:t>
      </w:r>
      <w:r>
        <w:rPr>
          <w:rFonts w:ascii="Times New Roman;Times;Serif" w:hAnsi="Times New Roman;Times;Serif"/>
          <w:b/>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 Parties shall have, and shall ensure that it and each of its Subsidiaries has, each necessary Permit (including all Regulatory Required Permits) and other material rights from, and have made all necessary declarations and filings with, all applicable Governmental Authorities, all self-regulatory authorities and all courts and other tribunals necessary to engage in all material respects in the ownership, management and operation of the business or the assets of any Loan Party and Subsidiaries thereof and Loan Parties shall take, and cause each of their Subsidiaries to take, such reasonable actions to ensure that no Governmental Authority has taken action to limit, suspend, condition, or revoke any such Permit, in each case, except where the failure to do so could not reasonably be expected to (a) result in a Material Adverse Effect, or (b) require the Loan Parties and their subsidiaries to cease material operations in or with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 to a state or states that do not, as of the applicable date of determination, individually or collectively account for more than ten percent (10%) of the revenue of the Loan Parties and their consolidated Subsidiaries, as determined in accordance with GAAP as of such date of determination; provided that no Loan Party or any Subsidiary thereof is conducting or will conduct business in any jurisdiction without the applicable Regulatory Required Permits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6.23        </w:t>
      </w:r>
      <w:r>
        <w:rPr>
          <w:rFonts w:ascii="Times New Roman;Times;Serif" w:hAnsi="Times New Roman;Times;Serif"/>
          <w:b/>
          <w:i w:val="false"/>
          <w:caps w:val="false"/>
          <w:smallCaps w:val="false"/>
          <w:sz w:val="20"/>
          <w:u w:val="single"/>
        </w:rPr>
        <w:t>Data Privacy and Cybersecurity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Comply in all material respects with all applicable Data Privacy and Cybersecurity Laws, and maintain all privacy policies, data processing agreements, and other contractual arrangements necessary for the lawful collection, use, storage, processing, and transfer of Client Data in connection with the business operations of the Loan Parties and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Incident Response</w:t>
      </w:r>
      <w:r>
        <w:rPr>
          <w:rFonts w:ascii="Times New Roman;Times;Serif" w:hAnsi="Times New Roman;Times;Serif"/>
          <w:b w:val="false"/>
          <w:i w:val="false"/>
          <w:caps w:val="false"/>
          <w:smallCaps w:val="false"/>
          <w:sz w:val="20"/>
        </w:rPr>
        <w:t xml:space="preserve">. Maintain and follow written incident response and disaster recovery plans that are reasonably designed to enable timely detection, response, and recovery from Cybersecurity Incidents, including procedures for (i) notification to the Administrative Agent of any Material Cybersecurity Incident in accordance with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(ii) containment and remediation of Cybersecurity Incidents, and (iii) cooperation with law enforcement and regulatory authorities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Information Security Program</w:t>
      </w:r>
      <w:r>
        <w:rPr>
          <w:rFonts w:ascii="Times New Roman;Times;Serif" w:hAnsi="Times New Roman;Times;Serif"/>
          <w:b w:val="false"/>
          <w:i w:val="false"/>
          <w:caps w:val="false"/>
          <w:smallCaps w:val="false"/>
          <w:sz w:val="20"/>
        </w:rPr>
        <w:t>. Implement and maintain a Cybersecurity Program that is (i) reasonably designed to protect Client Data and the confidentiality, integrity, and availability of the information technology systems of the Loan Parties and their Subsidiaries, (ii) consistent with industry standards for companies of similar size engaged in similar businesses, and (iii) compliant with all applicable Data Privacy and Cybersecurity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6.24        </w:t>
      </w:r>
      <w:r>
        <w:rPr>
          <w:rFonts w:ascii="Times New Roman;Times;Serif" w:hAnsi="Times New Roman;Times;Serif"/>
          <w:b/>
          <w:i w:val="false"/>
          <w:caps w:val="false"/>
          <w:smallCaps w:val="false"/>
          <w:sz w:val="20"/>
          <w:u w:val="single"/>
        </w:rPr>
        <w:t>Benefits Administration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Loan Party or any Subsidiary thereof acts as a fiduciary (as defined in Section 3(21) of ERISA) with respect to any Client Plan, discharge all fiduciary duties with respect to such Client Plan in accordance with ERISA and any other applicable Law, and not engage in any transaction with respect to any Client Plan which would subject such Loan Party or Subsidiary to any material tax or penalty on prohibited transactions imposed by Section 4975 of the Code or the sanctions imposed under Title I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Maintain all required fidelity bonds, insurance, and bonding arrangements required under ERISA or by any Customer agreement with respect to the provision of Benefits Administration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Comply in all material respects with all applicable reporting, disclosure, and recordkeeping requirements of ERISA, the Code, and applicable regulations of the Department of Labor with respect to the provision of Benefits Administration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Loan Parties hereby covenants and agrees that on the Closing Date and thereafter until the Facility Termination Date, no Loan Party shall, nor shall it permit any Subsidiary to,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7.01        </w:t>
      </w:r>
      <w:r>
        <w:rPr>
          <w:rFonts w:ascii="Times New Roman;Times;Serif" w:hAnsi="Times New Roman;Times;Serif"/>
          <w:b/>
          <w:i w:val="false"/>
          <w:caps w:val="false"/>
          <w:smallCaps w:val="false"/>
          <w:sz w:val="20"/>
          <w:u w:val="single"/>
        </w:rPr>
        <w:t>Liens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incur, assume or suffer to exist any Lien upon any of its property, assets or revenues, whether now owned or hereafter acquired, except for the following (the “</w:t>
      </w:r>
      <w:r>
        <w:rPr>
          <w:rFonts w:ascii="Times New Roman;Times;Serif" w:hAnsi="Times New Roman;Times;Serif"/>
          <w:b w:val="false"/>
          <w:i/>
          <w:caps w:val="false"/>
          <w:smallCaps w:val="false"/>
          <w:sz w:val="20"/>
          <w:u w:val="single"/>
        </w:rPr>
        <w:t>Permitted Liens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pursuant to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Liens existing on the Closing Date and listed on </w:t>
      </w:r>
      <w:r>
        <w:rPr>
          <w:rFonts w:ascii="Times New Roman;Times;Serif" w:hAnsi="Times New Roman;Times;Serif"/>
          <w:b w:val="false"/>
          <w:i w:val="false"/>
          <w:caps w:val="false"/>
          <w:smallCaps w:val="false"/>
          <w:sz w:val="20"/>
          <w:u w:val="single"/>
        </w:rPr>
        <w:t>Schedule 7.01</w:t>
      </w:r>
      <w:r>
        <w:rPr>
          <w:rFonts w:ascii="Times New Roman;Times;Serif" w:hAnsi="Times New Roman;Times;Serif"/>
          <w:b w:val="false"/>
          <w:i w:val="false"/>
          <w:caps w:val="false"/>
          <w:smallCaps w:val="false"/>
          <w:sz w:val="20"/>
        </w:rPr>
        <w:t xml:space="preserve"> and any refinancings, refundings, renewals or extensions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property covered thereby is not changed, (ii) the amount secured or benefited thereby is not increased except as contemplated by </w:t>
      </w:r>
      <w:r>
        <w:rPr>
          <w:rFonts w:ascii="Times New Roman;Times;Serif" w:hAnsi="Times New Roman;Times;Serif"/>
          <w:b w:val="false"/>
          <w:i w:val="false"/>
          <w:caps w:val="false"/>
          <w:smallCaps w:val="false"/>
          <w:sz w:val="20"/>
          <w:u w:val="single"/>
        </w:rPr>
        <w:t>Section 7.02(b</w:t>
      </w:r>
      <w:r>
        <w:rPr>
          <w:rFonts w:ascii="Times New Roman;Times;Serif" w:hAnsi="Times New Roman;Times;Serif"/>
          <w:b w:val="false"/>
          <w:i w:val="false"/>
          <w:caps w:val="false"/>
          <w:smallCaps w:val="false"/>
          <w:sz w:val="20"/>
        </w:rPr>
        <w:t xml:space="preserve">), (iii) the direct or any contingent obligor with respect thereto is not changed, and (iv) any renewal or extension of the obligations secured or benefited thereby is permitted by </w:t>
      </w:r>
      <w:r>
        <w:rPr>
          <w:rFonts w:ascii="Times New Roman;Times;Serif" w:hAnsi="Times New Roman;Times;Serif"/>
          <w:b w:val="false"/>
          <w:i w:val="false"/>
          <w:caps w:val="false"/>
          <w:smallCaps w:val="false"/>
          <w:sz w:val="20"/>
          <w:u w:val="single"/>
        </w:rPr>
        <w:t>Section 7.02(b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for Taxes not yet delinquent or Liens for Taxes which are being contested in good faith and by appropriate proceedings diligently conducted, if adequate reserves with respect thereto are maintained on the books of the applicable Person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Statutory Liens such as carriers’, warehousemen’s, mechanics’, materialmen’s, repairmen’s or other like Liens arising in the ordinary course of business which are not overdue for a period of more than thirty (30) days or which are being contested in good faith and by appropriate proceedings diligently conducted;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adequate reserves with respect thereto are maintained on the books of the applicable Person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pledges or deposits in the ordinary course of business in connection with workers’ compensation, unemployment insurance and other social security legislation, other than any Lien imposed by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deposits to secure the performance of bids, trade contracts and leases (other than Indebtedness), statutory obligations, surety and appeal bonds, performance bonds and other obligations of a like nature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Liens arising out of judgments or awards not resulting in an Event of Default;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applicable Loan Party or Subsidiary shall in good faith be prosecuting an appeal or proceedings for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Liens securing Indebtedness permitted under </w:t>
      </w:r>
      <w:r>
        <w:rPr>
          <w:rFonts w:ascii="Times New Roman;Times;Serif" w:hAnsi="Times New Roman;Times;Serif"/>
          <w:b w:val="false"/>
          <w:i w:val="false"/>
          <w:caps w:val="false"/>
          <w:smallCaps w:val="false"/>
          <w:sz w:val="20"/>
          <w:u w:val="single"/>
        </w:rPr>
        <w:t>Section 7.02(c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Liens do not at any time encumber any property other than the property financed by such Indebtedness and any additions, accessions, parts, improvements and attachments thereto and any related software, and (ii) the Indebtedness secured thereby does not exceed the cost or fair market value, whichever is lower, of the property being acquired on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bankers’ Liens, rights of setoff and other similar Liens existing solely with respect to cash and Cash Equivalents on deposit in one or more accounts maintained by the Borrower or any of its Subsidiaries with any Lender, in each case in the ordinary course of business in favor of the bank or banks with which such accounts are maintained, securing solely the customary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owing to such bank with respect to cash management and operating account arrangements;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case shall any such Liens secure (either directly or indirectly) the repayment of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interest or title of a lessor, licensor or sublessor under any lease, license or sublease entered into by any Loan Party or any Subsidiary thereof in the ordinary course of business and covering only the assets so leased, licensed or subleased;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of a collection bank arising under Section 4–210 of the UCC on items in the course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zoning, building or similar laws or rights reserved to or vested in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Liens on property of a Person existing at the time such Person is merged into or consolidated with the Borrower or any Subsidiary of the Borrower or becomes a Subsidiary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were not created in contemplation of such merger, consolidation or Investment and do not extend to any assets other than those of the Person merged into or consolidated with the Borrower or such Subsidiary or acquired by the Borrower or such Subsidiary, and the applicable Indebtedness secured by such Lien is permitted under </w:t>
      </w:r>
      <w:r>
        <w:rPr>
          <w:rFonts w:ascii="Times New Roman;Times;Serif" w:hAnsi="Times New Roman;Times;Serif"/>
          <w:b w:val="false"/>
          <w:i w:val="false"/>
          <w:caps w:val="false"/>
          <w:smallCaps w:val="false"/>
          <w:sz w:val="20"/>
          <w:u w:val="single"/>
        </w:rPr>
        <w:t>Section 7.02(f)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leases, subleases, licenses and sublicenses granted to other Persons and which do not (A) materially interfere with the ordinary conduct of the business of the Borrower or its Subsidiaries or materially detract from the value of the relevant assets of the Borrower or its Subsidiaries or (B) secure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Liens encumbering customary initial deposits and margin deposits, in each case securing obligations under Swap Contracts (other than Secured Hedge Agreements) permitted by </w:t>
      </w:r>
      <w:r>
        <w:rPr>
          <w:rFonts w:ascii="Times New Roman;Times;Serif" w:hAnsi="Times New Roman;Times;Serif"/>
          <w:b w:val="false"/>
          <w:i w:val="false"/>
          <w:caps w:val="false"/>
          <w:smallCaps w:val="false"/>
          <w:sz w:val="20"/>
          <w:u w:val="single"/>
        </w:rPr>
        <w:t>Section 7.02(g)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in favor of customs and revenue authorities arising as a matter of law to secure payment of customs duties in connection with the importation of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Liens securing Indebtedness represented by financed insurance premiums in the ordinary course of business or otherwise consistent with past practice, provided that such Liens do not extend to any property or assets other than the corresponding insurance policies being financed;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Liens granted by a Subsidiary that is not a Loan Party in favor of any Loan Party in respect of Indebtedness owed by such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other Liens securing Indebtedness outstanding in an aggregate principal amount not to exceed $5,000,000,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Lien shall extend to or cover any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7.02        </w:t>
      </w:r>
      <w:r>
        <w:rPr>
          <w:rFonts w:ascii="Times New Roman;Times;Serif" w:hAnsi="Times New Roman;Times;Serif"/>
          <w:b/>
          <w:i w:val="false"/>
          <w:caps w:val="false"/>
          <w:smallCaps w:val="false"/>
          <w:sz w:val="20"/>
          <w:u w:val="single"/>
        </w:rPr>
        <w:t>Indebtedness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incur, assume or suffer to exist any Indebtedness, except (the items below, collectively, “</w:t>
      </w:r>
      <w:r>
        <w:rPr>
          <w:rFonts w:ascii="Times New Roman;Times;Serif" w:hAnsi="Times New Roman;Times;Serif"/>
          <w:b w:val="false"/>
          <w:i/>
          <w:caps w:val="false"/>
          <w:smallCaps w:val="false"/>
          <w:sz w:val="20"/>
          <w:u w:val="single"/>
        </w:rPr>
        <w:t>Permitted Indebtedness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Indebtedness outstanding on the Closing Date and listed on </w:t>
      </w:r>
      <w:r>
        <w:rPr>
          <w:rFonts w:ascii="Times New Roman;Times;Serif" w:hAnsi="Times New Roman;Times;Serif"/>
          <w:b w:val="false"/>
          <w:i w:val="false"/>
          <w:caps w:val="false"/>
          <w:smallCaps w:val="false"/>
          <w:sz w:val="20"/>
          <w:u w:val="single"/>
        </w:rPr>
        <w:t>Schedule 7.02</w:t>
      </w:r>
      <w:r>
        <w:rPr>
          <w:rFonts w:ascii="Times New Roman;Times;Serif" w:hAnsi="Times New Roman;Times;Serif"/>
          <w:b w:val="false"/>
          <w:i w:val="false"/>
          <w:caps w:val="false"/>
          <w:smallCaps w:val="false"/>
          <w:sz w:val="20"/>
        </w:rPr>
        <w:t xml:space="preserve"> and any refinancings, refundings, renewals or extensions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 and, still further, that the terms relating to principal amount, amortization, maturity, collateral (if any) and subordination, standstill and related terms (if any), and other material terms taken as a whole, of any such refinancing, refunding, renewing or extending Indebtedness, and of any agreement entered into and of any instrument issued in connection therewith, are no less favorable in any material respect to the applicable Loan Party or Subsidiary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 in each case, as determined in good faith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Indebtedness in respect of Capitalized Leases, Synthetic Lease Obligations and purchase money obligations for fixed or capital assets within the limitations set forth in </w:t>
      </w:r>
      <w:r>
        <w:rPr>
          <w:rFonts w:ascii="Times New Roman;Times;Serif" w:hAnsi="Times New Roman;Times;Serif"/>
          <w:b w:val="false"/>
          <w:i w:val="false"/>
          <w:caps w:val="false"/>
          <w:smallCaps w:val="false"/>
          <w:sz w:val="20"/>
          <w:u w:val="single"/>
        </w:rPr>
        <w:t>Section 7.01(i)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all such Indebtedness at any time outstanding shall not exceed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unsecured Indebtedness of the Borrower or a Subsidiary of the Borrower owed to the Borrower or a wholly-owned Subsidiary of the Borrower, which Indebtedness shall (i) to the extent required by the Administrative Agent, be evidenced by promissory notes which shall be pledged to the Administrative Agent as Collateral for the Secured Obligations in accordance with the terms of the Security Agreement, (ii) be on terms (including subordination terms) acceptable to the Administrative Agent and (iii) be otherwise permitted under the provisions of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Intercompany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Guarantees of the Borrower or any Subsidiary in respect of Indebtedness otherwise permitted hereunder of the Borrower or any other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Indebtedness of any Person that becomes a Subsidiary of the Borrower after the date hereof in a transaction permitted hereunder in an aggregate principal amount not to exceed, at any time outstanding, $5,000,000, and any refinancings, refundings, renewals or extensions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 and, still further, that the terms relating to principal amount, amortization, maturity, collateral (if any) and subordination, standstill and related terms (if any), and other material terms, taken as a whole, of any such refinancing, refunding, renewing or extending Indebtedness, and of any agreement entered into and of any instrument issued in connection therewith, are no less favorable in any material respect to the applicable Loan Party or Subsidiary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 in each case, as determined in good faith by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such Indebtedness is existing at the time such Person becomes a Subsidiary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Borrower and was not incurred solely in contemplation of such Person’s becoming a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obligations (contingent or otherwise) existing or arising under any Swap Contract,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obligations are (or were) entered into by such Person in the ordinary course of business for the purpose of hedging or mitigating risks associated with fluctuations in interest rates or foreign exchange rates and not for speculative purposes and (ii) such Swap Contract does not contain any provision exonerating the non-defaulting party from its obligation to make payments on outstanding transactions to the defaulting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Indebtedness pursuant to the Subordinated Existing Holdover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arising from customary cash management and treasury services, credit cards, and the honoring of a check, draft or similar instrument against insufficient funds or from the endorsement of instruments for collection, in each case,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Indebtedness in respect of performance bonds, bid bonds, appeal bonds, surety bonds, bank guarantees, letters of credit and similar obligations, in each case provided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Indebtedness consisting of the financing of insurance premiums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unsecured Indebtedness (including Subordinated Unsecured Seller Notes and Contingent Acquisition Consideration) so long as (x) both immediately before and after giving Pro Forma Effect to the incurrence of such Indebtedness (assuming (1) that the commitments under any such Indebtedness under the Revolving Facility or the DD Term Facility are fully drawn, and (2) the proceeds of such Indebtedness shall not constitute Unrestricted Cash for purposes of calculating the pro forma Consolidated Net Leverage Ratio), the Loan Parties are in compliance with the financial covenants set forth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and (y) such Indebtedness (other than Contingent Acquisition Consideration) is Subordinated Debt;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other Indebtedness not expressly permitted in this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in an aggregate principal amount not to exceed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7.03        </w:t>
      </w:r>
      <w:r>
        <w:rPr>
          <w:rFonts w:ascii="Times New Roman;Times;Serif" w:hAnsi="Times New Roman;Times;Serif"/>
          <w:b/>
          <w:i w:val="false"/>
          <w:caps w:val="false"/>
          <w:smallCaps w:val="false"/>
          <w:sz w:val="20"/>
          <w:u w:val="single"/>
        </w:rPr>
        <w:t>Investments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or hold any Investments,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Investments held by the Borrower and its Subsidiaries in the form of cash or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advances to officers, directors and employees of the Borrower and Subsidiaries in an aggregate amount not to exceed, at the time such Investment is made and after giving effect 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Investment, $1,000,000 for travel, entertainment, relocation and analogous ordinary business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Investments by the Borrower and its Subsidiaries in their respective Subsidiaries outstanding on the date hereof, (ii) additional Investments by the Borrower and its Subsidiaries in Loan Parties, (iii) additional Investments by Subsidiaries of the Borrower that are not Loan Parties in other Subsidiaries that are not Loan Parties and (iv) so long as no Default has occurred and is continuing or would result from such Investment, additional Investments by the Loan Parties in wholly-owned Subsidiaries that are not Loan Parties in an aggregate amount not to exceed in any fiscal year, at the time such Investment is made and after giving effect to such Investment, $10,000,000;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Guarantees permitted by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Investments existing on the date hereof (other than those referred to in </w:t>
      </w:r>
      <w:r>
        <w:rPr>
          <w:rFonts w:ascii="Times New Roman;Times;Serif" w:hAnsi="Times New Roman;Times;Serif"/>
          <w:b w:val="false"/>
          <w:i w:val="false"/>
          <w:caps w:val="false"/>
          <w:smallCaps w:val="false"/>
          <w:sz w:val="20"/>
          <w:u w:val="single"/>
        </w:rPr>
        <w:t>Section 7.03(c)(i</w:t>
      </w:r>
      <w:r>
        <w:rPr>
          <w:rFonts w:ascii="Times New Roman;Times;Serif" w:hAnsi="Times New Roman;Times;Serif"/>
          <w:b w:val="false"/>
          <w:i w:val="false"/>
          <w:caps w:val="false"/>
          <w:smallCaps w:val="false"/>
          <w:sz w:val="20"/>
        </w:rPr>
        <w:t xml:space="preserve">)) and set forth on </w:t>
      </w:r>
      <w:r>
        <w:rPr>
          <w:rFonts w:ascii="Times New Roman;Times;Serif" w:hAnsi="Times New Roman;Times;Serif"/>
          <w:b w:val="false"/>
          <w:i w:val="false"/>
          <w:caps w:val="false"/>
          <w:smallCaps w:val="false"/>
          <w:sz w:val="20"/>
          <w:u w:val="single"/>
        </w:rPr>
        <w:t>Schedule 7.03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Permitted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Investments in Swap Contracts permitted by </w:t>
      </w:r>
      <w:r>
        <w:rPr>
          <w:rFonts w:ascii="Times New Roman;Times;Serif" w:hAnsi="Times New Roman;Times;Serif"/>
          <w:b w:val="false"/>
          <w:i w:val="false"/>
          <w:caps w:val="false"/>
          <w:smallCaps w:val="false"/>
          <w:sz w:val="20"/>
          <w:u w:val="single"/>
        </w:rPr>
        <w:t>Section 7.02(g)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Investments consisting of the endorsement of negotiable instruments for deposit or collection or similar transactions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Investments of a Subsidiary acquired after the Closing Date or of a Person merged or consolidated with any Subsidiary in accordance with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after the Closing Date to the extent that such Investments were not made in contemplation of or in connection with such acquisition, merger or consolidation and were in existence on the date of such acquisition,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non-cash consideration received in connection with any Disposition expressly permitted by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Guarantees of leases and other contractual obligations of any Subsidiary (to the extent not constituting Indebtedness)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Investments of cash by the Loan Parties or their Subsidiaries in the ordinary course of business to make payments on behalf of Customers for which funds have not been received by the Loan Parties or their Subsidiaries from the applicable Customer not to exceed $5,000,000 in the aggregate in any trailing twelve-month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Investments of Customer funds held in Customer Funds Accounts so long as (i) neither Borrower nor any other Loan Party is required to provide any guaranty or security to any Customer with respect to any return on, or return of, any amounts so held by such Loan Party on behalf of the applicable Customer in such Customer Funds Accounts, (ii) any such funds are invested in cash, Cash Equivalents or otherwise in accordance with the Borrower’s investment policy, as approved by the Borrower’s board of directors, and (iii) all such Investments of customer Funds are made in compliance with all applicable Laws and the requirements of any applicable Permits;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other Investments not exceeding, determined at the time such Investment is made and after giving effect to such Investment, in the aggregate in any fiscal year of the Borrower, $500,000, so long as no Default has occurred and is continuing or would result from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nothing in this Section 7.03 shall permit an Investment consisting of any Intellectual Property that is material to the business of the Borrower and its Subsidiaries, taken as a whole, to any Subsidiary that is a non-Loan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7.04        </w:t>
      </w:r>
      <w:r>
        <w:rPr>
          <w:rFonts w:ascii="Times New Roman;Times;Serif" w:hAnsi="Times New Roman;Times;Serif"/>
          <w:b/>
          <w:i w:val="false"/>
          <w:caps w:val="false"/>
          <w:smallCaps w:val="false"/>
          <w:sz w:val="20"/>
          <w:u w:val="single"/>
        </w:rPr>
        <w:t>Fundamental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Subsidiary may merge with (i)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the continuing or surviving Person, or (ii) any one or more other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when any Loan Party is merging with another Subsidiary, such Loan Party shall be the continuing or surviving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Loan Party may Dispose of all or substantially all of its assets (upon voluntary liquidation or otherwise) to the Borrower or to another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Subsidiary that is not a Loan Party may dispose of all or substantially all its assets (including any Disposition that is in the nature of a liquidation) to (i) another Subsidiary that is not a Loan Party or (ii) to a 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connection with any Permitted Acquisition, any Subsidiary of the Borrower may merge into or consolidate with any other Person or permit any other Person to merge into or consolidate with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Person surviving such merger shall be a wholly-owned Subsidiary of the Borrower and (ii) in the case of any such merger to which any Loan Party (other than the Borrower) is a party, such Loan Party is the surviving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the Borrower and any of its Subsidiaries may merge into or consolidate with any other Person or permit any other Person to merge into or consolidate with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immediately after giving effect thereto (i) in the case of any such merger to which the Borrower is a party, the Borrower is the surviving Person and (ii) in the case of any such merger to which any Loan Party (other than the Borrower) is a party, such Loan Party is the surviving Person;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Immaterial Subsidiary may liquidate, divide or dissolve if the Borrower determines in good faith that such liquidation, division or dissolution is in the best interests of the Borrower and is not materially disadvantageous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7.05        </w:t>
      </w:r>
      <w:r>
        <w:rPr>
          <w:rFonts w:ascii="Times New Roman;Times;Serif" w:hAnsi="Times New Roman;Times;Serif"/>
          <w:b/>
          <w:i w:val="false"/>
          <w:caps w:val="false"/>
          <w:smallCaps w:val="false"/>
          <w:sz w:val="20"/>
          <w:u w:val="single"/>
        </w:rPr>
        <w:t>Dispositions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Disposition or enter into any agreement to make any Disposition,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Permitted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Dispositions of obsolete or worn out property, whether now owned or hereafter acquired,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Dispositions permitted by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non-exclusive licenses of trademarks, service marks, trade names, copyrights, patents, patent rights, trade secrets, know-how, franchises, licenses and other intellectual property rights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Involuntary Dispositions;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Dispositions of non-core assets acquired in connection with, or resulting from, any Permitted Acquisition or other Investment permitted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extent constituting a Disposition, the settlement, waiver, release or surrender of claims or litigation rights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Dispositions permitted by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other Dispositions so long as (i) no Event of Default has occurred and is continuing or would result therefrom, (ii) at least 75% of the consideration paid in connection therewith shall be cash or Cash Equivalents paid contemporaneously with consummation of the transaction and shall be in an amount not less than the fair market value of the property disposed of, (iii) such transaction does not involve the sale or other disposition of a minority Equity Interests in any Subsidiary, (iv) such transaction does not involve a sale or other disposition of receivables other than receivables owned by or attributable to other property concurrently being disposed of in a transaction otherwise permitted under this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and (v) the aggregate net book value of all of the assets sold or otherwise disposed of by the Loan Parties and their Subsidiaries in all such transactions in any fiscal year of the Borrower shall not exceed $3,000,000.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nothing in this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shall permit the Disposition (including exclusive license) of any Intellectual Property that is material to the business of the Borrower and its Subsidiaries, taken as a whole, to any Subsidiary that is a non-Loan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7.06        </w:t>
      </w:r>
      <w:r>
        <w:rPr>
          <w:rFonts w:ascii="Times New Roman;Times;Serif" w:hAnsi="Times New Roman;Times;Serif"/>
          <w:b/>
          <w:i w:val="false"/>
          <w:caps w:val="false"/>
          <w:smallCaps w:val="false"/>
          <w:sz w:val="20"/>
          <w:u w:val="single"/>
        </w:rPr>
        <w:t>Restricted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Declare or make, directly or indirectly, any Restricted Payment, or incur any obligation (contingent or otherwise) to do so,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Subsidiary may make Restricted Payments to any Person that owns Equity Interests in such Subsidiary, ratably according to their respective holdings of the type of Equity Interest in respect of which such Restricted Payment is being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and each Subsidiary may declare and make dividend payments or other distributions payable solely in common Equity Interests (other than Disqualified Equity Interests)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and each Subsidiary may purchase, redeem or otherwise acquire Equity Interests issued by it with the proceeds received from the substantially concurrent issue of new shares of its common stock or other common Equity Interests (other than Disqualified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may issue Equity Interests and make cash payment in lieu of issuing fractional shares in connection with the exercise of warrants, options or other securities convertible into or exchangeable for such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may purchase its Equity Interests in connection with the exercise of stock options or stock appreciation rights by way of cashless exercise or the vesting of restricted stock units or, through net share settlements, in connection with the satisfaction of withholding tax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repurchases, redemptions or retirements of stock of current or former employees, directors or consultants pursuant to stock purchase agreements so long as an Event of Default does not exist at the time of such repurchase and would not exist after giving effect to such repurchase;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aggregate amount of such repurchases in any fiscal year shall not exceed Five Hundred Thousand Dollars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may purchase for value any rights distributed in connection with any stockholders’ rights plan adopted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so long as no Event of Default shall have occurred and be continuing at the time of such payment or would result therefrom, the Borrower may make Restricted Payments on the Subordinated Debt and Contingent Acquisition Consideration due and payable in accordance with the acquisition documents in respect of any Permitted Acquisition, in each case, in compliance with </w:t>
      </w:r>
      <w:r>
        <w:rPr>
          <w:rFonts w:ascii="Times New Roman;Times;Serif" w:hAnsi="Times New Roman;Times;Serif"/>
          <w:b w:val="false"/>
          <w:i w:val="false"/>
          <w:caps w:val="false"/>
          <w:smallCaps w:val="false"/>
          <w:sz w:val="20"/>
          <w:u w:val="single"/>
        </w:rPr>
        <w:t>Section 7.16</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may make other Restricted Payments in an unlimited amount, so long as immediately after giving effect to any such payment, calculated on a Pro Forma Basis at the time such payment is made, after giving effect to such Restricted Payment on a Pro Forma Basis, (i) the Loan Parties are in Pro Forma Compliance with the financial covenants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(ii) the Consolidated Net Leverage Ratio is not in excess of 2.50 to 1.00, and (iii) no Event of Default shall have occurred and be continuing at the time of such payment or would result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7.07        </w:t>
      </w:r>
      <w:r>
        <w:rPr>
          <w:rFonts w:ascii="Times New Roman;Times;Serif" w:hAnsi="Times New Roman;Times;Serif"/>
          <w:b/>
          <w:i w:val="false"/>
          <w:caps w:val="false"/>
          <w:smallCaps w:val="false"/>
          <w:sz w:val="20"/>
          <w:u w:val="single"/>
        </w:rPr>
        <w:t>Change in Nature of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any material line of business substantially different from those lines of business conducted by the Borrower and its Subsidiaries on the Closing Date or any business substantially related or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7.08       </w:t>
      </w:r>
      <w:r>
        <w:rPr>
          <w:rFonts w:ascii="Times New Roman;Times;Serif" w:hAnsi="Times New Roman;Times;Serif"/>
          <w:b/>
          <w:i w:val="false"/>
          <w:caps w:val="false"/>
          <w:smallCaps w:val="false"/>
          <w:sz w:val="20"/>
          <w:u w:val="single"/>
        </w:rPr>
        <w:t>Transactions with Affiliates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Enter into or permit to exist any transaction or series of transactions with any officer, director or Affiliate of such Person that exceeds $2,500,000 other than (a) advances of working capital to any Loan Party, (b) transfers of cash and assets to any Loan Party, (c) intercompany transactions expressly permitted by this Agreement, (d)  compensation (including bonuses and equity-based compensation), employment benefit arrangements, indemnities and reimbursement of expenses of officers, managers, employees and directors, (e) except as otherwise specifically limited in this Agreement, other transactions which are entered into on fair and reasonable terms and conditions substantially as favorable to such Person as would be obtainable by it in a comparable arm’s length transaction with a Person other than an officer, director or Affiliate and (f) transactions permitted by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7.04, Section 7.06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7.09        </w:t>
      </w:r>
      <w:r>
        <w:rPr>
          <w:rFonts w:ascii="Times New Roman;Times;Serif" w:hAnsi="Times New Roman;Times;Serif"/>
          <w:b/>
          <w:i w:val="false"/>
          <w:caps w:val="false"/>
          <w:smallCaps w:val="false"/>
          <w:sz w:val="20"/>
          <w:u w:val="single"/>
        </w:rPr>
        <w:t>Burdensome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Enter into, or permit to exist, any Contractual Obligation (except for this Agreement and the other Loan Documents) that (a) encumbers or restricts the ability of any such Person to (i) to act as a Loan Party; (ii) make Restricted Payments to any Loan Party, (iii) pay any Indebtedness or other obligation owed to any Loan Party, (iv) make loans or advances to any Loan Party, or (v) create any Lien in favor of the Administrative Agent (for the benefit of the Secured Parties) upon any of their properties or assets, whether now owned or hereafter acquired, to secure the Secured Obligations, except the foregoing shall not apply to (A) restrictions and conditions imposed by any applicable Law, (B) restrictions and conditions contained in agreements relating to the sale of any Subsidiary or assets of the Borrower or any Subsidiary, in each case, pending such sale, provided such restrictions and conditions apply only to the Person or assets that are to be sold and such sale is permitted hereunder, (C) customary provisions in leases and other contracts restricting the assignment or encumbrance thereof, (D) any restrictions or conditions set forth in any agreement in effect at any time any Person becomes a Subsidiary (but not any modification or amendment expanding the scope of any such restriction or condition);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was not entered into in contemplation of such Person becoming a Subsidiary and the restriction or condition set forth in such agreement does not apply to the Borrower or any other Subsidiary, (E) customary provisions in joint venture agreements (and other similar agreements) (provided that such provisions apply only to such joint venture and to Equity Interests in such joint venture), (F) customary net worth provisions or similar financial maintenance provisions contained in real property leases, (G) restrictions requiring minimum reserves of cash or other deposits, in each case, imposed by customers of the Borrower or any Subsidiary under contracts entered into in the ordinary course of business, (H) [reserved] and (I) in the case of </w:t>
      </w:r>
      <w:r>
        <w:rPr>
          <w:rFonts w:ascii="Times New Roman;Times;Serif" w:hAnsi="Times New Roman;Times;Serif"/>
          <w:b w:val="false"/>
          <w:i w:val="false"/>
          <w:caps w:val="false"/>
          <w:smallCaps w:val="false"/>
          <w:sz w:val="20"/>
          <w:u w:val="single"/>
        </w:rPr>
        <w:t>clause (a)(v</w:t>
      </w:r>
      <w:r>
        <w:rPr>
          <w:rFonts w:ascii="Times New Roman;Times;Serif" w:hAnsi="Times New Roman;Times;Serif"/>
          <w:b w:val="false"/>
          <w:i w:val="false"/>
          <w:caps w:val="false"/>
          <w:smallCaps w:val="false"/>
          <w:sz w:val="20"/>
        </w:rPr>
        <w:t xml:space="preserve">) only, for any document or instrument governing Indebtedness permitted by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restriction contained therein relates only to the asset or assets securing any such Indebtedness; or (b) requires the grant of any Lien on property for any obligation if a Lien on such property is given as security for the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7.10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the proceeds of any Credit Extension,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7.11        </w:t>
      </w:r>
      <w:r>
        <w:rPr>
          <w:rFonts w:ascii="Times New Roman;Times;Serif" w:hAnsi="Times New Roman;Times;Serif"/>
          <w:b/>
          <w:i w:val="false"/>
          <w:caps w:val="false"/>
          <w:smallCaps w:val="false"/>
          <w:sz w:val="20"/>
          <w:u w:val="single"/>
        </w:rPr>
        <w:t>Financial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Consolidated Fixed Charge Coverage Ratio</w:t>
      </w:r>
      <w:r>
        <w:rPr>
          <w:rFonts w:ascii="Times New Roman;Times;Serif" w:hAnsi="Times New Roman;Times;Serif"/>
          <w:b w:val="false"/>
          <w:i w:val="false"/>
          <w:caps w:val="false"/>
          <w:smallCaps w:val="false"/>
          <w:sz w:val="20"/>
        </w:rPr>
        <w:t>. Permit the Consolidated Fixed Charge Coverage Ratio as of the end of any Measurement Period ending as of the end of any fiscal quarter of the Borrower to be less than 1.25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Consolidated Net Leverage Ratio</w:t>
      </w:r>
      <w:r>
        <w:rPr>
          <w:rFonts w:ascii="Times New Roman;Times;Serif" w:hAnsi="Times New Roman;Times;Serif"/>
          <w:b w:val="false"/>
          <w:i w:val="false"/>
          <w:caps w:val="false"/>
          <w:smallCaps w:val="false"/>
          <w:sz w:val="20"/>
        </w:rPr>
        <w:t xml:space="preserve">. Permit the Consolidated Net Leverage Ratio as of the end of any Measurement Period ending as of the end of any fiscal quarter of the Borrower to be greater than 3.50:1.00;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election of the Borrower upon written notice to the Administrative Agent, during the four consecutive fiscal quarters including and following the quarter in which the Borrower or any of its Subsidiaries consummates a Specified Permitted Acquisition, the Consolidated Net Leverage Ratio shall be no greater than 3.75 to 1.00 (such period, the “</w:t>
      </w:r>
      <w:r>
        <w:rPr>
          <w:rFonts w:ascii="Times New Roman;Times;Serif" w:hAnsi="Times New Roman;Times;Serif"/>
          <w:b w:val="false"/>
          <w:i/>
          <w:caps w:val="false"/>
          <w:smallCaps w:val="false"/>
          <w:sz w:val="20"/>
          <w:u w:val="single"/>
        </w:rPr>
        <w:t>Adjusted Covenant Period</w:t>
      </w:r>
      <w:r>
        <w:rPr>
          <w:rFonts w:ascii="Times New Roman;Times;Serif" w:hAnsi="Times New Roman;Times;Serif"/>
          <w:b w:val="false"/>
          <w:i w:val="false"/>
          <w:caps w:val="false"/>
          <w:smallCaps w:val="false"/>
          <w:sz w:val="20"/>
        </w:rPr>
        <w:t xml:space="preserve">”) (it being understood and agreed that following the end of the Adjusted Covenant Period, the required Consolidated Net Leverage Ratio shall revert to 3.50 to 1.00 as of the end of each subsequent fiscal quarter until another Adjusted Covenant Period (if any) occurs);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 there may only be two (2) such Adjusted Covenant Periods during the term of this Agreement and (ii) there shall be at least two (2) full fiscal quarters between Adjusted Covenant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7.12        </w:t>
      </w:r>
      <w:r>
        <w:rPr>
          <w:rFonts w:ascii="Times New Roman;Times;Serif" w:hAnsi="Times New Roman;Times;Serif"/>
          <w:b/>
          <w:i w:val="false"/>
          <w:caps w:val="false"/>
          <w:smallCaps w:val="false"/>
          <w:sz w:val="20"/>
          <w:u w:val="single"/>
        </w:rPr>
        <w:t>Amendments of Organization Documents; Fiscal Year; Legal Name, State of Formation; Form of Entity; Accounting Changes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Amend any of its Organization Documents to the extent any such amendment would reasonably be expected to be materially adverse to the Administrative Agent or any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change its fiscal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providing five (5) days prior written notice to the Administrative Agent (or such shorter period of time as reasonably agreed to by the Administrative Agent), change its name, state of formation, form of organization or principal place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7.13        </w:t>
      </w:r>
      <w:r>
        <w:rPr>
          <w:rFonts w:ascii="Times New Roman;Times;Serif" w:hAnsi="Times New Roman;Times;Serif"/>
          <w:b/>
          <w:i w:val="false"/>
          <w:caps w:val="false"/>
          <w:smallCaps w:val="false"/>
          <w:sz w:val="20"/>
          <w:u w:val="single"/>
        </w:rPr>
        <w:t>Sale and Leaseback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Enter into any Sale and Leaseback Transaction, except in connection with any Capitalized Leases permitted by </w:t>
      </w:r>
      <w:r>
        <w:rPr>
          <w:rFonts w:ascii="Times New Roman;Times;Serif" w:hAnsi="Times New Roman;Times;Serif"/>
          <w:b w:val="false"/>
          <w:i w:val="false"/>
          <w:caps w:val="false"/>
          <w:smallCaps w:val="false"/>
          <w:sz w:val="20"/>
          <w:u w:val="single"/>
        </w:rPr>
        <w:t>Section 7.02(c)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7.14        </w:t>
      </w:r>
      <w:r>
        <w:rPr>
          <w:rFonts w:ascii="Times New Roman;Times;Serif" w:hAnsi="Times New Roman;Times;Serif"/>
          <w:b/>
          <w:i w:val="false"/>
          <w:caps w:val="false"/>
          <w:smallCaps w:val="false"/>
          <w:sz w:val="20"/>
          <w:u w:val="single"/>
        </w:rPr>
        <w:t>Sanctions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Swingline Lender, or otherwise)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7.15       </w:t>
      </w:r>
      <w:r>
        <w:rPr>
          <w:rFonts w:ascii="Times New Roman;Times;Serif" w:hAnsi="Times New Roman;Times;Serif"/>
          <w:b/>
          <w:i w:val="false"/>
          <w:caps w:val="false"/>
          <w:smallCaps w:val="false"/>
          <w:sz w:val="20"/>
          <w:u w:val="single"/>
        </w:rPr>
        <w:t>Anti-Corruption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or indirectly, use any Credit Extension or the proceeds of any Credit Extension for any purpose which would breach the United States Foreign Corrupt Practices Act of 1977, the UK Bribery Act 2010, Anti-Terrorism Laws and other anti-corruption legislation in other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7.16        </w:t>
      </w:r>
      <w:r>
        <w:rPr>
          <w:rFonts w:ascii="Times New Roman;Times;Serif" w:hAnsi="Times New Roman;Times;Serif"/>
          <w:b/>
          <w:i w:val="false"/>
          <w:caps w:val="false"/>
          <w:smallCaps w:val="false"/>
          <w:sz w:val="20"/>
          <w:u w:val="single"/>
        </w:rPr>
        <w:t>Payments and Modifications of Subordinated 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Declare, pay, make or set aside any amount for payment in respect of any Subordinated Debt or any Contingent Acquisition Consideration, in each case, except for payments made in respect of (x) Subordinated Debt in accordance with the Subordinated Debt Documents and (y) any Contingent Acquisition Consideration due and payable in accordance with the acquisition documents in respect of any Permitted Acquisition, in each case, so long as (i) immediately prior to any such payment no Event of Default has occurred and is continuing and no Event of Default would occur after giving effect to any such payment, and (ii) after giving effect to any such payment, (x) Loan Parties are in pro forma compliance with the financial covenants set forth in Section 7.11 and (y) the Consolidated Net Leverage Ratio shall be no greater than 0.50:1.00 inside the then-applicable covenant set forth in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calculated using the same Measurement Period used to determine Pro Forma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Amend or otherwise modify the terms of any Subordinated Debt (other than the Subordinated Existing Holdover Notes), except for amendments or modifications made in full compliance with the applicable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Amend or otherwise modify the terms of any Subordinated Existing Holdover Notes Documents or Subordinated Unsecured Seller Notes Documents, except for amendments or modifications consented to in writing by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7.17        </w:t>
      </w:r>
      <w:r>
        <w:rPr>
          <w:rFonts w:ascii="Times New Roman;Times;Serif" w:hAnsi="Times New Roman;Times;Serif"/>
          <w:b/>
          <w:i w:val="false"/>
          <w:caps w:val="false"/>
          <w:smallCaps w:val="false"/>
          <w:sz w:val="20"/>
          <w:u w:val="single"/>
        </w:rPr>
        <w:t>Amendment, Etc.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Amend, modify or change in any manner any term or condition of any Indebtedness (other than Indebtedness arising under the Loan Documents or Subordinated Debt which shall be subject to the terms and provisions of </w:t>
      </w:r>
      <w:r>
        <w:rPr>
          <w:rFonts w:ascii="Times New Roman;Times;Serif" w:hAnsi="Times New Roman;Times;Serif"/>
          <w:b w:val="false"/>
          <w:i w:val="false"/>
          <w:caps w:val="false"/>
          <w:smallCaps w:val="false"/>
          <w:sz w:val="20"/>
          <w:u w:val="single"/>
        </w:rPr>
        <w:t>Section 7.16</w:t>
      </w:r>
      <w:r>
        <w:rPr>
          <w:rFonts w:ascii="Times New Roman;Times;Serif" w:hAnsi="Times New Roman;Times;Serif"/>
          <w:b w:val="false"/>
          <w:i w:val="false"/>
          <w:caps w:val="false"/>
          <w:smallCaps w:val="false"/>
          <w:sz w:val="20"/>
        </w:rPr>
        <w:t>) if such amendment or modification would add or change any terms in a manner materially adverse to any Loan Party or any Subsidiary, or shorten the final maturity or average life to maturity or require any payment to be made sooner than originally scheduled or increase the interest rate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7.18        </w:t>
      </w:r>
      <w:r>
        <w:rPr>
          <w:rFonts w:ascii="Times New Roman;Times;Serif" w:hAnsi="Times New Roman;Times;Serif"/>
          <w:b/>
          <w:i w:val="false"/>
          <w:caps w:val="false"/>
          <w:smallCaps w:val="false"/>
          <w:sz w:val="20"/>
          <w:u w:val="single"/>
        </w:rPr>
        <w:t>Amendment, Etc. of Material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modify or change in any manner any term or condition of any Material Agreement to the extent any such amendment, modification or waiver would be adverse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7.19        </w:t>
      </w:r>
      <w:r>
        <w:rPr>
          <w:rFonts w:ascii="Times New Roman;Times;Serif" w:hAnsi="Times New Roman;Times;Serif"/>
          <w:b/>
          <w:i w:val="false"/>
          <w:caps w:val="false"/>
          <w:smallCaps w:val="false"/>
          <w:sz w:val="20"/>
          <w:u w:val="single"/>
        </w:rPr>
        <w:t>Customer Funds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Permit any property or assets of any Loan Party or Subsidiary thereof to be held in any Customer Funds Account except for any interest or other amounts earned by such Loan Party or Subsidiary in respect of the Customer funds held in the Customer Funds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Permit any other property or assets of any Customer or any other Person to be comingled with the assets or property of the Loan Parties or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(i) to the extent any and all interest or other returns earned by any Loan Party or any Subsidiary thereof on the investment of such cash or Cash Equivalents in any such Customer Funds Account (“Investment Returns”) are withdrawn from any Customer Funds Accounts, then such amounts shall be remitted to a Deposit Account that is held with MUFG or if with another Person is subject to a Qualifying Control Agreement, (ii) Loan Parties shall ensure that all Investment Returns are withdrawn from any Customer Funds Accounts on a monthly basis (or more frequently as Administrative Agent may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following the occurrence and during the continuance of an Event of Default) and deposited by Loan Parties in a Deposit Account that is held with MUFG or if with another Person is subject to a Qualifying Control Agreement, and (iii) Loan Parties shall ensure that any actual and realized losses or deficits in any funds held on behalf of Customers in Customer Funds Accounts as a result of any investments made by any Loan Party in such funds shall be replenished or replaced prior to the time at which any such funds are required to be disbursed to, or an behalf of, any Customer or otherwise to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7.20        </w:t>
      </w:r>
      <w:r>
        <w:rPr>
          <w:rFonts w:ascii="Times New Roman;Times;Serif" w:hAnsi="Times New Roman;Times;Serif"/>
          <w:b/>
          <w:i w:val="false"/>
          <w:caps w:val="false"/>
          <w:smallCaps w:val="false"/>
          <w:sz w:val="20"/>
          <w:u w:val="single"/>
        </w:rPr>
        <w:t>Outbound Investment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or such Subsidiary were a U.S. Person or (iii) any other activity that would cause Administrative Agent or any Lender to be in violation of the Outbound Investment Rules or cause Administrative Agent or any Lender to be legally prohibited by the Outbound Investment Rules from performing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EVENTS OF DEFAULT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8.01        </w:t>
      </w:r>
      <w:r>
        <w:rPr>
          <w:rFonts w:ascii="Times New Roman;Times;Serif" w:hAnsi="Times New Roman;Times;Serif"/>
          <w:b/>
          <w:i w:val="false"/>
          <w:caps w:val="false"/>
          <w:smallCaps w:val="false"/>
          <w:sz w:val="20"/>
          <w:u w:val="single"/>
        </w:rPr>
        <w:t>Events of Default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following shall constitute an event of default (each, an “</w:t>
      </w:r>
      <w:r>
        <w:rPr>
          <w:rFonts w:ascii="Times New Roman;Times;Serif" w:hAnsi="Times New Roman;Times;Serif"/>
          <w:b w:val="false"/>
          <w:i/>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Non-Payment</w:t>
      </w:r>
      <w:r>
        <w:rPr>
          <w:rFonts w:ascii="Times New Roman;Times;Serif" w:hAnsi="Times New Roman;Times;Serif"/>
          <w:b w:val="false"/>
          <w:i w:val="false"/>
          <w:caps w:val="false"/>
          <w:smallCaps w:val="false"/>
          <w:sz w:val="20"/>
        </w:rPr>
        <w:t>. The Borrower or any other Loan Party fails to pay (i) when and as required to be paid herein, any amount of principal of any Loan, or (ii) within three (3) Business Days after the same becomes due, any amount of principal of any L/C Obligation or deposit any funds as Cash Collateral in respect of L/C Obligations, or any interest on any Loan or on any L/C Obligation, or any fee due hereunder, or (iii) within five (5) Business Days after the same becomes due, any other amount payable hereunder or under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Specific Covenants</w:t>
      </w:r>
      <w:r>
        <w:rPr>
          <w:rFonts w:ascii="Times New Roman;Times;Serif" w:hAnsi="Times New Roman;Times;Serif"/>
          <w:b w:val="false"/>
          <w:i w:val="false"/>
          <w:caps w:val="false"/>
          <w:smallCaps w:val="false"/>
          <w:sz w:val="20"/>
        </w:rPr>
        <w:t xml:space="preserve">. Any Loan Party fails to perform or observe any term, covenant or agreement contained in any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6.05</w:t>
      </w:r>
      <w:r>
        <w:rPr>
          <w:rFonts w:ascii="Times New Roman;Times;Serif" w:hAnsi="Times New Roman;Times;Serif"/>
          <w:b w:val="false"/>
          <w:i w:val="false"/>
          <w:caps w:val="false"/>
          <w:smallCaps w:val="false"/>
          <w:sz w:val="20"/>
        </w:rPr>
        <w:t xml:space="preserve"> (solely with respect to the existence of the Borrower in its jurisdiction of incorporation), </w:t>
      </w:r>
      <w:r>
        <w:rPr>
          <w:rFonts w:ascii="Times New Roman;Times;Serif" w:hAnsi="Times New Roman;Times;Serif"/>
          <w:b w:val="false"/>
          <w:i w:val="false"/>
          <w:caps w:val="false"/>
          <w:smallCaps w:val="false"/>
          <w:sz w:val="20"/>
          <w:u w:val="single"/>
        </w:rPr>
        <w:t>6.10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Other Defaults</w:t>
      </w:r>
      <w:r>
        <w:rPr>
          <w:rFonts w:ascii="Times New Roman;Times;Serif" w:hAnsi="Times New Roman;Times;Serif"/>
          <w:b w:val="false"/>
          <w:i w:val="false"/>
          <w:caps w:val="false"/>
          <w:smallCaps w:val="false"/>
          <w:sz w:val="20"/>
        </w:rPr>
        <w:t xml:space="preserve">. Any Loan Party fails to perform or observe any other covenant or agreement (not specified in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above) contained in any Loan Document on its part to be performed or observed and such failure continues for thirty (30) days following the earlier of (i) any Responsible Officer’s knowledge thereof or (ii) receipt by the Borrower of written notice thereof from the Administrative Agent or the Required Lenders;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when made or deemed made;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Cross-Default</w:t>
      </w:r>
      <w:r>
        <w:rPr>
          <w:rFonts w:ascii="Times New Roman;Times;Serif" w:hAnsi="Times New Roman;Times;Serif"/>
          <w:b w:val="false"/>
          <w:i w:val="false"/>
          <w:caps w:val="false"/>
          <w:smallCaps w:val="false"/>
          <w:sz w:val="20"/>
        </w:rPr>
        <w:t xml:space="preserve">. (i) Any Loan Party or any Subsidiary thereof (A) fails to make any payment when due (whether by scheduled maturity, required prepayment, acceleration, demand, 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otherwise), after giving effect to any applicable grace period, in respect of any Indebtedness or Guarantee of Indebtedness (in each case, other than Indebtedness hereunder, Indebtedness under any Subordinated Debt Documents and Indebtedness under Swap Contracts) having an aggregate principal amount (including undrawn committed or available amounts or amounts and including amounts owing to all creditors under any combined or syndicated credit arrangement) of more than the Threshold Amount, or (B) fails to observe or perform any other agreement or condition (after giving effect to any applicable grace periods)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this clause (e)(i)(B) shall not apply to (x) any condition giving rise to any required repurchase, repayment, defeasance, redemption, conversion or settlement with respect to the Subordinated Debt Documents pursuant to their terms unless such repurchase, repayment, defeasance, redemption, conversion or settlement results from a default, event of default or other similar term thereunder or an event of the types that constitute an Event of Default, (y) any early payment requirement or unwinding or termination with respect to any Swap Contract in accordance with the terms thereof where (I) neither a Loan Party nor any Subsidiary thereof is a Defaulting Party (as defined in such Swap Contract) or an Affected Party (as so defined) under such Swap Contract and (II) the event causing such early payment, unwinding or termination is not an event of the type that would otherwise constitute an Event of Default, or (z) any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so long as such secured Indebtedness is repaid in full substantially contemporaneously with such sale, transfer or other disposition; or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Insolvency Proceedings, Etc</w:t>
      </w:r>
      <w:r>
        <w:rPr>
          <w:rFonts w:ascii="Times New Roman;Times;Serif" w:hAnsi="Times New Roman;Times;Serif"/>
          <w:b w:val="false"/>
          <w:i w:val="false"/>
          <w:caps w:val="false"/>
          <w:smallCaps w:val="false"/>
          <w:sz w:val="20"/>
        </w:rPr>
        <w:t>. Any Loan Party or any other Material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forty-five (45)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Inability to Pay Debts; Attachment</w:t>
      </w:r>
      <w:r>
        <w:rPr>
          <w:rFonts w:ascii="Times New Roman;Times;Serif" w:hAnsi="Times New Roman;Times;Serif"/>
          <w:b w:val="false"/>
          <w:i w:val="false"/>
          <w:caps w:val="false"/>
          <w:smallCaps w:val="false"/>
          <w:sz w:val="20"/>
        </w:rPr>
        <w:t xml:space="preserve">. (i) Any Loan Party or any Material Subsidiary thereof becomes unable or admits in writing its inability or fails generally to pay its debts as they become due, or (ii) any writ or warrant of attachment or execution or similar process is issued 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levied against all or any material part of the property of any such Person and is not released, vacated or fully bonded within thirty (30) days after its issue or levy;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There is entered against any Loan Party or any Material Subsidiary thereof one or more final judgments or orders for the payment of money in an aggregate amount (as to all such judgments and orders) exceeding the Threshold Amount (to the extent not covered by independent third-party insurance as to which the insurer is rated at least “A” by A.M. Best, has been notified of the potential claim and does not dispute coverage) and (A) enforcement proceedings are commenced by any creditor upon such judgment or order, or (B) there is a period of thirty (30) consecutive days during which such judgment is not satisfied, discharged or subject to a stay of enforcement of such judgment, by reason of a pending appeal or otherwise;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(i) An ERISA Event occurs with respect to a Pension Plan or Multiemployer Plan which has resulted or could reasonably be expected to result in liability of any Loan Party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Invalidity of Loan Documents</w:t>
      </w:r>
      <w:r>
        <w:rPr>
          <w:rFonts w:ascii="Times New Roman;Times;Serif" w:hAnsi="Times New Roman;Times;Serif"/>
          <w:b w:val="false"/>
          <w:i w:val="false"/>
          <w:caps w:val="false"/>
          <w:smallCaps w:val="false"/>
          <w:sz w:val="20"/>
        </w:rPr>
        <w:t>. Any provision of any Loan Document, at any time after its execution and delivery and for any reason other than as expressly permitted hereunder or thereunder or satisfaction in full of all Obligations (other than contingent indemnification obligations) arising under the Loan Documents,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it is or becomes unlawful for a Loan Party to perform any of its obligations under the Loan Documents;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Collateral Documents</w:t>
      </w:r>
      <w:r>
        <w:rPr>
          <w:rFonts w:ascii="Times New Roman;Times;Serif" w:hAnsi="Times New Roman;Times;Serif"/>
          <w:b w:val="false"/>
          <w:i w:val="false"/>
          <w:caps w:val="false"/>
          <w:smallCaps w:val="false"/>
          <w:sz w:val="20"/>
        </w:rPr>
        <w:t>. Any Collateral Document after delivery thereof pursuant to the terms of the Loan Documents shall for any reason cease to create a valid and perfected (if and to the extent required to be perfected under the applicable Collateral Document) first priority Lien (subject to Permitted Liens) on the Collateral purported to be covered thereby (except (i) as a result of the release of a Loan Party or the sale, transfer or other disposition to a Person that is not a Loan Party of the applicable Collateral, in each case, in a transaction permitted under the Loan Documents or the occurrence of the Facility Termination Date or (ii) as a result of the action or inaction of the Administrative Agent to maintain possession of any stock certificates, promissory notes or other instruments delivered to it under the Collateral Documents), or any Loan Party shall assert the invalidity of such Liens;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There occurs any Change of Control;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Invalidity, Revocation, or Suspension of a Regulatory Required Permit</w:t>
      </w:r>
      <w:r>
        <w:rPr>
          <w:rFonts w:ascii="Times New Roman;Times;Serif" w:hAnsi="Times New Roman;Times;Serif"/>
          <w:b w:val="false"/>
          <w:i w:val="false"/>
          <w:caps w:val="false"/>
          <w:smallCaps w:val="false"/>
          <w:sz w:val="20"/>
        </w:rPr>
        <w:t>. (i) The institution of any action or proceeding by any other Governmental Authority to revoke, suspend, reject, withdraw, limit, or restrict any Regulatory Required Permit held by any Loan Party, its Subsidiaries or any representative of Borrower or its Subsidiaries, which, in each case or in the aggregate, has or could reasonably be expected to result in a Material Adverse Effect, (ii) the loss, revocation, or suspension of any Regulatory Required Permit in a state or states that, as of the applicable date of determination, individually or collectively account for more than ten percent (10%) of the revenue of the Loan Parties and their consolidated Subsidiaries, as determined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accordance with GAAP as of such date of determination, or (iii) the commencement of any enforcement action against any Loan Party, its Subsidiaries or any representative of any Loan Party or its Subsidiaries (with respect to the business of any Loan Party or its Subsidiaries) by any Governmental Authority which has resulted or could reasonably be expected to result in a Material Adverse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(i) Any of the subordination, standstill, payover and insolvency related provisions of any of the Subordinated Debt Documents (the “</w:t>
      </w:r>
      <w:r>
        <w:rPr>
          <w:rFonts w:ascii="Times New Roman;Times;Serif" w:hAnsi="Times New Roman;Times;Serif"/>
          <w:b w:val="false"/>
          <w:i/>
          <w:caps w:val="false"/>
          <w:smallCaps w:val="false"/>
          <w:sz w:val="20"/>
          <w:u w:val="single"/>
        </w:rPr>
        <w:t>Subordinated Provisions</w:t>
      </w:r>
      <w:r>
        <w:rPr>
          <w:rFonts w:ascii="Times New Roman;Times;Serif" w:hAnsi="Times New Roman;Times;Serif"/>
          <w:b w:val="false"/>
          <w:i w:val="false"/>
          <w:caps w:val="false"/>
          <w:smallCaps w:val="false"/>
          <w:sz w:val="20"/>
        </w:rPr>
        <w:t>”) shall, in whole or in part, terminate, cease to be effective or cease to be legally valid, binding and enforceable against any holder of the applicable Subordinated Debt or (ii) the Borrower or any other Loan Party shall, directly or indirectly, disavow or contest in any manner (A) the effectiveness, validity or enforceability of any of the Subordinated Provisions, (B) that the Subordinated Provisions exist for the benefit of the Administrative Agent and the Secured Parties or (C) that all payments of principal of or premium and interest on the applicable Subordinated Debt or realized from the liquidation of any property of any Loan Party, shall be subject to any of the Subordinated Provisions;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Benefits Administration</w:t>
      </w:r>
      <w:r>
        <w:rPr>
          <w:rFonts w:ascii="Times New Roman;Times;Serif" w:hAnsi="Times New Roman;Times;Serif"/>
          <w:b w:val="false"/>
          <w:i w:val="false"/>
          <w:caps w:val="false"/>
          <w:smallCaps w:val="false"/>
          <w:sz w:val="20"/>
        </w:rPr>
        <w:t>. (i) Any Loan Party or any Subsidiary thereof that acts as a fiduciary with respect to any Client Plan breaches any fiduciary duty under ERISA or engages in any prohibited transaction under Section 4975 of the Code, in each case, that results or could reasonably be expected to result in liability in excess of the Threshold Amount, (ii) the Department of Labor, the Internal Revenue Service, or any other Governmental Authority institutes any enforcement action against any Loan Party or any Subsidiary thereof with respect to any Client Plan that could reasonably be expected to result in material fines, penalties, or sanctions or a Material Adverse Effect, or (iii) any Loan Party or any Subsidiary thereof fails to maintain required fidelity bonds or insurance coverage with respect to the provision of Benefits Administration Services and such failure continues for thirty (30) days after notice thereof from the Administrative Agent;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Material Cybersecurity Incident</w:t>
      </w:r>
      <w:r>
        <w:rPr>
          <w:rFonts w:ascii="Times New Roman;Times;Serif" w:hAnsi="Times New Roman;Times;Serif"/>
          <w:b w:val="false"/>
          <w:i w:val="false"/>
          <w:caps w:val="false"/>
          <w:smallCaps w:val="false"/>
          <w:sz w:val="20"/>
        </w:rPr>
        <w:t>. A Material Cybersecurity Incident occurs and (i) results in liability, costs, or expenses to the Loan Parties and their Subsidiaries in excess of $5,000,000 in the aggregate (to the extent not covered by independent third-party insurance as to which the insurer is rated at least “A” by A.M. Best, has been notified of the potential claim and does not dispute coverage), (ii) is not remediated or contained within sixty (60) days after discovery thereof, (iii) results in the termination or material modification of any Material Agreement by a counterparty thereto as a direct result of such incident, or (iv) results in the imposition of material fines, penalties, or sanctions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provisions of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if a Default shall have occurred under the Loan Documents, then such Default will continue to exist until it either is cured (to the extent specifically permitted) in accordance with the Loan Documents or is otherwise expressly waived by Administrative Agent (with the approval of requisite Appropriate Lenders (in their sole discretion)) as determined in accordance with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and once an Event of Default occurs under the Loan Documents, then such Event of Default will continue to exist until it is expressly waived by the requisite Appropriate Lenders or by the Administrative Agent with the approval of the requisite Appropriate Lenders, as required hereunder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8.02         </w:t>
      </w:r>
      <w:r>
        <w:rPr>
          <w:rFonts w:ascii="Times New Roman;Times;Serif" w:hAnsi="Times New Roman;Times;Serif"/>
          <w:b/>
          <w:i w:val="false"/>
          <w:caps w:val="false"/>
          <w:smallCaps w:val="false"/>
          <w:sz w:val="20"/>
          <w:u w:val="single"/>
        </w:rPr>
        <w:t>Remedies upon 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occurs and is continuing, the Administrative Agent shall, at the request of, or may, with the consent of, the Required Lenders, take any or all of the following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declare the Commitment of each Lender to make Loans and any obligation of the L/C Issuer to make L/C Credit Extensions to be terminated, whereupon such commitments and obligation shall be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require that the Borrower Cash Collateralize the L/C Obligations (in an amount equal to the Minimum Collateral Amount with respect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exercise on behalf of itself, the Lenders and the L/C Issuer all rights and remedies available to it, the Lenders and the L/C Issuer under the Loan Documents or Applicable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occurrence of an event described in </w:t>
      </w:r>
      <w:r>
        <w:rPr>
          <w:rFonts w:ascii="Times New Roman;Times;Serif" w:hAnsi="Times New Roman;Times;Serif"/>
          <w:b w:val="false"/>
          <w:i w:val="false"/>
          <w:caps w:val="false"/>
          <w:smallCaps w:val="false"/>
          <w:sz w:val="20"/>
          <w:u w:val="single"/>
        </w:rPr>
        <w:t>Section 8.01(f)</w:t>
      </w:r>
      <w:r>
        <w:rPr>
          <w:rFonts w:ascii="Times New Roman;Times;Serif" w:hAnsi="Times New Roman;Times;Serif"/>
          <w:b w:val="false"/>
          <w:i w:val="false"/>
          <w:caps w:val="false"/>
          <w:smallCaps w:val="false"/>
          <w:sz w:val="20"/>
        </w:rPr>
        <w:t> with respect to the Borrower, the Commitment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8.03        </w:t>
      </w:r>
      <w:r>
        <w:rPr>
          <w:rFonts w:ascii="Times New Roman;Times;Serif" w:hAnsi="Times New Roman;Times;Serif"/>
          <w:b/>
          <w:i w:val="false"/>
          <w:caps w:val="false"/>
          <w:smallCaps w:val="false"/>
          <w:sz w:val="20"/>
          <w:u w:val="single"/>
        </w:rPr>
        <w:t>Application of Funds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After the exercise of remedies provided for in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(or after the Loans have automatically become immediately due and payable and the L/C Obligations have automatically been required to be Cash Collateralized as set forth in the proviso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or if at any time insufficient funds are received by and available to the Administrative Agent to pay fully all Secured Obligations then due hereunder, any amounts received on account of the Secured Obligations shall, subject to the provisions of </w:t>
      </w:r>
      <w:r>
        <w:rPr>
          <w:rFonts w:ascii="Times New Roman;Times;Serif" w:hAnsi="Times New Roman;Times;Serif"/>
          <w:b w:val="false"/>
          <w:i w:val="false"/>
          <w:caps w:val="false"/>
          <w:smallCaps w:val="false"/>
          <w:sz w:val="20"/>
          <w:u w:val="single"/>
        </w:rPr>
        <w:t>Sections 2.14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2.15</w:t>
      </w:r>
      <w:r>
        <w:rPr>
          <w:rFonts w:ascii="Times New Roman;Times;Serif" w:hAnsi="Times New Roman;Times;Serif"/>
          <w:b w:val="false"/>
          <w:i w:val="false"/>
          <w:caps w:val="false"/>
          <w:smallCaps w:val="false"/>
          <w:sz w:val="20"/>
        </w:rPr>
        <w:t>, be applied by the Administrative Agent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First</w:t>
      </w:r>
      <w:r>
        <w:rPr>
          <w:rFonts w:ascii="Times New Roman;Times;Serif" w:hAnsi="Times New Roman;Times;Serif"/>
          <w:b w:val="false"/>
          <w:i w:val="false"/>
          <w:caps w:val="false"/>
          <w:smallCaps w:val="false"/>
          <w:sz w:val="20"/>
        </w:rPr>
        <w:t xml:space="preserve">, to payment of that portion of the Secured Obligations constituting fees, indemnities, expenses and other amounts (including fees, charges and disbursements of counsel to the Administrative Agent and amounts payable under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payable to the Administrative Agent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Second</w:t>
      </w:r>
      <w:r>
        <w:rPr>
          <w:rFonts w:ascii="Times New Roman;Times;Serif" w:hAnsi="Times New Roman;Times;Serif"/>
          <w:b w:val="false"/>
          <w:i w:val="false"/>
          <w:caps w:val="false"/>
          <w:smallCaps w:val="false"/>
          <w:sz w:val="20"/>
        </w:rPr>
        <w:t xml:space="preserve">, to payment of that portion of the Secured Obligations constituting fees, indemnities and other amounts (other than principal, interest and Letter of Credit Fees) payable to the Lenders and the L/C Issuer (including fees, charges and disbursements of counsel to the respective Lenders and the L/C Issuer (including fees and time charges for attorneys who may be employees of any Lender or the L/C Issuer)) arising under the Loan Documents and amounts payable under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ratably among them in proportion to the respective amounts described in this </w:t>
      </w:r>
      <w:r>
        <w:rPr>
          <w:rFonts w:ascii="Times New Roman;Times;Serif" w:hAnsi="Times New Roman;Times;Serif"/>
          <w:b w:val="false"/>
          <w:i/>
          <w:caps w:val="false"/>
          <w:smallCaps w:val="false"/>
          <w:sz w:val="20"/>
          <w:u w:val="single"/>
        </w:rPr>
        <w:t>Second</w:t>
      </w:r>
      <w:r>
        <w:rPr>
          <w:rFonts w:ascii="Times New Roman;Times;Serif" w:hAnsi="Times New Roman;Times;Serif"/>
          <w:b w:val="false"/>
          <w:i w:val="false"/>
          <w:caps w:val="false"/>
          <w:smallCaps w:val="false"/>
          <w:sz w:val="20"/>
        </w:rPr>
        <w:t xml:space="preserve"> clause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Third</w:t>
      </w:r>
      <w:r>
        <w:rPr>
          <w:rFonts w:ascii="Times New Roman;Times;Serif" w:hAnsi="Times New Roman;Times;Serif"/>
          <w:b w:val="false"/>
          <w:i w:val="false"/>
          <w:caps w:val="false"/>
          <w:smallCaps w:val="false"/>
          <w:sz w:val="20"/>
        </w:rPr>
        <w:t xml:space="preserve">, to payment of that portion of the Secured Obligations constituting accrued and unpaid Letter of Credit Fees and interest on the Loans, L/C Borrowings and other Secured Obligations arising under the Loan Documents, ratably among the Lenders and the L/C Issuer in proportion to the respective amounts described in this </w:t>
      </w:r>
      <w:r>
        <w:rPr>
          <w:rFonts w:ascii="Times New Roman;Times;Serif" w:hAnsi="Times New Roman;Times;Serif"/>
          <w:b w:val="false"/>
          <w:i/>
          <w:caps w:val="false"/>
          <w:smallCaps w:val="false"/>
          <w:sz w:val="20"/>
          <w:u w:val="single"/>
        </w:rPr>
        <w:t>Third</w:t>
      </w:r>
      <w:r>
        <w:rPr>
          <w:rFonts w:ascii="Times New Roman;Times;Serif" w:hAnsi="Times New Roman;Times;Serif"/>
          <w:b w:val="false"/>
          <w:i w:val="false"/>
          <w:caps w:val="false"/>
          <w:smallCaps w:val="false"/>
          <w:sz w:val="20"/>
        </w:rPr>
        <w:t xml:space="preserve"> clause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Fourth</w:t>
      </w:r>
      <w:r>
        <w:rPr>
          <w:rFonts w:ascii="Times New Roman;Times;Serif" w:hAnsi="Times New Roman;Times;Serif"/>
          <w:b w:val="false"/>
          <w:i w:val="false"/>
          <w:caps w:val="false"/>
          <w:smallCaps w:val="false"/>
          <w:sz w:val="20"/>
        </w:rPr>
        <w:t xml:space="preserve">, to payment of that portion of the Secured Obligations constituting unpaid principal of the Loans, L/C Borrowings and Secured Obligations then owing under Secured Hedge Agreements and Secured Cash Management Agreements and to the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Times New Roman;Times;Serif" w:hAnsi="Times New Roman;Times;Serif"/>
          <w:b w:val="false"/>
          <w:i w:val="false"/>
          <w:caps w:val="false"/>
          <w:smallCaps w:val="false"/>
          <w:sz w:val="20"/>
          <w:u w:val="single"/>
        </w:rPr>
        <w:t>Sections 2.03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in each case ratably among the Administrative Agent, the Lenders, the L/C Issuer, the Hedge Banks and the Cash Management Banks in proportion to the respective amounts described in this </w:t>
      </w:r>
      <w:r>
        <w:rPr>
          <w:rFonts w:ascii="Times New Roman;Times;Serif" w:hAnsi="Times New Roman;Times;Serif"/>
          <w:b w:val="false"/>
          <w:i/>
          <w:caps w:val="false"/>
          <w:smallCaps w:val="false"/>
          <w:sz w:val="20"/>
          <w:u w:val="single"/>
        </w:rPr>
        <w:t>Fourth</w:t>
      </w:r>
      <w:r>
        <w:rPr>
          <w:rFonts w:ascii="Times New Roman;Times;Serif" w:hAnsi="Times New Roman;Times;Serif"/>
          <w:b w:val="false"/>
          <w:i w:val="false"/>
          <w:caps w:val="false"/>
          <w:smallCaps w:val="false"/>
          <w:sz w:val="20"/>
        </w:rPr>
        <w:t xml:space="preserve"> clause held by them;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Last</w:t>
      </w:r>
      <w:r>
        <w:rPr>
          <w:rFonts w:ascii="Times New Roman;Times;Serif" w:hAnsi="Times New Roman;Times;Serif"/>
          <w:b w:val="false"/>
          <w:i w:val="false"/>
          <w:caps w:val="false"/>
          <w:smallCaps w:val="false"/>
          <w:sz w:val="20"/>
        </w:rPr>
        <w:t>, the balance, if any, after all of the Secured Obligations have been indefeasibly paid in full, to the Borrower or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Sections 2.03(c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2.14</w:t>
      </w:r>
      <w:r>
        <w:rPr>
          <w:rFonts w:ascii="Times New Roman;Times;Serif" w:hAnsi="Times New Roman;Times;Serif"/>
          <w:b w:val="false"/>
          <w:i w:val="false"/>
          <w:caps w:val="false"/>
          <w:smallCaps w:val="false"/>
          <w:sz w:val="20"/>
        </w:rPr>
        <w:t xml:space="preserve">, amounts used to Cash Collateralize the aggregate undrawn amount of Letters of Credit pursuant to the </w:t>
      </w:r>
      <w:r>
        <w:rPr>
          <w:rFonts w:ascii="Times New Roman;Times;Serif" w:hAnsi="Times New Roman;Times;Serif"/>
          <w:b w:val="false"/>
          <w:i/>
          <w:caps w:val="false"/>
          <w:smallCaps w:val="false"/>
          <w:sz w:val="20"/>
          <w:u w:val="single"/>
        </w:rPr>
        <w:t>Fourth</w:t>
      </w:r>
      <w:r>
        <w:rPr>
          <w:rFonts w:ascii="Times New Roman;Times;Serif" w:hAnsi="Times New Roman;Times;Serif"/>
          <w:b w:val="false"/>
          <w:i w:val="false"/>
          <w:caps w:val="false"/>
          <w:smallCaps w:val="false"/>
          <w:sz w:val="20"/>
        </w:rPr>
        <w:t xml:space="preserve"> clause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for itself and its Affiliates as if a “Lender”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9.01         </w:t>
      </w:r>
      <w:r>
        <w:rPr>
          <w:rFonts w:ascii="Times New Roman;Times;Serif" w:hAnsi="Times New Roman;Times;Serif"/>
          <w:b/>
          <w:i w:val="false"/>
          <w:caps w:val="false"/>
          <w:smallCaps w:val="false"/>
          <w:sz w:val="20"/>
          <w:u w:val="single"/>
        </w:rPr>
        <w:t>Appointment and Authority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Appointment</w:t>
      </w:r>
      <w:r>
        <w:rPr>
          <w:rFonts w:ascii="Times New Roman;Times;Serif" w:hAnsi="Times New Roman;Times;Serif"/>
          <w:b w:val="false"/>
          <w:i w:val="false"/>
          <w:caps w:val="false"/>
          <w:smallCaps w:val="false"/>
          <w:sz w:val="20"/>
        </w:rPr>
        <w:t xml:space="preserve">. Each of the Lenders and the L/C Issuer hereby irrevocably appoints, designates and authorizes MUFG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are solely for the benefit of the Administrative Agent, the Lenders and the L/C Issuer,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In addition, to the extent required under the laws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United States of America, each of the Lenders and Secured Parties hereby grants to the Administrative Agent any required powers of attorney to execute any Collateral Document or other Loan Document governed by the laws of such jurisdiction on such Lender’s or Secured Party’s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xml:space="preserve">. The Administrative Agent shall also act as the “collateral agent” under the Loan Documents, and each of the Lenders (including in its capacities as a potential Hedge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z w:val="20"/>
          <w:u w:val="single"/>
        </w:rPr>
        <w:t>Section 11.04(c</w:t>
      </w:r>
      <w:r>
        <w:rPr>
          <w:rFonts w:ascii="Times New Roman;Times;Serif" w:hAnsi="Times New Roman;Times;Serif"/>
          <w:b w:val="false"/>
          <w:i w:val="false"/>
          <w:caps w:val="false"/>
          <w:smallCaps w:val="false"/>
          <w:sz w:val="20"/>
        </w:rPr>
        <w:t>), as though such co-agents, sub-agents and attorneys-in-fact were the “collateral agent” under the Loan Documents) as if set forth in full herein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9.02        </w:t>
      </w:r>
      <w:r>
        <w:rPr>
          <w:rFonts w:ascii="Times New Roman;Times;Serif" w:hAnsi="Times New Roman;Times;Serif"/>
          <w:b/>
          <w:i w:val="false"/>
          <w:caps w:val="false"/>
          <w:smallCaps w:val="false"/>
          <w:sz w:val="20"/>
          <w:u w:val="single"/>
        </w:rPr>
        <w:t>Rights as a Lender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9.03        </w:t>
      </w:r>
      <w:r>
        <w:rPr>
          <w:rFonts w:ascii="Times New Roman;Times;Serif" w:hAnsi="Times New Roman;Times;Serif"/>
          <w:b/>
          <w:i w:val="false"/>
          <w:caps w:val="false"/>
          <w:smallCaps w:val="false"/>
          <w:sz w:val="20"/>
          <w:u w:val="single"/>
        </w:rPr>
        <w:t>Exculpatory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 and its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not be subject to any fiduciary or other implied duties, regardless of whether a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 or any of their Related Parties in any capacity, except for notices, reports and other documents expressly required to be furnished to the Lenders by the Administrative Agent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Times;Serif" w:hAnsi="Times New Roman;Times;Serif"/>
          <w:b w:val="false"/>
          <w:i w:val="false"/>
          <w:caps w:val="false"/>
          <w:smallCaps w:val="false"/>
          <w:sz w:val="20"/>
          <w:u w:val="single"/>
        </w:rPr>
        <w:t>Sections 11.01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8.02</w:t>
      </w:r>
      <w:r>
        <w:rPr>
          <w:rFonts w:ascii="Times New Roman;Times;Serif" w:hAnsi="Times New Roman;Times;Serif"/>
          <w:b w:val="false"/>
          <w:i w:val="false"/>
          <w:caps w:val="false"/>
          <w:smallCaps w:val="false"/>
          <w:sz w:val="20"/>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the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elsewhere herein, other than to confirm receipt of items expressly required to be delivered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9.04        </w:t>
      </w:r>
      <w:r>
        <w:rPr>
          <w:rFonts w:ascii="Times New Roman;Times;Serif" w:hAnsi="Times New Roman;Times;Serif"/>
          <w:b/>
          <w:i w:val="false"/>
          <w:caps w:val="false"/>
          <w:smallCaps w:val="false"/>
          <w:sz w:val="20"/>
          <w:u w:val="single"/>
        </w:rPr>
        <w:t>Reliance by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9.05        </w:t>
      </w:r>
      <w:r>
        <w:rPr>
          <w:rFonts w:ascii="Times New Roman;Times;Serif" w:hAnsi="Times New Roman;Times;Serif"/>
          <w:b/>
          <w:i w:val="false"/>
          <w:caps w:val="false"/>
          <w:smallCaps w:val="false"/>
          <w:sz w:val="20"/>
          <w:u w:val="single"/>
        </w:rPr>
        <w:t>Delegation of Duties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9.06        </w:t>
      </w:r>
      <w:r>
        <w:rPr>
          <w:rFonts w:ascii="Times New Roman;Times;Serif" w:hAnsi="Times New Roman;Times;Serif"/>
          <w:b/>
          <w:i w:val="false"/>
          <w:caps w:val="false"/>
          <w:smallCaps w:val="false"/>
          <w:sz w:val="20"/>
          <w:u w:val="single"/>
        </w:rPr>
        <w:t>Resignation of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Times;Serif" w:hAnsi="Times New Roman;Times;Serif"/>
          <w:b w:val="false"/>
          <w:i/>
          <w:caps w:val="false"/>
          <w:smallCaps w:val="false"/>
          <w:sz w:val="20"/>
          <w:u w:val="single"/>
        </w:rPr>
        <w:t>Resignation Effective Date</w:t>
      </w:r>
      <w:r>
        <w:rPr>
          <w:rFonts w:ascii="Times New Roman;Times;Serif" w:hAnsi="Times New Roman;Times;Serif"/>
          <w:b w:val="false"/>
          <w:i w:val="false"/>
          <w:caps w:val="false"/>
          <w:smallCaps w:val="false"/>
          <w:sz w:val="20"/>
        </w:rPr>
        <w:t xml:space="preserve">”), then the retiring Administrative Agent may (but shall not be obligated to) on behalf of the Lenders and the L/C Issuer, appoint a successor Administrative Agent meeting the qualifications set forth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any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Effect of Resignation or Removal</w:t>
      </w:r>
      <w:r>
        <w:rPr>
          <w:rFonts w:ascii="Times New Roman;Times;Serif" w:hAnsi="Times New Roman;Times;Serif"/>
          <w:b w:val="false"/>
          <w:i w:val="false"/>
          <w:caps w:val="false"/>
          <w:smallCaps w:val="false"/>
          <w:sz w:val="20"/>
        </w:rPr>
        <w:t xml:space="preserve">. With effect from the Resignation Effective Date (i)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(ii) except for any indemnity payments or other amounts then owed to the retiring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as provided in </w:t>
      </w:r>
      <w:r>
        <w:rPr>
          <w:rFonts w:ascii="Times New Roman;Times;Serif" w:hAnsi="Times New Roman;Times;Serif"/>
          <w:b w:val="false"/>
          <w:i w:val="false"/>
          <w:caps w:val="false"/>
          <w:smallCaps w:val="false"/>
          <w:sz w:val="20"/>
          <w:u w:val="single"/>
        </w:rPr>
        <w:t>Section 3.01(g</w:t>
      </w:r>
      <w:r>
        <w:rPr>
          <w:rFonts w:ascii="Times New Roman;Times;Serif" w:hAnsi="Times New Roman;Times;Serif"/>
          <w:b w:val="false"/>
          <w:i w:val="false"/>
          <w:caps w:val="false"/>
          <w:smallCaps w:val="false"/>
          <w:sz w:val="20"/>
        </w:rPr>
        <w:t>) and other than any rights to indemnity payments or other amounts owed to the retiring Administrative Agent as of the Resignation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retiring Administrative Agent shall be discharged from all of its duties and obligations hereunder or under the other Loan Documents (if not already discharged therefrom as provided above in this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shall continue in effect for the benefit of such retiring Administrative Agent, its sub-agents and their respective Related Parties in respect of any actions taken or omitted to be taken by any of them (A) while the retiring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L/C Issuer and Swingline Lender</w:t>
      </w:r>
      <w:r>
        <w:rPr>
          <w:rFonts w:ascii="Times New Roman;Times;Serif" w:hAnsi="Times New Roman;Times;Serif"/>
          <w:b w:val="false"/>
          <w:i w:val="false"/>
          <w:caps w:val="false"/>
          <w:smallCaps w:val="false"/>
          <w:sz w:val="20"/>
        </w:rPr>
        <w:t xml:space="preserve">. Any resignation or removal by MUFG as Administrative Agent pursuant to this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shall also constitute its resignation as L/C Issuer and Swingline Lender. If MUFG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xml:space="preserve">). If MUFG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Times;Serif" w:hAnsi="Times New Roman;Times;Serif"/>
          <w:b w:val="false"/>
          <w:i w:val="false"/>
          <w:caps w:val="false"/>
          <w:smallCaps w:val="false"/>
          <w:sz w:val="20"/>
          <w:u w:val="single"/>
        </w:rPr>
        <w:t>Section 2.04(c</w:t>
      </w:r>
      <w:r>
        <w:rPr>
          <w:rFonts w:ascii="Times New Roman;Times;Serif" w:hAnsi="Times New Roman;Times;Serif"/>
          <w:b w:val="false"/>
          <w:i w:val="false"/>
          <w:caps w:val="false"/>
          <w:smallCaps w:val="false"/>
          <w:sz w:val="20"/>
        </w:rPr>
        <w:t>).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MUFG to effectively assume the obligations of MUFG with respect to such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9.07         </w:t>
      </w:r>
      <w:r>
        <w:rPr>
          <w:rFonts w:ascii="Times New Roman;Times;Serif" w:hAnsi="Times New Roman;Times;Serif"/>
          <w:b/>
          <w:i w:val="false"/>
          <w:caps w:val="false"/>
          <w:smallCaps w:val="false"/>
          <w:sz w:val="20"/>
          <w:u w:val="single"/>
        </w:rPr>
        <w:t>Non-Reliance on Administrative Agent, the Arranger and the Other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and the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or any Affiliate thereof, shall be deemed to constitute any representation or warranty by the Administrative Agent or the Arranger to any Lender or the L/C Issuer as to any matter, including whether the Administrative Agent or the Arranger have disclosed material information in their (or their Related Parties’) possession. Each Lender and the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the Arranger, any other Lender or any of their Related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w:t>
      </w:r>
      <w:r>
        <w:rPr>
          <w:rFonts w:ascii="Times New Roman;Times;Serif" w:hAnsi="Times New Roman;Times;Serif"/>
          <w:b/>
          <w:i w:val="false"/>
          <w:caps w:val="false"/>
          <w:smallCaps w:val="false"/>
          <w:sz w:val="20"/>
        </w:rPr>
        <w:t>L</w:t>
      </w:r>
      <w:r>
        <w:rPr>
          <w:rFonts w:ascii="Times New Roman;Times;Serif" w:hAnsi="Times New Roman;Times;Serif"/>
          <w:b w:val="false"/>
          <w:i w:val="false"/>
          <w:caps w:val="false"/>
          <w:smallCaps w:val="false"/>
          <w:sz w:val="20"/>
        </w:rPr>
        <w:t>/C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9.08         </w:t>
      </w:r>
      <w:r>
        <w:rPr>
          <w:rFonts w:ascii="Times New Roman;Times;Serif" w:hAnsi="Times New Roman;Times;Serif"/>
          <w:b/>
          <w:i w:val="false"/>
          <w:caps w:val="false"/>
          <w:smallCaps w:val="false"/>
          <w:sz w:val="20"/>
          <w:u w:val="single"/>
        </w:rPr>
        <w:t>No Other Duties,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herein to the contrary notwithstanding, none of the titles listed on the cover page hereof shall have any powers, duties or responsibilities under this Agreement or any of the other Loan Documents, except in its capacity, as applicable, as the Administrative Agent, the Arranger, a Lender or the L/C Issuer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9.09         </w:t>
      </w:r>
      <w:r>
        <w:rPr>
          <w:rFonts w:ascii="Times New Roman;Times;Serif" w:hAnsi="Times New Roman;Times;Serif"/>
          <w:b/>
          <w:i w:val="false"/>
          <w:caps w:val="false"/>
          <w:smallCaps w:val="false"/>
          <w:sz w:val="20"/>
          <w:u w:val="single"/>
        </w:rPr>
        <w:t>Administrative Agent May File Proofs of Claim; Credit Bidding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Times;Serif" w:hAnsi="Times New Roman;Times;Serif"/>
          <w:b w:val="false"/>
          <w:i w:val="false"/>
          <w:caps w:val="false"/>
          <w:smallCaps w:val="false"/>
          <w:sz w:val="20"/>
          <w:u w:val="single"/>
        </w:rPr>
        <w:t>Sections 2.03(h</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2.10(b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11.04</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Administrative Agent any amount due for the reasonable compensation, expenses, disbursements and advances of the Administrative Agent and its agents and counsel, and any other amounts due the Administrative Agent under </w:t>
      </w:r>
      <w:r>
        <w:rPr>
          <w:rFonts w:ascii="Times New Roman;Times;Serif" w:hAnsi="Times New Roman;Times;Serif"/>
          <w:b w:val="false"/>
          <w:i w:val="false"/>
          <w:caps w:val="false"/>
          <w:smallCaps w:val="false"/>
          <w:sz w:val="20"/>
          <w:u w:val="single"/>
        </w:rPr>
        <w:t>Sections 2.09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2.10(b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Nothing contained herein shall be deemed to authorize the Administrative Agent to authorize or consent to or accept or adopt on behalf of any Lender or the L/C Issuer any plan of reorganization, arrangement, adjustment or composition affecting the Secured Obligations or the rights of any Lender or the L/C Issuer to authorize the Administrative Agent to vote in respect of the claim of any Lender or the L/C Issuer or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Sections 363, 1123 or 1129 of the Bankruptcy Code of the United States,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and (C)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pro rata and the Equity Interests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        </w:t>
      </w:r>
      <w:r>
        <w:rPr>
          <w:rFonts w:ascii="Times New Roman;Times;Serif" w:hAnsi="Times New Roman;Times;Serif"/>
          <w:b/>
          <w:i w:val="false"/>
          <w:caps w:val="false"/>
          <w:smallCaps w:val="false"/>
          <w:sz w:val="20"/>
          <w:u w:val="single"/>
        </w:rPr>
        <w:t>Collateral and Guaranty Matters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Lenders (including in its capacities as a potential Cash Management Bank and a potential Hedge Bank) and the L/C Issuer irrevocably authorize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release any Lien on any property granted to or held by the Administrative Agent under any Loan Document (A) upon the Facility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that is sold or otherwise disposed of or to be sold or otherwise disposed of as part of or in connection with any sale or other disposition permitted hereunder or under any other Loan Document, or (C) if approved, authorized or ratified in writing by the requisite Lenders in accordance with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subordinate any Lien on any property granted to or held by the Administrative Agent under any Loan Document to the holder of any Lien on such property that is permitted by </w:t>
      </w:r>
      <w:r>
        <w:rPr>
          <w:rFonts w:ascii="Times New Roman;Times;Serif" w:hAnsi="Times New Roman;Times;Serif"/>
          <w:b w:val="false"/>
          <w:i w:val="false"/>
          <w:caps w:val="false"/>
          <w:smallCaps w:val="false"/>
          <w:sz w:val="20"/>
          <w:u w:val="single"/>
        </w:rPr>
        <w:t>Section 7.01(i</w:t>
      </w:r>
      <w:r>
        <w:rPr>
          <w:rFonts w:ascii="Times New Roman;Times;Serif" w:hAnsi="Times New Roman;Times;Serif"/>
          <w:b w:val="false"/>
          <w:i w:val="false"/>
          <w:caps w:val="false"/>
          <w:smallCaps w:val="false"/>
          <w:sz w:val="20"/>
        </w:rPr>
        <w:t>) (as such section is in effect on the Closing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release any Guarantor from its obligations under the Guaranty if such Person ceases to be a Subsidiary as a result of a transaction permitted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In each case as specified in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9.11        </w:t>
      </w:r>
      <w:r>
        <w:rPr>
          <w:rFonts w:ascii="Times New Roman;Times;Serif" w:hAnsi="Times New Roman;Times;Serif"/>
          <w:b/>
          <w:i w:val="false"/>
          <w:caps w:val="false"/>
          <w:smallCaps w:val="false"/>
          <w:sz w:val="20"/>
          <w:u w:val="single"/>
        </w:rPr>
        <w:t>Secured Cash Management Agreements and Secured Hedge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expressly set forth herein or in the Guaranty or any Collateral Document, no Cash Management Bank or Hedge Bank that obtains the benefit of the provisions of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to the contrary, the Administrative Agent shall not be required to verify the payment of, or that other satisfactory arrangements have been made with respect to, Secured Obligations arising under Secured Cash Management Agreements and Secured Hedge Agreements except to the extent expressly provided herein and unless the Administrative Agent has received a Secured Party Designation Notice of such Secured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Secured Obligations arising under Secured Cash Management Agreements and Secured Hedge Agreements in the case of a Facility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9.12            </w:t>
      </w:r>
      <w:r>
        <w:rPr>
          <w:rFonts w:ascii="Times New Roman;Times;Serif" w:hAnsi="Times New Roman;Times;Serif"/>
          <w:b/>
          <w:i w:val="false"/>
          <w:caps w:val="false"/>
          <w:smallCaps w:val="false"/>
          <w:sz w:val="20"/>
          <w:u w:val="single"/>
        </w:rPr>
        <w:t>Certain ERISA Matters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unless </w:t>
      </w:r>
      <w:r>
        <w:rPr>
          <w:rFonts w:ascii="Times New Roman;Times;Serif" w:hAnsi="Times New Roman;Times;Serif"/>
          <w:b w:val="false"/>
          <w:i w:val="false"/>
          <w:caps w:val="false"/>
          <w:smallCaps w:val="false"/>
          <w:sz w:val="20"/>
          <w:u w:val="single"/>
        </w:rPr>
        <w:t>sub-clause (i</w:t>
      </w:r>
      <w:r>
        <w:rPr>
          <w:rFonts w:ascii="Times New Roman;Times;Serif" w:hAnsi="Times New Roman;Times;Serif"/>
          <w:b w:val="false"/>
          <w:i w:val="false"/>
          <w:caps w:val="false"/>
          <w:smallCaps w:val="false"/>
          <w:sz w:val="20"/>
        </w:rPr>
        <w:t xml:space="preserve">) in the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is true with respect to a Lender,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9.13        </w:t>
      </w:r>
      <w:r>
        <w:rPr>
          <w:rFonts w:ascii="Times New Roman;Times;Serif" w:hAnsi="Times New Roman;Times;Serif"/>
          <w:b/>
          <w:i w:val="false"/>
          <w:caps w:val="false"/>
          <w:smallCaps w:val="false"/>
          <w:sz w:val="20"/>
          <w:u w:val="single"/>
        </w:rPr>
        <w:t>Recovery of Erroneous Payments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Administrative Agent notifies a Lender, L/C Issuer or other Secured Party, or any Person who has received funds on behalf of a Lender, L/C Issuer or other Secured Party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Lender, L/C Issuer, Secured Party or other recipient, a “</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xml:space="preserve">”) that the Administrative Agent has determined in its sole discretion (whether or not after receipt of any notice under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of this Section) that any funds received by such Payment Recipient from the Administrative Agent or any of its Affiliates were erroneously transmitted to, or otherwise erroneously or mistakenly received by, such Payment Recipient (whether or not known to such Lender, L/C Issuer, Secured Party or other Payment Recipient on its behalf) (any such funds, whether received as a payment, prepayment or repayment of principal, interest, fees, distribution or otherwise, individually and collectively, an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L/C Issuer or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immediately available funds, together with interest thereon in respect of each day from and including the date such Erroneous Payment (or portion thereof) was received by such Payment Recipient to the date such amount is repaid to the Administrative Agent in immediately available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Payment Recipient otherwise becomes aware was transmitted, or received, in error or by mistake (in whole or in part) in each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in the case of immediately preceding </w:t>
      </w:r>
      <w:r>
        <w:rPr>
          <w:rFonts w:ascii="Times New Roman;Times;Serif" w:hAnsi="Times New Roman;Times;Serif"/>
          <w:b w:val="false"/>
          <w:i w:val="false"/>
          <w:caps w:val="false"/>
          <w:smallCaps w:val="false"/>
          <w:sz w:val="20"/>
          <w:u w:val="single"/>
        </w:rPr>
        <w:t>clauses (x)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an error shall be presumed to have been made (absent written confirmation from the Administrative Agent to the contrary) or (B) an error has been made (in the case of immediately preceding </w:t>
      </w:r>
      <w:r>
        <w:rPr>
          <w:rFonts w:ascii="Times New Roman;Times;Serif" w:hAnsi="Times New Roman;Times;Serif"/>
          <w:b w:val="false"/>
          <w:i w:val="false"/>
          <w:caps w:val="false"/>
          <w:smallCaps w:val="false"/>
          <w:sz w:val="20"/>
          <w:u w:val="single"/>
        </w:rPr>
        <w:t>clause (z)</w:t>
      </w:r>
      <w:r>
        <w:rPr>
          <w:rFonts w:ascii="Times New Roman;Times;Serif" w:hAnsi="Times New Roman;Times;Serif"/>
          <w:b w:val="false"/>
          <w:i w:val="false"/>
          <w:caps w:val="false"/>
          <w:smallCaps w:val="false"/>
          <w:sz w:val="20"/>
        </w:rPr>
        <w:t>), in each case, with respect to such payment, prepayment or repayment;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such Payment Recipient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clause (b) of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Lender, L/C Issuer or other Secured Party hereby authorizes the Administrative Agent to set off, net and apply any and all amounts at any time owing to such Lender, L/C Issuer or other Secured Party under any Loan Document, or otherwise payable or distributable by the Administrative Agent to such Lender, L/C Issuer or other Secured Party under any Loan Document, against any amount due to the Administrative Agent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xml:space="preserve"> or under the indemnification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an Erroneous Payment (or portion thereof) is not recovered by the Administrative Agent for any reason, after demand therefor by the Administrative Agent in accordance with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of this Section, from any Lender or L/C Issuer that has received such Erroneous Payment (or portion thereof) (and/or from any Payment Recipient who received such Erroneous Payment (or portion thereof) on its respective behalf) (such unrecovered amount, an “</w:t>
      </w:r>
      <w:r>
        <w:rPr>
          <w:rFonts w:ascii="Times New Roman;Times;Serif" w:hAnsi="Times New Roman;Times;Serif"/>
          <w:b w:val="false"/>
          <w:i w:val="false"/>
          <w:caps w:val="false"/>
          <w:smallCaps w:val="false"/>
          <w:sz w:val="20"/>
          <w:u w:val="single"/>
        </w:rPr>
        <w:t>Erroneous Payment Return Deficiency</w:t>
      </w:r>
      <w:r>
        <w:rPr>
          <w:rFonts w:ascii="Times New Roman;Times;Serif" w:hAnsi="Times New Roman;Times;Serif"/>
          <w:b w:val="false"/>
          <w:i w:val="false"/>
          <w:caps w:val="false"/>
          <w:smallCaps w:val="false"/>
          <w:sz w:val="20"/>
        </w:rPr>
        <w:t>”), upon the Administrative Agent’s notice to such Lender or L/C Issuer at any time, (i) such Lender or L/C Issuer shall be deemed to have assigned its Loans (but not its Commitments) with respect to which such Erroneous Payment was made (the “</w:t>
      </w:r>
      <w:r>
        <w:rPr>
          <w:rFonts w:ascii="Times New Roman;Times;Serif" w:hAnsi="Times New Roman;Times;Serif"/>
          <w:b w:val="false"/>
          <w:i w:val="false"/>
          <w:caps w:val="false"/>
          <w:smallCaps w:val="false"/>
          <w:sz w:val="20"/>
          <w:u w:val="single"/>
        </w:rPr>
        <w:t>Erroneous Payment Impacted Class</w:t>
      </w:r>
      <w:r>
        <w:rPr>
          <w:rFonts w:ascii="Times New Roman;Times;Serif" w:hAnsi="Times New Roman;Times;Serif"/>
          <w:b w:val="false"/>
          <w:i w:val="false"/>
          <w:caps w:val="false"/>
          <w:smallCaps w:val="false"/>
          <w:sz w:val="20"/>
        </w:rPr>
        <w:t>”) in an amount equal to the Erroneous Payment Return Deficiency (or such lesser amount as the Administrative Agent may specify) (such assignment of the Loans (but not Commitments) of the Erroneous Payment Impacted Class, the “</w:t>
      </w:r>
      <w:r>
        <w:rPr>
          <w:rFonts w:ascii="Times New Roman;Times;Serif" w:hAnsi="Times New Roman;Times;Serif"/>
          <w:b w:val="false"/>
          <w:i w:val="false"/>
          <w:caps w:val="false"/>
          <w:smallCaps w:val="false"/>
          <w:sz w:val="20"/>
          <w:u w:val="single"/>
        </w:rPr>
        <w:t>Erroneous Payment Deficiency Assignment</w:t>
      </w:r>
      <w:r>
        <w:rPr>
          <w:rFonts w:ascii="Times New Roman;Times;Serif" w:hAnsi="Times New Roman;Times;Serif"/>
          <w:b w:val="false"/>
          <w:i w:val="false"/>
          <w:caps w:val="false"/>
          <w:smallCaps w:val="false"/>
          <w:sz w:val="20"/>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or L/C Issuer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L/C Issuer, as applicable, hereunder with respect to such Erroneous Payment Deficiency Assignment and the assigning Lender or assigning L/C Issuer shall cease to be a Lender or L/C Issuer,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L/C Issuer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L/C Issuer shall be reduced by the net proceeds of the sale of such Loan (or portion thereof), and the Administrative Agent shall retain all other rights, remedies and claims against such Lender or L/C Issuer (and/or against any recipient that receives funds on its respective behalf). For the avoidance of doubt, no Erroneous Payment Deficiency Assignment will reduce the Commitments of any Lender or L/C Issuer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L/C Issuer or other Secured Party under the Loan Documents with respect to each Erroneous Payment Return Deficiency (the “</w:t>
      </w:r>
      <w:r>
        <w:rPr>
          <w:rFonts w:ascii="Times New Roman;Times;Serif" w:hAnsi="Times New Roman;Times;Serif"/>
          <w:b w:val="false"/>
          <w:i w:val="false"/>
          <w:caps w:val="false"/>
          <w:smallCaps w:val="false"/>
          <w:sz w:val="20"/>
          <w:u w:val="single"/>
        </w:rPr>
        <w:t>Erroneous Payment Subrogation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permitted by applicable law, no Payment Recipient shall assert any right or claim to an Erroneous Payment, and hereby waives, and is deemed to waive, any claim, counterclaim, defense or right of set-off or recoupment with respect to any demand, claim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counterclaim by the Administrative Agent for the return of any Erroneous Payment received, including without limitation waiver of any defense based on “discharge for value” or any similar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party’s obligations, agreements and waivers under this </w:t>
      </w:r>
      <w:r>
        <w:rPr>
          <w:rFonts w:ascii="Times New Roman;Times;Serif" w:hAnsi="Times New Roman;Times;Serif"/>
          <w:b w:val="false"/>
          <w:i w:val="false"/>
          <w:caps w:val="false"/>
          <w:smallCaps w:val="false"/>
          <w:sz w:val="20"/>
          <w:u w:val="single"/>
        </w:rPr>
        <w:t>Section 9.13</w:t>
      </w:r>
      <w:r>
        <w:rPr>
          <w:rFonts w:ascii="Times New Roman;Times;Serif" w:hAnsi="Times New Roman;Times;Serif"/>
          <w:b w:val="false"/>
          <w:i w:val="false"/>
          <w:caps w:val="false"/>
          <w:smallCaps w:val="false"/>
          <w:sz w:val="20"/>
        </w:rPr>
        <w:t xml:space="preserve"> shall survive the resignation or replacement of the Administrative Agent, any transfer of rights or obligations by, or the replacement of, a Lender or L/C Issuer, the termination of the Commitments and/or the repayment, satisfaction or discharge of all Obligations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CONTINUING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10.01      </w:t>
      </w:r>
      <w:r>
        <w:rPr>
          <w:rFonts w:ascii="Times New Roman;Times;Serif" w:hAnsi="Times New Roman;Times;Serif"/>
          <w:b/>
          <w:i w:val="false"/>
          <w:caps w:val="false"/>
          <w:smallCaps w:val="false"/>
          <w:sz w:val="20"/>
          <w:u w:val="single"/>
        </w:rPr>
        <w:t>Guaranty</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 Guarantor, subject to the proviso in this sentence, its “</w:t>
      </w:r>
      <w:r>
        <w:rPr>
          <w:rFonts w:ascii="Times New Roman;Times;Serif" w:hAnsi="Times New Roman;Times;Serif"/>
          <w:b w:val="false"/>
          <w:i/>
          <w:caps w:val="false"/>
          <w:smallCaps w:val="false"/>
          <w:sz w:val="20"/>
          <w:u w:val="single"/>
        </w:rPr>
        <w:t>Guaranteed 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Guaranteed Obligations of a Guarantor shall exclude any Excluded Swap Obligations with respect to such Guarantor and (ii)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Secured Obligations.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or all of the Guaranteed Obligations are not duly paid by the Borrower and are not recoverable under </w:t>
      </w:r>
      <w:r>
        <w:rPr>
          <w:rFonts w:ascii="Times New Roman;Times;Serif" w:hAnsi="Times New Roman;Times;Serif"/>
          <w:b w:val="false"/>
          <w:i w:val="false"/>
          <w:caps w:val="false"/>
          <w:smallCaps w:val="false"/>
          <w:sz w:val="20"/>
          <w:u w:val="single"/>
        </w:rPr>
        <w:t>Section 10.01(a)</w:t>
      </w:r>
      <w:r>
        <w:rPr>
          <w:rFonts w:ascii="Times New Roman;Times;Serif" w:hAnsi="Times New Roman;Times;Serif"/>
          <w:b w:val="false"/>
          <w:i w:val="false"/>
          <w:caps w:val="false"/>
          <w:smallCaps w:val="false"/>
          <w:sz w:val="20"/>
        </w:rPr>
        <w:t xml:space="preserve"> or the Lender Parties are not indemnified under </w:t>
      </w:r>
      <w:r>
        <w:rPr>
          <w:rFonts w:ascii="Times New Roman;Times;Serif" w:hAnsi="Times New Roman;Times;Serif"/>
          <w:b w:val="false"/>
          <w:i w:val="false"/>
          <w:caps w:val="false"/>
          <w:smallCaps w:val="false"/>
          <w:sz w:val="20"/>
          <w:u w:val="single"/>
        </w:rPr>
        <w:t>Section 10.01(b)</w:t>
      </w:r>
      <w:r>
        <w:rPr>
          <w:rFonts w:ascii="Times New Roman;Times;Serif" w:hAnsi="Times New Roman;Times;Serif"/>
          <w:b w:val="false"/>
          <w:i w:val="false"/>
          <w:caps w:val="false"/>
          <w:smallCaps w:val="false"/>
          <w:sz w:val="20"/>
        </w:rPr>
        <w:t>, in each case, for any reason whatsoever, then such Guaranteed Obligations will, as a separate and distinct obligation, be recoverable from each Guarantor as primary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10.02      </w:t>
      </w:r>
      <w:r>
        <w:rPr>
          <w:rFonts w:ascii="Times New Roman;Times;Serif" w:hAnsi="Times New Roman;Times;Serif"/>
          <w:b/>
          <w:i w:val="false"/>
          <w:caps w:val="false"/>
          <w:smallCaps w:val="false"/>
          <w:sz w:val="20"/>
          <w:u w:val="single"/>
        </w:rPr>
        <w:t>Rights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 and the Lenders in their sole discretion may determine; and (d) release or substitute 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10.03      </w:t>
      </w:r>
      <w:r>
        <w:rPr>
          <w:rFonts w:ascii="Times New Roman;Times;Serif" w:hAnsi="Times New Roman;Times;Serif"/>
          <w:b/>
          <w:i w:val="false"/>
          <w:caps w:val="false"/>
          <w:smallCaps w:val="false"/>
          <w:sz w:val="20"/>
          <w:u w:val="single"/>
        </w:rPr>
        <w:t>Certain Waivers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waives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10.04      </w:t>
      </w:r>
      <w:r>
        <w:rPr>
          <w:rFonts w:ascii="Times New Roman;Times;Serif" w:hAnsi="Times New Roman;Times;Serif"/>
          <w:b/>
          <w:i w:val="false"/>
          <w:caps w:val="false"/>
          <w:smallCaps w:val="false"/>
          <w:sz w:val="20"/>
          <w:u w:val="single"/>
        </w:rPr>
        <w:t>Obligations Independent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10.05      </w:t>
      </w:r>
      <w:r>
        <w:rPr>
          <w:rFonts w:ascii="Times New Roman;Times;Serif" w:hAnsi="Times New Roman;Times;Serif"/>
          <w:b/>
          <w:i w:val="false"/>
          <w:caps w:val="false"/>
          <w:smallCaps w:val="false"/>
          <w:sz w:val="20"/>
          <w:u w:val="single"/>
        </w:rPr>
        <w:t>Subrogation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(other than contingent indemnification obligations) and the Commitments and Facilities are terminated.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10.06      </w:t>
      </w:r>
      <w:r>
        <w:rPr>
          <w:rFonts w:ascii="Times New Roman;Times;Serif" w:hAnsi="Times New Roman;Times;Serif"/>
          <w:b/>
          <w:i w:val="false"/>
          <w:caps w:val="false"/>
          <w:smallCaps w:val="false"/>
          <w:sz w:val="20"/>
          <w:u w:val="single"/>
        </w:rPr>
        <w:t>Termination; Reinstatement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xml:space="preserve"> shall survive termination of this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10.07      </w:t>
      </w:r>
      <w:r>
        <w:rPr>
          <w:rFonts w:ascii="Times New Roman;Times;Serif" w:hAnsi="Times New Roman;Times;Serif"/>
          <w:b/>
          <w:i w:val="false"/>
          <w:caps w:val="false"/>
          <w:smallCaps w:val="false"/>
          <w:sz w:val="20"/>
          <w:u w:val="single"/>
        </w:rPr>
        <w:t>Stay of Acceleration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10.08      </w:t>
      </w:r>
      <w:r>
        <w:rPr>
          <w:rFonts w:ascii="Times New Roman;Times;Serif" w:hAnsi="Times New Roman;Times;Serif"/>
          <w:b/>
          <w:i w:val="false"/>
          <w:caps w:val="false"/>
          <w:smallCaps w:val="false"/>
          <w:sz w:val="20"/>
          <w:u w:val="single"/>
        </w:rPr>
        <w:t>Condition of Borrower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10.09      </w:t>
      </w:r>
      <w:r>
        <w:rPr>
          <w:rFonts w:ascii="Times New Roman;Times;Serif" w:hAnsi="Times New Roman;Times;Serif"/>
          <w:b/>
          <w:i w:val="false"/>
          <w:caps w:val="false"/>
          <w:smallCaps w:val="false"/>
          <w:sz w:val="20"/>
          <w:u w:val="single"/>
        </w:rPr>
        <w:t>Appointment of Borrower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10.10      </w:t>
      </w:r>
      <w:r>
        <w:rPr>
          <w:rFonts w:ascii="Times New Roman;Times;Serif" w:hAnsi="Times New Roman;Times;Serif"/>
          <w:b/>
          <w:i w:val="false"/>
          <w:caps w:val="false"/>
          <w:smallCaps w:val="false"/>
          <w:sz w:val="20"/>
          <w:u w:val="single"/>
        </w:rPr>
        <w:t>Right of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agree among themselves that, in connection with payments made hereunder, each Guarantor shall have contribution rights against the other Guarantors as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      </w:t>
      </w:r>
      <w:r>
        <w:rPr>
          <w:rFonts w:ascii="Times New Roman;Times;Serif" w:hAnsi="Times New Roman;Times;Serif"/>
          <w:b/>
          <w:i w:val="false"/>
          <w:caps w:val="false"/>
          <w:smallCaps w:val="false"/>
          <w:sz w:val="20"/>
          <w:u w:val="single"/>
        </w:rPr>
        <w:t>Keepwell</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undertakings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voidable under Applicable Law relating to fraudulent conveyance or fraudulent transfer, and not for any greater amount). The obligations and undertakings of each Qualified ECP Guarantor under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shall remain in full force and effect until the Secured Obligations have been indefeasibly paid and performed in full (other than contingent indemnification obligations). Each Loan Party intends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to constitute, and this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shall be deemed to constitute, a guarantee of the obligations of, and a “keepwell, support, or other agreement” for the benefit of, each Specified Loan Party for all purposes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11.01      </w:t>
      </w:r>
      <w:r>
        <w:rPr>
          <w:rFonts w:ascii="Times New Roman;Times;Serif" w:hAnsi="Times New Roman;Times;Serif"/>
          <w:b/>
          <w:i w:val="false"/>
          <w:caps w:val="false"/>
          <w:smallCaps w:val="false"/>
          <w:sz w:val="20"/>
          <w:u w:val="single"/>
        </w:rPr>
        <w:t>Amendments,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and the last paragraph of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amendment, waiver or consent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waive any condition set forth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or, in the case of the initial Credit Extension,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without the written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extend or increase the Commitment of any Lender (or reinstate any Commitment terminated pursuant to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without the written consent of such Lender (it being understood and agreed that a waiver of any condition precedent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or of any Default or a mandatory reduction in Commitments is not considered an extension or increase in Commitments of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postpone any date fixed by this Agreement or any other Loan Document for any payment (excluding mandatory prepayments) of principal, interest, fees or other amounts due to the Lenders (or any of them) or reduce the amount of, waive or excuse any such payment hereunder or under such other Loan Document without the written consent of each Lender entitled to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reduce the principal of, or the rate of interest specified herein on, any Loan or L/C Borrowing, or (subject to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of the second proviso to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any fees or other amounts payable hereunder or under any other Loan Document, without the written consent of each Lender entitled to such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only the consent of the Required Lenders shall be necessary (i) to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change (i)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in a manner that would have the effect of altering the ratable reduction of Commitments, pro rata payments or pro rata sharing of payments (or, in the case of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the order of application of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hereunder without the written consent of each Lender, (ii) </w:t>
      </w:r>
      <w:r>
        <w:rPr>
          <w:rFonts w:ascii="Times New Roman;Times;Serif" w:hAnsi="Times New Roman;Times;Serif"/>
          <w:b w:val="false"/>
          <w:i w:val="false"/>
          <w:caps w:val="false"/>
          <w:smallCaps w:val="false"/>
          <w:sz w:val="20"/>
          <w:u w:val="single"/>
        </w:rPr>
        <w:t>Section 2.12(f</w:t>
      </w:r>
      <w:r>
        <w:rPr>
          <w:rFonts w:ascii="Times New Roman;Times;Serif" w:hAnsi="Times New Roman;Times;Serif"/>
          <w:b w:val="false"/>
          <w:i w:val="false"/>
          <w:caps w:val="false"/>
          <w:smallCaps w:val="false"/>
          <w:sz w:val="20"/>
        </w:rPr>
        <w:t>) in a manner that would alter the pro rata application required thereby without the written consent of each Lender directly affected thereby, (iii) subordinate, or have the effect of subordinating, the Obligations hereunder to any other Indebtedness or other obligation, in each case, without the written consent of each Lender or (iv) subordinate or have the effect of subordinating, the Liens granted under the Loan Documents to any other Liens without the written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change any provision of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or the definition of “Required Lenders” or any other provision of any Loan Document specifying the number or percentage of Lenders required to amend, waive or otherwise modify any rights hereunder or thereunder or make any determination or grant any consent hereunder, without the written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release all or substantially all of the Collateral in any transaction or series of related transactions, without the written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subordinate, or have the effect of subordinating the Liens securing the Collateral or the Obligations, without the written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release, or have the effect of releasing, all or substantially all of the value of the Guaranty, without the written consent of each Lender, except to the extent the release of any Subsidiary from the Guaranty is permitted pursuant to </w:t>
      </w:r>
      <w:r>
        <w:rPr>
          <w:rFonts w:ascii="Times New Roman;Times;Serif" w:hAnsi="Times New Roman;Times;Serif"/>
          <w:b w:val="false"/>
          <w:i w:val="false"/>
          <w:caps w:val="false"/>
          <w:smallCaps w:val="false"/>
          <w:sz w:val="20"/>
          <w:u w:val="single"/>
        </w:rPr>
        <w:t>Section 9.10</w:t>
      </w:r>
      <w:r>
        <w:rPr>
          <w:rFonts w:ascii="Times New Roman;Times;Serif" w:hAnsi="Times New Roman;Times;Serif"/>
          <w:b w:val="false"/>
          <w:i w:val="false"/>
          <w:caps w:val="false"/>
          <w:smallCaps w:val="false"/>
          <w:sz w:val="20"/>
        </w:rPr>
        <w:t xml:space="preserve"> (in which case such release may be made by the Administrative Agent acting alone);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release the Borrower (from its obligations as a Borrower or as a Guarantor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 no amendment, waiver or consent shall, unless in writing and signed by the L/C Issuer in addition to the Lenders required above, affect the rights or duties of the L/C Issuer under this Agreement or any Issuer Document relating to any Letter of Credit issued or to be issued by it; (B) no amendment, waiver or consent shall, unless in writing and signed by the Swingline Lender in addition to the Lenders required above, affect the rights or duties of the Swingline Lender under this Agreement; (C) no amendment, waiver or consent shall, unless in writing and signed by the Administrative Agent in addition to the Lenders required above, affect the rights or duties of the Administrative Agent under this Agreement or any other Loan Document; (D) the Fee Letter may be amended, or rights or privileges thereunder waived, in a writing executed only by the parties thereto; and (E) the term L/C Commitment may be amended pursuant to a fully executed (and delivered to the Administrative Agent) Notice of Additional L/C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(i)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 (ii) each Lender is entitled to vote as such Lender sees fit on any bankruptcy reorganization plan that affects the Loans, and each Lender acknowledges that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Section 1126(c)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11.02      </w:t>
      </w:r>
      <w:r>
        <w:rPr>
          <w:rFonts w:ascii="Times New Roman;Times;Serif" w:hAnsi="Times New Roman;Times;Serif"/>
          <w:b/>
          <w:i w:val="false"/>
          <w:caps w:val="false"/>
          <w:smallCaps w:val="false"/>
          <w:sz w:val="20"/>
          <w:u w:val="single"/>
        </w:rPr>
        <w:t>Notices; Effectiveness; Electronic Communications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Notices Generally</w:t>
      </w:r>
      <w:r>
        <w:rPr>
          <w:rFonts w:ascii="Times New Roman;Times;Serif" w:hAnsi="Times New Roman;Times;Serif"/>
          <w:b w:val="false"/>
          <w:i w:val="false"/>
          <w:caps w:val="false"/>
          <w:smallCaps w:val="false"/>
          <w:sz w:val="20"/>
        </w:rPr>
        <w:t xml:space="preserve">. Except in the case of notices and other communications expressly permitted to be given by telephone (and except as provided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to the Borrower or any other Loan Party, the Administrative Agent, the L/C Issuer or the Swingline Lender, to the address, fax number, e-mail address or telephone number specified for such Person on </w:t>
      </w:r>
      <w:r>
        <w:rPr>
          <w:rFonts w:ascii="Times New Roman;Times;Serif" w:hAnsi="Times New Roman;Times;Serif"/>
          <w:b w:val="false"/>
          <w:i w:val="false"/>
          <w:caps w:val="false"/>
          <w:smallCaps w:val="false"/>
          <w:sz w:val="20"/>
          <w:u w:val="single"/>
        </w:rPr>
        <w:t>Schedule 1.01(a</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below shall be effective as provided in such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Electronic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Notices and other communications to the Administrative Agent, the Lenders, the Swingline Lender and the L/C Issuer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to any Lender, the Swingline Lender or the L/C Issuer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if such Lender, the Swingline Lender or the L/C Issuer, as applicable, has notified the Administrative Agent that it is incapable of receiving notices under such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by electronic communication. The Administrative Agent, the Swingline Lender, the L/C Issuer or the Borrower may each, in its discretion, agree to accept notices and other communications to it hereunder by electronic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if such notice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The Platform</w:t>
      </w:r>
      <w:r>
        <w:rPr>
          <w:rFonts w:ascii="Times New Roman;Times;Serif" w:hAnsi="Times New Roman;Times;Serif"/>
          <w:b w:val="false"/>
          <w:i w:val="false"/>
          <w:caps w:val="false"/>
          <w:smallCaps w:val="false"/>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Times;Serif" w:hAnsi="Times New Roman;Times;Serif"/>
          <w:b w:val="false"/>
          <w:i/>
          <w:caps w:val="false"/>
          <w:smallCaps w:val="false"/>
          <w:sz w:val="20"/>
          <w:u w:val="single"/>
        </w:rPr>
        <w:t>Agent Parties</w:t>
      </w:r>
      <w:r>
        <w:rPr>
          <w:rFonts w:ascii="Times New Roman;Times;Serif" w:hAnsi="Times New Roman;Times;Serif"/>
          <w:b w:val="false"/>
          <w:i w:val="false"/>
          <w:caps w:val="false"/>
          <w:smallCaps w:val="false"/>
          <w:sz w:val="20"/>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Change of Address, Etc</w:t>
      </w:r>
      <w:r>
        <w:rPr>
          <w:rFonts w:ascii="Times New Roman;Times;Serif" w:hAnsi="Times New Roman;Times;Serif"/>
          <w:b w:val="false"/>
          <w:i w:val="false"/>
          <w:caps w:val="false"/>
          <w:smallCaps w:val="false"/>
          <w:sz w:val="20"/>
        </w:rPr>
        <w:t>. Each of the Borrower, the Administrative Agent, the L/C Issuer and the Swingline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the Administrative Agent, the L/C Issuer and the Swingline Lender. In addition, each Lender agrees to notify the Administrative Agent from time to time to ensure that the Administrative Agent has on record (i) 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Reliance by Administrative Agent, L/C Issuer and Lenders</w:t>
      </w:r>
      <w:r>
        <w:rPr>
          <w:rFonts w:ascii="Times New Roman;Times;Serif" w:hAnsi="Times New Roman;Times;Serif"/>
          <w:b w:val="false"/>
          <w:i w:val="false"/>
          <w:caps w:val="false"/>
          <w:smallCaps w:val="false"/>
          <w:sz w:val="20"/>
        </w:rPr>
        <w:t>. The Administrative Agent, the L/C Issuer and the Lenders shall be entitled to rely and act upon any notices (including, without limitation, telephonic or electronic notices, Loan Notices, Letter of Credit Applications, Notice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11.03      </w:t>
      </w:r>
      <w:r>
        <w:rPr>
          <w:rFonts w:ascii="Times New Roman;Times;Serif" w:hAnsi="Times New Roman;Times;Serif"/>
          <w:b/>
          <w:i w:val="false"/>
          <w:caps w:val="false"/>
          <w:smallCaps w:val="false"/>
          <w:sz w:val="20"/>
          <w:u w:val="single"/>
        </w:rPr>
        <w:t>No Waiver; Cumulative Remedies; Enforcement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for the benefit of all the Lenders and the L/C Issuer;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Swingline Lender from exercising the rights and remedies that inure to its benefit (solely in its capacity as L/C Issuer or Swingline Lender, as the case may be) hereunder and under the other Loan Documents, (c) any Lender from exercising setoff rights in accordance with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 xml:space="preserve"> (subject to the terms of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or (d) any Lender from filing proofs of claim or appearing and filing pleadings on its own behalf during the pendency of a proceeding relative to any Loan Party under any Debtor Relief Law;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at any time there is no Person acting as Administrative Agent hereunder and under the other Loan Documents, then (i) the Required Lenders shall have the rights otherwise ascribed to the Administrative Agent pursuant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and (ii) in addition to the matters set forth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of the preceding proviso and subject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any Lender may, with the consent of the Required Lenders, enforce any rights and remedies available to it and as authorized by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11.04      </w:t>
      </w:r>
      <w:r>
        <w:rPr>
          <w:rFonts w:ascii="Times New Roman;Times;Serif" w:hAnsi="Times New Roman;Times;Serif"/>
          <w:b/>
          <w:i w:val="false"/>
          <w:caps w:val="false"/>
          <w:smallCaps w:val="false"/>
          <w:sz w:val="20"/>
          <w:u w:val="single"/>
        </w:rPr>
        <w:t>Expenses; Indemnity; Damage Waiver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xml:space="preserve">. The Loan Parties shall pay (i) all reasonable and documented out-of-pocket expenses incurred by the Administrative Agent and its Affiliates (including, without limitation, (A) the reasonable and documented out-of-pocket fees, charges and disbursements of one principal outside counsel (as well as one local counsel for any applicable jurisdiction) for the Administrative Agent and its Affiliates, taken as a whole (and, in the case of an actual or perceived conflict of interest where the affected party informs Borrower of such conflict and thereafter retains its own counsel, of one additional firm of counsel for all such affected parties), and (B) due diligence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extension, reinstatement or renewal of any Letter of Credit or any demand for payment thereunder and (iii) all reasonable and documented out-of-pocket expenses incurred by the Administrative Agent, any Lender or the L/C Issuer (including the reasonable and documented out-of-pocket fees, charges and disbursements of one principal outside counsel (as well as one local counsel for any applicable jurisdiction) for the Administrative Agent, Lenders and the L/C Issuer, taken as a whole (and, in the case of an actual or perceived conflict of interest where the affected party informs Borrower of such conflict and thereafter retains its own counsel, of one additional firm of counsel for all such affected parties)), in connection with the enforcement or protection of its rights (A) in connection with this Agreement and the other Loan Documents, including its rights under this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or (B) in connection with Loans made or Letters of Credit issued hereunder, including all such reasonable and documented out-of-pocket expenses incurred during any workout, restructuring or negotiations in respect of such Loans or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by the Loan Parties</w:t>
      </w:r>
      <w:r>
        <w:rPr>
          <w:rFonts w:ascii="Times New Roman;Times;Serif" w:hAnsi="Times New Roman;Times;Serif"/>
          <w:b w:val="false"/>
          <w:i w:val="false"/>
          <w:caps w:val="false"/>
          <w:smallCaps w:val="false"/>
          <w:sz w:val="20"/>
        </w:rPr>
        <w:t>. The Loan Parties shall indemnify the Administrative Agent (and any sub-agent thereof), each Lender and the L/C Issuer, and each Related Party of any of the foregoing Persons (each such Person being called an “</w:t>
      </w:r>
      <w:r>
        <w:rPr>
          <w:rFonts w:ascii="Times New Roman;Times;Serif" w:hAnsi="Times New Roman;Times;Serif"/>
          <w:b w:val="false"/>
          <w:i/>
          <w:caps w:val="false"/>
          <w:smallCaps w:val="false"/>
          <w:sz w:val="20"/>
          <w:u w:val="single"/>
        </w:rPr>
        <w:t>Indemnitee</w:t>
      </w:r>
      <w:r>
        <w:rPr>
          <w:rFonts w:ascii="Times New Roman;Times;Serif" w:hAnsi="Times New Roman;Times;Serif"/>
          <w:b w:val="false"/>
          <w:i w:val="false"/>
          <w:caps w:val="false"/>
          <w:smallCaps w:val="false"/>
          <w:sz w:val="20"/>
        </w:rPr>
        <w:t>”) against, and hold each Indemnitee harmless from, any and all losses, claims, damages, liabilities and related expenses (including the reasonable and documented out-of-pocket fees, charges and disbursements of any counsel for any Indemnitee, but limited to the fees, disbursements and other charges of one principal counsel, and, if necessary, of one local counsel in each appropriate jurisdiction, in each case, for all Indemnitees (and, in the case of an actual or perceived conflict of interest where the Indemnitee affected by such conflict informs the Borrower of such conflict and thereafter retains its own counsel, one additional counsel for all such affected Indemnitees)),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not involving an act or omission of the Borrower and that is brought by an Indemnitee against another Indemnitee (other than against the Arranger, the Administrative Agent, the L/C Issuer or the Swingline Lender in their capacities as such). Without limiting the provisions of </w:t>
      </w:r>
      <w:r>
        <w:rPr>
          <w:rFonts w:ascii="Times New Roman;Times;Serif" w:hAnsi="Times New Roman;Times;Serif"/>
          <w:b w:val="false"/>
          <w:i w:val="false"/>
          <w:caps w:val="false"/>
          <w:smallCaps w:val="false"/>
          <w:sz w:val="20"/>
          <w:u w:val="single"/>
        </w:rPr>
        <w:t>Section 3.01(c</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11.04(b</w:t>
      </w:r>
      <w:r>
        <w:rPr>
          <w:rFonts w:ascii="Times New Roman;Times;Serif" w:hAnsi="Times New Roman;Times;Serif"/>
          <w:b w:val="false"/>
          <w:i w:val="false"/>
          <w:caps w:val="false"/>
          <w:smallCaps w:val="false"/>
          <w:sz w:val="20"/>
        </w:rPr>
        <w:t>) shall not apply with respect to Taxes other than any Taxes that represent losses, claims, damages, etc.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Reimbursement by Lenders</w:t>
      </w:r>
      <w:r>
        <w:rPr>
          <w:rFonts w:ascii="Times New Roman;Times;Serif" w:hAnsi="Times New Roman;Times;Serif"/>
          <w:b w:val="false"/>
          <w:i w:val="false"/>
          <w:caps w:val="false"/>
          <w:smallCaps w:val="false"/>
          <w:sz w:val="20"/>
        </w:rPr>
        <w:t xml:space="preserve">. To the extent that the Loan Parties for any reason fail to indefeasibly pay any amount required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are subject to the provisions of </w:t>
      </w:r>
      <w:r>
        <w:rPr>
          <w:rFonts w:ascii="Times New Roman;Times;Serif" w:hAnsi="Times New Roman;Times;Serif"/>
          <w:b w:val="false"/>
          <w:i w:val="false"/>
          <w:caps w:val="false"/>
          <w:smallCaps w:val="false"/>
          <w:sz w:val="20"/>
          <w:u w:val="single"/>
        </w:rPr>
        <w:t>Section 2.12(d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Waiver of Consequential Damages, Etc</w:t>
      </w:r>
      <w:r>
        <w:rPr>
          <w:rFonts w:ascii="Times New Roman;Times;Serif" w:hAnsi="Times New Roman;Times;Serif"/>
          <w:b w:val="false"/>
          <w:i w:val="false"/>
          <w:caps w:val="false"/>
          <w:smallCaps w:val="false"/>
          <w:sz w:val="20"/>
        </w:rPr>
        <w:t xml:space="preserve">. To the fullest extent permitted by Applicable Law, no party hereto shall assert, and each party hereto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xml:space="preserve">. All amounts due under this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shall be payable not later than ten (10) Business Days after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agreements in this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and the indemnity provisions of </w:t>
      </w:r>
      <w:r>
        <w:rPr>
          <w:rFonts w:ascii="Times New Roman;Times;Serif" w:hAnsi="Times New Roman;Times;Serif"/>
          <w:b w:val="false"/>
          <w:i w:val="false"/>
          <w:caps w:val="false"/>
          <w:smallCaps w:val="false"/>
          <w:sz w:val="20"/>
          <w:u w:val="single"/>
        </w:rPr>
        <w:t>Section 11.02(e</w:t>
      </w:r>
      <w:r>
        <w:rPr>
          <w:rFonts w:ascii="Times New Roman;Times;Serif" w:hAnsi="Times New Roman;Times;Serif"/>
          <w:b w:val="false"/>
          <w:i w:val="false"/>
          <w:caps w:val="false"/>
          <w:smallCaps w:val="false"/>
          <w:sz w:val="20"/>
        </w:rPr>
        <w:t>) shall survive the resignation of the Administrative Agent, the L/C Issuer and the Swingline Lender, the replacement of any Lender, the termination of the Aggregate Commitments and the repayment, satisfaction or discharge of all the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11.05      </w:t>
      </w:r>
      <w:r>
        <w:rPr>
          <w:rFonts w:ascii="Times New Roman;Times;Serif" w:hAnsi="Times New Roman;Times;Serif"/>
          <w:b/>
          <w:i w:val="false"/>
          <w:caps w:val="false"/>
          <w:smallCaps w:val="false"/>
          <w:sz w:val="20"/>
          <w:u w:val="single"/>
        </w:rPr>
        <w:t>Payments Set Aside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in the applicable currency of such recovery of payment. The obligations of the Lenders and the L/C Issuer under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of the preceding sentence shall survive the payment in full of the Obligations and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11.06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Successors and Assigns Generally</w:t>
      </w:r>
      <w:r>
        <w:rPr>
          <w:rFonts w:ascii="Times New Roman;Times;Serif" w:hAnsi="Times New Roman;Times;Serif"/>
          <w:b w:val="false"/>
          <w:i w:val="false"/>
          <w:caps w:val="false"/>
          <w:smallCaps w:val="false"/>
          <w:sz w:val="20"/>
        </w:rPr>
        <w:t xml:space="preserve">. The provisions of this Agreement and the other Loan Documents shall be binding upon and inure to the benefit of the parties hereto and thereto and their respective successors and assigns permitted hereby, except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Times;Serif" w:hAnsi="Times New Roman;Times;Serif"/>
          <w:b w:val="false"/>
          <w:i w:val="false"/>
          <w:caps w:val="false"/>
          <w:smallCaps w:val="false"/>
          <w:sz w:val="20"/>
          <w:u w:val="single"/>
        </w:rPr>
        <w:t>Section 11.06(b</w:t>
      </w:r>
      <w:r>
        <w:rPr>
          <w:rFonts w:ascii="Times New Roman;Times;Serif" w:hAnsi="Times New Roman;Times;Serif"/>
          <w:b w:val="false"/>
          <w:i w:val="false"/>
          <w:caps w:val="false"/>
          <w:smallCaps w:val="false"/>
          <w:sz w:val="20"/>
        </w:rPr>
        <w:t xml:space="preserve">), (ii) by way of participation in accordance with the provisions of </w:t>
      </w:r>
      <w:r>
        <w:rPr>
          <w:rFonts w:ascii="Times New Roman;Times;Serif" w:hAnsi="Times New Roman;Times;Serif"/>
          <w:b w:val="false"/>
          <w:i w:val="false"/>
          <w:caps w:val="false"/>
          <w:smallCaps w:val="false"/>
          <w:sz w:val="20"/>
          <w:u w:val="single"/>
        </w:rPr>
        <w:t>Section 11.06(d</w:t>
      </w:r>
      <w:r>
        <w:rPr>
          <w:rFonts w:ascii="Times New Roman;Times;Serif" w:hAnsi="Times New Roman;Times;Serif"/>
          <w:b w:val="false"/>
          <w:i w:val="false"/>
          <w:caps w:val="false"/>
          <w:smallCaps w:val="false"/>
          <w:sz w:val="20"/>
        </w:rPr>
        <w:t xml:space="preserve">), or (iii) by way of pledge or assignment of a security interest subject to the restrictions of </w:t>
      </w:r>
      <w:r>
        <w:rPr>
          <w:rFonts w:ascii="Times New Roman;Times;Serif" w:hAnsi="Times New Roman;Times;Serif"/>
          <w:b w:val="false"/>
          <w:i w:val="false"/>
          <w:caps w:val="false"/>
          <w:smallCaps w:val="false"/>
          <w:sz w:val="20"/>
          <w:u w:val="single"/>
        </w:rPr>
        <w:t>Section 11.06(e</w:t>
      </w:r>
      <w:r>
        <w:rPr>
          <w:rFonts w:ascii="Times New Roman;Times;Serif" w:hAnsi="Times New Roman;Times;Serif"/>
          <w:b w:val="false"/>
          <w:i w:val="false"/>
          <w:caps w:val="false"/>
          <w:smallCaps w:val="false"/>
          <w:sz w:val="20"/>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Times;Serif" w:hAnsi="Times New Roman;Times;Serif"/>
          <w:b w:val="false"/>
          <w:i w:val="false"/>
          <w:caps w:val="false"/>
          <w:smallCaps w:val="false"/>
          <w:sz w:val="20"/>
          <w:u w:val="single"/>
        </w:rPr>
        <w:t>Section 11.06(d</w:t>
      </w:r>
      <w:r>
        <w:rPr>
          <w:rFonts w:ascii="Times New Roman;Times;Serif" w:hAnsi="Times New Roman;Times;Serif"/>
          <w:b w:val="false"/>
          <w:i w:val="false"/>
          <w:caps w:val="false"/>
          <w:smallCaps w:val="false"/>
          <w:sz w:val="20"/>
        </w:rPr>
        <w:t>) and, to the extent expressly contemplated hereby, the Related Parties of each of the Administrative Agent, the L/C Issuer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Assignments by Lenders</w:t>
      </w:r>
      <w:r>
        <w:rPr>
          <w:rFonts w:ascii="Times New Roman;Times;Serif" w:hAnsi="Times New Roman;Times;Serif"/>
          <w:b w:val="false"/>
          <w:i w:val="false"/>
          <w:caps w:val="false"/>
          <w:smallCaps w:val="false"/>
          <w:sz w:val="20"/>
        </w:rPr>
        <w:t xml:space="preserve">. Any Lender may at any time assign to one or more assignees all or a portion of its rights and obligations under this Agreement and the other Loan Documents (including all or a portion of its Commitment(s) and the Loans (including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participations in L/C Obligations and in Swingline Loans) at the time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with respect to any Facility) any such assignment shall be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Minimum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Times New Roman;Times;Serif" w:hAnsi="Times New Roman;Times;Serif"/>
          <w:b w:val="false"/>
          <w:i w:val="false"/>
          <w:caps w:val="false"/>
          <w:smallCaps w:val="false"/>
          <w:sz w:val="20"/>
          <w:u w:val="single"/>
        </w:rPr>
        <w:t>clause (b)(i)(B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in the aggregate or in the case of an assignment to a Lender, an Affiliate of a Lender or an Approved Fund, no minimum amount need be assigned;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any case not described in </w:t>
      </w:r>
      <w:r>
        <w:rPr>
          <w:rFonts w:ascii="Times New Roman;Times;Serif" w:hAnsi="Times New Roman;Times;Serif"/>
          <w:b w:val="false"/>
          <w:i w:val="false"/>
          <w:caps w:val="false"/>
          <w:smallCaps w:val="false"/>
          <w:sz w:val="20"/>
          <w:u w:val="single"/>
        </w:rPr>
        <w:t>clause (b)(i)(A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Facility or $5,000,000, in the case of any assignment in respect of the Term Facility, unless each of the Administrative Agent and, so long as no Event of Default has occurred and is continuing, the Borrower otherwise consents (each such consent not to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Proportionate Amounts</w:t>
      </w:r>
      <w:r>
        <w:rPr>
          <w:rFonts w:ascii="Times New Roman;Times;Serif" w:hAnsi="Times New Roman;Times;Serif"/>
          <w:b w:val="false"/>
          <w:i w:val="false"/>
          <w:caps w:val="false"/>
          <w:smallCaps w:val="false"/>
          <w:sz w:val="20"/>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w:t>
      </w:r>
      <w:r>
        <w:rPr>
          <w:rFonts w:ascii="Times New Roman;Times;Serif" w:hAnsi="Times New Roman;Times;Serif"/>
          <w:b w:val="false"/>
          <w:i w:val="false"/>
          <w:caps w:val="false"/>
          <w:smallCaps w:val="false"/>
          <w:sz w:val="20"/>
          <w:u w:val="single"/>
        </w:rPr>
        <w:t>clause (b)(ii</w:t>
      </w:r>
      <w:r>
        <w:rPr>
          <w:rFonts w:ascii="Times New Roman;Times;Serif" w:hAnsi="Times New Roman;Times;Serif"/>
          <w:b w:val="false"/>
          <w:i w:val="false"/>
          <w:caps w:val="false"/>
          <w:smallCaps w:val="false"/>
          <w:sz w:val="20"/>
        </w:rPr>
        <w:t>) shall not apply to the Swingline Lender’s rights and obligations in respect of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Required Consents</w:t>
      </w:r>
      <w:r>
        <w:rPr>
          <w:rFonts w:ascii="Times New Roman;Times;Serif" w:hAnsi="Times New Roman;Times;Serif"/>
          <w:b w:val="false"/>
          <w:i w:val="false"/>
          <w:caps w:val="false"/>
          <w:smallCaps w:val="false"/>
          <w:sz w:val="20"/>
        </w:rPr>
        <w:t xml:space="preserve">. No consent shall be required for any assignment except to the extent required by </w:t>
      </w:r>
      <w:r>
        <w:rPr>
          <w:rFonts w:ascii="Times New Roman;Times;Serif" w:hAnsi="Times New Roman;Times;Serif"/>
          <w:b w:val="false"/>
          <w:i w:val="false"/>
          <w:caps w:val="false"/>
          <w:smallCaps w:val="false"/>
          <w:sz w:val="20"/>
          <w:u w:val="single"/>
        </w:rPr>
        <w:t>clause (b)(i)(B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and, in addition: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deemed to have consented to any such assignment unless it shall object thereto by written notice to the Administrative Agent within five (5) Business Days after having received notice thereof;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Borrower’s consent shall not be required during the primary syndication of the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consent of the Administrative Agent (such consent not to be unreasonably withheld or delayed) shall be required for assignments in respect of (1) any unfunded DD Term Commitment or any Revolving Commitment if such assignment is to a Person that is not a Lender with a Commitment in respect of the applicable Facility, an Affiliate of such Lender or an Approved Fund with respect to such Lender or (2) any Term Loan to a Person that is not a Lender, an Affiliate of a Lender or an Approved Fund;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consent of the L/C Issuer and the Swingline Lender shall be required for any assignment in respect of the Revolving Facility to a Person that is not a Lender with a Revolving Commitment, an Affiliate of such Lender or an Approved Fund with respect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The parties to each assignment shall execute and deliver to the Administrative Agent an Assignment and Assumption, together with a processing and recordation fee in the amount of $3,500;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Assignment to Certain Persons</w:t>
      </w:r>
      <w:r>
        <w:rPr>
          <w:rFonts w:ascii="Times New Roman;Times;Serif" w:hAnsi="Times New Roman;Times;Serif"/>
          <w:b w:val="false"/>
          <w:i w:val="false"/>
          <w:caps w:val="false"/>
          <w:smallCaps w:val="false"/>
          <w:sz w:val="20"/>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or (C) to a natural Person (or a holding company, investment vehicle or trust for, or owned and operated by or for the primary benefit of one or more natural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Certain Additional Payments</w:t>
      </w:r>
      <w:r>
        <w:rPr>
          <w:rFonts w:ascii="Times New Roman;Times;Serif" w:hAnsi="Times New Roman;Times;Serif"/>
          <w:b w:val="false"/>
          <w:i w:val="false"/>
          <w:caps w:val="false"/>
          <w:smallCaps w:val="false"/>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Times;Serif" w:hAnsi="Times New Roman;Times;Serif"/>
          <w:b w:val="false"/>
          <w:i w:val="false"/>
          <w:caps w:val="false"/>
          <w:smallCaps w:val="false"/>
          <w:sz w:val="20"/>
          <w:u w:val="single"/>
        </w:rPr>
        <w:t>clause (b)(vi</w:t>
      </w:r>
      <w:r>
        <w:rPr>
          <w:rFonts w:ascii="Times New Roman;Times;Serif" w:hAnsi="Times New Roman;Times;Serif"/>
          <w:b w:val="false"/>
          <w:i w:val="false"/>
          <w:caps w:val="false"/>
          <w:smallCaps w:val="false"/>
          <w:sz w:val="20"/>
        </w:rPr>
        <w:t>), then the assignee of such interest shall be deemed to be a Defaulting Lender for all purposes of this Agreement until such compliance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Subject to acceptance and recording thereof by the Administrative Agent pursuant to </w:t>
      </w:r>
      <w:r>
        <w:rPr>
          <w:rFonts w:ascii="Times New Roman;Times;Serif" w:hAnsi="Times New Roman;Times;Serif"/>
          <w:b w:val="false"/>
          <w:i w:val="false"/>
          <w:caps w:val="false"/>
          <w:smallCaps w:val="false"/>
          <w:sz w:val="20"/>
          <w:u w:val="single"/>
        </w:rPr>
        <w:t>Section 11.06(c</w:t>
      </w:r>
      <w:r>
        <w:rPr>
          <w:rFonts w:ascii="Times New Roman;Times;Serif" w:hAnsi="Times New Roman;Times;Serif"/>
          <w:b w:val="false"/>
          <w:i w:val="false"/>
          <w:caps w:val="false"/>
          <w:smallCaps w:val="false"/>
          <w:sz w:val="20"/>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b w:val="false"/>
          <w:i w:val="false"/>
          <w:caps w:val="false"/>
          <w:smallCaps w:val="false"/>
          <w:sz w:val="20"/>
          <w:u w:val="single"/>
        </w:rPr>
        <w:t>Sections 3.01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11.04</w:t>
      </w:r>
      <w:r>
        <w:rPr>
          <w:rFonts w:ascii="Times New Roman;Times;Serif" w:hAnsi="Times New Roman;Times;Serif"/>
          <w:b w:val="false"/>
          <w:i w:val="false"/>
          <w:caps w:val="false"/>
          <w:smallCaps w:val="false"/>
          <w:sz w:val="20"/>
        </w:rPr>
        <w:t xml:space="preserve"> with respect to facts and circumstances occurring prior to the effective date of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to the extent otherwise expressly agreed by the affected parties, no assignment by a Defaulting Lender will constitute a waiver or release of any claim of any party hereunder arising from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Lender’s having been a Defaulting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assignee thereunder shall not be entitled to receive any greater payment under </w:t>
      </w:r>
      <w:r>
        <w:rPr>
          <w:rFonts w:ascii="Times New Roman;Times;Serif" w:hAnsi="Times New Roman;Times;Serif"/>
          <w:b w:val="false"/>
          <w:i w:val="false"/>
          <w:caps w:val="false"/>
          <w:smallCaps w:val="false"/>
          <w:sz w:val="20"/>
          <w:u w:val="single"/>
        </w:rPr>
        <w:t>Sections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3.04</w:t>
      </w:r>
      <w:r>
        <w:rPr>
          <w:rFonts w:ascii="Times New Roman;Times;Serif" w:hAnsi="Times New Roman;Times;Serif"/>
          <w:b w:val="false"/>
          <w:i w:val="false"/>
          <w:caps w:val="false"/>
          <w:smallCaps w:val="false"/>
          <w:sz w:val="20"/>
        </w:rPr>
        <w:t xml:space="preserve">, with respect to the interest assigned by such Assignment and Assumption, than the assigning Lender would have been entitled to receive, except to the extent such entitlement to receive a greater payment results from a Change in Law that occurs after such assignment. Upon request, the Borrower (at its expense) shall execute and deliver a Note to the assignee Lender. Any assignment or transfer by a Lender of rights or obligations under this Agreement that does not comply with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be treated for purposes of this Agreement as a sale by such Lender of a participation in such rights and obligations in accordance with </w:t>
      </w:r>
      <w:r>
        <w:rPr>
          <w:rFonts w:ascii="Times New Roman;Times;Serif" w:hAnsi="Times New Roman;Times;Serif"/>
          <w:b w:val="false"/>
          <w:i w:val="false"/>
          <w:caps w:val="false"/>
          <w:smallCaps w:val="false"/>
          <w:sz w:val="20"/>
          <w:u w:val="single"/>
        </w:rPr>
        <w:t>Section 11.06(d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interest amounts) of the Loans and L/C Obligations owing to, each Lender pursuant to the terms hereof from time to time (the “</w:t>
      </w:r>
      <w:r>
        <w:rPr>
          <w:rFonts w:ascii="Times New Roman;Times;Serif" w:hAnsi="Times New Roman;Times;Serif"/>
          <w:b w:val="false"/>
          <w:i/>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Times;Serif" w:hAnsi="Times New Roman;Times;Serif"/>
          <w:b w:val="false"/>
          <w:i/>
          <w:caps w:val="false"/>
          <w:smallCaps w:val="false"/>
          <w:sz w:val="20"/>
          <w:u w:val="single"/>
        </w:rPr>
        <w:t>Participant</w:t>
      </w:r>
      <w:r>
        <w:rPr>
          <w:rFonts w:ascii="Times New Roman;Times;Serif" w:hAnsi="Times New Roman;Times;Serif"/>
          <w:b w:val="false"/>
          <w:i w:val="false"/>
          <w:caps w:val="false"/>
          <w:smallCaps w:val="false"/>
          <w:sz w:val="20"/>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Times;Serif" w:hAnsi="Times New Roman;Times;Serif"/>
          <w:b w:val="false"/>
          <w:i w:val="false"/>
          <w:caps w:val="false"/>
          <w:smallCaps w:val="false"/>
          <w:sz w:val="20"/>
          <w:u w:val="single"/>
        </w:rPr>
        <w:t>Section 11.04(c</w:t>
      </w:r>
      <w:r>
        <w:rPr>
          <w:rFonts w:ascii="Times New Roman;Times;Serif" w:hAnsi="Times New Roman;Times;Serif"/>
          <w:b w:val="false"/>
          <w:i w:val="false"/>
          <w:caps w:val="false"/>
          <w:smallCaps w:val="false"/>
          <w:sz w:val="20"/>
        </w:rPr>
        <w:t>) without regard to the existence of any participations.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waiver or other modification described in the first proviso to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xml:space="preserve"> that affects such Participant. The Borrower agrees that each Participant shall be entitled to the benefits of </w:t>
      </w:r>
      <w:r>
        <w:rPr>
          <w:rFonts w:ascii="Times New Roman;Times;Serif" w:hAnsi="Times New Roman;Times;Serif"/>
          <w:b w:val="false"/>
          <w:i w:val="false"/>
          <w:caps w:val="false"/>
          <w:smallCaps w:val="false"/>
          <w:sz w:val="20"/>
          <w:u w:val="single"/>
        </w:rPr>
        <w:t>Sections 3.01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val="false"/>
          <w:i w:val="false"/>
          <w:caps w:val="false"/>
          <w:smallCaps w:val="false"/>
          <w:sz w:val="20"/>
          <w:u w:val="single"/>
        </w:rPr>
        <w:t>Section 3.01(e</w:t>
      </w:r>
      <w:r>
        <w:rPr>
          <w:rFonts w:ascii="Times New Roman;Times;Serif" w:hAnsi="Times New Roman;Times;Serif"/>
          <w:b w:val="false"/>
          <w:i w:val="false"/>
          <w:caps w:val="false"/>
          <w:smallCaps w:val="false"/>
          <w:sz w:val="20"/>
        </w:rPr>
        <w:t>) (it being understood that the documentation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w:t>
      </w:r>
      <w:r>
        <w:rPr>
          <w:rFonts w:ascii="Times New Roman;Times;Serif" w:hAnsi="Times New Roman;Times;Serif"/>
          <w:b w:val="false"/>
          <w:i w:val="false"/>
          <w:caps w:val="false"/>
          <w:smallCaps w:val="false"/>
          <w:sz w:val="20"/>
          <w:u w:val="single"/>
        </w:rPr>
        <w:t>Section 3.01(e</w:t>
      </w:r>
      <w:r>
        <w:rPr>
          <w:rFonts w:ascii="Times New Roman;Times;Serif" w:hAnsi="Times New Roman;Times;Serif"/>
          <w:b w:val="false"/>
          <w:i w:val="false"/>
          <w:caps w:val="false"/>
          <w:smallCaps w:val="false"/>
          <w:sz w:val="20"/>
        </w:rPr>
        <w:t xml:space="preserve">) shall be delivered to the Lender who sells the participation)) to the same extent as if it were a Lender and had acquired its interest by assignment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 shall be subject to the provisions of </w:t>
      </w:r>
      <w:r>
        <w:rPr>
          <w:rFonts w:ascii="Times New Roman;Times;Serif" w:hAnsi="Times New Roman;Times;Serif"/>
          <w:b w:val="false"/>
          <w:i w:val="false"/>
          <w:caps w:val="false"/>
          <w:smallCaps w:val="false"/>
          <w:sz w:val="20"/>
          <w:u w:val="single"/>
        </w:rPr>
        <w:t>Sections 3.06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11.13</w:t>
      </w:r>
      <w:r>
        <w:rPr>
          <w:rFonts w:ascii="Times New Roman;Times;Serif" w:hAnsi="Times New Roman;Times;Serif"/>
          <w:b w:val="false"/>
          <w:i w:val="false"/>
          <w:caps w:val="false"/>
          <w:smallCaps w:val="false"/>
          <w:sz w:val="20"/>
        </w:rPr>
        <w:t xml:space="preserve"> as if it were an assignee under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and (B) shall not be entitled to receive any greater payment under </w:t>
      </w:r>
      <w:r>
        <w:rPr>
          <w:rFonts w:ascii="Times New Roman;Times;Serif" w:hAnsi="Times New Roman;Times;Serif"/>
          <w:b w:val="false"/>
          <w:i w:val="false"/>
          <w:caps w:val="false"/>
          <w:smallCaps w:val="false"/>
          <w:sz w:val="20"/>
          <w:u w:val="single"/>
        </w:rPr>
        <w:t>Sections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3.04</w:t>
      </w:r>
      <w:r>
        <w:rPr>
          <w:rFonts w:ascii="Times New Roman;Times;Serif" w:hAnsi="Times New Roman;Times;Serif"/>
          <w:b w:val="false"/>
          <w:i w:val="false"/>
          <w:caps w:val="false"/>
          <w:smallCaps w:val="false"/>
          <w:sz w:val="20"/>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with respect to any Participant. To the extent permitted by law, each Participant also shall be entitled to the benefits of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 xml:space="preserve"> as though it were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agrees to be subject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Times;Serif" w:hAnsi="Times New Roman;Times;Serif"/>
          <w:b w:val="false"/>
          <w:i/>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(or any successor provision thereof).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Certain Pledges</w:t>
      </w:r>
      <w:r>
        <w:rPr>
          <w:rFonts w:ascii="Times New Roman;Times;Serif" w:hAnsi="Times New Roman;Times;Serif"/>
          <w:b w:val="false"/>
          <w:i w:val="false"/>
          <w:caps w:val="false"/>
          <w:smallCaps w:val="false"/>
          <w:sz w:val="20"/>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shall release such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Resignation as L/C Issuer or Swingline Lender after Assignment</w:t>
      </w:r>
      <w:r>
        <w:rPr>
          <w:rFonts w:ascii="Times New Roman;Times;Serif" w:hAnsi="Times New Roman;Times;Serif"/>
          <w:b w:val="false"/>
          <w:i w:val="false"/>
          <w:caps w:val="false"/>
          <w:smallCaps w:val="false"/>
          <w:sz w:val="20"/>
        </w:rPr>
        <w:t xml:space="preserve">. Notwithstanding anything to the contrary contained herein, if at any time MUFG assigns all of its Revolving Commitment and Revolving Loans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above, MUFG may, (i) upon thirty (30) days’ notice to the Administrative Agent, the Borrower and the Lenders, resign as L/C Issuer and/or (ii) upon thirty (30) days’ notice to the Borrower, resign as Swingline Lender. In the event of any such resignation as L/C Issuer or Swingline Lender, the Borrower shall be entitled to appoint from among the Lenders a successor L/C Issuer or Swingline Lender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failure by the Borrower to appoint any such successor shall affect the resignation of MUFG as L/C Issuer or Swingline Lender, as the case may be. If MUFG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If MUFG resigns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Times;Serif" w:hAnsi="Times New Roman;Times;Serif"/>
          <w:b w:val="false"/>
          <w:i w:val="false"/>
          <w:caps w:val="false"/>
          <w:smallCaps w:val="false"/>
          <w:sz w:val="20"/>
          <w:u w:val="single"/>
        </w:rPr>
        <w:t>Section 2.04(c</w:t>
      </w:r>
      <w:r>
        <w:rPr>
          <w:rFonts w:ascii="Times New Roman;Times;Serif" w:hAnsi="Times New Roman;Times;Serif"/>
          <w:b w:val="false"/>
          <w:i w:val="false"/>
          <w:caps w:val="false"/>
          <w:smallCaps w:val="false"/>
          <w:sz w:val="20"/>
        </w:rPr>
        <w:t>). Upon the appointment of a successor L/C Issuer and/or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MUFG to effectively assume the obligations of MUFG with respect to such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11.07      </w:t>
      </w:r>
      <w:r>
        <w:rPr>
          <w:rFonts w:ascii="Times New Roman;Times;Serif" w:hAnsi="Times New Roman;Times;Serif"/>
          <w:b/>
          <w:i w:val="false"/>
          <w:caps w:val="false"/>
          <w:smallCaps w:val="false"/>
          <w:sz w:val="20"/>
          <w:u w:val="single"/>
        </w:rPr>
        <w:t>Treatment of Certain Information; Confidentiality</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Treatment of Certain Information</w:t>
      </w:r>
      <w:r>
        <w:rPr>
          <w:rFonts w:ascii="Times New Roman;Times;Serif" w:hAnsi="Times New Roman;Times;Serif"/>
          <w:b w:val="false"/>
          <w:i w:val="false"/>
          <w:caps w:val="false"/>
          <w:smallCaps w:val="false"/>
          <w:sz w:val="20"/>
        </w:rPr>
        <w:t xml:space="preserve">. Each of the Administrative Agent, the Lenders and the L/C Issuer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(in which case the Administrative Agent, such Lender or the L/C Issuer, as applicable, shall use commercially reasonable efforts to, except with respect to any audit or examination conducted by bank accountants or any Governmental Authority exercising examination or regulatory authority, promptly notify the Borrower, in advance, to the extent practicable and permitted by Applicable Law),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to (A) any assignee of or Participant in, or any prospective assignee of or Participant in, any of its rights and obligations under this Agreement or any Eligible Assignee invited to be a Lender pursuant to </w:t>
      </w:r>
      <w:r>
        <w:rPr>
          <w:rFonts w:ascii="Times New Roman;Times;Serif" w:hAnsi="Times New Roman;Times;Serif"/>
          <w:b w:val="false"/>
          <w:i w:val="false"/>
          <w:caps w:val="false"/>
          <w:smallCaps w:val="false"/>
          <w:sz w:val="20"/>
          <w:u w:val="single"/>
        </w:rPr>
        <w:t>Section 2.16(c)</w:t>
      </w:r>
      <w:r>
        <w:rPr>
          <w:rFonts w:ascii="Times New Roman;Times;Serif" w:hAnsi="Times New Roman;Times;Serif"/>
          <w:b w:val="false"/>
          <w:i w:val="false"/>
          <w:caps w:val="false"/>
          <w:smallCaps w:val="false"/>
          <w:sz w:val="20"/>
        </w:rPr>
        <w:t xml:space="preserve"> 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credit facilities provided hereunder or (B) the provider of any Platform or other electronic delivery service used by the Administrative Agent, the L/C Issuer and/or the Swingline Lender to deliver Borrower Materials or notices to the Lenders or (viii) the CUSIP Service Bureau or any similar agency in connection with the application, issuance, publishing and monitoring of CUSIP numbers or other market identifiers with respect to the credit facilities provided hereunder, or (ix) with the consent of the Borrower or to the extent such Information (x) becomes publicly available other than as a result of a breach of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(xi) becomes available to the Administrative Agent, any Lender, the L/C Issuer or any of their respective Affiliates on a nonconfidential basis from a source other than the Borrower or (xii) is independently discovered or developed by a party hereto without utilizing any Information received from the Borrower or violating the terms of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u w:val="single"/>
        </w:rPr>
        <w:t>Information</w:t>
      </w:r>
      <w:r>
        <w:rPr>
          <w:rFonts w:ascii="Times New Roman;Times;Serif" w:hAnsi="Times New Roman;Times;Serif"/>
          <w:b w:val="false"/>
          <w:i w:val="false"/>
          <w:caps w:val="false"/>
          <w:smallCaps w:val="false"/>
          <w:sz w:val="20"/>
        </w:rPr>
        <w:t xml:space="preserve">”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Any Person required to maintain the confidentiality of Information as provided in this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shall be considered to have complied with its obligation to do so if such Person has exercised the same degree of care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Each of the Administrative Agent, the Lenders and the L/C Issuer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Customary Advertising and Marketing Material</w:t>
      </w:r>
      <w:r>
        <w:rPr>
          <w:rFonts w:ascii="Times New Roman;Times;Serif" w:hAnsi="Times New Roman;Times;Serif"/>
          <w:b w:val="false"/>
          <w:i w:val="false"/>
          <w:caps w:val="false"/>
          <w:smallCaps w:val="false"/>
          <w:sz w:val="20"/>
        </w:rPr>
        <w:t>. The Loan Parties consent to the publication by the Administrative Agent and any Lender of customary advertising material relating to the transactions contemplated hereby using the name, product photographs, logo and/or trademark of the Loan Parties and the circulation of similar promotional materials, on and following the Closing Date in the form of a “tombstone” or otherwise, containing information customarily included in such advertisements and materials consisting of (i) the names of the Loan Parties and their Affiliates (or any of them), (ii) the titles and roles in connection with the transactions hereunder and (iii) the amount, type and closing date of the Commitments and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or otherwise in any Loan Document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11.08      </w:t>
      </w:r>
      <w:r>
        <w:rPr>
          <w:rFonts w:ascii="Times New Roman;Times;Serif" w:hAnsi="Times New Roman;Times;Serif"/>
          <w:b/>
          <w:i w:val="false"/>
          <w:caps w:val="false"/>
          <w:smallCaps w:val="false"/>
          <w:sz w:val="20"/>
          <w:u w:val="single"/>
        </w:rPr>
        <w:t>Right of Setoff</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the L/C Issuer or such Affiliates, irrespective of whether or not such Lender, the L/C Issuer or Affiliate shall have made any demand under this Agreement or any other Loan Document and although such obligations of the Borrower or such Loan Party may be contingent or unmatured, secured or unsecured, or are owed to a branch, office or Affiliate of such Lender or the L/C Issuer different from the branch, office or Affiliate holding such deposit or obligated on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Secured Obligations owing to such Defaulting Lender as to which it exercised such right of setoff. The rights of each Lender, the L/C Issuer and their respective Affiliates under this </w:t>
      </w:r>
      <w:r>
        <w:rPr>
          <w:rFonts w:ascii="Times New Roman;Times;Serif" w:hAnsi="Times New Roman;Times;Serif"/>
          <w:b w:val="false"/>
          <w:i w:val="false"/>
          <w:caps w:val="false"/>
          <w:smallCaps w:val="false"/>
          <w:sz w:val="20"/>
          <w:u w:val="single"/>
        </w:rPr>
        <w:t>Section 11.08</w:t>
      </w:r>
      <w:r>
        <w:rPr>
          <w:rFonts w:ascii="Times New Roman;Times;Serif" w:hAnsi="Times New Roman;Times;Serif"/>
          <w:b w:val="false"/>
          <w:i w:val="false"/>
          <w:caps w:val="false"/>
          <w:smallCaps w:val="false"/>
          <w:sz w:val="20"/>
        </w:rPr>
        <w:t xml:space="preserve"> are in addition to other rights and remedies (including other rights of setoff) that such Lender, the L/C Issuer or their respective Affiliates may have under Applicable Law. Each Lender and the L/C Issuer agrees to notify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the Administrative Agent promptly after any such setoff and application, provided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11.09      </w:t>
      </w:r>
      <w:r>
        <w:rPr>
          <w:rFonts w:ascii="Times New Roman;Times;Serif" w:hAnsi="Times New Roman;Times;Serif"/>
          <w:b/>
          <w:i w:val="false"/>
          <w:caps w:val="false"/>
          <w:smallCaps w:val="false"/>
          <w:sz w:val="20"/>
          <w:u w:val="single"/>
        </w:rPr>
        <w:t>Interest Rate Limitation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in any Loan Document, the interest paid or agreed to be paid under the Loan Documents shall not exceed the maximum rate of non-usurious interest permitted by Applicable Law (the “</w:t>
      </w:r>
      <w:r>
        <w:rPr>
          <w:rFonts w:ascii="Times New Roman;Times;Serif" w:hAnsi="Times New Roman;Times;Serif"/>
          <w:b w:val="false"/>
          <w:i/>
          <w:caps w:val="false"/>
          <w:smallCaps w:val="false"/>
          <w:sz w:val="20"/>
          <w:u w:val="single"/>
        </w:rPr>
        <w:t>Maximum Rate</w:t>
      </w:r>
      <w:r>
        <w:rPr>
          <w:rFonts w:ascii="Times New Roman;Times;Serif" w:hAnsi="Times New Roman;Times;Serif"/>
          <w:b w:val="false"/>
          <w:i w:val="false"/>
          <w:caps w:val="false"/>
          <w:smallCaps w:val="false"/>
          <w:sz w:val="20"/>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11.10      </w:t>
      </w:r>
      <w:r>
        <w:rPr>
          <w:rFonts w:ascii="Times New Roman;Times;Serif" w:hAnsi="Times New Roman;Times;Serif"/>
          <w:b/>
          <w:i w:val="false"/>
          <w:caps w:val="false"/>
          <w:smallCaps w:val="false"/>
          <w:sz w:val="20"/>
          <w:u w:val="single"/>
        </w:rPr>
        <w:t>Integration; Effectiveness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11.11      </w:t>
      </w:r>
      <w:r>
        <w:rPr>
          <w:rFonts w:ascii="Times New Roman;Times;Serif" w:hAnsi="Times New Roman;Times;Serif"/>
          <w:b/>
          <w:i w:val="false"/>
          <w:caps w:val="false"/>
          <w:smallCaps w:val="false"/>
          <w:sz w:val="20"/>
          <w:u w:val="single"/>
        </w:rPr>
        <w:t>Survival of Representations and Warranties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11.12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if and to the extent that the enforceability of any provisions in this Agreement relating to Defaulting Lenders shall be limited by Debtor Relief Laws, as determined in good faith by the Administrative Agent, the L/C Issuer or the Swingline Lender, as applicable, then such provisions shall be deemed to be in effect only to the extent not so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11.13      </w:t>
      </w:r>
      <w:r>
        <w:rPr>
          <w:rFonts w:ascii="Times New Roman;Times;Serif" w:hAnsi="Times New Roman;Times;Serif"/>
          <w:b/>
          <w:i w:val="false"/>
          <w:caps w:val="false"/>
          <w:smallCaps w:val="false"/>
          <w:sz w:val="20"/>
          <w:u w:val="single"/>
        </w:rPr>
        <w:t>Replacement of Lenders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Borrower is entitled to replace a Lender pursuant to the provisions of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or if any Lender is a Defaulting Lender or a Non-Consenting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all of its interests, rights (other than its existing rights to payments pursuant to </w:t>
      </w:r>
      <w:r>
        <w:rPr>
          <w:rFonts w:ascii="Times New Roman;Times;Serif" w:hAnsi="Times New Roman;Times;Serif"/>
          <w:b w:val="false"/>
          <w:i w:val="false"/>
          <w:caps w:val="false"/>
          <w:smallCaps w:val="false"/>
          <w:sz w:val="20"/>
          <w:u w:val="single"/>
        </w:rPr>
        <w:t>Sections 3.01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3.04</w:t>
      </w:r>
      <w:r>
        <w:rPr>
          <w:rFonts w:ascii="Times New Roman;Times;Serif" w:hAnsi="Times New Roman;Times;Serif"/>
          <w:b w:val="false"/>
          <w:i w:val="false"/>
          <w:caps w:val="false"/>
          <w:smallCaps w:val="false"/>
          <w:sz w:val="20"/>
        </w:rPr>
        <w:t xml:space="preserve">) and obligations under this Agreement and the related Loan Documents to an Eligible Assignee that shall assume such obligations (which assignee may be another Lender, if a Lender accepts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shall have paid to the Administrative Agent the assignment fee (if any) specified in </w:t>
      </w:r>
      <w:r>
        <w:rPr>
          <w:rFonts w:ascii="Times New Roman;Times;Serif" w:hAnsi="Times New Roman;Times;Serif"/>
          <w:b w:val="false"/>
          <w:i w:val="false"/>
          <w:caps w:val="false"/>
          <w:smallCaps w:val="false"/>
          <w:sz w:val="20"/>
          <w:u w:val="single"/>
        </w:rPr>
        <w:t>Section 11.06(b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from the assignee (to the extent of such outstanding principal and accrued interest and fees) or the Borrower (in the case of all other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case of any such assignment resulting from a claim for compensation under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or payments required to be made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such assignment will result in a reduction in such compensation or payments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assignment does not conflict with Applicable Laws;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case of an assignment resulting from a Lender becoming a Non-Consenting Lender, the applicable assignee shall have consented to the applicable amendment, waiver or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hereto agrees that (i) an assignment required pursuant to this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 be bound by the terms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such documents shall be without recourse to or warranty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in this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to the contrary, (A)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and pursuant to arrangements reasonably satisfactory to the L/C Issuer) have been made with respect to such outstanding Letter of Credit and (B) the Lender that acts as the Administrative Agent may not be replaced hereunder except in accordance with the terms of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11.14      </w:t>
      </w:r>
      <w:r>
        <w:rPr>
          <w:rFonts w:ascii="Times New Roman;Times;Serif" w:hAnsi="Times New Roman;Times;Serif"/>
          <w:b/>
          <w:i w:val="false"/>
          <w:caps w:val="false"/>
          <w:smallCaps w:val="false"/>
          <w:sz w:val="20"/>
          <w:u w:val="single"/>
        </w:rPr>
        <w:t>Governing Law; Jurisdiction; Etc</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LOAN PARTY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WAIVER OF VENUE</w:t>
      </w:r>
      <w:r>
        <w:rPr>
          <w:rFonts w:ascii="Times New Roman;Times;Serif" w:hAnsi="Times New Roman;Times;Serif"/>
          <w:b w:val="false"/>
          <w:i w:val="false"/>
          <w:caps w:val="false"/>
          <w:smallCaps w:val="false"/>
          <w:sz w:val="20"/>
        </w:rPr>
        <w:t xml:space="preserve">.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 THE BORROWER AND EACH OTHER LOAN PARTY IRREVOCABLY AND UNCONDITIONALLY WAIVES, TO THE FULLEST EXTENT PERMITTED BY APPLICABLE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SERVICE OF PROCESS</w:t>
      </w:r>
      <w:r>
        <w:rPr>
          <w:rFonts w:ascii="Times New Roman;Times;Serif" w:hAnsi="Times New Roman;Times;Serif"/>
          <w:b w:val="false"/>
          <w:i w:val="false"/>
          <w:caps w:val="false"/>
          <w:smallCaps w:val="false"/>
          <w:sz w:val="20"/>
        </w:rPr>
        <w:t xml:space="preserve">. EACH PARTY HERETO IRREVOCABLY CONSENTS TO SERVICE OF PROCESS IN THE MANNER PROVIDED FOR NOTICES IN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NOTHING IN THIS AGREEMENT WILL AFFECT THE RIGHT OF ANY PARTY HERETO TO SERVE PROCESS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11.15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Times;Serif" w:hAnsi="Times New Roman;Times;Serif"/>
          <w:b w:val="false"/>
          <w:i w:val="false"/>
          <w:caps w:val="false"/>
          <w:smallCaps w:val="false"/>
          <w:sz w:val="20"/>
          <w:u w:val="single"/>
        </w:rPr>
        <w:t>SECTION 11.15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11.16      </w:t>
      </w:r>
      <w:r>
        <w:rPr>
          <w:rFonts w:ascii="Times New Roman;Times;Serif" w:hAnsi="Times New Roman;Times;Serif"/>
          <w:b/>
          <w:i w:val="false"/>
          <w:caps w:val="false"/>
          <w:smallCaps w:val="false"/>
          <w:sz w:val="20"/>
          <w:u w:val="single"/>
        </w:rPr>
        <w:t>Subordination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Loan Party (a “</w:t>
      </w:r>
      <w:r>
        <w:rPr>
          <w:rFonts w:ascii="Times New Roman;Times;Serif" w:hAnsi="Times New Roman;Times;Serif"/>
          <w:b w:val="false"/>
          <w:i/>
          <w:caps w:val="false"/>
          <w:smallCaps w:val="false"/>
          <w:sz w:val="20"/>
          <w:u w:val="single"/>
        </w:rPr>
        <w:t>Subordinating Loan Party</w:t>
      </w:r>
      <w:r>
        <w:rPr>
          <w:rFonts w:ascii="Times New Roman;Times;Serif" w:hAnsi="Times New Roman;Times;Serif"/>
          <w:b w:val="false"/>
          <w:i w:val="false"/>
          <w:caps w:val="false"/>
          <w:smallCaps w:val="false"/>
          <w:sz w:val="20"/>
        </w:rPr>
        <w:t xml:space="preserve">”) hereby subordinates the payment of all obligations and indebtedness of any other Subsidiary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indefeasible payment in full in cash of all Obligations. If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Default has occurred and is continuing, the Loan Parties may make and receive payments with respect to Intercompany Debt;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Loan Party receives any payment of any Intercompany Debt at a time when such payment is prohibited by this </w:t>
      </w:r>
      <w:r>
        <w:rPr>
          <w:rFonts w:ascii="Times New Roman;Times;Serif" w:hAnsi="Times New Roman;Times;Serif"/>
          <w:b w:val="false"/>
          <w:i w:val="false"/>
          <w:caps w:val="false"/>
          <w:smallCaps w:val="false"/>
          <w:sz w:val="20"/>
          <w:u w:val="single"/>
        </w:rPr>
        <w:t>Section 11.16</w:t>
      </w:r>
      <w:r>
        <w:rPr>
          <w:rFonts w:ascii="Times New Roman;Times;Serif" w:hAnsi="Times New Roman;Times;Serif"/>
          <w:b w:val="false"/>
          <w:i w:val="false"/>
          <w:caps w:val="false"/>
          <w:smallCaps w:val="false"/>
          <w:sz w:val="20"/>
        </w:rPr>
        <w:t>, such payment shall be held by such Loan Party, in trust for the benefit of, and shall be paid forthwith over and delivered, upon written request,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11.17      </w:t>
      </w:r>
      <w:r>
        <w:rPr>
          <w:rFonts w:ascii="Times New Roman;Times;Serif" w:hAnsi="Times New Roman;Times;Serif"/>
          <w:b/>
          <w:i w:val="false"/>
          <w:caps w:val="false"/>
          <w:smallCaps w:val="false"/>
          <w:sz w:val="20"/>
          <w:u w:val="single"/>
        </w:rPr>
        <w:t>No Advisory or Fiduciary Responsibility</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(a) (i) the arranging and other services regarding this Agreement provided by the Administrative Agent, the Arranger and the Lenders and their respective Affiliates are arm’s-length commercial transactions between the Borrower, each other Loan Party and their respective Affiliates, on the one hand, and the Administrative Agent, the Arranger and the Lenders and their respective Affiliates,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 (b) (i) the Administrative Agent, the Arranger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each of their respective Affiliates each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(ii) neither the Administrative Agent, the Arranger, nor any Lender nor any of their respective Affiliates has any obligation to the Borrower, any other Loan Party or any of their respective Affiliates with respect to the transactions contemplated hereby except those obligations expressly set forth herein and in the other Loan Documents; and (c) the Administrative Agent, the Arranger and the Lenders and their respective Affiliates may be engaged in a broad range of transactions that involve interests that differ from those of the Borrower, the other Loan Parties and their respective Affiliates, and neither the Administrative Agent, the Arranger, nor any Lender nor any of their respective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the Arranger, the Lenders and their respective Affiliates with respect to any breach or alleged breach of agency or fiduciary duty in connection with any aspect of any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11.18      </w:t>
      </w:r>
      <w:r>
        <w:rPr>
          <w:rFonts w:ascii="Times New Roman;Times;Serif" w:hAnsi="Times New Roman;Times;Serif"/>
          <w:b/>
          <w:i w:val="false"/>
          <w:caps w:val="false"/>
          <w:smallCaps w:val="false"/>
          <w:sz w:val="20"/>
          <w:u w:val="single"/>
        </w:rPr>
        <w:t>Electronic Execution; Electronic Records; Counterparts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any Loan Document and any other Communication, including Communications required to be in writing, may be in the form of an Electronic Record and may be executed using Electronic Signatures. Each of the Loan Parties and each of the Administrative Agent, the L/C Issuer, the Swingline Lender, and each Lender (collectively, each a “</w:t>
      </w:r>
      <w:r>
        <w:rPr>
          <w:rFonts w:ascii="Times New Roman;Times;Serif" w:hAnsi="Times New Roman;Times;Serif"/>
          <w:b w:val="false"/>
          <w:i/>
          <w:caps w:val="false"/>
          <w:smallCaps w:val="false"/>
          <w:sz w:val="20"/>
          <w:u w:val="single"/>
        </w:rPr>
        <w:t>Credit Party</w:t>
      </w:r>
      <w:r>
        <w:rPr>
          <w:rFonts w:ascii="Times New Roman;Times;Serif" w:hAnsi="Times New Roman;Times;Serif"/>
          <w:b w:val="false"/>
          <w:i w:val="false"/>
          <w:caps w:val="false"/>
          <w:smallCaps w:val="false"/>
          <w:sz w:val="20"/>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w:t>
      </w:r>
      <w:r>
        <w:rPr>
          <w:rFonts w:ascii="Times New Roman;Times;Serif" w:hAnsi="Times New Roman;Times;Serif"/>
          <w:b w:val="false"/>
          <w:i/>
          <w:caps w:val="false"/>
          <w:smallCaps w:val="false"/>
          <w:sz w:val="20"/>
          <w:u w:val="single"/>
        </w:rPr>
        <w:t>Electronic Copy</w:t>
      </w:r>
      <w:r>
        <w:rPr>
          <w:rFonts w:ascii="Times New Roman;Times;Serif" w:hAnsi="Times New Roman;Times;Serif"/>
          <w:b w:val="false"/>
          <w:i w:val="false"/>
          <w:caps w:val="false"/>
          <w:smallCaps w:val="false"/>
          <w:sz w:val="20"/>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Swingline Lender is under any obligation to accept an Electronic Signature in any form or in any format unless expressly agreed to by such Person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without limiting the foregoing, (a) to the extent the Administrative Agent, L/C Issuer and/or Swingline Lender has agreed to accept such Electronic Signature, the Administrative Agent and each of the Credit Parties shall be entitled to rely on any such Electronic Signature purportedly given by or on behalf of any Loan Party and/or any Credit Party without further verification and (b) upon the request of the Administrative Agent or any Credit Party, any Electronic Signature shall be promptly followed by such manually executed counterpart.  For purposes hereof, “</w:t>
      </w:r>
      <w:r>
        <w:rPr>
          <w:rFonts w:ascii="Times New Roman;Times;Serif" w:hAnsi="Times New Roman;Times;Serif"/>
          <w:b w:val="false"/>
          <w:i/>
          <w:caps w:val="false"/>
          <w:smallCaps w:val="false"/>
          <w:sz w:val="20"/>
          <w:u w:val="single"/>
        </w:rPr>
        <w:t>Electronic Record</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u w:val="single"/>
        </w:rPr>
        <w:t>Electronic Signature</w:t>
      </w:r>
      <w:r>
        <w:rPr>
          <w:rFonts w:ascii="Times New Roman;Times;Serif" w:hAnsi="Times New Roman;Times;Serif"/>
          <w:b w:val="false"/>
          <w:i w:val="false"/>
          <w:caps w:val="false"/>
          <w:smallCaps w:val="false"/>
          <w:sz w:val="20"/>
        </w:rPr>
        <w:t>” shall have the meanings assigned to them, respectively, by 15 USC §7006,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Administrative Agent, L/C Issuer nor Swingline Lender shall be responsible for or have any duty to ascertain or inquire into the sufficiency, validity, enforceability, effectiveness or genuineness of any Loan Document or any other agreement, instrument or document (including, for the avoidance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doubt, in connection with the Administrative Agent’s, L/C Issuer’s or Swingline Lender’s reliance on any Electronic Signature transmitted by telecopy, emailed .pdf or any other electronic means). The Administrative Agent, L/C Issuer and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Loan Parties and each Credit Party hereby waives (i) any argument, defense or right to contest the legal effect, validity or enforceability of this Agreement and/or any other Loan Document based solely on the lack of paper original copies of this Agreement and/or such other Loan Document, and (ii) waives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11.19      </w:t>
      </w:r>
      <w:r>
        <w:rPr>
          <w:rFonts w:ascii="Times New Roman;Times;Serif" w:hAnsi="Times New Roman;Times;Serif"/>
          <w:b/>
          <w:i w:val="false"/>
          <w:caps w:val="false"/>
          <w:smallCaps w:val="false"/>
          <w:sz w:val="20"/>
          <w:u w:val="single"/>
        </w:rPr>
        <w:t>USA Patriot Act Notice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that is subject to the Patriot Act and the Administrative Agent (for itself and not on behalf of any Lender) hereby notifies the Borrower and the other Loan Parties that pursuant to the requirements of the USA PATRIOT Act (Title III of Pub. L. 107–56 (signed into law October 26, 2001)) (the “</w:t>
      </w:r>
      <w:r>
        <w:rPr>
          <w:rFonts w:ascii="Times New Roman;Times;Serif" w:hAnsi="Times New Roman;Times;Serif"/>
          <w:b w:val="false"/>
          <w:i/>
          <w:caps w:val="false"/>
          <w:smallCaps w:val="false"/>
          <w:sz w:val="20"/>
          <w:u w:val="single"/>
        </w:rPr>
        <w:t>Patriot Act</w:t>
      </w:r>
      <w:r>
        <w:rPr>
          <w:rFonts w:ascii="Times New Roman;Times;Serif" w:hAnsi="Times New Roman;Times;Serif"/>
          <w:b w:val="false"/>
          <w:i w:val="false"/>
          <w:caps w:val="false"/>
          <w:smallCaps w:val="false"/>
          <w:sz w:val="20"/>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Patriot Act. The Borrower and each other Loan Party shall,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11.20      </w:t>
      </w:r>
      <w:r>
        <w:rPr>
          <w:rFonts w:ascii="Times New Roman;Times;Serif" w:hAnsi="Times New Roman;Times;Serif"/>
          <w:b/>
          <w:i w:val="false"/>
          <w:caps w:val="false"/>
          <w:smallCaps w:val="false"/>
          <w:sz w:val="20"/>
          <w:u w:val="single"/>
        </w:rPr>
        <w:t>Acknowledgement and Consent to Bail-In of Affected Financial Institutions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Lender or L/C Issuer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11.21      </w:t>
      </w:r>
      <w:r>
        <w:rPr>
          <w:rFonts w:ascii="Times New Roman;Times;Serif" w:hAnsi="Times New Roman;Times;Serif"/>
          <w:b/>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Loan Documents provide support, through a guarantee or otherwise, for any Swap Contract or any other agreement or instrument that is a QFC (such support, “</w:t>
      </w:r>
      <w:r>
        <w:rPr>
          <w:rFonts w:ascii="Times New Roman;Times;Serif" w:hAnsi="Times New Roman;Times;Serif"/>
          <w:b w:val="false"/>
          <w:i/>
          <w:caps w:val="false"/>
          <w:smallCaps w:val="false"/>
          <w:sz w:val="20"/>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val="false"/>
          <w:i/>
          <w:caps w:val="false"/>
          <w:smallCaps w:val="false"/>
          <w:sz w:val="20"/>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val="false"/>
          <w:i/>
          <w:caps w:val="false"/>
          <w:smallCaps w:val="false"/>
          <w:sz w:val="20"/>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Times;Serif" w:hAnsi="Times New Roman;Times;Serif"/>
          <w:b w:val="false"/>
          <w:i/>
          <w:caps w:val="false"/>
          <w:smallCaps w:val="false"/>
          <w:sz w:val="20"/>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164" w:type="dxa"/>
        <w:jc w:val="left"/>
        <w:tblInd w:w="0" w:type="dxa"/>
        <w:tblLayout w:type="fixed"/>
        <w:tblCellMar>
          <w:top w:w="0" w:type="dxa"/>
          <w:left w:w="0" w:type="dxa"/>
          <w:bottom w:w="0" w:type="dxa"/>
          <w:right w:w="0" w:type="dxa"/>
        </w:tblCellMar>
      </w:tblPr>
      <w:tblGrid>
        <w:gridCol w:w="1265"/>
        <w:gridCol w:w="508"/>
        <w:gridCol w:w="2391"/>
      </w:tblGrid>
      <w:tr>
        <w:trPr/>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BORROWER</w:t>
            </w:r>
            <w:r>
              <w:rPr>
                <w:rFonts w:ascii="Times New Roman;Times;Serif" w:hAnsi="Times New Roman;Times;Serif"/>
                <w:sz w:val="20"/>
              </w:rPr>
              <w:t>:</w:t>
            </w:r>
          </w:p>
        </w:tc>
        <w:tc>
          <w:tcPr>
            <w:tcW w:w="2899" w:type="dxa"/>
            <w:gridSpan w:val="2"/>
            <w:tcBorders/>
            <w:vAlign w:val="center"/>
          </w:tcPr>
          <w:p>
            <w:pPr>
              <w:pStyle w:val="TableContents"/>
              <w:bidi w:val="0"/>
              <w:spacing w:before="0" w:after="283"/>
              <w:jc w:val="left"/>
              <w:rPr>
                <w:b/>
              </w:rPr>
            </w:pPr>
            <w:r>
              <w:rPr>
                <w:b/>
              </w:rPr>
              <w:t>ASURE SOFTWARE INC.</w:t>
            </w:r>
          </w:p>
        </w:tc>
      </w:tr>
      <w:tr>
        <w:trPr/>
        <w:tc>
          <w:tcPr>
            <w:tcW w:w="1265" w:type="dxa"/>
            <w:tcBorders/>
            <w:vAlign w:val="center"/>
          </w:tcPr>
          <w:p>
            <w:pPr>
              <w:pStyle w:val="TableContents"/>
              <w:bidi w:val="0"/>
              <w:spacing w:before="0" w:after="283"/>
              <w:jc w:val="both"/>
              <w:rPr/>
            </w:pPr>
            <w:r>
              <w:rPr/>
              <w:t> </w:t>
            </w:r>
          </w:p>
        </w:tc>
        <w:tc>
          <w:tcPr>
            <w:tcW w:w="2899" w:type="dxa"/>
            <w:gridSpan w:val="2"/>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both"/>
              <w:rPr/>
            </w:pPr>
            <w:r>
              <w:rPr/>
              <w:t> </w:t>
            </w:r>
          </w:p>
        </w:tc>
        <w:tc>
          <w:tcPr>
            <w:tcW w:w="508" w:type="dxa"/>
            <w:tcBorders/>
            <w:vAlign w:val="center"/>
          </w:tcPr>
          <w:p>
            <w:pPr>
              <w:pStyle w:val="TableContents"/>
              <w:bidi w:val="0"/>
              <w:spacing w:before="0" w:after="283"/>
              <w:jc w:val="left"/>
              <w:rPr/>
            </w:pPr>
            <w:r>
              <w:rPr/>
              <w:t>By:</w:t>
            </w:r>
          </w:p>
        </w:tc>
        <w:tc>
          <w:tcPr>
            <w:tcW w:w="2391" w:type="dxa"/>
            <w:tcBorders>
              <w:bottom w:val="single" w:sz="8" w:space="0" w:color="000000"/>
            </w:tcBorders>
            <w:tcMar>
              <w:bottom w:w="28" w:type="dxa"/>
            </w:tcMar>
            <w:vAlign w:val="center"/>
          </w:tcPr>
          <w:p>
            <w:pPr>
              <w:pStyle w:val="TableContents"/>
              <w:bidi w:val="0"/>
              <w:spacing w:before="0" w:after="283"/>
              <w:jc w:val="left"/>
              <w:rPr/>
            </w:pPr>
            <w:r>
              <w:rPr/>
              <w:t>/s/ Patrick Goepel</w:t>
            </w:r>
          </w:p>
        </w:tc>
      </w:tr>
      <w:tr>
        <w:trPr/>
        <w:tc>
          <w:tcPr>
            <w:tcW w:w="1265" w:type="dxa"/>
            <w:tcBorders/>
            <w:vAlign w:val="center"/>
          </w:tcPr>
          <w:p>
            <w:pPr>
              <w:pStyle w:val="TableContents"/>
              <w:bidi w:val="0"/>
              <w:spacing w:before="0" w:after="283"/>
              <w:jc w:val="both"/>
              <w:rPr/>
            </w:pPr>
            <w:r>
              <w:rPr/>
              <w:t> </w:t>
            </w:r>
          </w:p>
        </w:tc>
        <w:tc>
          <w:tcPr>
            <w:tcW w:w="2899" w:type="dxa"/>
            <w:gridSpan w:val="2"/>
            <w:tcBorders/>
            <w:vAlign w:val="center"/>
          </w:tcPr>
          <w:p>
            <w:pPr>
              <w:pStyle w:val="TableContents"/>
              <w:bidi w:val="0"/>
              <w:spacing w:before="0" w:after="283"/>
              <w:jc w:val="left"/>
              <w:rPr/>
            </w:pPr>
            <w:r>
              <w:rPr/>
              <w:t>Name: Patrick Goepel</w:t>
            </w:r>
          </w:p>
        </w:tc>
      </w:tr>
      <w:tr>
        <w:trPr/>
        <w:tc>
          <w:tcPr>
            <w:tcW w:w="1265" w:type="dxa"/>
            <w:tcBorders/>
            <w:vAlign w:val="center"/>
          </w:tcPr>
          <w:p>
            <w:pPr>
              <w:pStyle w:val="TableContents"/>
              <w:bidi w:val="0"/>
              <w:spacing w:before="0" w:after="283"/>
              <w:jc w:val="both"/>
              <w:rPr/>
            </w:pPr>
            <w:r>
              <w:rPr/>
              <w:t> </w:t>
            </w:r>
          </w:p>
        </w:tc>
        <w:tc>
          <w:tcPr>
            <w:tcW w:w="2899" w:type="dxa"/>
            <w:gridSpan w:val="2"/>
            <w:tcBorders/>
            <w:vAlign w:val="center"/>
          </w:tcPr>
          <w:p>
            <w:pPr>
              <w:pStyle w:val="TableContents"/>
              <w:bidi w:val="0"/>
              <w:spacing w:before="0" w:after="283"/>
              <w:jc w:val="left"/>
              <w:rPr/>
            </w:pPr>
            <w:r>
              <w:rPr/>
              <w:t>Title: Chief Executive Officer</w:t>
            </w:r>
          </w:p>
        </w:tc>
      </w:tr>
    </w:tbl>
    <w:p>
      <w:pPr>
        <w:pStyle w:val="TextBody"/>
        <w:bidi w:val="0"/>
        <w:spacing w:before="0" w:after="283"/>
        <w:jc w:val="left"/>
        <w:rPr/>
      </w:pPr>
      <w:r>
        <w:rPr/>
        <w:t> </w:t>
      </w:r>
    </w:p>
    <w:tbl>
      <w:tblPr>
        <w:tblW w:w="6474" w:type="dxa"/>
        <w:jc w:val="left"/>
        <w:tblInd w:w="0" w:type="dxa"/>
        <w:tblLayout w:type="fixed"/>
        <w:tblCellMar>
          <w:top w:w="0" w:type="dxa"/>
          <w:left w:w="0" w:type="dxa"/>
          <w:bottom w:w="0" w:type="dxa"/>
          <w:right w:w="0" w:type="dxa"/>
        </w:tblCellMar>
      </w:tblPr>
      <w:tblGrid>
        <w:gridCol w:w="1850"/>
        <w:gridCol w:w="655"/>
        <w:gridCol w:w="3969"/>
      </w:tblGrid>
      <w:tr>
        <w:trPr/>
        <w:tc>
          <w:tcPr>
            <w:tcW w:w="1850" w:type="dxa"/>
            <w:tcBorders/>
            <w:vAlign w:val="center"/>
          </w:tcPr>
          <w:p>
            <w:pPr>
              <w:pStyle w:val="TableContents"/>
              <w:bidi w:val="0"/>
              <w:spacing w:before="0" w:after="283"/>
              <w:jc w:val="both"/>
              <w:rPr>
                <w:b/>
              </w:rPr>
            </w:pPr>
            <w:r>
              <w:rPr>
                <w:b/>
                <w:u w:val="single"/>
              </w:rPr>
              <w:t>GUARANTORS</w:t>
            </w:r>
            <w:r>
              <w:rPr>
                <w:b/>
              </w:rPr>
              <w:t>:</w:t>
            </w:r>
          </w:p>
        </w:tc>
        <w:tc>
          <w:tcPr>
            <w:tcW w:w="4624" w:type="dxa"/>
            <w:gridSpan w:val="2"/>
            <w:tcBorders/>
            <w:vAlign w:val="center"/>
          </w:tcPr>
          <w:p>
            <w:pPr>
              <w:pStyle w:val="TableContents"/>
              <w:bidi w:val="0"/>
              <w:spacing w:before="0" w:after="283"/>
              <w:jc w:val="left"/>
              <w:rPr>
                <w:b/>
              </w:rPr>
            </w:pPr>
            <w:r>
              <w:rPr>
                <w:b/>
              </w:rPr>
              <w:t>ASURE BENEFITS MANAGEMENT LLC</w:t>
            </w:r>
          </w:p>
        </w:tc>
      </w:tr>
      <w:tr>
        <w:trPr/>
        <w:tc>
          <w:tcPr>
            <w:tcW w:w="1850" w:type="dxa"/>
            <w:tcBorders/>
            <w:vAlign w:val="center"/>
          </w:tcPr>
          <w:p>
            <w:pPr>
              <w:pStyle w:val="TableContents"/>
              <w:bidi w:val="0"/>
              <w:spacing w:before="0" w:after="283"/>
              <w:jc w:val="both"/>
              <w:rPr/>
            </w:pPr>
            <w:r>
              <w:rPr/>
              <w:t> </w:t>
            </w:r>
          </w:p>
        </w:tc>
        <w:tc>
          <w:tcPr>
            <w:tcW w:w="4624"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both"/>
              <w:rPr/>
            </w:pPr>
            <w:r>
              <w:rPr/>
              <w:t> </w:t>
            </w:r>
          </w:p>
        </w:tc>
        <w:tc>
          <w:tcPr>
            <w:tcW w:w="655" w:type="dxa"/>
            <w:tcBorders/>
            <w:vAlign w:val="center"/>
          </w:tcPr>
          <w:p>
            <w:pPr>
              <w:pStyle w:val="TableContents"/>
              <w:bidi w:val="0"/>
              <w:spacing w:before="0" w:after="283"/>
              <w:jc w:val="left"/>
              <w:rPr/>
            </w:pPr>
            <w:r>
              <w:rPr/>
              <w:t>By:</w:t>
            </w:r>
          </w:p>
        </w:tc>
        <w:tc>
          <w:tcPr>
            <w:tcW w:w="3969" w:type="dxa"/>
            <w:tcBorders>
              <w:bottom w:val="single" w:sz="8" w:space="0" w:color="000000"/>
            </w:tcBorders>
            <w:tcMar>
              <w:bottom w:w="28" w:type="dxa"/>
            </w:tcMar>
            <w:vAlign w:val="center"/>
          </w:tcPr>
          <w:p>
            <w:pPr>
              <w:pStyle w:val="TableContents"/>
              <w:bidi w:val="0"/>
              <w:spacing w:before="0" w:after="283"/>
              <w:jc w:val="left"/>
              <w:rPr/>
            </w:pPr>
            <w:r>
              <w:rPr/>
              <w:t>/s/ Patrick Goepel           </w:t>
            </w:r>
          </w:p>
        </w:tc>
      </w:tr>
      <w:tr>
        <w:trPr/>
        <w:tc>
          <w:tcPr>
            <w:tcW w:w="1850" w:type="dxa"/>
            <w:tcBorders/>
            <w:vAlign w:val="center"/>
          </w:tcPr>
          <w:p>
            <w:pPr>
              <w:pStyle w:val="TableContents"/>
              <w:bidi w:val="0"/>
              <w:spacing w:before="0" w:after="283"/>
              <w:jc w:val="both"/>
              <w:rPr/>
            </w:pPr>
            <w:r>
              <w:rPr/>
              <w:t> </w:t>
            </w:r>
          </w:p>
        </w:tc>
        <w:tc>
          <w:tcPr>
            <w:tcW w:w="4624" w:type="dxa"/>
            <w:gridSpan w:val="2"/>
            <w:tcBorders/>
            <w:vAlign w:val="center"/>
          </w:tcPr>
          <w:p>
            <w:pPr>
              <w:pStyle w:val="TableContents"/>
              <w:bidi w:val="0"/>
              <w:spacing w:before="0" w:after="283"/>
              <w:jc w:val="left"/>
              <w:rPr/>
            </w:pPr>
            <w:r>
              <w:rPr/>
              <w:t>Name: Patrick Goepel</w:t>
            </w:r>
          </w:p>
        </w:tc>
      </w:tr>
      <w:tr>
        <w:trPr/>
        <w:tc>
          <w:tcPr>
            <w:tcW w:w="1850" w:type="dxa"/>
            <w:tcBorders/>
            <w:vAlign w:val="center"/>
          </w:tcPr>
          <w:p>
            <w:pPr>
              <w:pStyle w:val="TableContents"/>
              <w:bidi w:val="0"/>
              <w:spacing w:before="0" w:after="283"/>
              <w:jc w:val="both"/>
              <w:rPr/>
            </w:pPr>
            <w:r>
              <w:rPr/>
              <w:t> </w:t>
            </w:r>
          </w:p>
        </w:tc>
        <w:tc>
          <w:tcPr>
            <w:tcW w:w="4624" w:type="dxa"/>
            <w:gridSpan w:val="2"/>
            <w:tcBorders/>
            <w:vAlign w:val="center"/>
          </w:tcPr>
          <w:p>
            <w:pPr>
              <w:pStyle w:val="TableContents"/>
              <w:bidi w:val="0"/>
              <w:spacing w:before="0" w:after="283"/>
              <w:jc w:val="left"/>
              <w:rPr/>
            </w:pPr>
            <w:r>
              <w:rPr/>
              <w:t>Title: Chief Executive Officer</w:t>
            </w:r>
          </w:p>
        </w:tc>
      </w:tr>
    </w:tbl>
    <w:p>
      <w:pPr>
        <w:pStyle w:val="TextBody"/>
        <w:bidi w:val="0"/>
        <w:spacing w:before="0" w:after="283"/>
        <w:jc w:val="left"/>
        <w:rPr/>
      </w:pPr>
      <w:r>
        <w:rPr/>
        <w:t> </w:t>
      </w:r>
    </w:p>
    <w:tbl>
      <w:tblPr>
        <w:tblW w:w="4659" w:type="dxa"/>
        <w:jc w:val="left"/>
        <w:tblInd w:w="0" w:type="dxa"/>
        <w:tblLayout w:type="fixed"/>
        <w:tblCellMar>
          <w:top w:w="0" w:type="dxa"/>
          <w:left w:w="0" w:type="dxa"/>
          <w:bottom w:w="0" w:type="dxa"/>
          <w:right w:w="0" w:type="dxa"/>
        </w:tblCellMar>
      </w:tblPr>
      <w:tblGrid>
        <w:gridCol w:w="80"/>
        <w:gridCol w:w="649"/>
        <w:gridCol w:w="3930"/>
      </w:tblGrid>
      <w:tr>
        <w:trPr/>
        <w:tc>
          <w:tcPr>
            <w:tcW w:w="80" w:type="dxa"/>
            <w:tcBorders/>
            <w:vAlign w:val="center"/>
          </w:tcPr>
          <w:p>
            <w:pPr>
              <w:pStyle w:val="TableContents"/>
              <w:bidi w:val="0"/>
              <w:spacing w:before="0" w:after="283"/>
              <w:jc w:val="left"/>
              <w:rPr>
                <w:sz w:val="4"/>
                <w:szCs w:val="4"/>
              </w:rPr>
            </w:pPr>
            <w:r>
              <w:rPr>
                <w:sz w:val="4"/>
                <w:szCs w:val="4"/>
              </w:rPr>
            </w:r>
          </w:p>
        </w:tc>
        <w:tc>
          <w:tcPr>
            <w:tcW w:w="4579" w:type="dxa"/>
            <w:gridSpan w:val="2"/>
            <w:tcBorders/>
            <w:vAlign w:val="center"/>
          </w:tcPr>
          <w:p>
            <w:pPr>
              <w:pStyle w:val="TableContents"/>
              <w:bidi w:val="0"/>
              <w:spacing w:before="0" w:after="283"/>
              <w:jc w:val="left"/>
              <w:rPr>
                <w:b/>
              </w:rPr>
            </w:pPr>
            <w:r>
              <w:rPr>
                <w:b/>
              </w:rPr>
              <w:t>ASURE CUSTOMER &amp; IP HOLDCO LLC</w:t>
            </w:r>
          </w:p>
        </w:tc>
      </w:tr>
      <w:tr>
        <w:trPr/>
        <w:tc>
          <w:tcPr>
            <w:tcW w:w="80" w:type="dxa"/>
            <w:tcBorders/>
            <w:vAlign w:val="center"/>
          </w:tcPr>
          <w:p>
            <w:pPr>
              <w:pStyle w:val="TableContents"/>
              <w:bidi w:val="0"/>
              <w:spacing w:before="0" w:after="283"/>
              <w:jc w:val="both"/>
              <w:rPr/>
            </w:pPr>
            <w:r>
              <w:rPr/>
              <w:t> </w:t>
            </w:r>
          </w:p>
        </w:tc>
        <w:tc>
          <w:tcPr>
            <w:tcW w:w="457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both"/>
              <w:rPr/>
            </w:pPr>
            <w:r>
              <w:rPr/>
              <w:t> </w:t>
            </w:r>
          </w:p>
        </w:tc>
        <w:tc>
          <w:tcPr>
            <w:tcW w:w="649" w:type="dxa"/>
            <w:tcBorders/>
            <w:vAlign w:val="center"/>
          </w:tcPr>
          <w:p>
            <w:pPr>
              <w:pStyle w:val="TableContents"/>
              <w:bidi w:val="0"/>
              <w:spacing w:before="0" w:after="283"/>
              <w:jc w:val="left"/>
              <w:rPr/>
            </w:pPr>
            <w:r>
              <w:rPr/>
              <w:t>By:</w:t>
            </w:r>
          </w:p>
        </w:tc>
        <w:tc>
          <w:tcPr>
            <w:tcW w:w="3930" w:type="dxa"/>
            <w:tcBorders>
              <w:bottom w:val="single" w:sz="8" w:space="0" w:color="000000"/>
            </w:tcBorders>
            <w:tcMar>
              <w:bottom w:w="28" w:type="dxa"/>
            </w:tcMar>
            <w:vAlign w:val="center"/>
          </w:tcPr>
          <w:p>
            <w:pPr>
              <w:pStyle w:val="TableContents"/>
              <w:bidi w:val="0"/>
              <w:spacing w:before="0" w:after="283"/>
              <w:jc w:val="left"/>
              <w:rPr/>
            </w:pPr>
            <w:r>
              <w:rPr/>
              <w:t>/s/ Patrick Goepel           </w:t>
            </w:r>
          </w:p>
        </w:tc>
      </w:tr>
      <w:tr>
        <w:trPr/>
        <w:tc>
          <w:tcPr>
            <w:tcW w:w="80" w:type="dxa"/>
            <w:tcBorders/>
            <w:vAlign w:val="center"/>
          </w:tcPr>
          <w:p>
            <w:pPr>
              <w:pStyle w:val="TableContents"/>
              <w:bidi w:val="0"/>
              <w:spacing w:before="0" w:after="283"/>
              <w:jc w:val="both"/>
              <w:rPr/>
            </w:pPr>
            <w:r>
              <w:rPr/>
              <w:t> </w:t>
            </w:r>
          </w:p>
        </w:tc>
        <w:tc>
          <w:tcPr>
            <w:tcW w:w="4579" w:type="dxa"/>
            <w:gridSpan w:val="2"/>
            <w:tcBorders/>
            <w:vAlign w:val="center"/>
          </w:tcPr>
          <w:p>
            <w:pPr>
              <w:pStyle w:val="TableContents"/>
              <w:bidi w:val="0"/>
              <w:spacing w:before="0" w:after="283"/>
              <w:jc w:val="left"/>
              <w:rPr/>
            </w:pPr>
            <w:r>
              <w:rPr/>
              <w:t>Name: Patrick Goepel</w:t>
            </w:r>
          </w:p>
        </w:tc>
      </w:tr>
      <w:tr>
        <w:trPr/>
        <w:tc>
          <w:tcPr>
            <w:tcW w:w="80" w:type="dxa"/>
            <w:tcBorders/>
            <w:vAlign w:val="center"/>
          </w:tcPr>
          <w:p>
            <w:pPr>
              <w:pStyle w:val="TableContents"/>
              <w:bidi w:val="0"/>
              <w:spacing w:before="0" w:after="283"/>
              <w:jc w:val="both"/>
              <w:rPr/>
            </w:pPr>
            <w:r>
              <w:rPr/>
              <w:t> </w:t>
            </w:r>
          </w:p>
        </w:tc>
        <w:tc>
          <w:tcPr>
            <w:tcW w:w="4579" w:type="dxa"/>
            <w:gridSpan w:val="2"/>
            <w:tcBorders/>
            <w:vAlign w:val="center"/>
          </w:tcPr>
          <w:p>
            <w:pPr>
              <w:pStyle w:val="TableContents"/>
              <w:bidi w:val="0"/>
              <w:spacing w:before="0" w:after="283"/>
              <w:jc w:val="left"/>
              <w:rPr/>
            </w:pPr>
            <w:r>
              <w:rPr/>
              <w:t>Title: Chief Executive Officer</w:t>
            </w:r>
          </w:p>
        </w:tc>
      </w:tr>
    </w:tbl>
    <w:p>
      <w:pPr>
        <w:pStyle w:val="TextBody"/>
        <w:bidi w:val="0"/>
        <w:spacing w:before="0" w:after="283"/>
        <w:jc w:val="left"/>
        <w:rPr/>
      </w:pPr>
      <w:r>
        <w:rPr/>
        <w:t> </w:t>
      </w:r>
    </w:p>
    <w:tbl>
      <w:tblPr>
        <w:tblW w:w="3189" w:type="dxa"/>
        <w:jc w:val="left"/>
        <w:tblInd w:w="0" w:type="dxa"/>
        <w:tblLayout w:type="fixed"/>
        <w:tblCellMar>
          <w:top w:w="0" w:type="dxa"/>
          <w:left w:w="0" w:type="dxa"/>
          <w:bottom w:w="0" w:type="dxa"/>
          <w:right w:w="0" w:type="dxa"/>
        </w:tblCellMar>
      </w:tblPr>
      <w:tblGrid>
        <w:gridCol w:w="80"/>
        <w:gridCol w:w="440"/>
        <w:gridCol w:w="2669"/>
      </w:tblGrid>
      <w:tr>
        <w:trPr/>
        <w:tc>
          <w:tcPr>
            <w:tcW w:w="80" w:type="dxa"/>
            <w:tcBorders/>
            <w:vAlign w:val="center"/>
          </w:tcPr>
          <w:p>
            <w:pPr>
              <w:pStyle w:val="TableContents"/>
              <w:bidi w:val="0"/>
              <w:spacing w:before="0" w:after="283"/>
              <w:jc w:val="left"/>
              <w:rPr>
                <w:sz w:val="4"/>
                <w:szCs w:val="4"/>
              </w:rPr>
            </w:pPr>
            <w:r>
              <w:rPr>
                <w:sz w:val="4"/>
                <w:szCs w:val="4"/>
              </w:rPr>
            </w:r>
          </w:p>
        </w:tc>
        <w:tc>
          <w:tcPr>
            <w:tcW w:w="3109" w:type="dxa"/>
            <w:gridSpan w:val="2"/>
            <w:tcBorders/>
            <w:vAlign w:val="center"/>
          </w:tcPr>
          <w:p>
            <w:pPr>
              <w:pStyle w:val="TableContents"/>
              <w:bidi w:val="0"/>
              <w:spacing w:before="0" w:after="283"/>
              <w:jc w:val="left"/>
              <w:rPr>
                <w:b/>
              </w:rPr>
            </w:pPr>
            <w:r>
              <w:rPr>
                <w:b/>
              </w:rPr>
              <w:t>ASURE OPERATIONS LLC</w:t>
            </w:r>
          </w:p>
        </w:tc>
      </w:tr>
      <w:tr>
        <w:trPr/>
        <w:tc>
          <w:tcPr>
            <w:tcW w:w="80" w:type="dxa"/>
            <w:tcBorders/>
            <w:vAlign w:val="center"/>
          </w:tcPr>
          <w:p>
            <w:pPr>
              <w:pStyle w:val="TableContents"/>
              <w:bidi w:val="0"/>
              <w:spacing w:before="0" w:after="283"/>
              <w:jc w:val="both"/>
              <w:rPr/>
            </w:pPr>
            <w:r>
              <w:rPr/>
              <w:t> </w:t>
            </w:r>
          </w:p>
        </w:tc>
        <w:tc>
          <w:tcPr>
            <w:tcW w:w="310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left"/>
              <w:rPr/>
            </w:pPr>
            <w:r>
              <w:rPr/>
              <w:t>By:</w:t>
            </w:r>
          </w:p>
        </w:tc>
        <w:tc>
          <w:tcPr>
            <w:tcW w:w="2669" w:type="dxa"/>
            <w:tcBorders>
              <w:bottom w:val="single" w:sz="8" w:space="0" w:color="000000"/>
            </w:tcBorders>
            <w:tcMar>
              <w:bottom w:w="28" w:type="dxa"/>
            </w:tcMar>
            <w:vAlign w:val="center"/>
          </w:tcPr>
          <w:p>
            <w:pPr>
              <w:pStyle w:val="TableContents"/>
              <w:bidi w:val="0"/>
              <w:spacing w:before="0" w:after="283"/>
              <w:jc w:val="left"/>
              <w:rPr/>
            </w:pPr>
            <w:r>
              <w:rPr/>
              <w:t>/s/ Patrick Goepel           </w:t>
            </w:r>
          </w:p>
        </w:tc>
      </w:tr>
      <w:tr>
        <w:trPr/>
        <w:tc>
          <w:tcPr>
            <w:tcW w:w="80" w:type="dxa"/>
            <w:tcBorders/>
            <w:vAlign w:val="center"/>
          </w:tcPr>
          <w:p>
            <w:pPr>
              <w:pStyle w:val="TableContents"/>
              <w:bidi w:val="0"/>
              <w:spacing w:before="0" w:after="283"/>
              <w:jc w:val="both"/>
              <w:rPr/>
            </w:pPr>
            <w:r>
              <w:rPr/>
              <w:t> </w:t>
            </w:r>
          </w:p>
        </w:tc>
        <w:tc>
          <w:tcPr>
            <w:tcW w:w="3109" w:type="dxa"/>
            <w:gridSpan w:val="2"/>
            <w:tcBorders/>
            <w:vAlign w:val="center"/>
          </w:tcPr>
          <w:p>
            <w:pPr>
              <w:pStyle w:val="TableContents"/>
              <w:bidi w:val="0"/>
              <w:spacing w:before="0" w:after="283"/>
              <w:jc w:val="left"/>
              <w:rPr/>
            </w:pPr>
            <w:r>
              <w:rPr/>
              <w:t>Name: Patrick Goepel</w:t>
            </w:r>
          </w:p>
        </w:tc>
      </w:tr>
      <w:tr>
        <w:trPr/>
        <w:tc>
          <w:tcPr>
            <w:tcW w:w="80" w:type="dxa"/>
            <w:tcBorders/>
            <w:vAlign w:val="center"/>
          </w:tcPr>
          <w:p>
            <w:pPr>
              <w:pStyle w:val="TableContents"/>
              <w:bidi w:val="0"/>
              <w:spacing w:before="0" w:after="283"/>
              <w:jc w:val="both"/>
              <w:rPr/>
            </w:pPr>
            <w:r>
              <w:rPr/>
              <w:t> </w:t>
            </w:r>
          </w:p>
        </w:tc>
        <w:tc>
          <w:tcPr>
            <w:tcW w:w="3109" w:type="dxa"/>
            <w:gridSpan w:val="2"/>
            <w:tcBorders/>
            <w:vAlign w:val="center"/>
          </w:tcPr>
          <w:p>
            <w:pPr>
              <w:pStyle w:val="TableContents"/>
              <w:bidi w:val="0"/>
              <w:spacing w:before="0" w:after="283"/>
              <w:jc w:val="left"/>
              <w:rPr/>
            </w:pPr>
            <w:r>
              <w:rPr/>
              <w:t>Title: Chief Executive Officer</w:t>
            </w:r>
          </w:p>
        </w:tc>
      </w:tr>
    </w:tbl>
    <w:p>
      <w:pPr>
        <w:pStyle w:val="TextBody"/>
        <w:bidi w:val="0"/>
        <w:spacing w:before="0" w:after="283"/>
        <w:jc w:val="left"/>
        <w:rPr/>
      </w:pPr>
      <w:r>
        <w:rPr/>
        <w:t> </w:t>
      </w:r>
    </w:p>
    <w:tbl>
      <w:tblPr>
        <w:tblW w:w="5274" w:type="dxa"/>
        <w:jc w:val="left"/>
        <w:tblInd w:w="0" w:type="dxa"/>
        <w:tblLayout w:type="fixed"/>
        <w:tblCellMar>
          <w:top w:w="0" w:type="dxa"/>
          <w:left w:w="0" w:type="dxa"/>
          <w:bottom w:w="0" w:type="dxa"/>
          <w:right w:w="0" w:type="dxa"/>
        </w:tblCellMar>
      </w:tblPr>
      <w:tblGrid>
        <w:gridCol w:w="80"/>
        <w:gridCol w:w="736"/>
        <w:gridCol w:w="4458"/>
      </w:tblGrid>
      <w:tr>
        <w:trPr/>
        <w:tc>
          <w:tcPr>
            <w:tcW w:w="80" w:type="dxa"/>
            <w:tcBorders/>
            <w:vAlign w:val="center"/>
          </w:tcPr>
          <w:p>
            <w:pPr>
              <w:pStyle w:val="TableContents"/>
              <w:bidi w:val="0"/>
              <w:spacing w:before="0" w:after="283"/>
              <w:jc w:val="left"/>
              <w:rPr>
                <w:sz w:val="4"/>
                <w:szCs w:val="4"/>
              </w:rPr>
            </w:pPr>
            <w:r>
              <w:rPr>
                <w:sz w:val="4"/>
                <w:szCs w:val="4"/>
              </w:rPr>
            </w:r>
          </w:p>
        </w:tc>
        <w:tc>
          <w:tcPr>
            <w:tcW w:w="5194" w:type="dxa"/>
            <w:gridSpan w:val="2"/>
            <w:tcBorders/>
            <w:vAlign w:val="center"/>
          </w:tcPr>
          <w:p>
            <w:pPr>
              <w:pStyle w:val="TableContents"/>
              <w:bidi w:val="0"/>
              <w:spacing w:before="0" w:after="283"/>
              <w:jc w:val="left"/>
              <w:rPr>
                <w:b/>
              </w:rPr>
            </w:pPr>
            <w:r>
              <w:rPr>
                <w:b/>
              </w:rPr>
              <w:t>ASURE PAYROLL TAX MANAGEMENT LLC</w:t>
            </w:r>
          </w:p>
        </w:tc>
      </w:tr>
      <w:tr>
        <w:trPr/>
        <w:tc>
          <w:tcPr>
            <w:tcW w:w="80" w:type="dxa"/>
            <w:tcBorders/>
            <w:vAlign w:val="center"/>
          </w:tcPr>
          <w:p>
            <w:pPr>
              <w:pStyle w:val="TableContents"/>
              <w:bidi w:val="0"/>
              <w:spacing w:before="0" w:after="283"/>
              <w:jc w:val="both"/>
              <w:rPr/>
            </w:pPr>
            <w:r>
              <w:rPr/>
              <w:t> </w:t>
            </w:r>
          </w:p>
        </w:tc>
        <w:tc>
          <w:tcPr>
            <w:tcW w:w="5194"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both"/>
              <w:rPr/>
            </w:pPr>
            <w:r>
              <w:rPr/>
              <w:t> </w:t>
            </w:r>
          </w:p>
        </w:tc>
        <w:tc>
          <w:tcPr>
            <w:tcW w:w="736" w:type="dxa"/>
            <w:tcBorders/>
            <w:vAlign w:val="center"/>
          </w:tcPr>
          <w:p>
            <w:pPr>
              <w:pStyle w:val="TableContents"/>
              <w:bidi w:val="0"/>
              <w:spacing w:before="0" w:after="283"/>
              <w:jc w:val="left"/>
              <w:rPr/>
            </w:pPr>
            <w:r>
              <w:rPr/>
              <w:t>By:</w:t>
            </w:r>
          </w:p>
        </w:tc>
        <w:tc>
          <w:tcPr>
            <w:tcW w:w="4458" w:type="dxa"/>
            <w:tcBorders>
              <w:bottom w:val="single" w:sz="8" w:space="0" w:color="000000"/>
            </w:tcBorders>
            <w:tcMar>
              <w:bottom w:w="28" w:type="dxa"/>
            </w:tcMar>
            <w:vAlign w:val="center"/>
          </w:tcPr>
          <w:p>
            <w:pPr>
              <w:pStyle w:val="TableContents"/>
              <w:bidi w:val="0"/>
              <w:spacing w:before="0" w:after="283"/>
              <w:jc w:val="left"/>
              <w:rPr/>
            </w:pPr>
            <w:r>
              <w:rPr/>
              <w:t>/s/ Patrick Goepel           </w:t>
            </w:r>
          </w:p>
        </w:tc>
      </w:tr>
      <w:tr>
        <w:trPr/>
        <w:tc>
          <w:tcPr>
            <w:tcW w:w="80" w:type="dxa"/>
            <w:tcBorders/>
            <w:vAlign w:val="center"/>
          </w:tcPr>
          <w:p>
            <w:pPr>
              <w:pStyle w:val="TableContents"/>
              <w:bidi w:val="0"/>
              <w:spacing w:before="0" w:after="283"/>
              <w:jc w:val="both"/>
              <w:rPr/>
            </w:pPr>
            <w:r>
              <w:rPr/>
              <w:t> </w:t>
            </w:r>
          </w:p>
        </w:tc>
        <w:tc>
          <w:tcPr>
            <w:tcW w:w="5194" w:type="dxa"/>
            <w:gridSpan w:val="2"/>
            <w:tcBorders/>
            <w:vAlign w:val="center"/>
          </w:tcPr>
          <w:p>
            <w:pPr>
              <w:pStyle w:val="TableContents"/>
              <w:bidi w:val="0"/>
              <w:spacing w:before="0" w:after="283"/>
              <w:jc w:val="left"/>
              <w:rPr/>
            </w:pPr>
            <w:r>
              <w:rPr/>
              <w:t>Name: Patrick Goepel</w:t>
            </w:r>
          </w:p>
        </w:tc>
      </w:tr>
      <w:tr>
        <w:trPr/>
        <w:tc>
          <w:tcPr>
            <w:tcW w:w="80" w:type="dxa"/>
            <w:tcBorders/>
            <w:vAlign w:val="center"/>
          </w:tcPr>
          <w:p>
            <w:pPr>
              <w:pStyle w:val="TableContents"/>
              <w:bidi w:val="0"/>
              <w:spacing w:before="0" w:after="283"/>
              <w:jc w:val="both"/>
              <w:rPr/>
            </w:pPr>
            <w:r>
              <w:rPr/>
              <w:t> </w:t>
            </w:r>
          </w:p>
        </w:tc>
        <w:tc>
          <w:tcPr>
            <w:tcW w:w="5194" w:type="dxa"/>
            <w:gridSpan w:val="2"/>
            <w:tcBorders/>
            <w:vAlign w:val="center"/>
          </w:tcPr>
          <w:p>
            <w:pPr>
              <w:pStyle w:val="TableContents"/>
              <w:bidi w:val="0"/>
              <w:spacing w:before="0" w:after="283"/>
              <w:jc w:val="left"/>
              <w:rPr/>
            </w:pPr>
            <w:r>
              <w:rPr/>
              <w:t>Title: Chief Executive Officer</w:t>
            </w:r>
          </w:p>
        </w:tc>
      </w:tr>
    </w:tbl>
    <w:p>
      <w:pPr>
        <w:pStyle w:val="TextBody"/>
        <w:bidi w:val="0"/>
        <w:spacing w:before="0" w:after="283"/>
        <w:jc w:val="left"/>
        <w:rPr/>
      </w:pPr>
      <w:r>
        <w:rPr/>
        <w:t> </w:t>
      </w:r>
    </w:p>
    <w:p>
      <w:pPr>
        <w:pStyle w:val="TextBody"/>
        <w:bidi w:val="0"/>
        <w:jc w:val="center"/>
        <w:rPr>
          <w:rFonts w:ascii="Times New Roman;Times;Serif" w:hAnsi="Times New Roman;Times;Serif"/>
          <w:sz w:val="20"/>
        </w:rPr>
      </w:pPr>
      <w:r>
        <w:rPr>
          <w:rFonts w:ascii="Times New Roman;Times;Serif" w:hAnsi="Times New Roman;Times;Serif"/>
          <w:sz w:val="20"/>
        </w:rPr>
        <w:t>[Signature Page to Credit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854" w:type="dxa"/>
        <w:jc w:val="left"/>
        <w:tblInd w:w="0" w:type="dxa"/>
        <w:tblLayout w:type="fixed"/>
        <w:tblCellMar>
          <w:top w:w="0" w:type="dxa"/>
          <w:left w:w="0" w:type="dxa"/>
          <w:bottom w:w="0" w:type="dxa"/>
          <w:right w:w="0" w:type="dxa"/>
        </w:tblCellMar>
      </w:tblPr>
      <w:tblGrid>
        <w:gridCol w:w="80"/>
        <w:gridCol w:w="676"/>
        <w:gridCol w:w="4098"/>
      </w:tblGrid>
      <w:tr>
        <w:trPr/>
        <w:tc>
          <w:tcPr>
            <w:tcW w:w="80" w:type="dxa"/>
            <w:tcBorders/>
            <w:vAlign w:val="center"/>
          </w:tcPr>
          <w:p>
            <w:pPr>
              <w:pStyle w:val="TableContents"/>
              <w:bidi w:val="0"/>
              <w:spacing w:before="0" w:after="283"/>
              <w:jc w:val="left"/>
              <w:rPr>
                <w:sz w:val="4"/>
                <w:szCs w:val="4"/>
              </w:rPr>
            </w:pPr>
            <w:r>
              <w:rPr>
                <w:sz w:val="4"/>
                <w:szCs w:val="4"/>
              </w:rPr>
            </w:r>
          </w:p>
        </w:tc>
        <w:tc>
          <w:tcPr>
            <w:tcW w:w="4774" w:type="dxa"/>
            <w:gridSpan w:val="2"/>
            <w:tcBorders/>
            <w:vAlign w:val="center"/>
          </w:tcPr>
          <w:p>
            <w:pPr>
              <w:pStyle w:val="TableContents"/>
              <w:bidi w:val="0"/>
              <w:spacing w:before="0" w:after="283"/>
              <w:jc w:val="left"/>
              <w:rPr>
                <w:b/>
              </w:rPr>
            </w:pPr>
            <w:r>
              <w:rPr>
                <w:b/>
              </w:rPr>
              <w:t>ASURE TREASURY MANAGEMENT LLC</w:t>
            </w:r>
          </w:p>
        </w:tc>
      </w:tr>
      <w:tr>
        <w:trPr/>
        <w:tc>
          <w:tcPr>
            <w:tcW w:w="80" w:type="dxa"/>
            <w:tcBorders/>
            <w:vAlign w:val="center"/>
          </w:tcPr>
          <w:p>
            <w:pPr>
              <w:pStyle w:val="TableContents"/>
              <w:bidi w:val="0"/>
              <w:spacing w:before="0" w:after="283"/>
              <w:jc w:val="both"/>
              <w:rPr/>
            </w:pPr>
            <w:r>
              <w:rPr/>
              <w:t> </w:t>
            </w:r>
          </w:p>
        </w:tc>
        <w:tc>
          <w:tcPr>
            <w:tcW w:w="4774"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both"/>
              <w:rPr/>
            </w:pPr>
            <w:r>
              <w:rPr/>
              <w:t> </w:t>
            </w:r>
          </w:p>
        </w:tc>
        <w:tc>
          <w:tcPr>
            <w:tcW w:w="676" w:type="dxa"/>
            <w:tcBorders/>
            <w:vAlign w:val="center"/>
          </w:tcPr>
          <w:p>
            <w:pPr>
              <w:pStyle w:val="TableContents"/>
              <w:bidi w:val="0"/>
              <w:spacing w:before="0" w:after="283"/>
              <w:jc w:val="left"/>
              <w:rPr/>
            </w:pPr>
            <w:r>
              <w:rPr/>
              <w:t>By:</w:t>
            </w:r>
          </w:p>
        </w:tc>
        <w:tc>
          <w:tcPr>
            <w:tcW w:w="4098" w:type="dxa"/>
            <w:tcBorders>
              <w:bottom w:val="single" w:sz="8" w:space="0" w:color="000000"/>
            </w:tcBorders>
            <w:tcMar>
              <w:bottom w:w="28" w:type="dxa"/>
            </w:tcMar>
            <w:vAlign w:val="center"/>
          </w:tcPr>
          <w:p>
            <w:pPr>
              <w:pStyle w:val="TableContents"/>
              <w:bidi w:val="0"/>
              <w:spacing w:before="0" w:after="283"/>
              <w:jc w:val="left"/>
              <w:rPr/>
            </w:pPr>
            <w:r>
              <w:rPr/>
              <w:t>/s/ Patrick Goepel           </w:t>
            </w:r>
          </w:p>
        </w:tc>
      </w:tr>
      <w:tr>
        <w:trPr/>
        <w:tc>
          <w:tcPr>
            <w:tcW w:w="80" w:type="dxa"/>
            <w:tcBorders/>
            <w:vAlign w:val="center"/>
          </w:tcPr>
          <w:p>
            <w:pPr>
              <w:pStyle w:val="TableContents"/>
              <w:bidi w:val="0"/>
              <w:spacing w:before="0" w:after="283"/>
              <w:jc w:val="both"/>
              <w:rPr/>
            </w:pPr>
            <w:r>
              <w:rPr/>
              <w:t> </w:t>
            </w:r>
          </w:p>
        </w:tc>
        <w:tc>
          <w:tcPr>
            <w:tcW w:w="4774" w:type="dxa"/>
            <w:gridSpan w:val="2"/>
            <w:tcBorders/>
            <w:vAlign w:val="center"/>
          </w:tcPr>
          <w:p>
            <w:pPr>
              <w:pStyle w:val="TableContents"/>
              <w:bidi w:val="0"/>
              <w:spacing w:before="0" w:after="283"/>
              <w:jc w:val="left"/>
              <w:rPr/>
            </w:pPr>
            <w:r>
              <w:rPr/>
              <w:t>Name: Patrick Goepel</w:t>
            </w:r>
          </w:p>
        </w:tc>
      </w:tr>
      <w:tr>
        <w:trPr/>
        <w:tc>
          <w:tcPr>
            <w:tcW w:w="80" w:type="dxa"/>
            <w:tcBorders/>
            <w:vAlign w:val="center"/>
          </w:tcPr>
          <w:p>
            <w:pPr>
              <w:pStyle w:val="TableContents"/>
              <w:bidi w:val="0"/>
              <w:spacing w:before="0" w:after="283"/>
              <w:jc w:val="both"/>
              <w:rPr/>
            </w:pPr>
            <w:r>
              <w:rPr/>
              <w:t> </w:t>
            </w:r>
          </w:p>
        </w:tc>
        <w:tc>
          <w:tcPr>
            <w:tcW w:w="4774" w:type="dxa"/>
            <w:gridSpan w:val="2"/>
            <w:tcBorders/>
            <w:vAlign w:val="center"/>
          </w:tcPr>
          <w:p>
            <w:pPr>
              <w:pStyle w:val="TableContents"/>
              <w:bidi w:val="0"/>
              <w:spacing w:before="0" w:after="283"/>
              <w:jc w:val="left"/>
              <w:rPr/>
            </w:pPr>
            <w:r>
              <w:rPr/>
              <w:t>Title: Chief Executive Officer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39" w:type="dxa"/>
        <w:jc w:val="left"/>
        <w:tblInd w:w="0" w:type="dxa"/>
        <w:tblLayout w:type="fixed"/>
        <w:tblCellMar>
          <w:top w:w="0" w:type="dxa"/>
          <w:left w:w="0" w:type="dxa"/>
          <w:bottom w:w="0" w:type="dxa"/>
          <w:right w:w="0" w:type="dxa"/>
        </w:tblCellMar>
      </w:tblPr>
      <w:tblGrid>
        <w:gridCol w:w="543"/>
        <w:gridCol w:w="2416"/>
        <w:gridCol w:w="80"/>
      </w:tblGrid>
      <w:tr>
        <w:trPr/>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MUFG BANK, LTD., </w:t>
            </w:r>
          </w:p>
        </w:tc>
        <w:tc>
          <w:tcPr>
            <w:tcW w:w="80" w:type="dxa"/>
            <w:tcBorders/>
            <w:vAlign w:val="center"/>
          </w:tcPr>
          <w:p>
            <w:pPr>
              <w:pStyle w:val="TableContents"/>
              <w:bidi w:val="0"/>
              <w:spacing w:before="0" w:after="283"/>
              <w:jc w:val="left"/>
              <w:rPr/>
            </w:pPr>
            <w:r>
              <w:rPr/>
              <w:t> </w:t>
            </w:r>
          </w:p>
        </w:tc>
      </w:tr>
      <w:tr>
        <w:trPr/>
        <w:tc>
          <w:tcPr>
            <w:tcW w:w="29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 and Lender</w:t>
            </w:r>
          </w:p>
        </w:tc>
        <w:tc>
          <w:tcPr>
            <w:tcW w:w="80" w:type="dxa"/>
            <w:tcBorders/>
            <w:vAlign w:val="center"/>
          </w:tcPr>
          <w:p>
            <w:pPr>
              <w:pStyle w:val="TableContents"/>
              <w:bidi w:val="0"/>
              <w:spacing w:before="0" w:after="283"/>
              <w:jc w:val="left"/>
              <w:rPr/>
            </w:pPr>
            <w:r>
              <w:rPr/>
              <w:t> </w:t>
            </w:r>
          </w:p>
        </w:tc>
      </w:tr>
      <w:tr>
        <w:trPr/>
        <w:tc>
          <w:tcPr>
            <w:tcW w:w="29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5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1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Soren Peterson </w:t>
            </w:r>
          </w:p>
        </w:tc>
        <w:tc>
          <w:tcPr>
            <w:tcW w:w="80" w:type="dxa"/>
            <w:tcBorders/>
            <w:vAlign w:val="center"/>
          </w:tcPr>
          <w:p>
            <w:pPr>
              <w:pStyle w:val="TableContents"/>
              <w:bidi w:val="0"/>
              <w:spacing w:before="0" w:after="283"/>
              <w:jc w:val="left"/>
              <w:rPr/>
            </w:pPr>
            <w:r>
              <w:rPr/>
              <w:t> </w:t>
            </w:r>
          </w:p>
        </w:tc>
      </w:tr>
      <w:tr>
        <w:trPr/>
        <w:tc>
          <w:tcPr>
            <w:tcW w:w="29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Soren Peterson </w:t>
            </w:r>
          </w:p>
        </w:tc>
        <w:tc>
          <w:tcPr>
            <w:tcW w:w="80" w:type="dxa"/>
            <w:tcBorders/>
            <w:vAlign w:val="center"/>
          </w:tcPr>
          <w:p>
            <w:pPr>
              <w:pStyle w:val="TableContents"/>
              <w:bidi w:val="0"/>
              <w:spacing w:before="0" w:after="283"/>
              <w:jc w:val="left"/>
              <w:rPr/>
            </w:pPr>
            <w:r>
              <w:rPr/>
              <w:t> </w:t>
            </w:r>
          </w:p>
        </w:tc>
      </w:tr>
      <w:tr>
        <w:trPr/>
        <w:tc>
          <w:tcPr>
            <w:tcW w:w="29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98247</Words>
  <Characters>517438</Characters>
  <CharactersWithSpaces>622687</CharactersWithSpaces>
  <Paragraphs>4178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