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210820</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228600</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left="3960" w:right="1440" w:hanging="3424"/>
        <w:spacing w:after="0" w:line="519" w:lineRule="auto"/>
        <w:tabs>
          <w:tab w:leader="none" w:pos="117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calendar year ended </w:t>
      </w:r>
      <w:r>
        <w:rPr>
          <w:rFonts w:ascii="Arial" w:cs="Arial" w:eastAsia="Arial" w:hAnsi="Arial"/>
          <w:sz w:val="18"/>
          <w:szCs w:val="18"/>
          <w:b w:val="1"/>
          <w:bCs w:val="1"/>
          <w:u w:val="single" w:color="auto"/>
          <w:color w:val="auto"/>
        </w:rPr>
        <w:t>December 31, 2013</w:t>
      </w:r>
    </w:p>
    <w:p>
      <w:pPr>
        <w:jc w:val="center"/>
        <w:spacing w:after="0"/>
        <w:rPr>
          <w:sz w:val="20"/>
          <w:szCs w:val="20"/>
          <w:color w:val="auto"/>
        </w:rPr>
      </w:pPr>
      <w:r>
        <w:rPr>
          <w:rFonts w:ascii="Arial" w:cs="Arial" w:eastAsia="Arial" w:hAnsi="Arial"/>
          <w:sz w:val="18"/>
          <w:szCs w:val="18"/>
          <w:color w:val="auto"/>
        </w:rPr>
        <w:t>OR</w:t>
      </w:r>
    </w:p>
    <w:p>
      <w:pPr>
        <w:spacing w:after="0" w:line="248" w:lineRule="exact"/>
        <w:rPr>
          <w:sz w:val="24"/>
          <w:szCs w:val="24"/>
          <w:color w:val="auto"/>
        </w:rPr>
      </w:pPr>
    </w:p>
    <w:p>
      <w:pPr>
        <w:ind w:left="1180" w:hanging="644"/>
        <w:spacing w:after="0"/>
        <w:tabs>
          <w:tab w:leader="none" w:pos="11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51" w:lineRule="exact"/>
        <w:rPr>
          <w:sz w:val="24"/>
          <w:szCs w:val="24"/>
          <w:color w:val="auto"/>
        </w:rPr>
      </w:pPr>
    </w:p>
    <w:tbl>
      <w:tblPr>
        <w:tblLayout w:type="fixed"/>
        <w:tblInd w:w="3560" w:type="dxa"/>
        <w:tblCellMar>
          <w:top w:w="0" w:type="dxa"/>
          <w:left w:w="0" w:type="dxa"/>
          <w:bottom w:w="0" w:type="dxa"/>
          <w:right w:w="0" w:type="dxa"/>
        </w:tblCellMar>
      </w:tblPr>
      <w:tr>
        <w:trPr>
          <w:trHeight w:val="207"/>
        </w:trPr>
        <w:tc>
          <w:tcPr>
            <w:tcW w:w="2180" w:type="dxa"/>
            <w:vAlign w:val="bottom"/>
          </w:tcPr>
          <w:p>
            <w:pPr>
              <w:spacing w:after="0"/>
              <w:rPr>
                <w:sz w:val="20"/>
                <w:szCs w:val="20"/>
                <w:color w:val="auto"/>
              </w:rPr>
            </w:pPr>
            <w:r>
              <w:rPr>
                <w:rFonts w:ascii="Arial" w:cs="Arial" w:eastAsia="Arial" w:hAnsi="Arial"/>
                <w:sz w:val="18"/>
                <w:szCs w:val="18"/>
                <w:color w:val="auto"/>
                <w:w w:val="93"/>
              </w:rPr>
              <w:t>For the transition period from</w:t>
            </w:r>
          </w:p>
        </w:tc>
        <w:tc>
          <w:tcPr>
            <w:tcW w:w="82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to</w:t>
            </w:r>
          </w:p>
        </w:tc>
        <w:tc>
          <w:tcPr>
            <w:tcW w:w="900" w:type="dxa"/>
            <w:vAlign w:val="bottom"/>
            <w:tcBorders>
              <w:bottom w:val="single" w:sz="8" w:color="auto"/>
            </w:tcBorders>
          </w:tcPr>
          <w:p>
            <w:pPr>
              <w:spacing w:after="0"/>
              <w:rPr>
                <w:sz w:val="17"/>
                <w:szCs w:val="17"/>
                <w:color w:val="auto"/>
              </w:rPr>
            </w:pPr>
          </w:p>
        </w:tc>
      </w:tr>
      <w:tr>
        <w:trPr>
          <w:trHeight w:val="480"/>
        </w:trPr>
        <w:tc>
          <w:tcPr>
            <w:tcW w:w="4120" w:type="dxa"/>
            <w:vAlign w:val="bottom"/>
            <w:gridSpan w:val="4"/>
          </w:tcPr>
          <w:p>
            <w:pPr>
              <w:ind w:left="920"/>
              <w:spacing w:after="0"/>
              <w:rPr>
                <w:sz w:val="20"/>
                <w:szCs w:val="20"/>
                <w:color w:val="auto"/>
              </w:rPr>
            </w:pPr>
            <w:r>
              <w:rPr>
                <w:rFonts w:ascii="Arial" w:cs="Arial" w:eastAsia="Arial" w:hAnsi="Arial"/>
                <w:sz w:val="18"/>
                <w:szCs w:val="18"/>
                <w:color w:val="auto"/>
              </w:rPr>
              <w:t>Commission file number: 0-20008</w:t>
            </w:r>
          </w:p>
        </w:tc>
      </w:tr>
    </w:tbl>
    <w:p>
      <w:pPr>
        <w:spacing w:after="0" w:line="186" w:lineRule="exact"/>
        <w:rPr>
          <w:sz w:val="24"/>
          <w:szCs w:val="24"/>
          <w:color w:val="auto"/>
        </w:rPr>
      </w:pPr>
    </w:p>
    <w:tbl>
      <w:tblPr>
        <w:tblLayout w:type="fixed"/>
        <w:tblInd w:w="980" w:type="dxa"/>
        <w:tblCellMar>
          <w:top w:w="0" w:type="dxa"/>
          <w:left w:w="0" w:type="dxa"/>
          <w:bottom w:w="0" w:type="dxa"/>
          <w:right w:w="0" w:type="dxa"/>
        </w:tblCellMar>
      </w:tblPr>
      <w:tr>
        <w:trPr>
          <w:trHeight w:val="375"/>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32"/>
                <w:szCs w:val="32"/>
                <w:b w:val="1"/>
                <w:bCs w:val="1"/>
                <w:color w:val="auto"/>
                <w:w w:val="99"/>
              </w:rPr>
              <w:t>ASURE SOFTWARE, INC.</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0" w:type="dxa"/>
            <w:vAlign w:val="bottom"/>
            <w:gridSpan w:val="5"/>
          </w:tcPr>
          <w:p>
            <w:pPr>
              <w:jc w:val="center"/>
              <w:ind w:left="410"/>
              <w:spacing w:after="0"/>
              <w:rPr>
                <w:sz w:val="20"/>
                <w:szCs w:val="20"/>
                <w:color w:val="auto"/>
              </w:rPr>
            </w:pPr>
            <w:r>
              <w:rPr>
                <w:rFonts w:ascii="Arial" w:cs="Arial" w:eastAsia="Arial" w:hAnsi="Arial"/>
                <w:sz w:val="18"/>
                <w:szCs w:val="18"/>
                <w:color w:val="auto"/>
                <w:w w:val="91"/>
              </w:rPr>
              <w:t>(Exact Name of Registrant as Specified in its Charter)</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392"/>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7"/>
          </w:tcPr>
          <w:p>
            <w:pPr>
              <w:jc w:val="center"/>
              <w:ind w:right="5160"/>
              <w:spacing w:after="0"/>
              <w:rPr>
                <w:sz w:val="20"/>
                <w:szCs w:val="20"/>
                <w:color w:val="auto"/>
              </w:rPr>
            </w:pPr>
            <w:r>
              <w:rPr>
                <w:rFonts w:ascii="Arial" w:cs="Arial" w:eastAsia="Arial" w:hAnsi="Arial"/>
                <w:sz w:val="18"/>
                <w:szCs w:val="18"/>
                <w:b w:val="1"/>
                <w:bCs w:val="1"/>
                <w:color w:val="auto"/>
                <w:w w:val="91"/>
              </w:rPr>
              <w:t>Delaware</w:t>
            </w:r>
          </w:p>
        </w:tc>
        <w:tc>
          <w:tcPr>
            <w:tcW w:w="16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74-2415696</w:t>
            </w: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6980" w:type="dxa"/>
            <w:vAlign w:val="bottom"/>
            <w:gridSpan w:val="9"/>
          </w:tcPr>
          <w:p>
            <w:pPr>
              <w:jc w:val="center"/>
              <w:ind w:right="4060"/>
              <w:spacing w:after="0"/>
              <w:rPr>
                <w:sz w:val="20"/>
                <w:szCs w:val="20"/>
                <w:color w:val="auto"/>
              </w:rPr>
            </w:pPr>
            <w:r>
              <w:rPr>
                <w:rFonts w:ascii="Arial" w:cs="Arial" w:eastAsia="Arial" w:hAnsi="Arial"/>
                <w:sz w:val="18"/>
                <w:szCs w:val="18"/>
                <w:color w:val="auto"/>
                <w:w w:val="92"/>
              </w:rPr>
              <w:t>(State or other jurisdiction of</w:t>
            </w:r>
          </w:p>
        </w:tc>
        <w:tc>
          <w:tcPr>
            <w:tcW w:w="1660" w:type="dxa"/>
            <w:vAlign w:val="bottom"/>
            <w:gridSpan w:val="5"/>
          </w:tcPr>
          <w:p>
            <w:pPr>
              <w:jc w:val="center"/>
              <w:ind w:left="210"/>
              <w:spacing w:after="0"/>
              <w:rPr>
                <w:sz w:val="20"/>
                <w:szCs w:val="20"/>
                <w:color w:val="auto"/>
              </w:rPr>
            </w:pPr>
            <w:r>
              <w:rPr>
                <w:rFonts w:ascii="Arial" w:cs="Arial" w:eastAsia="Arial" w:hAnsi="Arial"/>
                <w:sz w:val="18"/>
                <w:szCs w:val="18"/>
                <w:color w:val="auto"/>
                <w:w w:val="93"/>
              </w:rPr>
              <w:t>(I.R.S. Employer</w:t>
            </w:r>
          </w:p>
        </w:tc>
      </w:tr>
      <w:tr>
        <w:trPr>
          <w:trHeight w:val="230"/>
        </w:trPr>
        <w:tc>
          <w:tcPr>
            <w:tcW w:w="6980" w:type="dxa"/>
            <w:vAlign w:val="bottom"/>
            <w:gridSpan w:val="9"/>
          </w:tcPr>
          <w:p>
            <w:pPr>
              <w:jc w:val="center"/>
              <w:ind w:right="4060"/>
              <w:spacing w:after="0"/>
              <w:rPr>
                <w:sz w:val="20"/>
                <w:szCs w:val="20"/>
                <w:color w:val="auto"/>
              </w:rPr>
            </w:pPr>
            <w:r>
              <w:rPr>
                <w:rFonts w:ascii="Arial" w:cs="Arial" w:eastAsia="Arial" w:hAnsi="Arial"/>
                <w:sz w:val="18"/>
                <w:szCs w:val="18"/>
                <w:color w:val="auto"/>
                <w:w w:val="92"/>
              </w:rPr>
              <w:t>incorporation or organization)</w:t>
            </w:r>
          </w:p>
        </w:tc>
        <w:tc>
          <w:tcPr>
            <w:tcW w:w="1660" w:type="dxa"/>
            <w:vAlign w:val="bottom"/>
            <w:gridSpan w:val="5"/>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980" w:type="dxa"/>
            <w:vAlign w:val="bottom"/>
            <w:gridSpan w:val="9"/>
          </w:tcPr>
          <w:p>
            <w:pPr>
              <w:jc w:val="center"/>
              <w:ind w:right="4060"/>
              <w:spacing w:after="0"/>
              <w:rPr>
                <w:sz w:val="20"/>
                <w:szCs w:val="20"/>
                <w:color w:val="auto"/>
              </w:rPr>
            </w:pPr>
            <w:r>
              <w:rPr>
                <w:rFonts w:ascii="Arial" w:cs="Arial" w:eastAsia="Arial" w:hAnsi="Arial"/>
                <w:sz w:val="18"/>
                <w:szCs w:val="18"/>
                <w:b w:val="1"/>
                <w:bCs w:val="1"/>
                <w:color w:val="auto"/>
                <w:w w:val="90"/>
              </w:rPr>
              <w:t>110 Wild Basin Road, Suite 100</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6040" w:type="dxa"/>
            <w:vAlign w:val="bottom"/>
            <w:gridSpan w:val="8"/>
          </w:tcPr>
          <w:p>
            <w:pPr>
              <w:jc w:val="center"/>
              <w:ind w:right="5000"/>
              <w:spacing w:after="0" w:line="194" w:lineRule="exact"/>
              <w:rPr>
                <w:sz w:val="20"/>
                <w:szCs w:val="20"/>
                <w:color w:val="auto"/>
              </w:rPr>
            </w:pPr>
            <w:r>
              <w:rPr>
                <w:rFonts w:ascii="Arial" w:cs="Arial" w:eastAsia="Arial" w:hAnsi="Arial"/>
                <w:sz w:val="18"/>
                <w:szCs w:val="18"/>
                <w:b w:val="1"/>
                <w:bCs w:val="1"/>
                <w:color w:val="auto"/>
                <w:w w:val="88"/>
              </w:rPr>
              <w:t>Austin, Texas</w:t>
            </w:r>
          </w:p>
        </w:tc>
        <w:tc>
          <w:tcPr>
            <w:tcW w:w="142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78746</w:t>
            </w:r>
          </w:p>
        </w:tc>
        <w:tc>
          <w:tcPr>
            <w:tcW w:w="24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37"/>
        </w:trPr>
        <w:tc>
          <w:tcPr>
            <w:tcW w:w="6980" w:type="dxa"/>
            <w:vAlign w:val="bottom"/>
            <w:gridSpan w:val="9"/>
          </w:tcPr>
          <w:p>
            <w:pPr>
              <w:jc w:val="center"/>
              <w:ind w:right="4040"/>
              <w:spacing w:after="0"/>
              <w:rPr>
                <w:sz w:val="20"/>
                <w:szCs w:val="20"/>
                <w:color w:val="auto"/>
              </w:rPr>
            </w:pPr>
            <w:r>
              <w:rPr>
                <w:rFonts w:ascii="Arial" w:cs="Arial" w:eastAsia="Arial" w:hAnsi="Arial"/>
                <w:sz w:val="18"/>
                <w:szCs w:val="18"/>
                <w:color w:val="auto"/>
                <w:w w:val="92"/>
              </w:rPr>
              <w:t>(Address of Principal Executive Offices)</w:t>
            </w:r>
          </w:p>
        </w:tc>
        <w:tc>
          <w:tcPr>
            <w:tcW w:w="540" w:type="dxa"/>
            <w:vAlign w:val="bottom"/>
          </w:tcPr>
          <w:p>
            <w:pPr>
              <w:spacing w:after="0"/>
              <w:rPr>
                <w:sz w:val="20"/>
                <w:szCs w:val="20"/>
                <w:color w:val="auto"/>
              </w:rPr>
            </w:pPr>
          </w:p>
        </w:tc>
        <w:tc>
          <w:tcPr>
            <w:tcW w:w="1120" w:type="dxa"/>
            <w:vAlign w:val="bottom"/>
            <w:gridSpan w:val="4"/>
          </w:tcPr>
          <w:p>
            <w:pPr>
              <w:jc w:val="center"/>
              <w:ind w:right="240"/>
              <w:spacing w:after="0"/>
              <w:rPr>
                <w:sz w:val="20"/>
                <w:szCs w:val="20"/>
                <w:color w:val="auto"/>
              </w:rPr>
            </w:pPr>
            <w:r>
              <w:rPr>
                <w:rFonts w:ascii="Arial" w:cs="Arial" w:eastAsia="Arial" w:hAnsi="Arial"/>
                <w:sz w:val="18"/>
                <w:szCs w:val="18"/>
                <w:color w:val="auto"/>
                <w:w w:val="94"/>
              </w:rPr>
              <w:t>(Zip Code)</w:t>
            </w:r>
          </w:p>
        </w:tc>
      </w:tr>
      <w:tr>
        <w:trPr>
          <w:trHeight w:val="392"/>
        </w:trPr>
        <w:tc>
          <w:tcPr>
            <w:tcW w:w="4120" w:type="dxa"/>
            <w:vAlign w:val="bottom"/>
            <w:gridSpan w:val="6"/>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(512) 437-2700</w:t>
            </w: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7"/>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0" w:type="dxa"/>
            <w:vAlign w:val="bottom"/>
            <w:gridSpan w:val="5"/>
          </w:tcPr>
          <w:p>
            <w:pPr>
              <w:jc w:val="center"/>
              <w:ind w:left="310"/>
              <w:spacing w:after="0"/>
              <w:rPr>
                <w:sz w:val="20"/>
                <w:szCs w:val="20"/>
                <w:color w:val="auto"/>
              </w:rPr>
            </w:pPr>
            <w:r>
              <w:rPr>
                <w:rFonts w:ascii="Arial" w:cs="Arial" w:eastAsia="Arial" w:hAnsi="Arial"/>
                <w:sz w:val="18"/>
                <w:szCs w:val="18"/>
                <w:color w:val="auto"/>
                <w:w w:val="91"/>
              </w:rPr>
              <w:t>(Registrant’s Telephone Number, including Area Code)</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45"/>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40" w:type="dxa"/>
            <w:vAlign w:val="bottom"/>
            <w:gridSpan w:val="12"/>
          </w:tcPr>
          <w:p>
            <w:pPr>
              <w:jc w:val="center"/>
              <w:ind w:right="280"/>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r>
      <w:tr>
        <w:trPr>
          <w:trHeight w:val="230"/>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60" w:type="dxa"/>
            <w:vAlign w:val="bottom"/>
            <w:gridSpan w:val="3"/>
          </w:tcPr>
          <w:p>
            <w:pPr>
              <w:jc w:val="center"/>
              <w:ind w:right="1640"/>
              <w:spacing w:after="0"/>
              <w:rPr>
                <w:sz w:val="20"/>
                <w:szCs w:val="20"/>
                <w:color w:val="auto"/>
              </w:rPr>
            </w:pPr>
            <w:r>
              <w:rPr>
                <w:rFonts w:ascii="Arial" w:cs="Arial" w:eastAsia="Arial" w:hAnsi="Arial"/>
                <w:sz w:val="18"/>
                <w:szCs w:val="18"/>
                <w:color w:val="auto"/>
                <w:w w:val="88"/>
              </w:rPr>
              <w:t>None</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45"/>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40" w:type="dxa"/>
            <w:vAlign w:val="bottom"/>
            <w:gridSpan w:val="12"/>
          </w:tcPr>
          <w:p>
            <w:pPr>
              <w:jc w:val="center"/>
              <w:ind w:right="260"/>
              <w:spacing w:after="0"/>
              <w:rPr>
                <w:sz w:val="20"/>
                <w:szCs w:val="20"/>
                <w:color w:val="auto"/>
              </w:rPr>
            </w:pPr>
            <w:r>
              <w:rPr>
                <w:rFonts w:ascii="Arial" w:cs="Arial" w:eastAsia="Arial" w:hAnsi="Arial"/>
                <w:sz w:val="18"/>
                <w:szCs w:val="18"/>
                <w:b w:val="1"/>
                <w:bCs w:val="1"/>
                <w:color w:val="auto"/>
                <w:w w:val="99"/>
              </w:rPr>
              <w:t>SECURITIES REGISTERED PURSUANT TO SECTION 12(g) OF THE ACT:</w:t>
            </w:r>
          </w:p>
        </w:tc>
      </w:tr>
      <w:tr>
        <w:trPr>
          <w:trHeight w:val="230"/>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160" w:type="dxa"/>
            <w:vAlign w:val="bottom"/>
            <w:gridSpan w:val="4"/>
          </w:tcPr>
          <w:p>
            <w:pPr>
              <w:jc w:val="center"/>
              <w:ind w:right="340"/>
              <w:spacing w:after="0"/>
              <w:rPr>
                <w:sz w:val="20"/>
                <w:szCs w:val="20"/>
                <w:color w:val="auto"/>
              </w:rPr>
            </w:pPr>
            <w:r>
              <w:rPr>
                <w:rFonts w:ascii="Arial" w:cs="Arial" w:eastAsia="Arial" w:hAnsi="Arial"/>
                <w:sz w:val="18"/>
                <w:szCs w:val="18"/>
                <w:color w:val="auto"/>
                <w:w w:val="90"/>
              </w:rPr>
              <w:t>Common Stock, $0.01 par value</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0" w:lineRule="exact"/>
        <w:rPr>
          <w:sz w:val="24"/>
          <w:szCs w:val="24"/>
          <w:color w:val="auto"/>
        </w:rPr>
      </w:pPr>
    </w:p>
    <w:p>
      <w:pPr>
        <w:sectPr>
          <w:pgSz w:w="11900" w:h="16838" w:orient="portrait"/>
          <w:cols w:equalWidth="0" w:num="1">
            <w:col w:w="11420"/>
          </w:cols>
          <w:pgMar w:left="240" w:top="297" w:right="239" w:bottom="0" w:gutter="0" w:footer="0" w:header="0"/>
        </w:sectPr>
      </w:pP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2">
            <w:col w:w="8940" w:space="260"/>
            <w:col w:w="2220"/>
          </w:cols>
          <w:pgMar w:left="240" w:top="297" w:right="239" w:bottom="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 Yes o</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2">
            <w:col w:w="8520" w:space="260"/>
            <w:col w:w="2640"/>
          </w:cols>
          <w:pgMar w:left="240" w:top="297" w:right="239" w:bottom="0" w:gutter="0" w:footer="0" w:header="0"/>
          <w:type w:val="continuous"/>
        </w:sectPr>
      </w:pPr>
    </w:p>
    <w:p>
      <w:pPr>
        <w:spacing w:after="0" w:line="6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filings pursuant to Item 405 of Regulation S-K (§ 229.405 of this chapter) is not contained herein, and will not be contained, to the best of the registrant’s knowledge, in definitive proxy or information statements incorporated by reference in Part III of this Form 10-K or any amendment to this Form 10-K. x</w:t>
      </w:r>
    </w:p>
    <w:p>
      <w:pPr>
        <w:spacing w:after="0" w:line="20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pacing w:after="0" w:line="170" w:lineRule="exact"/>
        <w:rPr>
          <w:sz w:val="24"/>
          <w:szCs w:val="24"/>
          <w:color w:val="auto"/>
        </w:rPr>
      </w:pPr>
    </w:p>
    <w:p>
      <w:pPr>
        <w:ind w:left="1160"/>
        <w:spacing w:after="0"/>
        <w:tabs>
          <w:tab w:leader="none" w:pos="3480" w:val="left"/>
          <w:tab w:leader="none" w:pos="5620" w:val="left"/>
          <w:tab w:leader="none" w:pos="81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x</w:t>
      </w:r>
    </w:p>
    <w:p>
      <w:pPr>
        <w:spacing w:after="0" w:line="225" w:lineRule="exact"/>
        <w:rPr>
          <w:sz w:val="24"/>
          <w:szCs w:val="24"/>
          <w:color w:val="auto"/>
        </w:rPr>
      </w:pPr>
    </w:p>
    <w:p>
      <w:pPr>
        <w:spacing w:after="0"/>
        <w:tabs>
          <w:tab w:leader="none" w:pos="88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tab/>
        <w:t>No x</w:t>
      </w:r>
    </w:p>
    <w:p>
      <w:pPr>
        <w:spacing w:after="0" w:line="237"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The aggregate market value of the 5,924,551 shares of the registrant’s Common Stock held by non-affiliates on June 30, 2013 was approximately $25,802,140. For purposes of this computation all officers, directors and 5% beneficial owners of the registrant are deemed to be affiliates. Such determination should not be deemed an admission that such officers, directors and beneficial owners are, in fact, affiliates of the registrant.</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At March 24, 2014, there were 5,979,426 shares of the registrant’s Common Stock, $.01 par value, issued and outstanding.</w:t>
      </w:r>
    </w:p>
    <w:p>
      <w:pPr>
        <w:sectPr>
          <w:pgSz w:w="11900" w:h="16838" w:orient="portrait"/>
          <w:cols w:equalWidth="0" w:num="1">
            <w:col w:w="11420"/>
          </w:cols>
          <w:pgMar w:left="240" w:top="297"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Portions of the registrant’s definitive Proxy Statement relating to its 2014 Annual Meeting of Shareholders are incorporated by reference into Part III of this Annual Report on Form 10-K where indicated. Such Proxy Statement, or an amendment to this report containing the Items comprising Part III,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412115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100" w:type="dxa"/>
            <w:vAlign w:val="bottom"/>
            <w:gridSpan w:val="2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320" w:type="dxa"/>
            <w:vAlign w:val="bottom"/>
          </w:tcPr>
          <w:p>
            <w:pPr>
              <w:spacing w:after="0"/>
              <w:rPr>
                <w:sz w:val="14"/>
                <w:szCs w:val="14"/>
                <w:color w:val="auto"/>
              </w:rPr>
            </w:pPr>
          </w:p>
        </w:tc>
      </w:tr>
      <w:tr>
        <w:trPr>
          <w:trHeight w:val="426"/>
        </w:trPr>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60" w:type="dxa"/>
            <w:vAlign w:val="bottom"/>
            <w:gridSpan w:val="8"/>
          </w:tcPr>
          <w:p>
            <w:pPr>
              <w:ind w:left="520"/>
              <w:spacing w:after="0"/>
              <w:rPr>
                <w:sz w:val="20"/>
                <w:szCs w:val="20"/>
                <w:color w:val="auto"/>
              </w:rPr>
            </w:pPr>
            <w:r>
              <w:rPr>
                <w:rFonts w:ascii="Arial" w:cs="Arial" w:eastAsia="Arial" w:hAnsi="Arial"/>
                <w:sz w:val="18"/>
                <w:szCs w:val="18"/>
                <w:b w:val="1"/>
                <w:bCs w:val="1"/>
                <w:color w:val="auto"/>
              </w:rPr>
              <w:t>TABLE OF CONTENTS</w:t>
            </w:r>
          </w:p>
        </w:tc>
        <w:tc>
          <w:tcPr>
            <w:tcW w:w="1320" w:type="dxa"/>
            <w:vAlign w:val="bottom"/>
          </w:tcPr>
          <w:p>
            <w:pPr>
              <w:spacing w:after="0"/>
              <w:rPr>
                <w:sz w:val="24"/>
                <w:szCs w:val="24"/>
                <w:color w:val="auto"/>
              </w:rPr>
            </w:pP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540" w:type="dxa"/>
            <w:vAlign w:val="bottom"/>
            <w:gridSpan w:val="18"/>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8280" w:type="dxa"/>
            <w:vAlign w:val="bottom"/>
            <w:gridSpan w:val="16"/>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Unresolved Staff Comments</w:t>
              </w:r>
            </w:hyperlink>
          </w:p>
        </w:tc>
        <w:tc>
          <w:tcPr>
            <w:tcW w:w="7140" w:type="dxa"/>
            <w:vAlign w:val="bottom"/>
            <w:gridSpan w:val="11"/>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180" w:type="dxa"/>
            <w:vAlign w:val="bottom"/>
            <w:gridSpan w:val="2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Properties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180" w:type="dxa"/>
            <w:vAlign w:val="bottom"/>
            <w:gridSpan w:val="2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Legal Proceedings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180" w:type="dxa"/>
            <w:vAlign w:val="bottom"/>
            <w:gridSpan w:val="2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Mine Safety Disclosures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453"/>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180" w:type="dxa"/>
            <w:vAlign w:val="bottom"/>
            <w:gridSpan w:val="2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Market for Registrant’s Common Equity, Related Stockholder Matters and Issuer Purchases of Equity Securities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Selected Financial Data</w:t>
              </w:r>
            </w:hyperlink>
          </w:p>
        </w:tc>
        <w:tc>
          <w:tcPr>
            <w:tcW w:w="112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Management’s Discussion and Analysis of Financial Condition and Results of Operations</w:t>
              </w:r>
            </w:hyperlink>
          </w:p>
        </w:tc>
        <w:tc>
          <w:tcPr>
            <w:tcW w:w="2720" w:type="dxa"/>
            <w:vAlign w:val="bottom"/>
            <w:gridSpan w:val="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9180" w:type="dxa"/>
            <w:vAlign w:val="bottom"/>
            <w:gridSpan w:val="2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Financial Statements and Supplementary Data</w:t>
              </w:r>
            </w:hyperlink>
          </w:p>
        </w:tc>
        <w:tc>
          <w:tcPr>
            <w:tcW w:w="4880" w:type="dxa"/>
            <w:vAlign w:val="bottom"/>
            <w:gridSpan w:val="6"/>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9180" w:type="dxa"/>
            <w:vAlign w:val="bottom"/>
            <w:gridSpan w:val="2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Changes in and Disagreements with Accountants on Accounting and Financial Disclosures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65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2640" w:type="dxa"/>
            <w:vAlign w:val="bottom"/>
            <w:gridSpan w:val="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7420" w:type="dxa"/>
            <w:vAlign w:val="bottom"/>
            <w:gridSpan w:val="1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453"/>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918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Directors, Executive Officers and Corporate Governance</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100" w:type="dxa"/>
            <w:vAlign w:val="bottom"/>
            <w:gridSpan w:val="7"/>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18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Security Ownership of Certain Beneficial Owners and Management and Related Stockholder Matters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Certain Relationships and Related Transactions, and Director Independence</w:t>
              </w:r>
            </w:hyperlink>
          </w:p>
        </w:tc>
        <w:tc>
          <w:tcPr>
            <w:tcW w:w="1900" w:type="dxa"/>
            <w:vAlign w:val="bottom"/>
            <w:gridSpan w:val="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Principal Accountant Fees and Services</w:t>
              </w:r>
            </w:hyperlink>
          </w:p>
        </w:tc>
        <w:tc>
          <w:tcPr>
            <w:tcW w:w="3740" w:type="dxa"/>
            <w:vAlign w:val="bottom"/>
            <w:gridSpan w:val="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453"/>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18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Exhibits and Financial Statement Schedules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920" w:type="dxa"/>
            <w:vAlign w:val="bottom"/>
            <w:gridSpan w:val="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720"/>
        </w:trPr>
        <w:tc>
          <w:tcPr>
            <w:tcW w:w="760" w:type="dxa"/>
            <w:vAlign w:val="bottom"/>
            <w:tcBorders>
              <w:top w:val="single" w:sz="8" w:color="0000EE"/>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 SPLIT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30, 2012, we completed a 3-for-2 stock split. We have adjusted all prior periods presented to reflect the impact of this stock split, including the impact on basic and diluted weighted-average shares and shares issued and outstanding.</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5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Asure Software, Inc., a Delaware corporation, is a provider of cloud-based software-as-a-service (“SaaS”) time &amp; labor management and workspace management solutions that enable companies of all sizes and complexities to operate more efficiently and proactively manage costs associated with their most expensive assets: real estate, labor and technology.</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Asure serves approximately 5,000 clients worldwide, ranging from global Fortune 500 clients to small and mid-sized businesses. We focus on offering solutions to organizations in the financial services, manufacturing, non-profit, healthcare, government organizations and retail services industries. Our clients include Merck and Co., Inc., Pfizer, Inc., Salesforce.com, Inc., Duke University, Cornell University, Iron Mountain, State Street, and Baker &amp; McKenzie.</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currently offer two main product lines, AsureSpace™ and AsureForce®.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organizations to manage their office environments and optimize real estate utilization.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organizations optimize labor and labor administration costs and activities.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firstLine="86"/>
        <w:spacing w:after="0" w:line="308" w:lineRule="auto"/>
        <w:rPr>
          <w:sz w:val="20"/>
          <w:szCs w:val="20"/>
          <w:color w:val="auto"/>
        </w:rPr>
      </w:pPr>
      <w:r>
        <w:rPr>
          <w:rFonts w:ascii="Arial" w:cs="Arial" w:eastAsia="Arial" w:hAnsi="Arial"/>
          <w:sz w:val="17"/>
          <w:szCs w:val="17"/>
          <w:color w:val="auto"/>
        </w:rPr>
        <w:t>Our AsureSpace™ workplace management solutions enable Our AsureForce® time and labor management solutions help</w:t>
      </w:r>
    </w:p>
    <w:p>
      <w:pPr>
        <w:spacing w:after="0" w:line="351" w:lineRule="exact"/>
        <w:rPr>
          <w:sz w:val="20"/>
          <w:szCs w:val="20"/>
          <w:color w:val="auto"/>
        </w:rPr>
      </w:pPr>
    </w:p>
    <w:p>
      <w:pPr>
        <w:sectPr>
          <w:pgSz w:w="11900" w:h="16838" w:orient="portrait"/>
          <w:cols w:equalWidth="0" w:num="2">
            <w:col w:w="6640" w:space="100"/>
            <w:col w:w="4680"/>
          </w:cols>
          <w:pgMar w:left="240" w:top="122" w:right="239" w:bottom="1440" w:gutter="0" w:footer="0" w:header="0"/>
          <w:type w:val="continuous"/>
        </w:sectPr>
      </w:pPr>
    </w:p>
    <w:p>
      <w:pPr>
        <w:spacing w:after="0" w:line="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Labor administration, technology and real estate costs typically represent an organization’s three largest expenditures, yet many companies remain unaware of how they use resources in these areas. Asure’s solutions enable business leaders to approach these areas as a strategic opportunity to drive efficiencies and collaboration and control costs by providing access to data that can help to facilitate better real estate and labor decisions guided by meaningful metrics.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Asure’s solutions also help businesses to prepare their workplace for the workforce of the future. Employees are increasingly mobile, transient and connected to technology 24x7 via their own mobile devices. The “employee backpack” – a cubicle, desktop PC and traditional phone land line – is not always necessary and in many companies is becoming obsolete. As a result, the workplace is changing and evolving, with “hotel” (i.e., shared) cubicle spaces and more spaces for social connections and collaboration. Asure’s cloud-based solutions help control costs and optimize productivity in a highly mobile, geographically disparate and technically wired work environment.</w:t>
      </w:r>
    </w:p>
    <w:p>
      <w:pPr>
        <w:spacing w:after="0" w:line="21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were incorporated in 1985 and our principal executive offices are located at 110 Wild Basin Road, Suite 100, Austin, Texas 78746. Our telephone number is (512) 437-2700 and our website is www.asuresoftware.com. Information on our website is not part of this Annual Report on Form 10-K.</w:t>
      </w:r>
    </w:p>
    <w:p>
      <w:pPr>
        <w:spacing w:after="0" w:line="1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Asure makes available free of charge, on or through its website, our annual report on Form 10-K, our quarterly reports on Form 10-Q and our current reports on Form 8-K, and amendments to those reports filed or furnished pursuant to Section 13(a) or 15(d) of the Exchange Act, as soon as reasonably practicable after we electronically file these materials or furnish them to the Securities and Exchange Commission.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2013, we entered into a third amendment to our Senior Note Payable. Under this amendment, we borrowed an additional $2.5 million in September 2013 and an additional $1.5 million in December 2013. We used the net proceeds to pay the two Legiant Acquisition Notes totaling $1.7 million, as well as the two related party 15% Notes totaling $800,000. These loans were all due in October 2014. Under the latest amendment, we also changed certain financial covenants. See Note 6 in the accompanying financial statements for more information.</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October 2013, we paid in full, less a 5% discount for early payment, the note entered into in conjunction with the purchase of the assets of ADITime, LLC (“ADI”). In conjunction with the acquisition of the assets of ADI in October 2011, we issued a $1.1 million note payable to the seller. This note bore interest at an annual rate of 0.16%, was due October 2014 and was guaranteed by us. We made a principal payment of $245,000 in July 2012 and a final payment of $811,000 in October 2013 in full payment of this note. See Note 6 in the accompanying financial statements for more information.</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March 2014, we entered into a Credit Agreement with Wells Fargo Bank, National Association, as administrative agent, and the lenders that are party thereto.</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Credit Agreement provides for a term loan in the amount of $15.0 million. The term loan will mature in March 2019. The outstanding principal amount of the term loan is payable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jc w:val="right"/>
              <w:ind w:right="860"/>
              <w:spacing w:after="0"/>
              <w:rPr>
                <w:sz w:val="20"/>
                <w:szCs w:val="20"/>
                <w:color w:val="auto"/>
              </w:rPr>
            </w:pPr>
            <w:r>
              <w:rPr>
                <w:rFonts w:ascii="Arial" w:cs="Arial" w:eastAsia="Arial" w:hAnsi="Arial"/>
                <w:sz w:val="16"/>
                <w:szCs w:val="16"/>
                <w:color w:val="auto"/>
                <w:w w:val="74"/>
              </w:rPr>
              <w:t>·</w:t>
            </w:r>
          </w:p>
        </w:tc>
        <w:tc>
          <w:tcPr>
            <w:tcW w:w="8320" w:type="dxa"/>
            <w:vAlign w:val="bottom"/>
            <w:gridSpan w:val="2"/>
          </w:tcPr>
          <w:p>
            <w:pPr>
              <w:ind w:left="960"/>
              <w:spacing w:after="0"/>
              <w:rPr>
                <w:sz w:val="20"/>
                <w:szCs w:val="20"/>
                <w:color w:val="auto"/>
              </w:rPr>
            </w:pPr>
            <w:r>
              <w:rPr>
                <w:rFonts w:ascii="Arial" w:cs="Arial" w:eastAsia="Arial" w:hAnsi="Arial"/>
                <w:sz w:val="18"/>
                <w:szCs w:val="18"/>
                <w:color w:val="auto"/>
                <w:w w:val="93"/>
              </w:rPr>
              <w:t>$187,500 on June 30, 2014 and the last day of each fiscal quarter thereafter up to March 31, 2016;</w:t>
            </w:r>
          </w:p>
        </w:tc>
      </w:tr>
      <w:tr>
        <w:trPr>
          <w:trHeight w:val="216"/>
        </w:trPr>
        <w:tc>
          <w:tcPr>
            <w:tcW w:w="1000" w:type="dxa"/>
            <w:vAlign w:val="bottom"/>
          </w:tcPr>
          <w:p>
            <w:pPr>
              <w:jc w:val="right"/>
              <w:ind w:right="860"/>
              <w:spacing w:after="0"/>
              <w:rPr>
                <w:sz w:val="20"/>
                <w:szCs w:val="20"/>
                <w:color w:val="auto"/>
              </w:rPr>
            </w:pPr>
            <w:r>
              <w:rPr>
                <w:rFonts w:ascii="Arial" w:cs="Arial" w:eastAsia="Arial" w:hAnsi="Arial"/>
                <w:sz w:val="16"/>
                <w:szCs w:val="16"/>
                <w:color w:val="auto"/>
                <w:w w:val="74"/>
              </w:rPr>
              <w:t>·</w:t>
            </w:r>
          </w:p>
        </w:tc>
        <w:tc>
          <w:tcPr>
            <w:tcW w:w="2520" w:type="dxa"/>
            <w:vAlign w:val="bottom"/>
          </w:tcPr>
          <w:p>
            <w:pPr>
              <w:ind w:left="960"/>
              <w:spacing w:after="0"/>
              <w:rPr>
                <w:sz w:val="20"/>
                <w:szCs w:val="20"/>
                <w:color w:val="auto"/>
              </w:rPr>
            </w:pPr>
            <w:r>
              <w:rPr>
                <w:rFonts w:ascii="Arial" w:cs="Arial" w:eastAsia="Arial" w:hAnsi="Arial"/>
                <w:sz w:val="18"/>
                <w:szCs w:val="18"/>
                <w:color w:val="auto"/>
                <w:w w:val="88"/>
              </w:rPr>
              <w:t>$281,250 on June 30,</w:t>
            </w:r>
          </w:p>
        </w:tc>
        <w:tc>
          <w:tcPr>
            <w:tcW w:w="5800" w:type="dxa"/>
            <w:vAlign w:val="bottom"/>
          </w:tcPr>
          <w:p>
            <w:pPr>
              <w:ind w:left="20"/>
              <w:spacing w:after="0"/>
              <w:rPr>
                <w:sz w:val="20"/>
                <w:szCs w:val="20"/>
                <w:color w:val="auto"/>
              </w:rPr>
            </w:pPr>
            <w:r>
              <w:rPr>
                <w:rFonts w:ascii="Arial" w:cs="Arial" w:eastAsia="Arial" w:hAnsi="Arial"/>
                <w:sz w:val="18"/>
                <w:szCs w:val="18"/>
                <w:color w:val="auto"/>
                <w:w w:val="89"/>
              </w:rPr>
              <w:t>2016 and the last day of each fiscal quarter thereafter up to March 31, 2017; and</w:t>
            </w:r>
          </w:p>
        </w:tc>
      </w:tr>
      <w:tr>
        <w:trPr>
          <w:trHeight w:val="230"/>
        </w:trPr>
        <w:tc>
          <w:tcPr>
            <w:tcW w:w="1000" w:type="dxa"/>
            <w:vAlign w:val="bottom"/>
          </w:tcPr>
          <w:p>
            <w:pPr>
              <w:jc w:val="right"/>
              <w:ind w:right="860"/>
              <w:spacing w:after="0"/>
              <w:rPr>
                <w:sz w:val="20"/>
                <w:szCs w:val="20"/>
                <w:color w:val="auto"/>
              </w:rPr>
            </w:pPr>
            <w:r>
              <w:rPr>
                <w:rFonts w:ascii="Arial" w:cs="Arial" w:eastAsia="Arial" w:hAnsi="Arial"/>
                <w:sz w:val="16"/>
                <w:szCs w:val="16"/>
                <w:color w:val="auto"/>
                <w:w w:val="74"/>
              </w:rPr>
              <w:t>·</w:t>
            </w:r>
          </w:p>
        </w:tc>
        <w:tc>
          <w:tcPr>
            <w:tcW w:w="2520" w:type="dxa"/>
            <w:vAlign w:val="bottom"/>
          </w:tcPr>
          <w:p>
            <w:pPr>
              <w:ind w:left="960"/>
              <w:spacing w:after="0"/>
              <w:rPr>
                <w:sz w:val="20"/>
                <w:szCs w:val="20"/>
                <w:color w:val="auto"/>
              </w:rPr>
            </w:pPr>
            <w:r>
              <w:rPr>
                <w:rFonts w:ascii="Arial" w:cs="Arial" w:eastAsia="Arial" w:hAnsi="Arial"/>
                <w:sz w:val="18"/>
                <w:szCs w:val="18"/>
                <w:color w:val="auto"/>
                <w:w w:val="88"/>
              </w:rPr>
              <w:t>$375,000 on June 30,</w:t>
            </w:r>
          </w:p>
        </w:tc>
        <w:tc>
          <w:tcPr>
            <w:tcW w:w="5800" w:type="dxa"/>
            <w:vAlign w:val="bottom"/>
          </w:tcPr>
          <w:p>
            <w:pPr>
              <w:ind w:left="20"/>
              <w:spacing w:after="0"/>
              <w:rPr>
                <w:sz w:val="20"/>
                <w:szCs w:val="20"/>
                <w:color w:val="auto"/>
              </w:rPr>
            </w:pPr>
            <w:r>
              <w:rPr>
                <w:rFonts w:ascii="Arial" w:cs="Arial" w:eastAsia="Arial" w:hAnsi="Arial"/>
                <w:sz w:val="18"/>
                <w:szCs w:val="18"/>
                <w:color w:val="auto"/>
              </w:rPr>
              <w:t>2017 and the last day of each fiscal quarter thereafter.</w:t>
            </w:r>
          </w:p>
        </w:tc>
      </w:tr>
    </w:tbl>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March 2014, we used the proceeds of the term loan to finance the repayment of all amounts outstanding under our loan agreement with Deerpath Funding, LP (“Deerpath”) and the payment of certain fees, cost and expenses related to the Credit Agreement. The Deerpath loan bore interest at a floating annual rate equal to LIBOR plus 8.0%, subject to a LIBOR floor of 9.5%, or a minimum of 11.5%. We expect to incur, in the first quarter of 2014, a one-time charge of approximately $1.4 million in connection with the refinancing, of which approximately $700,000 is non-cash deferred financing costs.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also provides for a revolving loan commitment in the aggregate amount of up to $3.0 million. The outstanding principal amount of the revolving loan is due and payable in March, 2019. Additionally, the Credit Agreement provides for a $10.0 million uncommitted incremental term loan facility to support permitted acquisitions.</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term loan and revolving loan will bear interest, at our option, at (i) the greater of 1% or LIBOR, plus an applicable margin or (ii) a base rate (as defined in the Credit Agreement) plus an applicable margin. We have elected to use the Libor rate plus the applicable margin, which is 5% for the first six months. Interest is payable monthly and the margin varies based upon our leverage ratio. See table below of applicable margin rates.</w:t>
      </w:r>
    </w:p>
    <w:p>
      <w:pPr>
        <w:spacing w:after="0" w:line="187" w:lineRule="exact"/>
        <w:rPr>
          <w:sz w:val="20"/>
          <w:szCs w:val="20"/>
          <w:color w:val="auto"/>
        </w:rPr>
      </w:pPr>
    </w:p>
    <w:tbl>
      <w:tblPr>
        <w:tblLayout w:type="fixed"/>
        <w:tblInd w:w="2310" w:type="dxa"/>
        <w:tblCellMar>
          <w:top w:w="0" w:type="dxa"/>
          <w:left w:w="0" w:type="dxa"/>
          <w:bottom w:w="0" w:type="dxa"/>
          <w:right w:w="0" w:type="dxa"/>
        </w:tblCellMar>
      </w:tblPr>
      <w:tr>
        <w:trPr>
          <w:trHeight w:val="267"/>
        </w:trPr>
        <w:tc>
          <w:tcPr>
            <w:tcW w:w="120" w:type="dxa"/>
            <w:vAlign w:val="bottom"/>
            <w:tcBorders>
              <w:top w:val="single" w:sz="8" w:color="auto"/>
              <w:left w:val="single" w:sz="8" w:color="auto"/>
              <w:bottom w:val="single" w:sz="8" w:color="auto"/>
            </w:tcBorders>
          </w:tcPr>
          <w:p>
            <w:pPr>
              <w:spacing w:after="0"/>
              <w:rPr>
                <w:sz w:val="23"/>
                <w:szCs w:val="23"/>
                <w:color w:val="auto"/>
              </w:rPr>
            </w:pPr>
          </w:p>
        </w:tc>
        <w:tc>
          <w:tcPr>
            <w:tcW w:w="262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Total Leverage Ratio</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Base Rate Margin</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LIBOR Rate Margin</w:t>
            </w:r>
          </w:p>
        </w:tc>
      </w:tr>
      <w:tr>
        <w:trPr>
          <w:trHeight w:val="207"/>
        </w:trPr>
        <w:tc>
          <w:tcPr>
            <w:tcW w:w="2740" w:type="dxa"/>
            <w:vAlign w:val="bottom"/>
            <w:tcBorders>
              <w:left w:val="single" w:sz="8" w:color="auto"/>
              <w:bottom w:val="single" w:sz="8" w:color="auto"/>
              <w:right w:val="single" w:sz="8" w:color="auto"/>
            </w:tcBorders>
            <w:gridSpan w:val="2"/>
          </w:tcPr>
          <w:p>
            <w:pPr>
              <w:ind w:left="20"/>
              <w:spacing w:after="0" w:line="200" w:lineRule="exact"/>
              <w:rPr>
                <w:sz w:val="20"/>
                <w:szCs w:val="20"/>
                <w:color w:val="auto"/>
              </w:rPr>
            </w:pPr>
            <w:r>
              <w:rPr>
                <w:rFonts w:ascii="Arial" w:cs="Arial" w:eastAsia="Arial" w:hAnsi="Arial"/>
                <w:sz w:val="18"/>
                <w:szCs w:val="18"/>
                <w:color w:val="auto"/>
              </w:rPr>
              <w:t>&gt; 2.75:1.0</w:t>
            </w:r>
          </w:p>
        </w:tc>
        <w:tc>
          <w:tcPr>
            <w:tcW w:w="2040" w:type="dxa"/>
            <w:vAlign w:val="bottom"/>
            <w:tcBorders>
              <w:bottom w:val="single" w:sz="8" w:color="auto"/>
              <w:right w:val="single" w:sz="8" w:color="auto"/>
            </w:tcBorders>
          </w:tcPr>
          <w:p>
            <w:pPr>
              <w:jc w:val="center"/>
              <w:ind w:right="10"/>
              <w:spacing w:after="0" w:line="200" w:lineRule="exact"/>
              <w:rPr>
                <w:sz w:val="20"/>
                <w:szCs w:val="20"/>
                <w:color w:val="auto"/>
              </w:rPr>
            </w:pPr>
            <w:r>
              <w:rPr>
                <w:rFonts w:ascii="Arial" w:cs="Arial" w:eastAsia="Arial" w:hAnsi="Arial"/>
                <w:sz w:val="18"/>
                <w:szCs w:val="18"/>
                <w:color w:val="auto"/>
                <w:w w:val="90"/>
              </w:rPr>
              <w:t>3.00%</w:t>
            </w:r>
          </w:p>
        </w:tc>
        <w:tc>
          <w:tcPr>
            <w:tcW w:w="2060" w:type="dxa"/>
            <w:vAlign w:val="bottom"/>
            <w:tcBorders>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90"/>
              </w:rPr>
              <w:t>4.00%</w:t>
            </w:r>
          </w:p>
        </w:tc>
      </w:tr>
      <w:tr>
        <w:trPr>
          <w:trHeight w:val="176"/>
        </w:trPr>
        <w:tc>
          <w:tcPr>
            <w:tcW w:w="2740" w:type="dxa"/>
            <w:vAlign w:val="bottom"/>
            <w:tcBorders>
              <w:left w:val="single" w:sz="8" w:color="auto"/>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rPr>
              <w:t>&lt; 2.75:1.0 but &gt; 2.25:1</w:t>
            </w:r>
          </w:p>
        </w:tc>
        <w:tc>
          <w:tcPr>
            <w:tcW w:w="2040" w:type="dxa"/>
            <w:vAlign w:val="bottom"/>
            <w:tcBorders>
              <w:right w:val="single" w:sz="8" w:color="auto"/>
            </w:tcBorders>
          </w:tcPr>
          <w:p>
            <w:pPr>
              <w:jc w:val="center"/>
              <w:ind w:right="10"/>
              <w:spacing w:after="0" w:line="176" w:lineRule="exact"/>
              <w:rPr>
                <w:sz w:val="20"/>
                <w:szCs w:val="20"/>
                <w:color w:val="auto"/>
              </w:rPr>
            </w:pPr>
            <w:r>
              <w:rPr>
                <w:rFonts w:ascii="Arial" w:cs="Arial" w:eastAsia="Arial" w:hAnsi="Arial"/>
                <w:sz w:val="18"/>
                <w:szCs w:val="18"/>
                <w:color w:val="auto"/>
                <w:w w:val="90"/>
              </w:rPr>
              <w:t>2.50%</w:t>
            </w:r>
          </w:p>
        </w:tc>
        <w:tc>
          <w:tcPr>
            <w:tcW w:w="20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3.50%</w:t>
            </w:r>
          </w:p>
        </w:tc>
      </w:tr>
      <w:tr>
        <w:trPr>
          <w:trHeight w:val="28"/>
        </w:trPr>
        <w:tc>
          <w:tcPr>
            <w:tcW w:w="120" w:type="dxa"/>
            <w:vAlign w:val="bottom"/>
            <w:tcBorders>
              <w:top w:val="single" w:sz="8" w:color="auto"/>
              <w:left w:val="single" w:sz="8" w:color="auto"/>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176"/>
        </w:trPr>
        <w:tc>
          <w:tcPr>
            <w:tcW w:w="2740" w:type="dxa"/>
            <w:vAlign w:val="bottom"/>
            <w:tcBorders>
              <w:left w:val="single" w:sz="8" w:color="auto"/>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rPr>
              <w:t>&lt; 2.25:1</w:t>
            </w:r>
          </w:p>
        </w:tc>
        <w:tc>
          <w:tcPr>
            <w:tcW w:w="2040" w:type="dxa"/>
            <w:vAlign w:val="bottom"/>
            <w:tcBorders>
              <w:right w:val="single" w:sz="8" w:color="auto"/>
            </w:tcBorders>
          </w:tcPr>
          <w:p>
            <w:pPr>
              <w:jc w:val="center"/>
              <w:ind w:right="10"/>
              <w:spacing w:after="0" w:line="176" w:lineRule="exact"/>
              <w:rPr>
                <w:sz w:val="20"/>
                <w:szCs w:val="20"/>
                <w:color w:val="auto"/>
              </w:rPr>
            </w:pPr>
            <w:r>
              <w:rPr>
                <w:rFonts w:ascii="Arial" w:cs="Arial" w:eastAsia="Arial" w:hAnsi="Arial"/>
                <w:sz w:val="18"/>
                <w:szCs w:val="18"/>
                <w:color w:val="auto"/>
                <w:w w:val="90"/>
              </w:rPr>
              <w:t>2.00%</w:t>
            </w:r>
          </w:p>
        </w:tc>
        <w:tc>
          <w:tcPr>
            <w:tcW w:w="20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3.00%</w:t>
            </w:r>
          </w:p>
        </w:tc>
      </w:tr>
      <w:tr>
        <w:trPr>
          <w:trHeight w:val="28"/>
        </w:trPr>
        <w:tc>
          <w:tcPr>
            <w:tcW w:w="120" w:type="dxa"/>
            <w:vAlign w:val="bottom"/>
            <w:tcBorders>
              <w:top w:val="single" w:sz="8" w:color="auto"/>
              <w:left w:val="single" w:sz="8" w:color="auto"/>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voluntarily prepay the principal amount outstanding under the revolving loan at any time without penalty or premium. We must pay a premium if we make a voluntary prepayment of outstanding principal under the term loan during the first two years following the closing date or if we are required to prepay outstanding principal under the Credit Agreement with proceeds resulting from certain asset sales or debt incurrence. The premium is 1% or 0.5% of the principal amount being prepaid depending on whether the prepayment occurs on or before the first anniversary of the closing date or subsequent to the first anniversary date through the second anniversary of the closing date. In addition, we are required to repay outstanding principal with 50% of excess cash flow, certain over advances, asset sale proceeds, debt proceeds, and proceeds from judgments and settlements.</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Credit Agreement, we are required to maintain a fixed charge coverage ratio of not less than 1.5 to 1.0 beginning with the quarter ending June 30, 2014 and each calendar quarter thereafter, and a leverage ratio of not greater than 3.5 to 1.0 beginning with the quarter ending June 30, 2014 with the levels stepping down thereafter.</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Credit Agreement contains customary affirmative and negative covenants, including, among others, limitations with respect to debt, liens, fundamental changes, sale of assets, prepayment of debt, investments, dividends, and transactions with affiliates.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contains customary events of default, including, among others, payment defaults, covenant defaults, judgment defaults, bankruptcy and insolvency events, cross defaults to certain indebtedness, incorrect representations or warranties, and change of control. In some cases, the defaults are subject to customary notice and grace period provisions.</w:t>
      </w:r>
    </w:p>
    <w:p>
      <w:pPr>
        <w:sectPr>
          <w:pgSz w:w="11900" w:h="16838" w:orient="portrait"/>
          <w:cols w:equalWidth="0" w:num="1">
            <w:col w:w="11420"/>
          </w:cols>
          <w:pgMar w:left="240" w:top="122"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connection with the Credit Agreement, we and our wholly owned active subsidiaries entered into a Guaranty and Security Agreement, in March 2014, with Wells Fargo Bank. Under the Guaranty and Security Agreement, we and each of our wholly owned active subsidiaries have guaranteed all obligations under the Credit Agreement and granted a security interest in substantially all of our and our subsidiaries’ assets.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14 in the accompanying financial statements for more information about the Credit Agreement and Guaranty and Security Agreement.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PRODUCTS AND SERVICES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Asure’s solutions work together to help organizations turn their three biggest expenses – labor, real estate and technology – into a strategic asset. We currently offer two main product lines, AsureSpace™ and AsureForce®.</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AsureSpace™ product line provides cloud-based, SaaS software solutions to manage meeting room scheduling and to optimize real estate utilization. Specific solutions include Meeting Room Manager, Resource Scheduler, Workspace Manager, SmartView, energy management and hardware, including LCD panels and kiosks for making room reservations.</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AsureSpace™ Meeting Room Manager and Resource Scheduler solutions automate the entire facility scheduling process, including room reservations, equipment requests, food orders, meeting invitations and meeting environment reports. As a result, customers can more effectively manage scheduling processes and track and understand space utilization. Our solutions include a Microsoft Outlook add-on, which provides additional scheduling tools that Outlook does not provide. Customers can access software from a browser, Microsoft Outlook, mobile devices or dedicated LCD panels and kiosks provided by Asure Software. Asure is a Microsoft Gold Certified Partner, which we believe independently confirms the quality of our workspace management solution. AsureSpace™ SmartView is a comprehensive workplace utilization analysis solution that empowers organizations to make educated, cost-effective decisions about workspace utilization. It uses state-of-the-art occupancy and presence detection devices with in-depth, interactive reporting dashboards to track, measure, and analyze space throughout entire facilities including individual workspaces. AsureSpace™ LCD Panels and kiosks can be purchased directly and they allow employees to view and reserve spaces on the fly from meeting rooms and collaboration spaces. Overall, AsureSpace™ products enable our clients to increase utilization of corporate assets, improve workplace productivity and control real estate costs.</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AsureForce® time and labor management solutions help simplify the HR process and improve employee productivity by optimizing labor administration activities utilizing cloud-based SaaS software platform solutions. Our solutions address workforce scheduling, PTO management and leave requests and payroll interface management. Our time collection devices include biometric identification, time clocks and mobile time collection applications for use on tablets, PCs and mobile phones. They can be purchased directly or through a Hardware-as-a-Service (“HaaS”) arrangement. New to the Asure product family is Asure GeoPunch™, a mobile time and attendance application that includes facial recognition and GPS functionality to offer the flexibility, security and validation needed to keep pace with today’s mobile workforce.</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both product lines, support and professional services are other key elements of our software and services business. As an extension of our perpetual software product offerings, Asure offers our customers maintenance and support contracts that provide ready access to qualified support staff, software patches and upgrades to our software products. We also provide installation of and training on our products, add-on software customization and other professional services.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strive to quickly bring to market innovative, cloud-based solutions that work when, where and how workforces are operating today. Asure’s strategy is to deliver the right technology to its customer base in order to realize efficiencies in the workplace.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industry is characterized by continuing improvements in technology, resulting in the frequent introduction of new products, short product life cycles, changes in customer needs and continual improvement in product performance characteristics. Asure strives to be cost-effective and timely in enhancing our software applications, developing new innovative software solutions that address the increasingly sophisticated and varied needs of an evolving range of customers, and anticipating technological advances and evolving industry standards and practices.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Asure development teams – located in Traverse City, Michigan, Warwick, Rhode Island and Austin, Texas – are staffed with software developers, quality assurance engineers and support specialists who work closely with our customers and sales and marketing teams to build products and services based on market requirements and customer feedback. We develop our new product and service roadmaps based on inputs from customers, competitive comparisons and relevant technology innovations.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research and development strategy is rooted in innovation and flexibility. The development team enhances the functionality of our software and hardware products through new releases and new feature developments, with a particular focus on cloud-based SaaS solutions and products for the mobile workforce. Asure will also continue to evaluate opportunities for developing new software so that organizations may further streamline and automate the tasks associated with administering their businesses. We seek to simultaneously allow organizations to improve their productivity while reducing the costs associated with those business tasks.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actively search for potential product, service or business acquisitions that we believe will complement our existing and planned product and service offerings. We cannot assure that we will make future acquisitions or that we can successfully integrate acquired assets or businesses profitably into Asure.</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Despite our efforts, we also cannot assure that we will complete our existing and future development efforts or that our new and enhanced software products will adequately meet the requirements of the marketplace and achieve market acceptance. Additionally, Asure may experience difficulties that could delay or prevent the successful development or introduction of new or enhanced software products. In the case of acquiring new or complementary software products or technologies, we may not be able to integrate the acquisitions into our current product lines. Furthermore, despite extensive testing, errors may be found in new software products or releases after shipment, resulting in a diversion of development resources, increased service costs, loss of revenue and/or delay in market acceptance.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 AND DISTRIBUTION</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Asure sells its software products and services through both a direct and channel (partner) model, which enables us to sell our software solutions in an efficient, cost-effective manner. Prospective customers learn about Asure through a variety of ways, including advertising, web site searches, sales calls, public relations, direct marketing and social media. When prospective customers show an interest in Asure, we connect them with a sales representative via our web site or phone to discuss their needs and the solutions they are interested in and make the sale. We track our marketing and sales activities in Salesforce.com with immediate preview into activities, leads and pipeline opportunity. Asure account management teams also work with existing customers to promote and sell additional solutions that are relevant for each customer. In addition to this direct, inside sales model, we supplement these efforts with our partner programs described below. By working with our partners, we expand the reach of our direct sales force and gain access to key opportunities in major market segments worldwide. Asure has two distinct levels of partners in our Partner Program: Reseller Partners and Referral Partners.</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Reseller Partners</w:t>
      </w:r>
      <w:r>
        <w:rPr>
          <w:rFonts w:ascii="Arial" w:cs="Arial" w:eastAsia="Arial" w:hAnsi="Arial"/>
          <w:sz w:val="16"/>
          <w:szCs w:val="16"/>
          <w:color w:val="auto"/>
        </w:rPr>
        <w:t>. Reseller Partners are companies that represent us globally, as well as before the Federal government, and often offer</w:t>
      </w:r>
      <w:r>
        <w:rPr>
          <w:rFonts w:ascii="Arial" w:cs="Arial" w:eastAsia="Arial" w:hAnsi="Arial"/>
          <w:sz w:val="16"/>
          <w:szCs w:val="16"/>
          <w:b w:val="1"/>
          <w:bCs w:val="1"/>
          <w:color w:val="auto"/>
        </w:rPr>
        <w:t xml:space="preserve"> </w:t>
      </w:r>
      <w:r>
        <w:rPr>
          <w:rFonts w:ascii="Arial" w:cs="Arial" w:eastAsia="Arial" w:hAnsi="Arial"/>
          <w:sz w:val="16"/>
          <w:szCs w:val="16"/>
          <w:color w:val="auto"/>
        </w:rPr>
        <w:t>complementary products to either the workspace management product line or the workforce product line. Reseller Partners commit to a minimum level of business per year with us and receive a channel discount for that commitment. Our Reseller Partners outside the United States include Novera in Australia which represents the workspace product line. We also have several Reseller Partners that represent our software in the Federal government space. Resellers of our workforce product line in the United States include Oasis Outsourcing, a large provider of human resource outsourcing solutions.</w:t>
      </w:r>
    </w:p>
    <w:p>
      <w:pPr>
        <w:spacing w:after="0" w:line="15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Referral Partners</w:t>
      </w:r>
      <w:r>
        <w:rPr>
          <w:rFonts w:ascii="Arial" w:cs="Arial" w:eastAsia="Arial" w:hAnsi="Arial"/>
          <w:sz w:val="17"/>
          <w:szCs w:val="17"/>
          <w:color w:val="auto"/>
        </w:rPr>
        <w:t>. Referral Partners provide us with the name and particular information about a prospective customer and its needs as a sales</w:t>
      </w:r>
      <w:r>
        <w:rPr>
          <w:rFonts w:ascii="Arial" w:cs="Arial" w:eastAsia="Arial" w:hAnsi="Arial"/>
          <w:sz w:val="17"/>
          <w:szCs w:val="17"/>
          <w:b w:val="1"/>
          <w:bCs w:val="1"/>
          <w:color w:val="auto"/>
        </w:rPr>
        <w:t xml:space="preserve"> </w:t>
      </w:r>
      <w:r>
        <w:rPr>
          <w:rFonts w:ascii="Arial" w:cs="Arial" w:eastAsia="Arial" w:hAnsi="Arial"/>
          <w:sz w:val="17"/>
          <w:szCs w:val="17"/>
          <w:color w:val="auto"/>
        </w:rPr>
        <w:t>lead. If we accept the sales lead, we register it for the referring Referral Partner. If we make a sale as a direct result of such a lead, we will pay the Referral Partner a sales lead referral fee. Currently, we have a number of Referral Partners, including PolyVision Corp., Steelcase and e-Innovative Solutions for the workspace management product line and several smaller firms for our time and attendance product line.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the AsureSpace™ line of workspace management software solutions has a competitive advantage in the marketplace. We compete both in the breadth of our comprehensive platform of workspace scheduling and utilization analytics as well as our resources available for product development, client services, and customer support. The primary competitors to AsureSpace™ include Dean Evans &amp; Associates, Inc., Emergingsoft Corporation, AgilQuest Corporation and Condeco Ltd. (UK). In addition to the features and available services, we believe the principal advantages of AsureSpace™ with respect to its competitors include its cloud-based services model, extensive product integration options and partner channel, scalable deployments, configurable interfaces, mobile access and price.</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believe that the AsureForce® line of workforce management of time and attendance software has a competitive advantage in the marketplace in serving organizations seeking specific point-solutions as well as organizations desiring an integrated suite of solutions. By competing tactically with point-solutions and strategically with an integrated suite of solutions, Asure can serve the needs of a broad spectrum of companies.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While Asure has the advantage of a flexible, easy to use, cloud-based, SaaS-delivered software model, affordability and proven deployment methodology, we face several categories of competitive challenges:</w:t>
      </w:r>
    </w:p>
    <w:p>
      <w:pPr>
        <w:spacing w:after="0" w:line="170" w:lineRule="exact"/>
        <w:rPr>
          <w:sz w:val="20"/>
          <w:szCs w:val="20"/>
          <w:color w:val="auto"/>
        </w:rPr>
      </w:pPr>
    </w:p>
    <w:p>
      <w:pPr>
        <w:jc w:val="both"/>
        <w:ind w:firstLine="332"/>
        <w:spacing w:after="0" w:line="259" w:lineRule="auto"/>
        <w:tabs>
          <w:tab w:leader="none" w:pos="1116"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Vendors with face-to-face sales contact. </w:t>
      </w:r>
      <w:r>
        <w:rPr>
          <w:rFonts w:ascii="Arial" w:cs="Arial" w:eastAsia="Arial" w:hAnsi="Arial"/>
          <w:sz w:val="18"/>
          <w:szCs w:val="18"/>
          <w:color w:val="auto"/>
        </w:rPr>
        <w:t>In this highly relationship-based sales process, vendors with a field-based sales team who meet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consult with prospects have an advantage. Key U.S. vendors who approach the market in this manner include ADP, Kronos, PeopleSoft, Condeco and Steelcase. Asure does not have a field-based approach to sales but focuses instead on high-touch marketing campaigns and leveraging relationships with channel partners to build relationships with prospects.</w:t>
      </w:r>
    </w:p>
    <w:p>
      <w:pPr>
        <w:spacing w:after="0" w:line="213" w:lineRule="exact"/>
        <w:rPr>
          <w:rFonts w:ascii="Arial" w:cs="Arial" w:eastAsia="Arial" w:hAnsi="Arial"/>
          <w:sz w:val="18"/>
          <w:szCs w:val="18"/>
          <w:color w:val="auto"/>
        </w:rPr>
      </w:pPr>
    </w:p>
    <w:p>
      <w:pPr>
        <w:jc w:val="both"/>
        <w:ind w:firstLine="332"/>
        <w:spacing w:after="0" w:line="264" w:lineRule="auto"/>
        <w:tabs>
          <w:tab w:leader="none" w:pos="117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National payroll processors with loss-leader products. </w:t>
      </w:r>
      <w:r>
        <w:rPr>
          <w:rFonts w:ascii="Arial" w:cs="Arial" w:eastAsia="Arial" w:hAnsi="Arial"/>
          <w:sz w:val="18"/>
          <w:szCs w:val="18"/>
          <w:color w:val="auto"/>
        </w:rPr>
        <w:t>Large brand and market share payroll processing vendors (such as ADP, Inc.) offer</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point solutions at little or no cost to prospects when in a competitive engagement because these loss leader products become inconsequential next to their core business offerings.</w:t>
      </w:r>
    </w:p>
    <w:p>
      <w:pPr>
        <w:spacing w:after="0" w:line="208" w:lineRule="exact"/>
        <w:rPr>
          <w:rFonts w:ascii="Arial" w:cs="Arial" w:eastAsia="Arial" w:hAnsi="Arial"/>
          <w:sz w:val="18"/>
          <w:szCs w:val="18"/>
          <w:color w:val="auto"/>
        </w:rPr>
      </w:pPr>
    </w:p>
    <w:p>
      <w:pPr>
        <w:ind w:firstLine="332"/>
        <w:spacing w:after="0" w:line="308" w:lineRule="auto"/>
        <w:tabs>
          <w:tab w:leader="none" w:pos="1318"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Single application vendors. </w:t>
      </w:r>
      <w:r>
        <w:rPr>
          <w:rFonts w:ascii="Arial" w:cs="Arial" w:eastAsia="Arial" w:hAnsi="Arial"/>
          <w:sz w:val="17"/>
          <w:szCs w:val="17"/>
          <w:color w:val="auto"/>
        </w:rPr>
        <w:t>Vendors that offer similar point-solutions such as room scheduling, office hoteling management, time and</w:t>
      </w:r>
      <w:r>
        <w:rPr>
          <w:rFonts w:ascii="Arial" w:cs="Arial" w:eastAsia="Arial" w:hAnsi="Arial"/>
          <w:sz w:val="17"/>
          <w:szCs w:val="17"/>
          <w:i w:val="1"/>
          <w:iCs w:val="1"/>
          <w:color w:val="auto"/>
        </w:rPr>
        <w:t xml:space="preserve"> </w:t>
      </w:r>
      <w:r>
        <w:rPr>
          <w:rFonts w:ascii="Arial" w:cs="Arial" w:eastAsia="Arial" w:hAnsi="Arial"/>
          <w:sz w:val="17"/>
          <w:szCs w:val="17"/>
          <w:color w:val="auto"/>
        </w:rPr>
        <w:t>attendance, employee/manager self-service and paystub management can be perceived as better meeting an immediate and specific need.</w:t>
      </w:r>
    </w:p>
    <w:p>
      <w:pPr>
        <w:spacing w:after="0" w:line="1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Because the market for our products and services is subject to rapid technological change and there are relatively low barriers to entry in the workplace management software market, we routinely encounter new entrants or competition from vendors in some or all aspects of our two product lines. Competition from these potential market entrants may take many forms. Some of our competitors, both current and future, may have greater financial, technical and marketing resources than us and therefore may be able to respond quicker to new or emerging technologies and changes in customer requirements. As a result, they may compete more effectively on price and other terms. Additionally, those competitors may devote greater resources in developing products or in promoting and selling their products to achieve greater market acceptance. Asure is actively taking measures designed to address our competitive challenges. However, we cannot assure that we will be able to achieve or maintain a competitive advantage with respect to any of the competitive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Asure’s marketing strategy has relied on the development and implementation of a comprehensive integrated plan rooted in our business objectives. The marketing plan includes four primary objectives: 1) build brand awareness, 2) develop lead generation programs that drive revenue, 3) launch products in a meaningful way and 4) develop an infrastructure that supports and measures marketing activities. We deploy multi-faceted, multi-series direct marketing programs to drive awareness, interest and revenue. Marketing vehicles include our web site, organic and paid search, advertising, public relations, direct marketing, events, social media, content marketing and eMarketing. Our marketing plan addresses growth and retention goals for all target audiences, from small and medium-sized businesses to Fortune 500 companies and divisions of enterprise organizations throughout the United States, Europe and Asia/Pacific.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TRADEMARKS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registered Asure Software® as a federal trademark with the U.S. Patent and Trademark Office. Our other federal trademarks include AsureForce®, Face Time Clock®, Legiant Timecard® and ADI Time®, and we have pending applications for federal registration of the marks AsureSpace™, SmartView™ and GeoPunch™. We also use the common law trademarks iEmployee™, Netsimplicty™, AsureSpace™, ADI™ and Legiant Express™.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EMPLOYEES</w:t>
            </w:r>
          </w:p>
        </w:tc>
        <w:tc>
          <w:tcPr>
            <w:tcW w:w="7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80"/>
        </w:trPr>
        <w:tc>
          <w:tcPr>
            <w:tcW w:w="8260" w:type="dxa"/>
            <w:vAlign w:val="bottom"/>
            <w:gridSpan w:val="3"/>
          </w:tcPr>
          <w:p>
            <w:pPr>
              <w:ind w:left="660"/>
              <w:spacing w:after="0"/>
              <w:rPr>
                <w:sz w:val="20"/>
                <w:szCs w:val="20"/>
                <w:color w:val="auto"/>
              </w:rPr>
            </w:pPr>
            <w:r>
              <w:rPr>
                <w:rFonts w:ascii="Arial" w:cs="Arial" w:eastAsia="Arial" w:hAnsi="Arial"/>
                <w:sz w:val="18"/>
                <w:szCs w:val="18"/>
                <w:color w:val="auto"/>
              </w:rPr>
              <w:t>As of December 31, 2013, we had a total of 125 employees in the following departments:</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b w:val="1"/>
                <w:bCs w:val="1"/>
                <w:color w:val="auto"/>
              </w:rPr>
              <w:t>NUMBER OF</w:t>
            </w:r>
          </w:p>
        </w:tc>
      </w:tr>
      <w:tr>
        <w:trPr>
          <w:trHeight w:val="241"/>
        </w:trPr>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FUNCTION</w:t>
            </w:r>
          </w:p>
        </w:tc>
        <w:tc>
          <w:tcPr>
            <w:tcW w:w="100" w:type="dxa"/>
            <w:vAlign w:val="bottom"/>
          </w:tcPr>
          <w:p>
            <w:pPr>
              <w:spacing w:after="0"/>
              <w:rPr>
                <w:sz w:val="20"/>
                <w:szCs w:val="20"/>
                <w:color w:val="auto"/>
              </w:rPr>
            </w:pPr>
          </w:p>
        </w:tc>
        <w:tc>
          <w:tcPr>
            <w:tcW w:w="15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EMPLOYEES</w:t>
            </w:r>
          </w:p>
        </w:tc>
        <w:tc>
          <w:tcPr>
            <w:tcW w:w="10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Sales and marketing</w:t>
            </w: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Customer service and technical support</w:t>
            </w: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Finance, human resources and administration</w:t>
            </w:r>
          </w:p>
        </w:tc>
        <w:tc>
          <w:tcPr>
            <w:tcW w:w="1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7"/>
        </w:trPr>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125</w:t>
            </w: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continually evaluate and adjust the size and composition of our workforce. We also periodically retain contractors to support our sales and marketing, information technology and administrative functions. None of our employees are represented by a collective bargaining agreement. Asure has not experienced any work stoppages and we consider our relations with our employees to be good. Additionally, we augment our workforce capacity in research and development and customer service and technical support by contracting for services through third parties.</w:t>
      </w:r>
    </w:p>
    <w:p>
      <w:pPr>
        <w:sectPr>
          <w:pgSz w:w="11900" w:h="16838" w:orient="portrait"/>
          <w:cols w:equalWidth="0" w:num="1">
            <w:col w:w="11420"/>
          </w:cols>
          <w:pgMar w:left="240" w:top="121"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future performance depends largely on our ability to continually and effectively attract, train, retain, motivate and manage highly qualified and experienced technical, sales, marketing and managerial personnel. Asure’s future development and growth depend on the efforts of key management personnel and technical employees. Asure uses incentives, including competitive compensation and stock options, to attract and retain well-qualified employees. However, we cannot assure that we will continue to attract and retain personnel with the requisite capabilities and experience. The loss of one or more of Asure’s key management or technical personnel could have a material and adverse effect on our business and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OFFICERS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regarding directors and corporate governance matters is incorporated herein by reference from the section entitled “Election of Directors” of the Company’s definitive Proxy Statement (the “Proxy Statement”) to be filed pursuant to Regulation 14A of the Securities Exchange Act of 1934, as amended, for the registrants’ Annual Meeting of Stockholders to be held on June 9, 2014. The Proxy Statement is anticipated to be filed within 120 days after the end of the registrant’s fiscal year ended December 31, 2013.</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the Company’s current executive officers as of March 26, 2014:</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80" w:type="dxa"/>
            <w:vAlign w:val="bottom"/>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Patrick Goepel</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8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Steven Rodriguez</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Jennifer Crow</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Mike Kinney</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89"/>
              </w:rPr>
              <w:t>45</w:t>
            </w:r>
          </w:p>
        </w:tc>
        <w:tc>
          <w:tcPr>
            <w:tcW w:w="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Vice President of Sales</w:t>
            </w:r>
          </w:p>
        </w:tc>
      </w:tr>
    </w:tbl>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Patrick Goepel </w:t>
      </w:r>
      <w:r>
        <w:rPr>
          <w:rFonts w:ascii="Arial" w:cs="Arial" w:eastAsia="Arial" w:hAnsi="Arial"/>
          <w:sz w:val="17"/>
          <w:szCs w:val="17"/>
          <w:color w:val="auto"/>
        </w:rPr>
        <w:t>was elected to the Company’s Board of Directors at its August 28, 2009 Annual Meeting of Shareholders. He was subsequently</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as Interim Chief Executive Officer on September 15, 2009 and became Chief Executive Officer of the Company as of January 1, 2010. Prior to his appointment, he served as Chief Operating Officer of Patersons Global Payroll. Previously, he was the President and Chief Executive Officer of Fidelity Investment’s Human Resource Services Division from 2006 to 2008; President and Chief Executive Officer of Advantec from 2005 to 2006; and Executive Vice President of Business Development and US Operations at Ceridian from 1994 to 2005. A former board member of iEmployee, Mr. Goepel currently serves on the board of directors of AllOver Media, APPD Investments, and SafeGuard World International.</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Steven Rodriguez </w:t>
      </w:r>
      <w:r>
        <w:rPr>
          <w:rFonts w:ascii="Arial" w:cs="Arial" w:eastAsia="Arial" w:hAnsi="Arial"/>
          <w:sz w:val="18"/>
          <w:szCs w:val="18"/>
          <w:color w:val="auto"/>
        </w:rPr>
        <w:t>joined the Company as Chief Operating Officer in June 2011. From February through May 2011, the Company retained him as a</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to evaluate and make recommendations related to the Company's sales and marketing strategies and processes. Prior to that, he served as the Principal for HCS, a consulting company he founded. His past roles also include Executive Vice President and Officer at Perquest, a national workforce management company, from 2008 to 2009; Senior Vice President of Sales &amp; Sales Operations at Ceridian Corporation, a human resource services company, from 2001 to 2007; Regional Director for Epicor Software from 2000 to 2001; and Vice President of Sales at Automatic Data Processing (ADP), Inc., a provider of payroll and benefits administration solutions, from 1990 to 2000. Mr. Rodriguez holds a Bachelors of Business Administration from the University of Oklahoma.</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Jennifer Crow </w:t>
      </w:r>
      <w:r>
        <w:rPr>
          <w:rFonts w:ascii="Arial" w:cs="Arial" w:eastAsia="Arial" w:hAnsi="Arial"/>
          <w:sz w:val="18"/>
          <w:szCs w:val="18"/>
          <w:color w:val="auto"/>
        </w:rPr>
        <w:t>joined the Company as Vice President and Chief Financial Officer in November 2012. Prior to joining the Company, she served six</w:t>
      </w:r>
      <w:r>
        <w:rPr>
          <w:rFonts w:ascii="Arial" w:cs="Arial" w:eastAsia="Arial" w:hAnsi="Arial"/>
          <w:sz w:val="18"/>
          <w:szCs w:val="18"/>
          <w:b w:val="1"/>
          <w:bCs w:val="1"/>
          <w:color w:val="auto"/>
        </w:rPr>
        <w:t xml:space="preserve"> </w:t>
      </w:r>
      <w:r>
        <w:rPr>
          <w:rFonts w:ascii="Arial" w:cs="Arial" w:eastAsia="Arial" w:hAnsi="Arial"/>
          <w:sz w:val="18"/>
          <w:szCs w:val="18"/>
          <w:color w:val="auto"/>
        </w:rPr>
        <w:t>years as Director of Finance at Active Power, Inc, a designer and manufacturer of critical power back-up systems. Prior to Active Power, Ms. Crow spent three years as finance and accounting consultant providing litigation support and financial consulting services. From 1998 to 2003, she was Director of Financial Analysis at Broadwing Communications, a telecommunications infrastructure provider. Her background also includes other financial positions with BellSouth, Southwestern Bell, and Arthur Andersen &amp; Co. Ms. Crow is a Certified Public Accountant and holds a Bachelor of Business Administration degree from Southwest Texas State University.</w:t>
      </w:r>
    </w:p>
    <w:p>
      <w:pPr>
        <w:spacing w:after="0" w:line="21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Mike Kinney </w:t>
      </w:r>
      <w:r>
        <w:rPr>
          <w:rFonts w:ascii="Arial" w:cs="Arial" w:eastAsia="Arial" w:hAnsi="Arial"/>
          <w:sz w:val="18"/>
          <w:szCs w:val="18"/>
          <w:color w:val="auto"/>
        </w:rPr>
        <w:t>joined the Company in May 2011 as the Vice President of Sales. Prior to joining the Company, he was a Regional Vice President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HR Payroll Division of Ceridian Corporation from 2006 to 2010, where he led multiple regions, focusing on rebuilding market presence and driving top-line revenue. From 2005 to 2006, he was Regional Vice President at KFORCE, a recruiting process outsource company. He was also Regional Vice President at Creative Financial Staffing from 2001 to 2005. Mr. Kinney holds a Bachelors of Arts in Political Science with a concentration in Economics from the University of Texas at Austin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principal offices are located in Austin, Texas where we occupy approximately 11,000 square feet of office space under one operating lease that expires in December 2015. We lease approximately 6,000 square feet in Framingham, Massachusetts and 5,000 square feet in Warwick, Rhode Island. We also lease office suites in Michigan and the United Kingdom.</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believes that the leased properties described above are adequate to meet Asure’s current operational requirements and can accommodate further physical expansion of office space as needed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December 2012, we demanded a purchase price adjustment from PeopleCube Holding B.V. and Meeting Maker Holding B.V., the sellers of the capital stock of Meeting Maker – United States, Inc. (dba PeopleCube) that we purchased in July 2012, based on matters we discovered after closing. Both parties agreed for the post-closing adjustment to be resolved by an independent accountant consistent with the purchase agreement. In January 2013, we filed a claim in federal court in Texas seeking to compel the sellers to comply with the working capital adjustment process. The sellers simultaneously filed a claim in the state court of Massachusetts alleging that we did not comply with the working capital adjustment process. Our claim was amended in April 2013 to add contractual indemnification claims for the sellers’ breach of warranties and representations made in the purchase agreement. In May 2013, the sellers amended their original complaint to allege misrepresentations and omissions by us in connection with the purchase transaction. The sellers sought an unspecified amount of damages and the trebling of such damages once calculated. We filed a counterclaim in Massachusetts for contractual indemnification claims for the sellers’ breach of their warranties and representations.</w:t>
      </w:r>
    </w:p>
    <w:p>
      <w:pPr>
        <w:spacing w:after="0" w:line="2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2013, we reached an agreement (based upon the determination by the independent accountant) to settle our purchase price post-closing adjustment dispute with the sellers. The parties agreed to a post-closing adjustment due to us with accrued interest of $540,000. The parties agreed to reduce the original $3.0 million deferred purchase payment by the post-closing adjustment amount. This also had the effect of reducing our long-term debt by a like amount. The remaining deferred purchase price balance was $2.5 million. The parties also agreed to dismiss the litigation and claims in Texas in favor of consolidating all remaining disputes in the Massachusetts state court.</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2014, we reached an agreement to settle all claims and dismiss all pending litigation with the sellers. Under the settlement agreement, the parties agreed to dismiss the litigation and settle the remaining balance due of $2.5 million on the Subordinated Notes Payable: PeopleCube Acquisition Note for $1.7 million, which we paid within five business days after the date of the settlement agreement. Separately, our insurance carrier agreed to pay us $500,000 in conjunction with the settlement. With the insurance proceeds and after offsetting any related litigation costs incurred in 2014, we expect to record a net gain of approximately $1.0 million on the settlement in the first quarter of 2014.</w:t>
      </w:r>
    </w:p>
    <w:p>
      <w:pPr>
        <w:spacing w:after="0" w:line="18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Finally, as part of the original purchase price in the PeopleCube acquisition, we issued 255,000 shares of our common stock subject to a lockup of 125,000 shares expiring in June 2013 and 130,000 shares expiring in June 2014. This settlement removed the lockup for the remaining 130,000 shares.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Asure is periodically the defendant or plaintiff in other actions arising in the normal course of business. No pending legal proceedings to which we are a party are material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INFORMATION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stock trades on the NASDAQ Capital Market System under the symbol “ASUR.” The following table shows the high and low sale prices of our common stock for each full quarter as reported by NASDAQ for the periods indicated, as adjusted for the 3-for-2 stock split of our common stock completed on April 30, 2012:</w:t>
      </w:r>
    </w:p>
    <w:p>
      <w:pPr>
        <w:spacing w:after="0" w:line="177"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LOW</w:t>
            </w: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HIGH</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LOW</w:t>
            </w:r>
          </w:p>
        </w:tc>
        <w:tc>
          <w:tcPr>
            <w:tcW w:w="120" w:type="dxa"/>
            <w:vAlign w:val="bottom"/>
          </w:tcPr>
          <w:p>
            <w:pPr>
              <w:spacing w:after="0"/>
              <w:rPr>
                <w:sz w:val="19"/>
                <w:szCs w:val="19"/>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1st Quarter</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5.97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4.17</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2nd Quarter</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4.81</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5.17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4.01</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3rd Quarter</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8.00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79"/>
              </w:rPr>
              <w:t>4.11</w:t>
            </w:r>
          </w:p>
        </w:tc>
        <w:tc>
          <w:tcPr>
            <w:tcW w:w="120" w:type="dxa"/>
            <w:vAlign w:val="bottom"/>
            <w:shd w:val="clear" w:color="auto" w:fill="CCEEFF"/>
          </w:tcPr>
          <w:p>
            <w:pPr>
              <w:spacing w:after="0"/>
              <w:rPr>
                <w:sz w:val="18"/>
                <w:szCs w:val="18"/>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4th Quarter</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5.92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7.47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4.79</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have not paid cash dividends on our common stock during fiscal years 2013 and 2012. We presently intend to continue a policy of retaining earnings for reinvestment in our business, rather than paying cash dividends.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HOLDERS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26, 2014, we had approximately 787 stockholders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SECURITIES AUTHORIZED FOR ISSUANCE UNDER EQUITY COMPENSATION PLANS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information as of December 31, 2013 with respect to shares of our common stock that we may issue under our existing equity compensation plans (share amounts in thousands).</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3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B</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w:t>
            </w:r>
          </w:p>
        </w:tc>
      </w:tr>
      <w:tr>
        <w:trPr>
          <w:trHeight w:val="198"/>
        </w:trPr>
        <w:tc>
          <w:tcPr>
            <w:tcW w:w="3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Number of Securities</w:t>
            </w:r>
          </w:p>
        </w:tc>
        <w:tc>
          <w:tcPr>
            <w:tcW w:w="80" w:type="dxa"/>
            <w:vAlign w:val="bottom"/>
          </w:tcPr>
          <w:p>
            <w:pPr>
              <w:spacing w:after="0"/>
              <w:rPr>
                <w:sz w:val="17"/>
                <w:szCs w:val="17"/>
                <w:color w:val="auto"/>
              </w:rPr>
            </w:pP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ind w:left="440"/>
              <w:spacing w:after="0"/>
              <w:rPr>
                <w:sz w:val="20"/>
                <w:szCs w:val="20"/>
                <w:color w:val="auto"/>
              </w:rPr>
            </w:pPr>
            <w:r>
              <w:rPr>
                <w:rFonts w:ascii="Arial" w:cs="Arial" w:eastAsia="Arial" w:hAnsi="Arial"/>
                <w:sz w:val="18"/>
                <w:szCs w:val="18"/>
                <w:b w:val="1"/>
                <w:bCs w:val="1"/>
                <w:color w:val="auto"/>
              </w:rPr>
              <w:t>Remaining</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Available for Future</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Issuance</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Under Equity</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Compensation</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 be Issued Upon</w:t>
            </w:r>
          </w:p>
        </w:tc>
        <w:tc>
          <w:tcPr>
            <w:tcW w:w="80" w:type="dxa"/>
            <w:vAlign w:val="bottom"/>
          </w:tcPr>
          <w:p>
            <w:pPr>
              <w:spacing w:after="0"/>
              <w:rPr>
                <w:sz w:val="18"/>
                <w:szCs w:val="18"/>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Weighted Average</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Plans (Excluding</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Exercise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Exercise Price of</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Outstanding</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Reflected in Column</w:t>
            </w:r>
          </w:p>
        </w:tc>
      </w:tr>
      <w:tr>
        <w:trPr>
          <w:trHeight w:val="241"/>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Plan Category</w:t>
            </w:r>
          </w:p>
        </w:tc>
        <w:tc>
          <w:tcPr>
            <w:tcW w:w="8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Options</w:t>
            </w:r>
          </w:p>
        </w:tc>
        <w:tc>
          <w:tcPr>
            <w:tcW w:w="16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w:t>
            </w:r>
          </w:p>
        </w:tc>
        <w:tc>
          <w:tcPr>
            <w:tcW w:w="80" w:type="dxa"/>
            <w:vAlign w:val="bottom"/>
          </w:tcPr>
          <w:p>
            <w:pPr>
              <w:spacing w:after="0"/>
              <w:rPr>
                <w:sz w:val="20"/>
                <w:szCs w:val="20"/>
                <w:color w:val="auto"/>
              </w:rPr>
            </w:pPr>
          </w:p>
        </w:tc>
      </w:tr>
      <w:tr>
        <w:trPr>
          <w:trHeight w:val="202"/>
        </w:trPr>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Equity Compensation Plans Approved by</w:t>
            </w: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(1)</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Approved by Stockholders (2)</w:t>
            </w: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7"/>
        </w:trPr>
        <w:tc>
          <w:tcPr>
            <w:tcW w:w="3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r>
      <w:tr>
        <w:trPr>
          <w:trHeight w:val="20"/>
        </w:trPr>
        <w:tc>
          <w:tcPr>
            <w:tcW w:w="3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140" w:hanging="1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Consists of the 1996 Stock Option Plan and the 2009 Equity Plan.</w:t>
      </w:r>
    </w:p>
    <w:p>
      <w:pPr>
        <w:spacing w:after="0" w:line="23" w:lineRule="exact"/>
        <w:rPr>
          <w:rFonts w:ascii="Arial" w:cs="Arial" w:eastAsia="Arial" w:hAnsi="Arial"/>
          <w:sz w:val="18"/>
          <w:szCs w:val="18"/>
          <w:color w:val="auto"/>
        </w:rPr>
      </w:pPr>
    </w:p>
    <w:p>
      <w:pPr>
        <w:ind w:left="1160" w:hanging="115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stockholders have previously approved each of our existing equity compensation plans.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April 2012, we effected a 3-for-2 stock split. Share and per share information in our financial statements and the following discussion reflect the impact of the stock split.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STATEMENTS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Asure has attempted to identify these forward-looking statements with the words “believes,” “estimates,” “plans,” “expects,” “anticipates,” “may,” “could” and other similar expressions. Although these forward-looking statements reflect management’s current plans and expectations, which we believe reasonable as of the filing date of this Report, they inherently are subject to certain risks and uncertainties. Additionally, Asure is under no obligation to update any of the forward-looking statements after the date of this Form 10-K to conform such statements to actual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for the fiscal periods indicated, the percentage of total revenues represented by certain items in Asure’s Consolidated Statements of Comprehensive Income (Loss):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100.0%</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74.8</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77.1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SG&amp;A</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52.0</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R&amp;D</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11.1</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11.9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71.7</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79.7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Mark to Market &amp; Original Issue Discount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Other Income (Loss), Net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1440" w:type="dxa"/>
            <w:vAlign w:val="bottom"/>
          </w:tcPr>
          <w:p>
            <w:pPr>
              <w:spacing w:after="0"/>
              <w:rPr>
                <w:sz w:val="18"/>
                <w:szCs w:val="18"/>
                <w:color w:val="auto"/>
              </w:rPr>
            </w:pPr>
          </w:p>
        </w:tc>
      </w:tr>
      <w:tr>
        <w:trPr>
          <w:trHeight w:val="581"/>
        </w:trPr>
        <w:tc>
          <w:tcPr>
            <w:tcW w:w="1440" w:type="dxa"/>
            <w:vAlign w:val="bottom"/>
          </w:tcPr>
          <w:p>
            <w:pPr>
              <w:spacing w:after="0"/>
              <w:rPr>
                <w:sz w:val="24"/>
                <w:szCs w:val="24"/>
                <w:color w:val="auto"/>
              </w:rPr>
            </w:pPr>
          </w:p>
        </w:tc>
        <w:tc>
          <w:tcPr>
            <w:tcW w:w="5380" w:type="dxa"/>
            <w:vAlign w:val="bottom"/>
          </w:tcPr>
          <w:p>
            <w:pPr>
              <w:ind w:left="4180"/>
              <w:spacing w:after="0"/>
              <w:rPr>
                <w:sz w:val="20"/>
                <w:szCs w:val="20"/>
                <w:color w:val="auto"/>
              </w:rPr>
            </w:pPr>
            <w:r>
              <w:rPr>
                <w:rFonts w:ascii="Arial" w:cs="Arial" w:eastAsia="Arial" w:hAnsi="Arial"/>
                <w:sz w:val="18"/>
                <w:szCs w:val="18"/>
                <w:color w:val="auto"/>
              </w:rPr>
              <w:t>11</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Asure is a leading global provider of web-based workforce and workspace management solutions that enable organizations to manage their office environments as well as their human resource and payroll processes effectively and efficiently. Our software is delivered primarily as software-as-a-service, or SaaS, and on premise. Asure markets a suite of hardware products that enable time and facility management and are fully integrated with our software offerings. We also offer a wide range of professional services for implementation and customer customization. Our revenues consist of cloud based software subscription revenue, hardware revenue, maintenance and support revenue, on premise software license revenue and professional services revenue.</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2012, Asure acquired Meeting Maker – United States, Inc., doing business as PeopleCube (“PeopleCube”). The PeopleCube product line is part of the AsureSpace™ product family and includes software that helps customers drive integrated facility management of offices, conference rooms, video conferencing, events and training, alternative workspaces and lobby use.</w:t>
      </w:r>
    </w:p>
    <w:p>
      <w:pPr>
        <w:spacing w:after="0" w:line="20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product offerings consist of AsureSpace™ workplace management solutions that enable organizations to manage their office environments and optimize real estate utilization, and AsureForce® time and labor management solutions which help organization optimize labor and labor administration costs and activities. We target our sales and marketing efforts to a wide range of audiences, from small and medium-sized businesses to Fortune 500 companies and divisions of enterprise organizations throughout the United States, Europe and Asia/Pacific. We generate sales of our solutions through our direct sales teams and indirectly through our channel partners. We are expanding our investment in our direct sales teams to continue to address our market opportunity.</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Asure plans to continue to target small and medium businesses and divisions of enterprises. In addition to continuing to develop our workforce management solutions and release new software updates and enhancements, we are continuing to actively explore other opportunities to acquire additional products or technologies to complement our current software and services. As the overall workforce management solutions market continues to experience significant growth related to SaaS products, Asure intends to continue to focus on sales of our Meeting Room Manager, PeopleCube, and ADI SaaS-based products.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our April 2012 3-for-2 stock split, we made cash payments based upon the closing price of our shares on the record date in lieu of the issuance of fractional shares.</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March 2013, we amended our Senior Note Payable that provided for updated financial covenants in exchange for an increase in the floor interest rate from 10% to 11.5%. See Note 6 in the accompanying financial statements for more information.</w:t>
      </w:r>
    </w:p>
    <w:p>
      <w:pPr>
        <w:spacing w:after="0" w:line="170" w:lineRule="exact"/>
        <w:rPr>
          <w:sz w:val="20"/>
          <w:szCs w:val="20"/>
          <w:color w:val="auto"/>
        </w:rPr>
      </w:pPr>
    </w:p>
    <w:p>
      <w:pPr>
        <w:jc w:val="both"/>
        <w:ind w:firstLine="695"/>
        <w:spacing w:after="0" w:line="279" w:lineRule="auto"/>
        <w:rPr>
          <w:sz w:val="20"/>
          <w:szCs w:val="20"/>
          <w:color w:val="auto"/>
        </w:rPr>
      </w:pPr>
      <w:r>
        <w:rPr>
          <w:rFonts w:ascii="Arial" w:cs="Arial" w:eastAsia="Arial" w:hAnsi="Arial"/>
          <w:sz w:val="17"/>
          <w:szCs w:val="17"/>
          <w:color w:val="auto"/>
        </w:rPr>
        <w:t>In September 2013, we entered into a third amendment to our Senior Note Payable. Under this amendment, we borrowed an additional $2.5 million in September 2013 and borrowed an additional $1.5 million in December 2013. We used the net proceeds to pay the two Legiant Acquisition Notes totaling $1.7 million, as well as the two related party 15% Notes totaling $800,000. These loans were all due in October 2014. Under the latest amendment, we also changed certain financial covenants. See Note 6 in the accompanying financial statements for more information.</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October 2013, we paid in full, less a 5% discount for early payment, the note entered into in conjunction with the purchase of the assets of ADITime, LLC (“ADI”). In conjunction with the acquisition of the assets of ADI in October 2011, we issued a $1.1 million note payable to the seller. This note bore interest at an annual rate of 0.16%, was due October 2014 and was guaranteed by us. We made a principal payment of $245,000 in July 2012 and a final payment of $811,000 in October 2013 in full payment of this note. See Note 6 in the accompanying financial statements for more information.</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2014, we entered into a new Credit Agreement and Guaranty and Security Agreement with Wells Fargo Bank, National Association. See “Recent Developments” above and Note 14 in the accompanying financial statements for more information. We used the proceeds of the $15.0 million term loan under the Credit Agreement to finance the repayment of all amounts outstanding under our loan agreement with Deerpath Funding, LP (“Deerpath”) and the payment of certain fees, cost and expenses related to the Credit Agreement.</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continued guidance and direction of our directors and Chief Executive Officer, Asure will continue to implement its corporate strategy for growing its software and services business. However, uncertainties and challenges remain and there can be no assurances that Asure can successfully grow its revenues or achieve profitability and positive cash flows during calendar year 2014.</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5040" w:type="dxa"/>
            <w:vAlign w:val="bottom"/>
            <w:gridSpan w:val="3"/>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102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Revenue</w:t>
            </w:r>
          </w:p>
        </w:tc>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40" w:type="dxa"/>
            <w:vAlign w:val="bottom"/>
            <w:gridSpan w:val="3"/>
          </w:tcPr>
          <w:p>
            <w:pPr>
              <w:spacing w:after="0"/>
              <w:rPr>
                <w:sz w:val="20"/>
                <w:szCs w:val="20"/>
                <w:color w:val="auto"/>
              </w:rPr>
            </w:pPr>
            <w:r>
              <w:rPr>
                <w:rFonts w:ascii="Arial" w:cs="Arial" w:eastAsia="Arial" w:hAnsi="Arial"/>
                <w:sz w:val="18"/>
                <w:szCs w:val="18"/>
                <w:color w:val="auto"/>
                <w:w w:val="93"/>
              </w:rPr>
              <w:t>Our revenue was derived from the following sources (in thousands):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Increase</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(Decrease)</w:t>
            </w: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Cloud revenue</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Hardware revenue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1,412</w:t>
            </w: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723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and support revenue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5,608</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On premise software license revenue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1,211</w:t>
            </w:r>
          </w:p>
        </w:tc>
        <w:tc>
          <w:tcPr>
            <w:tcW w:w="2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 revenue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25,474</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19,965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5,509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product offerings are categorized into AsureSpace™ and AsureForce®. AsureSpace™ offers workplace management solutions that enable organizations to manage their office environments and optimize real estate utilization, and AsureForce® offers time and labor management solutions which help organization optimize labor and labor administration costs and activities. Both product groupings include cloud revenue, hardware revenue, maintenance and support revenue, on premise software license revenue and professional services revenue. AsureSpace™ revenues include PeopleCube and Meeting Room Manager revenues. AsureForce® revenues include ADI, Legiant and iEmployee revenues.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total revenue in 2013 was $25.5 million, as compared to $20.0 million in 2012. Total revenue represents our consolidated revenue, including sales of our scheduling software, time and attendance and human resource software, complementary hardware devices to enhance our software products, software maintenance and support services, installation and training services and other professional services.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Total revenue increased by $5.5 million, or 27.6%, in 2013 as compared to 2012. We attribute $5.0 million of the total revenue increase to AsureSpace™ and the full year of PeopleCube operations, which we acquired in the third quarter of 2012. Overall AsureSpace™ revenues increased $5.0 million, consisting of a $2.6 million increase in cloud revenue, a $1.2 million increase in maintenance and support revenue, a $912,000 increase in professional services revenue and a $464,000 increase in hardware revenue. The remaining increase is attributable to the AsureForce® product line.</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Cloud revenue increased $2.9 million, or 29.4% over 2012. In AsureSpace™, PeopleCube’s cloud revenue accounted for $2.2 million of this increase. Meeting Room Manager cloud revenue for 2013 increased $341,000, or 19%, over 2012 cloud revenue. In AsureForce®, ADI and Legiant’s cloud revenue increased $525,000, or 29%, and $141,000, or 21%, over 2012, respectively. iEmployee cloud revenue decreased by $306,000, or 8%. The latter was due to turning focus away from the iEmployee software product and focusing resources on the newer technology in the ADI software subscription solutions. Overall, we attribute our cloud revenue increases to a combination of new sales offset by the accretive nature of recurring cloud revenue.</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2013, hardware revenues increased $723,000, or 51.2%, over 2012. For AsureSpace™, in 2013, Peoplecube’s hardware revenue increased $384,000, or 279%, from 2012 to $522,000 and Meeting Room Manager hardware revenue increased $79,000, or 92%, to $166,000. AsureForce® hardware revenue increased $260,000, or 21.9%, over 2012. ADI and Legiant had $1.1 million and $410,000, respectively, of hardware revenue in 2013. ADI’s hardware revenue increased $235,000, or 27%, from 2012. Legiant’s hardware revenue remained consistent with the prior year.</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2013, maintenance and support revenue increased to $6.7 million in 2013 from $5.6 million in 2012, a $1.1 million, or 19.1%, increase from 2012. Peoplecube, ADI and Legiant had $2.3 million, $977,000 and $1.2 million, respectively, of maintenance and support revenue in 2013. PeopleCube’s maintenance and support revenue increased $1.1 million, or 96% from 2012. ADI and Legiant’s maintenance and support revenues remained fairly consistent with 2012. Meeting Room Manager had $2.2 million in maintenance and support revenue, which remained consistent with 2012. Contributing to this overall increase was new onetime license sales, and aggressive focus on both retaining and winning back maintenance and support customers, as well as the continued enforcement of our auto-renew provision (absent sufficient notice) to our annual maintenance and support contracts.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2013, on premise software license revenues decreased $119,000, or 9.8% as compared 2012. The overall decrease in AsureSpace™ was $51,000, or 8%. While PeopleCube saw a $229,000, or 127%, increase in on premise software license revenues, Meeting Room Manager on premise software license revenues decreased $279,000, or 67%. In AsureForce®, the overall decrease was $69,000, or 11%, driven primarily from a decrease in ADI on premise software license revenue. We continue to focus our efforts on recurring cloud revenue from our direct customers, as opposed to onetime on premise software license revenue.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Professional services revenue increased $908,000, or 50.9%, over 2012 all in our AsureSpace™ products. PeopleCube professional services revenue increased $1.1 million or 167% over 2012, while Meeting Room Manager professional services revenue decreased $152,000 or 23%, in 2013 as compared to 2012.</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Although our sales are concentrated in certain industries, including corporate, education, healthcare, governmental, legal and non-profit, our total customer base is widely spread across industries. Geographically, we sell our products worldwide, but sales are largely concentrated in the United States and Canada. Additionally, Asure has a distribution partner in Australia. For 2013, Asure continued to target small and medium businesses and divisions of enterprises in these same industries. As the overall workforce management solutions market continues to experience significant growth related to SaaS products, Asure will continue to focus on sales of its Meeting Room Manager On Demand, PeopleCube and ADI SaaS products.</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continuing to develop our workforce management solutions and release new software updates and enhancements, we continue to actively explore other opportunities to acquire additional products or technologies to complement our current software and services. Through acquisitions in 2011 of ADI and Legiant, we expanded our cloud computing time and attendance software and management services business. The 2012 acquisition of PeopleCube gave Asure a product line that includes software to assist customers in driving integrated facility management of offices, conference rooms, video conferencing, events and training, alternative workspaces and lobby use.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margin was $19.0 million in 2013 and $15.4 million in 2012, an increase of $3.7 million, or 23.8%. Gross margin percentages were 74.8% for 2013 and 77.1% for 2012.</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cost of sales relates primarily to compensation and related consulting expenses, hardware expenses and the amortization of our purchased software development costs. These expenses represented approximately 82% and 76% of the total cost of sales for 2013 and 2012, respectively. These expenses increased approximately $1.8 million, or 52%, over 2012. Salary expense increased $966,000, primarily due to a full year of PeopleCube salaries of $1.3 million, representing a compensation increase of $1.1 million, offset by a reduction in Meeting Room Manager and Legiant salaries. We include intangible amortization related to developed and acquired technology within cost of sales.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2014, we expect to continue proactively managing our cost of sales by maximizing efficiencies throughout our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Selling, general and administrative (“SG&amp;A”) expenses were $13.3 million in 2013 and $11.8 million in 2012, an increase of $1.4 million, or 12.3%. SG&amp;A expenses were 52.0% and 59.1% of total revenues for 2013 and 2012, respectively.</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$1.4 million increase is primarily due to a full year of PeopleCube expenses, as well as increased sales and marketing efforts. PeopleCube’s SG&amp;A increased $417,000, or 12%, over 2012. The remaining increase is due to increased sales and marketing expenses, including lead generation and other marketing expenses.</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will incur significant additional legal expenses and/or professional services-related expenses in the future if we pursue further acquisitions of products or businesses, even if we ultimately do not consummate any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Research and development (“R&amp;D”) expenses were $2.8 million in 2013 and $2.4 million in 2012, an increase of $459,000 or 19.3%. R&amp;D expenses were 11.1% and 15.3% of revenues in 2013 and 2012, respectively.</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$459,000 increase is primarily due to a full year of PeopleCube R&amp;D expenses. PeopleCube’s compensation and benefits for R&amp;D increased approximately $709,000 from 2012. This was offset by lower consulting fees in 2013.</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continue to improve our products and technologies through organic improvements and through acquired intellectual property. The workforce product line continued to innovate by adding mobile solutions, world class SaaS hosting infrastructure and a proprietary time clock product set. The proprietary time clock product set includes multiple models which incorporate keypad and touch screen user interfaces, as well as proximity card, bar code card, and biometric data input. The workforce software product lines continued to evolve through quarterly feature releases and monthly maintenance releases. These product releases continued to serve client requests, and maintain in management’s view a technological edge with competition.</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Additionally, we continue to develop Meeting Room Manager and released a new version in November 2013. This release is the culmination of more than 700 development hours and provides more than 200 fixes and solutions. The new version includes an improved Outlook Add-in that offers easier updates and group policy distributions; provides immediate notice of potential Outlook calendar booking conflicts and improved display of available resources; facilitates easier user interaction between Meeting Room Manager and Outlook; and provides clearer distinction between prep, meeting and clean-up times so organizations have better information on how their rooms are being used.</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development efforts for future releases and enhancements are driven by feedback received from our existing and potential customers and by gauging market trends. We believe we have the appropriate development team to design and further improve our workforce management solutions.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w:t>
      </w:r>
    </w:p>
    <w:p>
      <w:pPr>
        <w:spacing w:after="0" w:line="25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Amortization expenses were $2.2 million, or 8.6% of revenues, in 2013 as compared to $1.7 million, or 8.6% of revenues, in 2012. Amortization expenses relate to the acquisitions of ADI and Legiant in the fourth quarter of 2011 and the acquisition of PeopleCube in the third quarter of 2012 (see Note 5 in the accompanying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Loss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Loss was $2.3 million for the year ended 2013 as compared to $2.2 million in the year ended 2012. Other Loss in 2013 and 2012 is primarily comprised of interest expense and amortization of original issue discount from acquisition-related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December 31, 2013, we had federal net operating loss carryforwards of approximately $116.5 million, Federal R&amp;D credit carryforwards of approximately $4.9 million and alternative minimum tax credit carryforwards of approximately $161,000. The net operating loss and Federal R&amp;D credit carryforwards will expire in varying amounts from 2018 through 2034, if not utilized. Minimum tax credit carryforwards carry forward indefinitely.</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 expense decreased to $117,000 in 2013, compared to an expense of $285,000 in 2012. These figures represent an effective tax rate of 7.6% and 10.4% in 2013 and 2012, respectively. The 2013 income tax expense is primarily due to deferred taxes on the amortization of goodwill for tax purposes and the results of foreign operations.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our various acquisitions in prior years, we may be subject to a substantial annual limitation in the utilization of the net operating losses and credit carryforwards due to the “change in ownership” provisions of the Internal Revenue Code of 1986. The annual limitation may result in the expiration of net operating losses before utilization.</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uncertainty surrounding the timing of realizing the benefits of our favorable tax attributes in future tax returns, we have placed a valuation allowance against our net deferred tax asset, exclusive of goodwill. During 2013, we increased the valuation allowance by approximately $286,000 due primarily to operations, including expiration of tax carryforwards. Approximately $8.3 million of the valuation allowance relates to tax benefits for stock option deductions included in our net operating loss carryforward which we will allocate, if and when realized, directly to contributed capital to the extent the benefits exceed amounts attributable to book deferred compensation expense.</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consider the undistributed earnings of our foreign subsidiaries permanently reinvested and, accordingly, we have not provided for U.S. federal or state income taxes thereon.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loss was $1.7 million and $3.0 million in 2013 and 2012, respectively. The decrease in net loss was $1.4 million or 45.2%. Net loss as a percentage of total revenues was 6.5% and 15.2% in 2013 and 2012, respectively.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5980" w:type="dxa"/>
            <w:vAlign w:val="bottom"/>
            <w:gridSpan w:val="4"/>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980" w:type="dxa"/>
            <w:vAlign w:val="bottom"/>
            <w:gridSpan w:val="4"/>
          </w:tcPr>
          <w:p>
            <w:pPr>
              <w:spacing w:after="0"/>
              <w:rPr>
                <w:sz w:val="20"/>
                <w:szCs w:val="20"/>
                <w:color w:val="auto"/>
              </w:rPr>
            </w:pPr>
            <w:r>
              <w:rPr>
                <w:rFonts w:ascii="Arial" w:cs="Arial" w:eastAsia="Arial" w:hAnsi="Arial"/>
                <w:sz w:val="18"/>
                <w:szCs w:val="18"/>
                <w:b w:val="1"/>
                <w:bCs w:val="1"/>
                <w:color w:val="auto"/>
              </w:rPr>
              <w:t>LIQUIDITY AND CAPITAL RESOURCES</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0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2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91"/>
              </w:rPr>
              <w:t>At and for the year ended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80" w:type="dxa"/>
            <w:vAlign w:val="bottom"/>
            <w:vMerge w:val="restart"/>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2013</w:t>
            </w:r>
          </w:p>
        </w:tc>
        <w:tc>
          <w:tcPr>
            <w:tcW w:w="12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9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(in</w:t>
            </w:r>
          </w:p>
        </w:tc>
        <w:tc>
          <w:tcPr>
            <w:tcW w:w="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w w:val="74"/>
              </w:rPr>
              <w:t>thousands)</w:t>
            </w:r>
          </w:p>
        </w:tc>
        <w:tc>
          <w:tcPr>
            <w:tcW w:w="9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174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(7,837)</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w:t>
            </w: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3,938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Cash used in investing activities</w:t>
            </w: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(10,978)</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9,252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u w:val="single" w:color="auto"/>
          <w:color w:val="auto"/>
        </w:rPr>
        <w:t>Working Capital</w:t>
      </w:r>
      <w:r>
        <w:rPr>
          <w:rFonts w:ascii="Arial" w:cs="Arial" w:eastAsia="Arial" w:hAnsi="Arial"/>
          <w:sz w:val="17"/>
          <w:szCs w:val="17"/>
          <w:color w:val="auto"/>
        </w:rPr>
        <w:t>. We had a working capital deficit of $7.8 million at December 31, 2013, a decrease in our deficit of $1.5 million from the $9.4 million deficit at December 31, 2012. The working capital deficit at December 31, 2013 includes $10.1 million of deferred revenue. Deferred revenue is an obligation to perform future services. We expect that deferred revenue will convert to future revenue as we perform our services, but this does not represent future payments. We attribute the decrease in our working capital deficit to an increase in cash and cash equivalents of $1.8 million, an increase in accounts receivable of $862,000 together with a decrease in accounts payable of $1.0 million. This is offset by an increase in current notes payable of $858,000,an increase in deferred revenue of $375,000 and an increase in accrued expenses of $677,000 in 2013 compared to 2012.</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u w:val="single" w:color="auto"/>
          <w:color w:val="auto"/>
        </w:rPr>
        <w:t>Operating Activities</w:t>
      </w:r>
      <w:r>
        <w:rPr>
          <w:rFonts w:ascii="Arial" w:cs="Arial" w:eastAsia="Arial" w:hAnsi="Arial"/>
          <w:sz w:val="17"/>
          <w:szCs w:val="17"/>
          <w:color w:val="auto"/>
        </w:rPr>
        <w:t>. Cash provided by operating activities was $2.0 million in 2013 and $2.8 million in 2012. The $2.0 million of cash provided by operating activities during 2013 was primarily driven by growth in deferred revenue of $928,000 and net income (after adjustment for non-cash items) of $1.7 million. The $2.8 million of cash provided by operating activities during 2012 was primarily driven by growth in deferred revenue of $940,000, a decrease in accounts receivable of $1.1 million and net income (after adjustment for non-cash items) of $571,000.</w:t>
      </w:r>
    </w:p>
    <w:p>
      <w:pPr>
        <w:spacing w:after="0" w:line="19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u w:val="single" w:color="auto"/>
          <w:color w:val="auto"/>
        </w:rPr>
        <w:t>Investing Activities</w:t>
      </w:r>
      <w:r>
        <w:rPr>
          <w:rFonts w:ascii="Arial" w:cs="Arial" w:eastAsia="Arial" w:hAnsi="Arial"/>
          <w:sz w:val="16"/>
          <w:szCs w:val="16"/>
          <w:color w:val="auto"/>
        </w:rPr>
        <w:t>. Cash used in investing activities during 2013 was $435,000. The cash used in investing activities in 2013 was primarily comprised of purchases of $383,000 of property and equipment and purchases of intangible assets of $62,000. Cash used in investing activities during 2012 was $11.0 million. Components of this $11.0 million include the acquisition of PeopleCube for $9.8 million and purchases of $1.3 million of intangibles and property and equipment, offset by the collection of notes receivable of $77,000. Although we believe our current operations are not capital intensive, we anticipate approximately $400,000 to $600,000 of 2014 capital expenditures to upgrade our cloud infrastructure and position it for future growth.</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u w:val="single" w:color="auto"/>
          <w:color w:val="auto"/>
        </w:rPr>
        <w:t>Financing Activities</w:t>
      </w:r>
      <w:r>
        <w:rPr>
          <w:rFonts w:ascii="Arial" w:cs="Arial" w:eastAsia="Arial" w:hAnsi="Arial"/>
          <w:sz w:val="17"/>
          <w:szCs w:val="17"/>
          <w:color w:val="auto"/>
        </w:rPr>
        <w:t>. Cash provided by financing activities during 2013 was $170,000. We incurred $4.0 million of debt as well as $3.5 million in cash from stock issuances, offset by note payments of $6.9 million. Cash provided by financing activities during 2012 was $9.3 million. We incurred $14.5 million of debt principally to fund the PeopleCube acquisition, offset by note payments of $3.9 million and $500,000 on our line of credit.</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u w:val="single" w:color="auto"/>
          <w:color w:val="auto"/>
        </w:rPr>
        <w:t>NASDAQ Matters</w:t>
      </w:r>
      <w:r>
        <w:rPr>
          <w:rFonts w:ascii="Arial" w:cs="Arial" w:eastAsia="Arial" w:hAnsi="Arial"/>
          <w:sz w:val="17"/>
          <w:szCs w:val="17"/>
          <w:color w:val="auto"/>
        </w:rPr>
        <w:t>. In April, 2013, The NASDAQ Stock Market (“NASDAQ”) notified us that we had failed to maintain a minimum market value of listed securities (“MVLS”) of $35 million over the previous 30 consecutive business days as required by The NASDAQ Capital Market set forth in Listing Rule 5550(b)(2). NASDAQ also advised us in its letter that we did not meet the requirements under NASDAQ Marketplace Rule 5550(b)(1), which requires maintenance of $2.5 million of stockholders’ equity, and Rule 5550(b)(3), which requires net income from continuing operations of $500,000 or more in 2012 or in two of the three years 2010, 2011 and 2012. Under Rule 5550, we could regain compliance and avoid the potential for delisting of our common stock by satisfying any one of the minimum MVLS test, the minimum equity test or the minimum net income test. In order to meet the minimum equity requirement, we increased stockholders’ equity by selling 662,000 shares for net proceeds of $3.4 million in May 2013. In August, 2013, NASDAQ notified us that since the May 2013 sale of securities, which was at a discount to the then current market price, included certain officers and directors, the private placement required shareholder approval under Listing Rule 5635(c).We held a special meeting held in September, 2013 at which our stockholders voted to ratify this sale of shares to our officers and directors. In October, 2013, we received notification from NASDAQ that we had regained compliance with both Listing Rules 5635(c) and 5550(b).</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u w:val="single" w:color="auto"/>
          <w:color w:val="auto"/>
        </w:rPr>
        <w:t>Sources of Liquidity</w:t>
      </w:r>
      <w:r>
        <w:rPr>
          <w:rFonts w:ascii="Arial" w:cs="Arial" w:eastAsia="Arial" w:hAnsi="Arial"/>
          <w:sz w:val="17"/>
          <w:szCs w:val="17"/>
          <w:color w:val="auto"/>
        </w:rPr>
        <w:t>. As of December 31, 2013, Asure’s principal sources of liquidity consisted of approximately $3.9 million of current cash and cash equivalents as well as future cash generated from operations. We believe that we have and/or will generate sufficient cash for our short- and long-term needs, including meeting the requirements of our amended Notes Payable, and the related debt covenant requirements. We are continuing to reduce expenses as a percentage of revenue and thus may utilize our cash balances in the short-term to reduce long-term costs. Based on current internal projections, we believe that we currently have and/or will generate sufficient cash for our operational needs, including any required debt payments, for at least the next twelve months. We currently project that we can generate positive cash flows from our operating activities in 2014.</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u w:val="single" w:color="auto"/>
          <w:color w:val="auto"/>
        </w:rPr>
        <w:t>Debt Matters</w:t>
      </w:r>
      <w:r>
        <w:rPr>
          <w:rFonts w:ascii="Arial" w:cs="Arial" w:eastAsia="Arial" w:hAnsi="Arial"/>
          <w:sz w:val="18"/>
          <w:szCs w:val="18"/>
          <w:color w:val="auto"/>
        </w:rPr>
        <w:t>. In September 2013, we entered into a third amendment to our Senior Note Payable. Under this amendment, we borrowed an additional $2.5 million in September 2013 and borrowed an additional $1.5 million in December 2013. We used the net proceeds to pay the two Legiant Acquisition Notes totaling $1.7 million, as well as the two related party 15% Notes totaling $800,000. These loans were all due in October 2014. Under the latest amendment, we also changed certain financial covenants. We believe we are in compliance with the amended covenant requirements as of December 31, 2013 and expect to be in compliance over the subsequent twelve month period. See Note 6 in the accompanying financial statements for more information.</w:t>
      </w:r>
    </w:p>
    <w:p>
      <w:pPr>
        <w:spacing w:after="0" w:line="193"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In October 2013, we paid in full, less a 5% discount for early payment, the note entered into in conjunction with the purchase of the assets of ADITime, LLC (“ADI”). In conjunction with the acquisition of the assets of ADI in October 2011, we issued a $1.1 million note payable to the seller. This note bore interest at an annual rate of 0.16%, was due October 2014 and was guaranteed by us. We made a principal payment of $245,000 in July 2012 and a final payment of $811,000 in October 2013 in full payment of this note. See Note 6 in the accompanying financial statements for more information.</w:t>
      </w:r>
    </w:p>
    <w:p>
      <w:pPr>
        <w:spacing w:after="0" w:line="154"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In February 2014, we reached an agreement to settle all claims and dismiss all pending litigation with PeopleCube Holding B.V. and Meeting Maker Holding B.V., the sellers of the capital stock of Meeting Maker – United States, Inc. (dba PeopleCube) that we purchased in July 2012.</w:t>
      </w:r>
    </w:p>
    <w:p>
      <w:pPr>
        <w:spacing w:after="0" w:line="147"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Under the settlement agreement, the parties dismissed the litigation and we settled the remaining balance due of $2.5 million on the Subordinated Notes Payable: PeopleCube Acquisition Note by paying $1.7 million. Our insurance carrier agreed to pay us $500,000 in conjunction with the</w:t>
      </w:r>
    </w:p>
    <w:p>
      <w:pPr>
        <w:ind w:right="20"/>
        <w:spacing w:after="0" w:line="261" w:lineRule="auto"/>
        <w:rPr>
          <w:sz w:val="20"/>
          <w:szCs w:val="20"/>
          <w:color w:val="auto"/>
        </w:rPr>
      </w:pPr>
      <w:r>
        <w:rPr>
          <w:rFonts w:ascii="Arial" w:cs="Arial" w:eastAsia="Arial" w:hAnsi="Arial"/>
          <w:sz w:val="18"/>
          <w:szCs w:val="18"/>
          <w:color w:val="auto"/>
        </w:rPr>
        <w:t>settlement. With the insurance proceeds and after offsetting any related litigation costs incurred in 2014, we expect to record a net gain of approximately $1.0 million on the settlement in the first quarter of 2014.</w:t>
      </w:r>
    </w:p>
    <w:p>
      <w:pPr>
        <w:spacing w:after="0" w:line="184"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Finally, as part of the original purchase price in the Meeting Maker acquisition, we issued 255,000 shares of our common stock subject to a lockup expiring as to 125,000 shares in June 2013 and 130,000 shares in June 2014. This settlement also removed the lockup for the remaining 130,000 shares.</w:t>
      </w:r>
    </w:p>
    <w:p>
      <w:pPr>
        <w:spacing w:after="0" w:line="12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March 2014, we entered into a Credit Agreement with Wells Fargo Bank, National Association, as administrative agent, and the lenders that are party thereto. The Credit Agreement provides for a term loan in the amount of $15.0 million. The term loan will mature in March</w:t>
      </w:r>
      <w:r>
        <w:rPr>
          <w:rFonts w:ascii="Arial" w:cs="Arial" w:eastAsia="Arial" w:hAnsi="Arial"/>
          <w:sz w:val="18"/>
          <w:szCs w:val="18"/>
          <w:color w:val="auto"/>
          <w:strike w:val="1"/>
        </w:rPr>
        <w:t>,</w:t>
      </w:r>
      <w:r>
        <w:rPr>
          <w:rFonts w:ascii="Arial" w:cs="Arial" w:eastAsia="Arial" w:hAnsi="Arial"/>
          <w:sz w:val="18"/>
          <w:szCs w:val="18"/>
          <w:color w:val="auto"/>
        </w:rPr>
        <w:t xml:space="preserve"> 2019. The outstanding principal amount of the term loan is payable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jc w:val="right"/>
              <w:ind w:right="860"/>
              <w:spacing w:after="0"/>
              <w:rPr>
                <w:sz w:val="20"/>
                <w:szCs w:val="20"/>
                <w:color w:val="auto"/>
              </w:rPr>
            </w:pPr>
            <w:r>
              <w:rPr>
                <w:rFonts w:ascii="Arial" w:cs="Arial" w:eastAsia="Arial" w:hAnsi="Arial"/>
                <w:sz w:val="16"/>
                <w:szCs w:val="16"/>
                <w:color w:val="auto"/>
                <w:w w:val="74"/>
              </w:rPr>
              <w:t>·</w:t>
            </w:r>
          </w:p>
        </w:tc>
        <w:tc>
          <w:tcPr>
            <w:tcW w:w="8320" w:type="dxa"/>
            <w:vAlign w:val="bottom"/>
            <w:gridSpan w:val="2"/>
          </w:tcPr>
          <w:p>
            <w:pPr>
              <w:ind w:left="960"/>
              <w:spacing w:after="0"/>
              <w:rPr>
                <w:sz w:val="20"/>
                <w:szCs w:val="20"/>
                <w:color w:val="auto"/>
              </w:rPr>
            </w:pPr>
            <w:r>
              <w:rPr>
                <w:rFonts w:ascii="Arial" w:cs="Arial" w:eastAsia="Arial" w:hAnsi="Arial"/>
                <w:sz w:val="18"/>
                <w:szCs w:val="18"/>
                <w:color w:val="auto"/>
                <w:w w:val="93"/>
              </w:rPr>
              <w:t>$187,500 on June 30, 2014 and the last day of each fiscal quarter thereafter up to March 31, 2016;</w:t>
            </w:r>
          </w:p>
        </w:tc>
      </w:tr>
      <w:tr>
        <w:trPr>
          <w:trHeight w:val="216"/>
        </w:trPr>
        <w:tc>
          <w:tcPr>
            <w:tcW w:w="1000" w:type="dxa"/>
            <w:vAlign w:val="bottom"/>
          </w:tcPr>
          <w:p>
            <w:pPr>
              <w:jc w:val="right"/>
              <w:ind w:right="860"/>
              <w:spacing w:after="0"/>
              <w:rPr>
                <w:sz w:val="20"/>
                <w:szCs w:val="20"/>
                <w:color w:val="auto"/>
              </w:rPr>
            </w:pPr>
            <w:r>
              <w:rPr>
                <w:rFonts w:ascii="Arial" w:cs="Arial" w:eastAsia="Arial" w:hAnsi="Arial"/>
                <w:sz w:val="16"/>
                <w:szCs w:val="16"/>
                <w:color w:val="auto"/>
                <w:w w:val="74"/>
              </w:rPr>
              <w:t>·</w:t>
            </w:r>
          </w:p>
        </w:tc>
        <w:tc>
          <w:tcPr>
            <w:tcW w:w="2520" w:type="dxa"/>
            <w:vAlign w:val="bottom"/>
          </w:tcPr>
          <w:p>
            <w:pPr>
              <w:ind w:left="960"/>
              <w:spacing w:after="0"/>
              <w:rPr>
                <w:sz w:val="20"/>
                <w:szCs w:val="20"/>
                <w:color w:val="auto"/>
              </w:rPr>
            </w:pPr>
            <w:r>
              <w:rPr>
                <w:rFonts w:ascii="Arial" w:cs="Arial" w:eastAsia="Arial" w:hAnsi="Arial"/>
                <w:sz w:val="18"/>
                <w:szCs w:val="18"/>
                <w:color w:val="auto"/>
                <w:w w:val="88"/>
              </w:rPr>
              <w:t>$281,250 on June 30,</w:t>
            </w:r>
          </w:p>
        </w:tc>
        <w:tc>
          <w:tcPr>
            <w:tcW w:w="5800" w:type="dxa"/>
            <w:vAlign w:val="bottom"/>
          </w:tcPr>
          <w:p>
            <w:pPr>
              <w:ind w:left="20"/>
              <w:spacing w:after="0"/>
              <w:rPr>
                <w:sz w:val="20"/>
                <w:szCs w:val="20"/>
                <w:color w:val="auto"/>
              </w:rPr>
            </w:pPr>
            <w:r>
              <w:rPr>
                <w:rFonts w:ascii="Arial" w:cs="Arial" w:eastAsia="Arial" w:hAnsi="Arial"/>
                <w:sz w:val="18"/>
                <w:szCs w:val="18"/>
                <w:color w:val="auto"/>
                <w:w w:val="89"/>
              </w:rPr>
              <w:t>2016 and the last day of each fiscal quarter thereafter up to March 31, 2017; and</w:t>
            </w:r>
          </w:p>
        </w:tc>
      </w:tr>
      <w:tr>
        <w:trPr>
          <w:trHeight w:val="230"/>
        </w:trPr>
        <w:tc>
          <w:tcPr>
            <w:tcW w:w="1000" w:type="dxa"/>
            <w:vAlign w:val="bottom"/>
          </w:tcPr>
          <w:p>
            <w:pPr>
              <w:jc w:val="right"/>
              <w:ind w:right="860"/>
              <w:spacing w:after="0"/>
              <w:rPr>
                <w:sz w:val="20"/>
                <w:szCs w:val="20"/>
                <w:color w:val="auto"/>
              </w:rPr>
            </w:pPr>
            <w:r>
              <w:rPr>
                <w:rFonts w:ascii="Arial" w:cs="Arial" w:eastAsia="Arial" w:hAnsi="Arial"/>
                <w:sz w:val="16"/>
                <w:szCs w:val="16"/>
                <w:color w:val="auto"/>
                <w:w w:val="74"/>
              </w:rPr>
              <w:t>·</w:t>
            </w:r>
          </w:p>
        </w:tc>
        <w:tc>
          <w:tcPr>
            <w:tcW w:w="2520" w:type="dxa"/>
            <w:vAlign w:val="bottom"/>
          </w:tcPr>
          <w:p>
            <w:pPr>
              <w:ind w:left="960"/>
              <w:spacing w:after="0"/>
              <w:rPr>
                <w:sz w:val="20"/>
                <w:szCs w:val="20"/>
                <w:color w:val="auto"/>
              </w:rPr>
            </w:pPr>
            <w:r>
              <w:rPr>
                <w:rFonts w:ascii="Arial" w:cs="Arial" w:eastAsia="Arial" w:hAnsi="Arial"/>
                <w:sz w:val="18"/>
                <w:szCs w:val="18"/>
                <w:color w:val="auto"/>
                <w:w w:val="88"/>
              </w:rPr>
              <w:t>$375,000 on June 30,</w:t>
            </w:r>
          </w:p>
        </w:tc>
        <w:tc>
          <w:tcPr>
            <w:tcW w:w="5800" w:type="dxa"/>
            <w:vAlign w:val="bottom"/>
          </w:tcPr>
          <w:p>
            <w:pPr>
              <w:ind w:left="20"/>
              <w:spacing w:after="0"/>
              <w:rPr>
                <w:sz w:val="20"/>
                <w:szCs w:val="20"/>
                <w:color w:val="auto"/>
              </w:rPr>
            </w:pPr>
            <w:r>
              <w:rPr>
                <w:rFonts w:ascii="Arial" w:cs="Arial" w:eastAsia="Arial" w:hAnsi="Arial"/>
                <w:sz w:val="18"/>
                <w:szCs w:val="18"/>
                <w:color w:val="auto"/>
              </w:rPr>
              <w:t>2017 and the last day of each fiscal quarter thereafter.</w:t>
            </w:r>
          </w:p>
        </w:tc>
      </w:tr>
    </w:tbl>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March 2014, we used the proceeds of the term loan to finance the repayment of all amounts outstanding under our loan agreement with Deerpath Funding, LP (“Deerpath”) and the payment of certain fees, cost and expenses related to the Credit Agreement. The Deerpath loan bore interest at a floating annual rate equal to LIBOR plus 8.0%, subject to a LIBOR floor of 9.5%, or a minimum of 11.5%. We expect to incur, in the first quarter of 2014, a one-time charge of approximately $1.4 million in connection with the refinancing, of which approximately $700,000 is non-cash deferred financing costs.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also provides for a revolving loan commitment in the aggregate amount of up to $3.0 million. The outstanding principal amount of the revolving loan is due and payable in March 2019. Additionally, the Credit Agreement provides for a $10.0 million uncommitted incremental term loan facility to support permitted acquisitions.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term loan and revolving loan will bear interest, at our option, at (i) the greater of 1% or LIBOR, plus an applicable margin or (ii) a base rate (as defined in the Credit Agreement) plus an applicable margin. We have elected to use the Libor rate plus the applicable margin, which is 5% for the first six months. Interest is payable monthly and the margin varies based upon our leverage ratio. See table below of applicable margin rates.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320" w:type="dxa"/>
            <w:vAlign w:val="bottom"/>
            <w:tcBorders>
              <w:right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262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Total Leverage Ratio</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Base Rate Margin</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LIBOR Rate Margin</w:t>
            </w:r>
          </w:p>
        </w:tc>
        <w:tc>
          <w:tcPr>
            <w:tcW w:w="2280" w:type="dxa"/>
            <w:vAlign w:val="bottom"/>
          </w:tcPr>
          <w:p>
            <w:pPr>
              <w:spacing w:after="0"/>
              <w:rPr>
                <w:sz w:val="23"/>
                <w:szCs w:val="23"/>
                <w:color w:val="auto"/>
              </w:rPr>
            </w:pPr>
          </w:p>
        </w:tc>
      </w:tr>
      <w:tr>
        <w:trPr>
          <w:trHeight w:val="207"/>
        </w:trPr>
        <w:tc>
          <w:tcPr>
            <w:tcW w:w="2320" w:type="dxa"/>
            <w:vAlign w:val="bottom"/>
            <w:tcBorders>
              <w:right w:val="single" w:sz="8" w:color="auto"/>
            </w:tcBorders>
          </w:tcPr>
          <w:p>
            <w:pPr>
              <w:spacing w:after="0"/>
              <w:rPr>
                <w:sz w:val="17"/>
                <w:szCs w:val="17"/>
                <w:color w:val="auto"/>
              </w:rPr>
            </w:pPr>
          </w:p>
        </w:tc>
        <w:tc>
          <w:tcPr>
            <w:tcW w:w="2720" w:type="dxa"/>
            <w:vAlign w:val="bottom"/>
            <w:tcBorders>
              <w:bottom w:val="single" w:sz="8" w:color="auto"/>
              <w:right w:val="single" w:sz="8" w:color="auto"/>
            </w:tcBorders>
            <w:gridSpan w:val="2"/>
          </w:tcPr>
          <w:p>
            <w:pPr>
              <w:spacing w:after="0" w:line="200" w:lineRule="exact"/>
              <w:rPr>
                <w:sz w:val="20"/>
                <w:szCs w:val="20"/>
                <w:color w:val="auto"/>
              </w:rPr>
            </w:pPr>
            <w:r>
              <w:rPr>
                <w:rFonts w:ascii="Arial" w:cs="Arial" w:eastAsia="Arial" w:hAnsi="Arial"/>
                <w:sz w:val="18"/>
                <w:szCs w:val="18"/>
                <w:color w:val="auto"/>
              </w:rPr>
              <w:t>&gt; 2.75:1.0</w:t>
            </w:r>
          </w:p>
        </w:tc>
        <w:tc>
          <w:tcPr>
            <w:tcW w:w="2040" w:type="dxa"/>
            <w:vAlign w:val="bottom"/>
            <w:tcBorders>
              <w:bottom w:val="single" w:sz="8" w:color="auto"/>
              <w:right w:val="single" w:sz="8" w:color="auto"/>
            </w:tcBorders>
          </w:tcPr>
          <w:p>
            <w:pPr>
              <w:jc w:val="center"/>
              <w:ind w:right="10"/>
              <w:spacing w:after="0" w:line="200" w:lineRule="exact"/>
              <w:rPr>
                <w:sz w:val="20"/>
                <w:szCs w:val="20"/>
                <w:color w:val="auto"/>
              </w:rPr>
            </w:pPr>
            <w:r>
              <w:rPr>
                <w:rFonts w:ascii="Arial" w:cs="Arial" w:eastAsia="Arial" w:hAnsi="Arial"/>
                <w:sz w:val="18"/>
                <w:szCs w:val="18"/>
                <w:color w:val="auto"/>
                <w:w w:val="90"/>
              </w:rPr>
              <w:t>3.00%</w:t>
            </w:r>
          </w:p>
        </w:tc>
        <w:tc>
          <w:tcPr>
            <w:tcW w:w="2060" w:type="dxa"/>
            <w:vAlign w:val="bottom"/>
            <w:tcBorders>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90"/>
              </w:rPr>
              <w:t>4.00%</w:t>
            </w:r>
          </w:p>
        </w:tc>
        <w:tc>
          <w:tcPr>
            <w:tcW w:w="2280" w:type="dxa"/>
            <w:vAlign w:val="bottom"/>
          </w:tcPr>
          <w:p>
            <w:pPr>
              <w:spacing w:after="0"/>
              <w:rPr>
                <w:sz w:val="17"/>
                <w:szCs w:val="17"/>
                <w:color w:val="auto"/>
              </w:rPr>
            </w:pPr>
          </w:p>
        </w:tc>
      </w:tr>
      <w:tr>
        <w:trPr>
          <w:trHeight w:val="176"/>
        </w:trPr>
        <w:tc>
          <w:tcPr>
            <w:tcW w:w="232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8"/>
                <w:szCs w:val="18"/>
                <w:color w:val="auto"/>
              </w:rPr>
              <w:t>&lt; 2.75:1.0 but &gt; 2.25:1</w:t>
            </w:r>
          </w:p>
        </w:tc>
        <w:tc>
          <w:tcPr>
            <w:tcW w:w="2040" w:type="dxa"/>
            <w:vAlign w:val="bottom"/>
            <w:tcBorders>
              <w:right w:val="single" w:sz="8" w:color="auto"/>
            </w:tcBorders>
          </w:tcPr>
          <w:p>
            <w:pPr>
              <w:jc w:val="center"/>
              <w:ind w:right="10"/>
              <w:spacing w:after="0" w:line="176" w:lineRule="exact"/>
              <w:rPr>
                <w:sz w:val="20"/>
                <w:szCs w:val="20"/>
                <w:color w:val="auto"/>
              </w:rPr>
            </w:pPr>
            <w:r>
              <w:rPr>
                <w:rFonts w:ascii="Arial" w:cs="Arial" w:eastAsia="Arial" w:hAnsi="Arial"/>
                <w:sz w:val="18"/>
                <w:szCs w:val="18"/>
                <w:color w:val="auto"/>
                <w:w w:val="90"/>
              </w:rPr>
              <w:t>2.50%</w:t>
            </w:r>
          </w:p>
        </w:tc>
        <w:tc>
          <w:tcPr>
            <w:tcW w:w="20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3.50%</w:t>
            </w:r>
          </w:p>
        </w:tc>
        <w:tc>
          <w:tcPr>
            <w:tcW w:w="2280" w:type="dxa"/>
            <w:vAlign w:val="bottom"/>
          </w:tcPr>
          <w:p>
            <w:pPr>
              <w:spacing w:after="0"/>
              <w:rPr>
                <w:sz w:val="15"/>
                <w:szCs w:val="15"/>
                <w:color w:val="auto"/>
              </w:rPr>
            </w:pPr>
          </w:p>
        </w:tc>
      </w:tr>
      <w:tr>
        <w:trPr>
          <w:trHeight w:val="28"/>
        </w:trPr>
        <w:tc>
          <w:tcPr>
            <w:tcW w:w="2320" w:type="dxa"/>
            <w:vAlign w:val="bottom"/>
            <w:tcBorders>
              <w:right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176"/>
        </w:trPr>
        <w:tc>
          <w:tcPr>
            <w:tcW w:w="232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8"/>
                <w:szCs w:val="18"/>
                <w:color w:val="auto"/>
              </w:rPr>
              <w:t>&lt; 2.25:1</w:t>
            </w:r>
          </w:p>
        </w:tc>
        <w:tc>
          <w:tcPr>
            <w:tcW w:w="2040" w:type="dxa"/>
            <w:vAlign w:val="bottom"/>
            <w:tcBorders>
              <w:right w:val="single" w:sz="8" w:color="auto"/>
            </w:tcBorders>
          </w:tcPr>
          <w:p>
            <w:pPr>
              <w:jc w:val="center"/>
              <w:ind w:right="10"/>
              <w:spacing w:after="0" w:line="176" w:lineRule="exact"/>
              <w:rPr>
                <w:sz w:val="20"/>
                <w:szCs w:val="20"/>
                <w:color w:val="auto"/>
              </w:rPr>
            </w:pPr>
            <w:r>
              <w:rPr>
                <w:rFonts w:ascii="Arial" w:cs="Arial" w:eastAsia="Arial" w:hAnsi="Arial"/>
                <w:sz w:val="18"/>
                <w:szCs w:val="18"/>
                <w:color w:val="auto"/>
                <w:w w:val="90"/>
              </w:rPr>
              <w:t>2.00%</w:t>
            </w:r>
          </w:p>
        </w:tc>
        <w:tc>
          <w:tcPr>
            <w:tcW w:w="20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3.00%</w:t>
            </w:r>
          </w:p>
        </w:tc>
        <w:tc>
          <w:tcPr>
            <w:tcW w:w="2280" w:type="dxa"/>
            <w:vAlign w:val="bottom"/>
          </w:tcPr>
          <w:p>
            <w:pPr>
              <w:spacing w:after="0"/>
              <w:rPr>
                <w:sz w:val="15"/>
                <w:szCs w:val="15"/>
                <w:color w:val="auto"/>
              </w:rPr>
            </w:pPr>
          </w:p>
        </w:tc>
      </w:tr>
      <w:tr>
        <w:trPr>
          <w:trHeight w:val="28"/>
        </w:trPr>
        <w:tc>
          <w:tcPr>
            <w:tcW w:w="2320" w:type="dxa"/>
            <w:vAlign w:val="bottom"/>
            <w:tcBorders>
              <w:right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60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40" w:type="dxa"/>
            <w:vAlign w:val="bottom"/>
          </w:tcPr>
          <w:p>
            <w:pPr>
              <w:jc w:val="right"/>
              <w:ind w:right="1190"/>
              <w:spacing w:after="0"/>
              <w:rPr>
                <w:sz w:val="20"/>
                <w:szCs w:val="20"/>
                <w:color w:val="auto"/>
              </w:rPr>
            </w:pPr>
            <w:r>
              <w:rPr>
                <w:rFonts w:ascii="Arial" w:cs="Arial" w:eastAsia="Arial" w:hAnsi="Arial"/>
                <w:sz w:val="18"/>
                <w:szCs w:val="18"/>
                <w:color w:val="auto"/>
              </w:rPr>
              <w:t>17</w:t>
            </w:r>
          </w:p>
        </w:tc>
        <w:tc>
          <w:tcPr>
            <w:tcW w:w="20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8"/>
        </w:trPr>
        <w:tc>
          <w:tcPr>
            <w:tcW w:w="23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voluntarily prepay the principal amount outstanding under the revolving loan at any time without penalty or premium. We must pay a premium if we make a voluntary prepayment of outstanding principal under the term loan during the first two years following the closing date or if we are required to prepay outstanding principal under the Credit Agreement with proceeds resulting from certain asset sales or debt incurrence. The premium is 1% or 0.5% of the principal amount being prepaid depending on whether the prepayment occurs on or before the first anniversary of the closing date or subsequent to the first anniversary date through the second anniversary of the closing date. In addition, we are required to repay outstanding principal with 50% of excess cash flow, certain over advances, asset sale proceeds, debt proceeds, and proceeds from judgments and settlements.</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Credit Agreement, we are required to maintain a fixed charge coverage ratio of not less than 1.5 to 1.0 beginning with the quarter ending June 30, 2014 and each calendar quarter thereafter, and a leverage ratio of not greater than 3.5 to 1.0 beginning with the quarter ending June 30, 2014 with the levels stepping down thereafter.</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Credit Agreement contains customary affirmative and negative covenants, including, among others, limitations with respect to debt, liens, fundamental changes, sale of assets, prepayment of debt, investments, dividends, and transactions with affiliates.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contains customary events of default, including, among others, payment defaults, covenant defaults, judgment defaults, bankruptcy and insolvency events, cross defaults to certain indebtedness, incorrect representations or warranties, and change of control. In some cases, the defaults are subject to customary notice and grace period provisions.</w:t>
      </w:r>
    </w:p>
    <w:p>
      <w:pPr>
        <w:spacing w:after="0" w:line="20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connection with the Credit Agreement, we and our wholly owned active subsidiaries entered into a Guaranty and Security Agreement, in March 2014, with Wells Fargo Bank. Under the Guaranty and Security Agreement, we and each of our wholly owned active subsidiaries have guaranteed all obligations under the Credit Agreement and granted a security interest in substantially all of our and our subsidiaries’ assets.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14 in the accompanying financial statements for more information about the Credit Agreement and Guaranty and Security Agreement.</w:t>
      </w:r>
    </w:p>
    <w:p>
      <w:pPr>
        <w:spacing w:after="0" w:line="2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12 months and to maintain compliance with the terms of our debt agreements and related covenants or to obtain compliance through debt repayments made with the available cash on hand or anticipated for receipt in the ordinary course of operations.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prepared our consolidated financial statements in accordance with U.S. generally accepted accounting principles and including the accounts of Asure’s wholly owned subsidiaries. We have eliminated all significant intercompany transactions and balances in the consolidation. Preparation of the consolidated financial statements in conformity with U.S. generally accepted accounting principles requires management to make estimates and assumptions that affect the reported amounts of the assets and liabilities and disclosure of contingent assets and liabilities at the date of the financial statements and the reported amounts of revenues and expenses during the reporting period. These estimates are subjective in nature and involve judgments that affect the reported amounts of assets and liabilities, the disclosure of contingent assets and liabilities at fiscal year end and the reported amounts of revenues and expenses during the fiscal year. The more significant estimates made by management include the valuation allowance for our gross deferred tax asset, lease impairment, useful lives of fixed assets, the determination of the fair value of our long-lived assets and the fair value of assets acquired and liabilities assumed during acquisitions. We base our estimates on historical experience and on various other assumptions that management believes are reasonable under the given circumstances. These estimates could be materially different under different conditions and assumptions. Additionally, the actual amounts could differ from the estimates made. Management periodically evaluates estimates used in the preparation of our financial statements for continued reasonableness. We prospectively apply appropriate adjustments, if any, to our estimates based upon our periodic evaluation.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are our critical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Our revenues consist of software-as-a-service (“SaaS”) offerings, time-based software subscriptions, and perpetual software license sale arrangements that also, typically, include hardware, maintenance/support and professional services elements. We recognize revenue when persuasive evidence of an arrangement exists, delivery has occurred, the fee is fixed or determinable and collectability is probable. Software and software-related elements are recognized in accordance with ASC 985-605 </w:t>
      </w:r>
      <w:r>
        <w:rPr>
          <w:rFonts w:ascii="Arial" w:cs="Arial" w:eastAsia="Arial" w:hAnsi="Arial"/>
          <w:sz w:val="16"/>
          <w:szCs w:val="16"/>
          <w:i w:val="1"/>
          <w:iCs w:val="1"/>
          <w:color w:val="auto"/>
        </w:rPr>
        <w:t>Software Revenue Recognition</w:t>
      </w:r>
      <w:r>
        <w:rPr>
          <w:rFonts w:ascii="Arial" w:cs="Arial" w:eastAsia="Arial" w:hAnsi="Arial"/>
          <w:sz w:val="16"/>
          <w:szCs w:val="16"/>
          <w:color w:val="auto"/>
        </w:rPr>
        <w:t xml:space="preserve">. Non-software revenue elements are recognized in accordance with ASC 605-25 </w:t>
      </w:r>
      <w:r>
        <w:rPr>
          <w:rFonts w:ascii="Arial" w:cs="Arial" w:eastAsia="Arial" w:hAnsi="Arial"/>
          <w:sz w:val="16"/>
          <w:szCs w:val="16"/>
          <w:i w:val="1"/>
          <w:iCs w:val="1"/>
          <w:color w:val="auto"/>
        </w:rPr>
        <w:t>Revenue Recognition Multiple-Element Arrangements.</w:t>
      </w:r>
      <w:r>
        <w:rPr>
          <w:rFonts w:ascii="Arial" w:cs="Arial" w:eastAsia="Arial" w:hAnsi="Arial"/>
          <w:sz w:val="16"/>
          <w:szCs w:val="16"/>
          <w:color w:val="auto"/>
        </w:rPr>
        <w:t xml:space="preserve"> Since we currently offer our software solutions under either a perpetual license, time-based subscription or SaaS model, revenue recognition timing varies based on which form of software rights the customer purchases.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SaaS arrangements and time-based software subscriptions typically have an initial term ranging from one to three years and are renewable on an annual basis. A typical SaaS arrangement will also include hardware, setup and implementation services. We allocate the value of the SaaS arrangement to each separate unit of accounting based on vendor-specific objective evidence (“VSOE”) of selling price, when it exists, third-party evidence of selling price for like services or best estimated selling price. Revenue allocated to the SaaS/software subscription element is recognized ratably over the non-cancellable term of the SaaS/subscription service. Revenue allocated to other units of accounting included in the arrangement are recognized as outlined in the paragraphs below.</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Perpetual software licenses are typically sold in multiple-element arrangements that include hardware, maintenance/support and professional services. Software license revenues, determined under the residual method, are generally recognized on the date the product is delivered to the customer if VSOE of fair value exists for all undelivered elements of the software arrangement. If VSOE of fair value does not exist for an undelivered element, the entire software arrangement is deferred and recognized ratably, over the remaining non-cancellable maintenance term after all other undelivered elements have been delivered. We base VSOE of fair value for our maintenance, training and installation services on the prices charged for these services when sold separately. Revenue allocated to hardware, maintenance and services elements included in the arrangement are recognized as outlined below.</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Hardware devices sold to customers (typically time clock, LCD panel and other peripheral devices) are not essential to the functionality of the software and as such are treated as non-software elements for revenue recognition purposes. Hardware revenue is recognized when title passes to the customer, typically the date the hardware is shipped. If hardware is sold under a HaaS arrangement, title to the hardware remains with Asure and hardware usage revenue is recognized ratably over the non-cancellable term of the hardware service delivery, typically one year.</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professional services offerings which typically include data migration, set up, training, and implementation services are also not essential to the functionality of our products, as third parties or customers themselves can perform these services. Set up and implementation services typically occur at the start of the software arrangement while certain other professional services, depending on the nature of the services and customer requirements, may occur several months later. Professional services performed for a fixed fee can be reasonably estimated and are recognized on a proportional performance basis. Revenue for professional services engagements billed on a time and materials basis are recognized as the services are delivered. Revenues on all other professional services engagements are recognized upon the earlier of the completion of the services deliverable or the expiration of the customer’s right to receive the service.</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Maintenance/support revenues are recognized ratably over the non-cancellable term of the support agreement. Initial maintenance/support terms are typically one to three years and are renewable on an annual basis.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do not recognize revenue for agreements with rights of return, refundable fees, cancellation rights or acceptance clauses until these return, refund or cancellation rights have expired or acceptance has occurred. Our arrangements with resellers do not allow for any rights of return.</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Deferred revenue includes amounts received from customers in excess of revenue recognized, and is comprised of deferred maintenance, service and other revenue. We recognize deferred revenues when we complete the service and over the terms of the arrangements, primarily ranging from one to three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and Goodwill</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record the assets acquired and liabilities assumed in business combinations at their respective fair values at the date of acquisition, with any excess purchase price recorded as goodwill. Valuation of intangible assets and in-process research and development entails significant estimates and assumptions including, but not limited to, estimating future cash flows from product sales, developing appropriate discount rates, estimating probability rates for the continuation of customer relationships and renewal of customer contracts and approximating the useful lives of the intangible assets acquired. U.S. generally accepted accounting principles (“GAAP”) require that we not amortize intangible assets other than goodwill with an indefinite life until we determine their life as finite. We must amortize all other intangible assets over their useful lives. We currently amortize our acquired intangible assets with definite lives over periods ranging from one to nine years.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Intangible Assets and Long-Lived Assets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FASB ASC 350, we review and evaluate our long-lived assets for impairment whenever events or changes in circumstances indicate that we may not recover their net book value. When such factors and circumstances exist, including those noted above, we compare the assets’ carrying amounts against the estimated undiscounted cash flows we expect to generate with those assets over their estimated useful lives. If the carrying amounts are greater than the undiscounted cash flows, we estimate the fair values of those assets by discounting the projected cash flows. We record any excess of the carrying amounts over the fair values as impairments in that fiscal period.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Goodwill represents the excess of the purchase price in a business combination over the fair value of net tangible and intangible assets acquired in a business combination. We test goodwill for impairment on an annual basis in the fourth fiscal quarter of each year, and between annual tests if indicators of potential impairment exist, using a fair-value-based approach. There has been no impairment of goodwill for the periods presented. See Notes 4 and 5 in the accompanying financial statements for additional information regarding goodwill.</w:t>
      </w:r>
    </w:p>
    <w:p>
      <w:pPr>
        <w:sectPr>
          <w:pgSz w:w="11900" w:h="16838" w:orient="portrait"/>
          <w:cols w:equalWidth="0" w:num="1">
            <w:col w:w="11420"/>
          </w:cols>
          <w:pgMar w:left="240" w:top="121"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February 2013, the Financial Accounting Standards Board (“FASB”) issued guidance on disclosures of additional information with respect to changes in accumulated other comprehensive income (“AOCI”) balances by component and significant items reclassified out of AOCI. Expanded disclosures for presentation of changes in AOCI involve disaggregating the total change of each component of other comprehensive income as well as presenting separately for each such component the portion of the change in AOCI related to (1) amounts reclassified into income and (2) current-period other comprehensive income. Additionally, for amounts reclassified into income, we are required to disclose in one location, based upon each specific AOCI component, the amounts impacting individual income statement line items. We are required to disclose the income statement line item impacts only for components of AOCI reclassified into income in their entirety. We would make the disclosures required with respect to income statement line item impacts in either the notes to the consolidated financial statements or parenthetically on the face of the financial statements. For us, this Accounting Standards Update was effective beginning January 1, 2013. Because this standard only impacts presentation and disclosure requirements, its adoption did not have a material impact on our consolidated results of operations or financial condition.</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2013, the FASB issued Accounting Standards Update No. 2013-11 (ASU 2013-11), which updated the guidance in ASC Topic 740, Income Taxes. The amendments in ASU 2013-11 generally provide guidance for the presentation of unrecognized tax benefits when a net operating loss carryforward, a similar tax loss, or a tax credit carryforward exists at the reporting date. The guidance requires an unrecognized tax benefit to be presented as a decrease in a deferred tax asset where a net operating loss, a similar tax loss, or a tax credit carryforward exists and certain criteria are met. This guidance became effective for us as of January 1, 2014 and is consistent with our present practice.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under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The financial statements and supplementary data required by this Item 8 are listed in Items 15(a)(1) and (2) of Part III of this Report (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Based on an evaluation under the supervision and with the participation of our management, our principal executive officer and principal financial officer have concluded that our disclosure controls and procedures as defined in Rules 13a-15(e) and 15d-15(e) under the Exchange Act were effective as of December 31, 2013 to provide reasonable assurance that information required to be disclosed by us in reports that we file or submit under the Exchange Act is</w:t>
      </w:r>
    </w:p>
    <w:p>
      <w:pPr>
        <w:ind w:left="260" w:hanging="252"/>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recorded, processed, summarized and reported within the time periods specified in the Securities and Exchange Commission rules and forms and</w:t>
      </w:r>
    </w:p>
    <w:p>
      <w:pPr>
        <w:spacing w:after="0" w:line="20" w:lineRule="exact"/>
        <w:rPr>
          <w:rFonts w:ascii="Arial" w:cs="Arial" w:eastAsia="Arial" w:hAnsi="Arial"/>
          <w:sz w:val="17"/>
          <w:szCs w:val="17"/>
          <w:color w:val="auto"/>
        </w:rPr>
      </w:pPr>
    </w:p>
    <w:p>
      <w:pPr>
        <w:ind w:right="20" w:firstLine="8"/>
        <w:spacing w:after="0" w:line="261" w:lineRule="auto"/>
        <w:tabs>
          <w:tab w:leader="none" w:pos="29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principal executive officer and principal financial officer, as appropriate to allow timely decisions regarding required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Management conducted an evaluation of the effectiveness of our internal control over financial reporting based on the criteria set forth in Internal Control – Integrated Framework issued by the Committee of Sponsoring Organizations of the Treadway Commission (1992 Framework) (“COSO”). Based on our assessment, management has concluded that our internal control over financial reporting was effective as of December 31, 2013 to provide reasonable assurance regarding the reliability of financial reporting and the preparation of financial statements in accordance with U.S. generally accepted accounting principles.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our internal control over financial reporting. Management’s report was not subject to attestation by our independent registered public accounting firm pursuant to the rules of the Securities and Exchange Commission that permit us to provide only management’s reporting in this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21"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under this Item is incorporated by reference from our definitive proxy statement to be filed relating to our 2014 annual meeting of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under this Item is incorporated by reference from our definitive proxy statement to be filed relating to our 2014 annual meeting of shareholders.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under this Item is incorporated by reference from our definitive proxy statement to be filed relating to our 2014 annual meeting of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under this Item is incorporated by reference from our definitive proxy statement to be filed relating to our 2014 annual meeting of shareholders.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under this Item is incorporated by reference from our definitive proxy statement to be filed relating to our 2014 annual meeting of shareholders.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2" w:lineRule="exact"/>
        <w:rPr>
          <w:sz w:val="20"/>
          <w:szCs w:val="20"/>
          <w:color w:val="auto"/>
        </w:rPr>
      </w:pPr>
    </w:p>
    <w:p>
      <w:pPr>
        <w:ind w:left="700" w:hanging="692"/>
        <w:spacing w:after="0"/>
        <w:tabs>
          <w:tab w:leader="none" w:pos="7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Financial Statements Schedules</w:t>
      </w:r>
    </w:p>
    <w:p>
      <w:pPr>
        <w:spacing w:after="0" w:line="252" w:lineRule="exact"/>
        <w:rPr>
          <w:rFonts w:ascii="Arial" w:cs="Arial" w:eastAsia="Arial" w:hAnsi="Arial"/>
          <w:sz w:val="18"/>
          <w:szCs w:val="18"/>
          <w:b w:val="1"/>
          <w:bCs w:val="1"/>
          <w:color w:val="auto"/>
        </w:rPr>
      </w:pPr>
    </w:p>
    <w:p>
      <w:pPr>
        <w:ind w:left="1620" w:right="3880" w:hanging="802"/>
        <w:spacing w:after="0" w:line="532" w:lineRule="auto"/>
        <w:tabs>
          <w:tab w:leader="none" w:pos="1065"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The following financial statements of the Company are filed as a part of this Report: Report of Independent Registered Public Accounting Firm</w:t>
      </w:r>
    </w:p>
    <w:p>
      <w:pPr>
        <w:ind w:left="1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229" w:lineRule="exact"/>
        <w:rPr>
          <w:rFonts w:ascii="Arial" w:cs="Arial" w:eastAsia="Arial" w:hAnsi="Arial"/>
          <w:sz w:val="18"/>
          <w:szCs w:val="18"/>
          <w:b w:val="1"/>
          <w:bCs w:val="1"/>
          <w:color w:val="auto"/>
        </w:rPr>
      </w:pPr>
    </w:p>
    <w:p>
      <w:pPr>
        <w:ind w:left="2120"/>
        <w:spacing w:after="0"/>
        <w:rPr>
          <w:rFonts w:ascii="Arial" w:cs="Arial" w:eastAsia="Arial" w:hAnsi="Arial"/>
          <w:sz w:val="18"/>
          <w:szCs w:val="18"/>
          <w:b w:val="1"/>
          <w:bCs w:val="1"/>
          <w:color w:val="auto"/>
        </w:rPr>
      </w:pPr>
      <w:r>
        <w:rPr>
          <w:rFonts w:ascii="Arial" w:cs="Arial" w:eastAsia="Arial" w:hAnsi="Arial"/>
          <w:sz w:val="18"/>
          <w:szCs w:val="18"/>
          <w:color w:val="auto"/>
        </w:rPr>
        <w:t>Consolidated Balance Sheets as of December 31, 2013 and 2012</w:t>
      </w:r>
    </w:p>
    <w:p>
      <w:pPr>
        <w:spacing w:after="0" w:line="225" w:lineRule="exact"/>
        <w:rPr>
          <w:rFonts w:ascii="Arial" w:cs="Arial" w:eastAsia="Arial" w:hAnsi="Arial"/>
          <w:sz w:val="18"/>
          <w:szCs w:val="18"/>
          <w:b w:val="1"/>
          <w:bCs w:val="1"/>
          <w:color w:val="auto"/>
        </w:rPr>
      </w:pPr>
    </w:p>
    <w:p>
      <w:pPr>
        <w:ind w:left="2120" w:right="1320"/>
        <w:spacing w:after="0" w:line="562" w:lineRule="auto"/>
        <w:rPr>
          <w:rFonts w:ascii="Arial" w:cs="Arial" w:eastAsia="Arial" w:hAnsi="Arial"/>
          <w:sz w:val="18"/>
          <w:szCs w:val="18"/>
          <w:b w:val="1"/>
          <w:bCs w:val="1"/>
          <w:color w:val="auto"/>
        </w:rPr>
      </w:pPr>
      <w:r>
        <w:rPr>
          <w:rFonts w:ascii="Arial" w:cs="Arial" w:eastAsia="Arial" w:hAnsi="Arial"/>
          <w:sz w:val="16"/>
          <w:szCs w:val="16"/>
          <w:color w:val="auto"/>
        </w:rPr>
        <w:t>Consolidated Statements of Comprehensive Income (Loss) for the years ended December 31, 2013 and 2012 Consolidated Statements of Changes in Stockholders’ Equity for the years ended December 31, 2013 and 2012 Consolidated Statements of Cash Flows for the years ended December 31, 2013 and 2012</w:t>
      </w:r>
    </w:p>
    <w:p>
      <w:pPr>
        <w:ind w:left="1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Notes to Consolidated Financial Statements</w:t>
      </w:r>
    </w:p>
    <w:p>
      <w:pPr>
        <w:spacing w:after="0" w:line="225" w:lineRule="exact"/>
        <w:rPr>
          <w:rFonts w:ascii="Arial" w:cs="Arial" w:eastAsia="Arial" w:hAnsi="Arial"/>
          <w:sz w:val="18"/>
          <w:szCs w:val="18"/>
          <w:b w:val="1"/>
          <w:bCs w:val="1"/>
          <w:color w:val="auto"/>
        </w:rPr>
      </w:pPr>
    </w:p>
    <w:p>
      <w:pPr>
        <w:ind w:left="1080" w:hanging="262"/>
        <w:spacing w:after="0"/>
        <w:tabs>
          <w:tab w:leader="none" w:pos="108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jc w:val="both"/>
        <w:ind w:firstLine="1621"/>
        <w:spacing w:after="0" w:line="264" w:lineRule="auto"/>
        <w:rPr>
          <w:sz w:val="20"/>
          <w:szCs w:val="20"/>
          <w:color w:val="auto"/>
        </w:rPr>
      </w:pPr>
      <w:r>
        <w:rPr>
          <w:rFonts w:ascii="Arial" w:cs="Arial" w:eastAsia="Arial" w:hAnsi="Arial"/>
          <w:sz w:val="18"/>
          <w:szCs w:val="18"/>
          <w:color w:val="auto"/>
        </w:rPr>
        <w:t>All schedules for which provision is made in the applicable account regulation of the Securities and Exchange Commission are either not required under the related instructions, are inapplicable or the required information is included elsewhere in the Consolidated Financial Statements and incorporated herein by reference.</w:t>
      </w:r>
    </w:p>
    <w:p>
      <w:pPr>
        <w:spacing w:after="0" w:line="204"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The exhibits filed in response to Item 601 of Regulations S-K are listed in the Index to the Exhibits.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10100" w:type="dxa"/>
            <w:vAlign w:val="bottom"/>
            <w:gridSpan w:val="8"/>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320" w:type="dxa"/>
            <w:vAlign w:val="bottom"/>
          </w:tcPr>
          <w:p>
            <w:pPr>
              <w:spacing w:after="0"/>
              <w:rPr>
                <w:sz w:val="14"/>
                <w:szCs w:val="14"/>
                <w:color w:val="auto"/>
              </w:rPr>
            </w:pPr>
          </w:p>
        </w:tc>
      </w:tr>
      <w:tr>
        <w:trPr>
          <w:trHeight w:val="426"/>
        </w:trPr>
        <w:tc>
          <w:tcPr>
            <w:tcW w:w="1020" w:type="dxa"/>
            <w:vAlign w:val="bottom"/>
            <w:tcBorders>
              <w:top w:val="single" w:sz="8" w:color="0000EE"/>
            </w:tcBorders>
          </w:tcPr>
          <w:p>
            <w:pPr>
              <w:spacing w:after="0"/>
              <w:rPr>
                <w:sz w:val="24"/>
                <w:szCs w:val="24"/>
                <w:color w:val="auto"/>
              </w:rPr>
            </w:pPr>
          </w:p>
        </w:tc>
        <w:tc>
          <w:tcPr>
            <w:tcW w:w="9080" w:type="dxa"/>
            <w:vAlign w:val="bottom"/>
            <w:gridSpan w:val="7"/>
          </w:tcPr>
          <w:p>
            <w:pPr>
              <w:ind w:left="1160"/>
              <w:spacing w:after="0"/>
              <w:rPr>
                <w:sz w:val="20"/>
                <w:szCs w:val="20"/>
                <w:color w:val="auto"/>
              </w:rPr>
            </w:pPr>
            <w:r>
              <w:rPr>
                <w:rFonts w:ascii="Arial" w:cs="Arial" w:eastAsia="Arial" w:hAnsi="Arial"/>
                <w:sz w:val="18"/>
                <w:szCs w:val="18"/>
                <w:b w:val="1"/>
                <w:bCs w:val="1"/>
                <w:color w:val="auto"/>
              </w:rPr>
              <w:t>Index To Financial Statements and Financial Statement Schedules (Item 15(a)(1) of Part IV)</w:t>
            </w:r>
          </w:p>
        </w:tc>
        <w:tc>
          <w:tcPr>
            <w:tcW w:w="132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PAGE</w:t>
            </w:r>
          </w:p>
        </w:tc>
      </w:tr>
      <w:tr>
        <w:trPr>
          <w:trHeight w:val="392"/>
        </w:trPr>
        <w:tc>
          <w:tcPr>
            <w:tcW w:w="10100" w:type="dxa"/>
            <w:vAlign w:val="bottom"/>
            <w:gridSpan w:val="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Report of Independent Registered Public Accounting Firm</w:t>
              </w:r>
            </w:hyperlink>
          </w:p>
        </w:tc>
        <w:tc>
          <w:tcPr>
            <w:tcW w:w="1320" w:type="dxa"/>
            <w:vAlign w:val="bottom"/>
          </w:tcPr>
          <w:p>
            <w:pPr>
              <w:ind w:left="960"/>
              <w:spacing w:after="0"/>
              <w:rPr>
                <w:sz w:val="20"/>
                <w:szCs w:val="20"/>
                <w:color w:val="auto"/>
              </w:rPr>
            </w:pPr>
            <w:r>
              <w:rPr>
                <w:rFonts w:ascii="Arial" w:cs="Arial" w:eastAsia="Arial" w:hAnsi="Arial"/>
                <w:sz w:val="18"/>
                <w:szCs w:val="18"/>
                <w:color w:val="auto"/>
                <w:w w:val="91"/>
              </w:rPr>
              <w:t>F - 1</w:t>
            </w:r>
          </w:p>
        </w:tc>
      </w:tr>
      <w:tr>
        <w:trPr>
          <w:trHeight w:val="222"/>
        </w:trPr>
        <w:tc>
          <w:tcPr>
            <w:tcW w:w="42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Financial Statements:</w:t>
            </w:r>
          </w:p>
        </w:tc>
        <w:tc>
          <w:tcPr>
            <w:tcW w:w="5880" w:type="dxa"/>
            <w:vAlign w:val="bottom"/>
            <w:gridSpan w:val="5"/>
          </w:tcPr>
          <w:p>
            <w:pPr>
              <w:spacing w:after="0"/>
              <w:rPr>
                <w:sz w:val="19"/>
                <w:szCs w:val="19"/>
                <w:color w:val="auto"/>
              </w:rPr>
            </w:pPr>
          </w:p>
        </w:tc>
        <w:tc>
          <w:tcPr>
            <w:tcW w:w="1320" w:type="dxa"/>
            <w:vAlign w:val="bottom"/>
          </w:tcPr>
          <w:p>
            <w:pPr>
              <w:spacing w:after="0"/>
              <w:rPr>
                <w:sz w:val="19"/>
                <w:szCs w:val="19"/>
                <w:color w:val="auto"/>
              </w:rPr>
            </w:pPr>
          </w:p>
        </w:tc>
      </w:tr>
      <w:tr>
        <w:trPr>
          <w:trHeight w:val="190"/>
        </w:trPr>
        <w:tc>
          <w:tcPr>
            <w:tcW w:w="10100" w:type="dxa"/>
            <w:vAlign w:val="bottom"/>
            <w:gridSpan w:val="8"/>
          </w:tcPr>
          <w:p>
            <w:pPr>
              <w:ind w:left="100"/>
              <w:spacing w:after="0" w:line="190" w:lineRule="exact"/>
              <w:rPr>
                <w:rFonts w:ascii="Arial" w:cs="Arial" w:eastAsia="Arial" w:hAnsi="Arial"/>
                <w:sz w:val="18"/>
                <w:szCs w:val="18"/>
                <w:color w:val="0000EE"/>
              </w:rPr>
            </w:pPr>
            <w:hyperlink w:anchor="page26">
              <w:r>
                <w:rPr>
                  <w:rFonts w:ascii="Arial" w:cs="Arial" w:eastAsia="Arial" w:hAnsi="Arial"/>
                  <w:sz w:val="18"/>
                  <w:szCs w:val="18"/>
                  <w:color w:val="0000EE"/>
                </w:rPr>
                <w:t>Consolidated Balance Sheets as of December 31, 2013 and 2012</w:t>
              </w:r>
            </w:hyperlink>
          </w:p>
        </w:tc>
        <w:tc>
          <w:tcPr>
            <w:tcW w:w="1320" w:type="dxa"/>
            <w:vAlign w:val="bottom"/>
          </w:tcPr>
          <w:p>
            <w:pPr>
              <w:ind w:left="960"/>
              <w:spacing w:after="0" w:line="190" w:lineRule="exact"/>
              <w:rPr>
                <w:sz w:val="20"/>
                <w:szCs w:val="20"/>
                <w:color w:val="auto"/>
              </w:rPr>
            </w:pPr>
            <w:r>
              <w:rPr>
                <w:rFonts w:ascii="Arial" w:cs="Arial" w:eastAsia="Arial" w:hAnsi="Arial"/>
                <w:sz w:val="18"/>
                <w:szCs w:val="18"/>
                <w:color w:val="auto"/>
                <w:w w:val="91"/>
              </w:rPr>
              <w:t>F - 2</w:t>
            </w:r>
          </w:p>
        </w:tc>
      </w:tr>
      <w:tr>
        <w:trPr>
          <w:trHeight w:val="20"/>
        </w:trPr>
        <w:tc>
          <w:tcPr>
            <w:tcW w:w="35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7940" w:type="dxa"/>
            <w:vAlign w:val="bottom"/>
            <w:tcBorders>
              <w:bottom w:val="single" w:sz="8" w:color="0000EE"/>
            </w:tcBorders>
            <w:gridSpan w:val="6"/>
          </w:tcPr>
          <w:p>
            <w:pPr>
              <w:ind w:left="100"/>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Consolidated Statements of Comprehensive Income (Loss) for the years ended December 31, 2013 and 2012</w:t>
              </w:r>
            </w:hyperlink>
          </w:p>
        </w:tc>
        <w:tc>
          <w:tcPr>
            <w:tcW w:w="2160" w:type="dxa"/>
            <w:vAlign w:val="bottom"/>
            <w:gridSpan w:val="2"/>
          </w:tcPr>
          <w:p>
            <w:pPr>
              <w:spacing w:after="0"/>
              <w:rPr>
                <w:sz w:val="17"/>
                <w:szCs w:val="17"/>
                <w:color w:val="auto"/>
              </w:rPr>
            </w:pPr>
          </w:p>
        </w:tc>
        <w:tc>
          <w:tcPr>
            <w:tcW w:w="1320" w:type="dxa"/>
            <w:vAlign w:val="bottom"/>
          </w:tcPr>
          <w:p>
            <w:pPr>
              <w:ind w:left="960"/>
              <w:spacing w:after="0" w:line="196" w:lineRule="exact"/>
              <w:rPr>
                <w:sz w:val="20"/>
                <w:szCs w:val="20"/>
                <w:color w:val="auto"/>
              </w:rPr>
            </w:pPr>
            <w:r>
              <w:rPr>
                <w:rFonts w:ascii="Arial" w:cs="Arial" w:eastAsia="Arial" w:hAnsi="Arial"/>
                <w:sz w:val="18"/>
                <w:szCs w:val="18"/>
                <w:color w:val="auto"/>
                <w:w w:val="91"/>
              </w:rPr>
              <w:t>F - 3</w:t>
            </w:r>
          </w:p>
        </w:tc>
      </w:tr>
      <w:tr>
        <w:trPr>
          <w:trHeight w:val="196"/>
        </w:trPr>
        <w:tc>
          <w:tcPr>
            <w:tcW w:w="8140" w:type="dxa"/>
            <w:vAlign w:val="bottom"/>
            <w:tcBorders>
              <w:bottom w:val="single" w:sz="8" w:color="0000EE"/>
            </w:tcBorders>
            <w:gridSpan w:val="7"/>
          </w:tcPr>
          <w:p>
            <w:pPr>
              <w:ind w:left="100"/>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Consolidated Statements of Changes in Stockholders’ Equity for the years ended December 31, 2013 and 2012</w:t>
              </w:r>
            </w:hyperlink>
          </w:p>
        </w:tc>
        <w:tc>
          <w:tcPr>
            <w:tcW w:w="1960" w:type="dxa"/>
            <w:vAlign w:val="bottom"/>
          </w:tcPr>
          <w:p>
            <w:pPr>
              <w:spacing w:after="0"/>
              <w:rPr>
                <w:sz w:val="17"/>
                <w:szCs w:val="17"/>
                <w:color w:val="auto"/>
              </w:rPr>
            </w:pPr>
          </w:p>
        </w:tc>
        <w:tc>
          <w:tcPr>
            <w:tcW w:w="1320" w:type="dxa"/>
            <w:vAlign w:val="bottom"/>
          </w:tcPr>
          <w:p>
            <w:pPr>
              <w:ind w:left="960"/>
              <w:spacing w:after="0" w:line="196" w:lineRule="exact"/>
              <w:rPr>
                <w:sz w:val="20"/>
                <w:szCs w:val="20"/>
                <w:color w:val="auto"/>
              </w:rPr>
            </w:pPr>
            <w:r>
              <w:rPr>
                <w:rFonts w:ascii="Arial" w:cs="Arial" w:eastAsia="Arial" w:hAnsi="Arial"/>
                <w:sz w:val="18"/>
                <w:szCs w:val="18"/>
                <w:color w:val="auto"/>
                <w:w w:val="91"/>
              </w:rPr>
              <w:t>F - 4</w:t>
            </w:r>
          </w:p>
        </w:tc>
      </w:tr>
      <w:tr>
        <w:trPr>
          <w:trHeight w:val="196"/>
        </w:trPr>
        <w:tc>
          <w:tcPr>
            <w:tcW w:w="6560" w:type="dxa"/>
            <w:vAlign w:val="bottom"/>
            <w:tcBorders>
              <w:bottom w:val="single" w:sz="8" w:color="0000EE"/>
            </w:tcBorders>
            <w:gridSpan w:val="5"/>
          </w:tcPr>
          <w:p>
            <w:pPr>
              <w:ind w:left="100"/>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Consolidated Statements of Cash Flows for the years ended December 31, 2013 and 2012</w:t>
              </w:r>
            </w:hyperlink>
          </w:p>
        </w:tc>
        <w:tc>
          <w:tcPr>
            <w:tcW w:w="3540" w:type="dxa"/>
            <w:vAlign w:val="bottom"/>
            <w:gridSpan w:val="3"/>
          </w:tcPr>
          <w:p>
            <w:pPr>
              <w:spacing w:after="0"/>
              <w:rPr>
                <w:sz w:val="17"/>
                <w:szCs w:val="17"/>
                <w:color w:val="auto"/>
              </w:rPr>
            </w:pPr>
          </w:p>
        </w:tc>
        <w:tc>
          <w:tcPr>
            <w:tcW w:w="1320" w:type="dxa"/>
            <w:vAlign w:val="bottom"/>
          </w:tcPr>
          <w:p>
            <w:pPr>
              <w:ind w:left="960"/>
              <w:spacing w:after="0" w:line="196" w:lineRule="exact"/>
              <w:rPr>
                <w:sz w:val="20"/>
                <w:szCs w:val="20"/>
                <w:color w:val="auto"/>
              </w:rPr>
            </w:pPr>
            <w:r>
              <w:rPr>
                <w:rFonts w:ascii="Arial" w:cs="Arial" w:eastAsia="Arial" w:hAnsi="Arial"/>
                <w:sz w:val="18"/>
                <w:szCs w:val="18"/>
                <w:color w:val="auto"/>
                <w:w w:val="91"/>
              </w:rPr>
              <w:t>F - 5</w:t>
            </w:r>
          </w:p>
        </w:tc>
      </w:tr>
      <w:tr>
        <w:trPr>
          <w:trHeight w:val="196"/>
        </w:trPr>
        <w:tc>
          <w:tcPr>
            <w:tcW w:w="3520" w:type="dxa"/>
            <w:vAlign w:val="bottom"/>
            <w:tcBorders>
              <w:bottom w:val="single" w:sz="8" w:color="0000EE"/>
            </w:tcBorders>
            <w:gridSpan w:val="2"/>
          </w:tcPr>
          <w:p>
            <w:pPr>
              <w:ind w:left="100"/>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Notes to the Consolidated Financial Statements</w:t>
              </w:r>
            </w:hyperlink>
          </w:p>
        </w:tc>
        <w:tc>
          <w:tcPr>
            <w:tcW w:w="6580" w:type="dxa"/>
            <w:vAlign w:val="bottom"/>
            <w:gridSpan w:val="6"/>
          </w:tcPr>
          <w:p>
            <w:pPr>
              <w:spacing w:after="0"/>
              <w:rPr>
                <w:sz w:val="17"/>
                <w:szCs w:val="17"/>
                <w:color w:val="auto"/>
              </w:rPr>
            </w:pPr>
          </w:p>
        </w:tc>
        <w:tc>
          <w:tcPr>
            <w:tcW w:w="1320" w:type="dxa"/>
            <w:vAlign w:val="bottom"/>
          </w:tcPr>
          <w:p>
            <w:pPr>
              <w:ind w:left="960"/>
              <w:spacing w:after="0" w:line="196" w:lineRule="exact"/>
              <w:rPr>
                <w:sz w:val="20"/>
                <w:szCs w:val="20"/>
                <w:color w:val="auto"/>
              </w:rPr>
            </w:pPr>
            <w:r>
              <w:rPr>
                <w:rFonts w:ascii="Arial" w:cs="Arial" w:eastAsia="Arial" w:hAnsi="Arial"/>
                <w:sz w:val="18"/>
                <w:szCs w:val="18"/>
                <w:color w:val="auto"/>
                <w:w w:val="91"/>
              </w:rPr>
              <w:t>F - 6</w:t>
            </w:r>
          </w:p>
        </w:tc>
      </w:tr>
      <w:tr>
        <w:trPr>
          <w:trHeight w:val="628"/>
        </w:trPr>
        <w:tc>
          <w:tcPr>
            <w:tcW w:w="6560" w:type="dxa"/>
            <w:vAlign w:val="bottom"/>
            <w:gridSpan w:val="5"/>
          </w:tcPr>
          <w:p>
            <w:pPr>
              <w:ind w:left="5620"/>
              <w:spacing w:after="0"/>
              <w:rPr>
                <w:sz w:val="20"/>
                <w:szCs w:val="20"/>
                <w:color w:val="auto"/>
              </w:rPr>
            </w:pPr>
            <w:r>
              <w:rPr>
                <w:rFonts w:ascii="Arial" w:cs="Arial" w:eastAsia="Arial" w:hAnsi="Arial"/>
                <w:sz w:val="18"/>
                <w:szCs w:val="18"/>
                <w:color w:val="auto"/>
              </w:rPr>
              <w:t>23</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8"/>
        </w:trPr>
        <w:tc>
          <w:tcPr>
            <w:tcW w:w="1020" w:type="dxa"/>
            <w:vAlign w:val="bottom"/>
            <w:tcBorders>
              <w:bottom w:val="single" w:sz="8" w:color="808080"/>
            </w:tcBorders>
          </w:tcPr>
          <w:p>
            <w:pPr>
              <w:spacing w:after="0"/>
              <w:rPr>
                <w:sz w:val="10"/>
                <w:szCs w:val="10"/>
                <w:color w:val="auto"/>
              </w:rPr>
            </w:pPr>
          </w:p>
        </w:tc>
        <w:tc>
          <w:tcPr>
            <w:tcW w:w="25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Asure Software, Inc.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Asure Software, Inc. as of December 31, 2013 and 2012, and the related consolidated statements of comprehensive income (loss), changes in stockholders’ equity, and cash flows for each of the two years in the period ended December 31, 2013.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Asure Software, Inc. at December 31, 2013 and 2012, and the consolidated results of its operations and its cash flows for each of the two years in the period ended December 31, 2013, in conformity with U.S. generally accepted accounting principles.</w:t>
      </w:r>
    </w:p>
    <w:p>
      <w:pPr>
        <w:spacing w:after="0" w:line="39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2014</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796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34"/>
        </w:trPr>
        <w:tc>
          <w:tcPr>
            <w:tcW w:w="1020" w:type="dxa"/>
            <w:vAlign w:val="bottom"/>
            <w:tcBorders>
              <w:top w:val="single" w:sz="8" w:color="0000EE"/>
            </w:tcBorders>
          </w:tcPr>
          <w:p>
            <w:pPr>
              <w:spacing w:after="0"/>
              <w:rPr>
                <w:sz w:val="24"/>
                <w:szCs w:val="24"/>
                <w:color w:val="auto"/>
              </w:rPr>
            </w:pPr>
          </w:p>
        </w:tc>
        <w:tc>
          <w:tcPr>
            <w:tcW w:w="6940" w:type="dxa"/>
            <w:vAlign w:val="bottom"/>
          </w:tcPr>
          <w:p>
            <w:pPr>
              <w:jc w:val="center"/>
              <w:ind w:left="2350"/>
              <w:spacing w:after="0"/>
              <w:rPr>
                <w:sz w:val="20"/>
                <w:szCs w:val="20"/>
                <w:color w:val="auto"/>
              </w:rPr>
            </w:pPr>
            <w:r>
              <w:rPr>
                <w:rFonts w:ascii="Arial" w:cs="Arial" w:eastAsia="Arial" w:hAnsi="Arial"/>
                <w:sz w:val="18"/>
                <w:szCs w:val="18"/>
                <w:b w:val="1"/>
                <w:bCs w:val="1"/>
                <w:color w:val="auto"/>
                <w:w w:val="98"/>
              </w:rPr>
              <w:t>ASURE SOFTWARE, INC.</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6940" w:type="dxa"/>
            <w:vAlign w:val="bottom"/>
          </w:tcPr>
          <w:p>
            <w:pPr>
              <w:jc w:val="center"/>
              <w:ind w:left="2370"/>
              <w:spacing w:after="0"/>
              <w:rPr>
                <w:sz w:val="20"/>
                <w:szCs w:val="20"/>
                <w:color w:val="auto"/>
              </w:rPr>
            </w:pPr>
            <w:r>
              <w:rPr>
                <w:rFonts w:ascii="Arial" w:cs="Arial" w:eastAsia="Arial" w:hAnsi="Arial"/>
                <w:sz w:val="18"/>
                <w:szCs w:val="18"/>
                <w:b w:val="1"/>
                <w:bCs w:val="1"/>
                <w:color w:val="auto"/>
                <w:w w:val="99"/>
              </w:rPr>
              <w:t>CONSOLIDATED BALANCE SHEETS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020" w:type="dxa"/>
            <w:vAlign w:val="bottom"/>
          </w:tcPr>
          <w:p>
            <w:pPr>
              <w:spacing w:after="0"/>
              <w:rPr>
                <w:sz w:val="20"/>
                <w:szCs w:val="20"/>
                <w:color w:val="auto"/>
              </w:rPr>
            </w:pPr>
          </w:p>
        </w:tc>
        <w:tc>
          <w:tcPr>
            <w:tcW w:w="6940" w:type="dxa"/>
            <w:vAlign w:val="bottom"/>
          </w:tcPr>
          <w:p>
            <w:pPr>
              <w:jc w:val="center"/>
              <w:ind w:left="2350"/>
              <w:spacing w:after="0"/>
              <w:rPr>
                <w:sz w:val="20"/>
                <w:szCs w:val="20"/>
                <w:color w:val="auto"/>
              </w:rPr>
            </w:pPr>
            <w:r>
              <w:rPr>
                <w:rFonts w:ascii="Arial" w:cs="Arial" w:eastAsia="Arial" w:hAnsi="Arial"/>
                <w:sz w:val="18"/>
                <w:szCs w:val="18"/>
                <w:color w:val="auto"/>
                <w:w w:val="91"/>
              </w:rPr>
              <w:t>(Amounts in thousands)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0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02"/>
        </w:trPr>
        <w:tc>
          <w:tcPr>
            <w:tcW w:w="7960" w:type="dxa"/>
            <w:vAlign w:val="bottom"/>
            <w:gridSpan w:val="2"/>
          </w:tcPr>
          <w:p>
            <w:pPr>
              <w:spacing w:after="0" w:line="201" w:lineRule="exact"/>
              <w:rPr>
                <w:sz w:val="20"/>
                <w:szCs w:val="20"/>
                <w:color w:val="auto"/>
              </w:rPr>
            </w:pPr>
            <w:r>
              <w:rPr>
                <w:rFonts w:ascii="Arial" w:cs="Arial" w:eastAsia="Arial" w:hAnsi="Arial"/>
                <w:sz w:val="18"/>
                <w:szCs w:val="18"/>
                <w:color w:val="auto"/>
              </w:rPr>
              <w:t>Assets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2,177</w:t>
            </w:r>
          </w:p>
        </w:tc>
      </w:tr>
      <w:tr>
        <w:trPr>
          <w:trHeight w:val="216"/>
        </w:trPr>
        <w:tc>
          <w:tcPr>
            <w:tcW w:w="796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02"/>
        </w:trPr>
        <w:tc>
          <w:tcPr>
            <w:tcW w:w="7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Accounts receivable, net of allowance for doubtful accounts of $168 and $182 at December 31, 2013 and</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2012, respectively</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w:t>
            </w:r>
          </w:p>
        </w:tc>
      </w:tr>
      <w:tr>
        <w:trPr>
          <w:trHeight w:val="216"/>
        </w:trPr>
        <w:tc>
          <w:tcPr>
            <w:tcW w:w="796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r>
      <w:tr>
        <w:trPr>
          <w:trHeight w:val="216"/>
        </w:trPr>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receivable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23"/>
        </w:trPr>
        <w:tc>
          <w:tcPr>
            <w:tcW w:w="796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19"/>
                <w:szCs w:val="19"/>
                <w:color w:val="auto"/>
              </w:rPr>
            </w:pPr>
          </w:p>
        </w:tc>
      </w:tr>
      <w:tr>
        <w:trPr>
          <w:trHeight w:val="216"/>
        </w:trPr>
        <w:tc>
          <w:tcPr>
            <w:tcW w:w="79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7,249</w:t>
            </w:r>
          </w:p>
        </w:tc>
      </w:tr>
      <w:tr>
        <w:trPr>
          <w:trHeight w:val="216"/>
        </w:trPr>
        <w:tc>
          <w:tcPr>
            <w:tcW w:w="79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1,154</w:t>
            </w:r>
          </w:p>
        </w:tc>
      </w:tr>
      <w:tr>
        <w:trPr>
          <w:trHeight w:val="216"/>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15,525</w:t>
            </w:r>
          </w:p>
        </w:tc>
      </w:tr>
      <w:tr>
        <w:trPr>
          <w:trHeight w:val="216"/>
        </w:trPr>
        <w:tc>
          <w:tcPr>
            <w:tcW w:w="796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12,179</w:t>
            </w:r>
          </w:p>
        </w:tc>
      </w:tr>
      <w:tr>
        <w:trPr>
          <w:trHeight w:val="223"/>
        </w:trPr>
        <w:tc>
          <w:tcPr>
            <w:tcW w:w="7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assets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35,615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36,148</w:t>
            </w:r>
          </w:p>
        </w:tc>
      </w:tr>
      <w:tr>
        <w:trPr>
          <w:trHeight w:val="21"/>
        </w:trPr>
        <w:tc>
          <w:tcPr>
            <w:tcW w:w="10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notes payable</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w:t>
            </w:r>
          </w:p>
        </w:tc>
      </w:tr>
      <w:tr>
        <w:trPr>
          <w:trHeight w:val="216"/>
        </w:trPr>
        <w:tc>
          <w:tcPr>
            <w:tcW w:w="796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2,713</w:t>
            </w:r>
          </w:p>
        </w:tc>
      </w:tr>
      <w:tr>
        <w:trPr>
          <w:trHeight w:val="216"/>
        </w:trPr>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 and benefits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7960" w:type="dxa"/>
            <w:vAlign w:val="bottom"/>
            <w:gridSpan w:val="2"/>
          </w:tcPr>
          <w:p>
            <w:pPr>
              <w:ind w:left="180"/>
              <w:spacing w:after="0"/>
              <w:rPr>
                <w:sz w:val="20"/>
                <w:szCs w:val="20"/>
                <w:color w:val="auto"/>
              </w:rPr>
            </w:pPr>
            <w:r>
              <w:rPr>
                <w:rFonts w:ascii="Arial" w:cs="Arial" w:eastAsia="Arial" w:hAnsi="Arial"/>
                <w:sz w:val="18"/>
                <w:szCs w:val="18"/>
                <w:color w:val="auto"/>
              </w:rPr>
              <w:t>Other accrued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r>
      <w:tr>
        <w:trPr>
          <w:trHeight w:val="223"/>
        </w:trPr>
        <w:tc>
          <w:tcPr>
            <w:tcW w:w="7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17,497</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16,631</w:t>
            </w:r>
          </w:p>
        </w:tc>
      </w:tr>
      <w:tr>
        <w:trPr>
          <w:trHeight w:val="216"/>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payable- related party</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7960" w:type="dxa"/>
            <w:vAlign w:val="bottom"/>
            <w:gridSpan w:val="2"/>
          </w:tcPr>
          <w:p>
            <w:pPr>
              <w:ind w:left="180"/>
              <w:spacing w:after="0"/>
              <w:rPr>
                <w:sz w:val="20"/>
                <w:szCs w:val="20"/>
                <w:color w:val="auto"/>
              </w:rPr>
            </w:pPr>
            <w:r>
              <w:rPr>
                <w:rFonts w:ascii="Arial" w:cs="Arial" w:eastAsia="Arial" w:hAnsi="Arial"/>
                <w:sz w:val="18"/>
                <w:szCs w:val="18"/>
                <w:color w:val="auto"/>
              </w:rPr>
              <w:t>Notes payable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12,698</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15,887</w:t>
            </w:r>
          </w:p>
        </w:tc>
      </w:tr>
      <w:tr>
        <w:trPr>
          <w:trHeight w:val="223"/>
        </w:trPr>
        <w:tc>
          <w:tcPr>
            <w:tcW w:w="7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long-term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13,901</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17,357</w:t>
            </w:r>
          </w:p>
        </w:tc>
      </w:tr>
      <w:tr>
        <w:trPr>
          <w:trHeight w:val="216"/>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gridSpan w:val="2"/>
          </w:tcPr>
          <w:p>
            <w:pPr>
              <w:ind w:left="180"/>
              <w:spacing w:after="0"/>
              <w:rPr>
                <w:sz w:val="20"/>
                <w:szCs w:val="20"/>
                <w:color w:val="auto"/>
              </w:rPr>
            </w:pPr>
            <w:r>
              <w:rPr>
                <w:rFonts w:ascii="Arial" w:cs="Arial" w:eastAsia="Arial" w:hAnsi="Arial"/>
                <w:sz w:val="18"/>
                <w:szCs w:val="18"/>
                <w:color w:val="auto"/>
              </w:rPr>
              <w:t>Preferred stock, $.01 par value; 1,500 shares authorized; none issued or outstanding</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9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$.01 par value; 11,000 shares authorized; 6,353 and 5,644 shares issued,</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5,969 and 5,260 shares outstanding at December 31, 2013 and December 31, 2012, respectively</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7960" w:type="dxa"/>
            <w:vAlign w:val="bottom"/>
            <w:gridSpan w:val="2"/>
          </w:tcPr>
          <w:p>
            <w:pPr>
              <w:ind w:left="180"/>
              <w:spacing w:after="0"/>
              <w:rPr>
                <w:sz w:val="20"/>
                <w:szCs w:val="20"/>
                <w:color w:val="auto"/>
              </w:rPr>
            </w:pPr>
            <w:r>
              <w:rPr>
                <w:rFonts w:ascii="Arial" w:cs="Arial" w:eastAsia="Arial" w:hAnsi="Arial"/>
                <w:sz w:val="18"/>
                <w:szCs w:val="18"/>
                <w:color w:val="auto"/>
              </w:rPr>
              <w:t>Treasury stock at cost, 384 shares at December 31, 2013 and December 31, 2012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(5,017)</w:t>
            </w:r>
          </w:p>
        </w:tc>
      </w:tr>
      <w:tr>
        <w:trPr>
          <w:trHeight w:val="216"/>
        </w:trPr>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274,445</w:t>
            </w:r>
          </w:p>
        </w:tc>
      </w:tr>
      <w:tr>
        <w:trPr>
          <w:trHeight w:val="216"/>
        </w:trPr>
        <w:tc>
          <w:tcPr>
            <w:tcW w:w="796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(268,884)</w:t>
            </w: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(267,222)</w:t>
            </w:r>
          </w:p>
        </w:tc>
      </w:tr>
      <w:tr>
        <w:trPr>
          <w:trHeight w:val="223"/>
        </w:trPr>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r>
      <w:tr>
        <w:trPr>
          <w:trHeight w:val="223"/>
        </w:trPr>
        <w:tc>
          <w:tcPr>
            <w:tcW w:w="796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4,217</w:t>
            </w: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2,160</w:t>
            </w:r>
          </w:p>
        </w:tc>
        <w:tc>
          <w:tcPr>
            <w:tcW w:w="100" w:type="dxa"/>
            <w:vAlign w:val="bottom"/>
            <w:tcBorders>
              <w:top w:val="single" w:sz="8" w:color="CCEEFF"/>
            </w:tcBorders>
          </w:tcPr>
          <w:p>
            <w:pPr>
              <w:spacing w:after="0"/>
              <w:rPr>
                <w:sz w:val="19"/>
                <w:szCs w:val="19"/>
                <w:color w:val="auto"/>
              </w:rPr>
            </w:pPr>
          </w:p>
        </w:tc>
      </w:tr>
      <w:tr>
        <w:trPr>
          <w:trHeight w:val="237"/>
        </w:trPr>
        <w:tc>
          <w:tcPr>
            <w:tcW w:w="1020" w:type="dxa"/>
            <w:vAlign w:val="bottom"/>
            <w:shd w:val="clear" w:color="auto" w:fill="CCEEFF"/>
          </w:tcPr>
          <w:p>
            <w:pPr>
              <w:spacing w:after="0"/>
              <w:rPr>
                <w:sz w:val="20"/>
                <w:szCs w:val="20"/>
                <w:color w:val="auto"/>
              </w:rPr>
            </w:pPr>
          </w:p>
        </w:tc>
        <w:tc>
          <w:tcPr>
            <w:tcW w:w="69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35,615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36,148</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6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rPr>
              <w:t>FOR THE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25,474</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Cost of sales</w:t>
            </w:r>
          </w:p>
        </w:tc>
        <w:tc>
          <w:tcPr>
            <w:tcW w:w="1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6,425</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Gross Margin</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19,049</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15,392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13,252</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Amortization of intangible assets</w:t>
            </w:r>
          </w:p>
        </w:tc>
        <w:tc>
          <w:tcPr>
            <w:tcW w:w="1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Total Operating Expenses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18,267</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15,905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782</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(513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(Loss)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(loss) on sale/disposal of assets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Loss on debt conversion</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gain (loss)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Interest expense and other</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(1,943)</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 amortization of OID and derivative mark-to-market</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00"/>
              <w:spacing w:after="0"/>
              <w:rPr>
                <w:sz w:val="20"/>
                <w:szCs w:val="20"/>
                <w:color w:val="auto"/>
              </w:rPr>
            </w:pPr>
            <w:r>
              <w:rPr>
                <w:rFonts w:ascii="Arial" w:cs="Arial" w:eastAsia="Arial" w:hAnsi="Arial"/>
                <w:sz w:val="18"/>
                <w:szCs w:val="18"/>
                <w:b w:val="1"/>
                <w:bCs w:val="1"/>
                <w:color w:val="auto"/>
              </w:rPr>
              <w:t>Total other income (loss), net</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(2,327)</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(2,234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Loss From Operations before Income Taxes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(1,545)</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provision</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(1,662)</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5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Foreign currency gain (loss)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(1,664)</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80"/>
              <w:spacing w:after="0"/>
              <w:rPr>
                <w:sz w:val="20"/>
                <w:szCs w:val="20"/>
                <w:color w:val="auto"/>
              </w:rPr>
            </w:pPr>
            <w:r>
              <w:rPr>
                <w:rFonts w:ascii="Arial" w:cs="Arial" w:eastAsia="Arial" w:hAnsi="Arial"/>
                <w:sz w:val="18"/>
                <w:szCs w:val="18"/>
                <w:color w:val="auto"/>
              </w:rPr>
              <w:t>Basic</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(0.29)</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Weighted Average Basic and Diluted Shares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5,661,000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tcPr>
          <w:p>
            <w:pPr>
              <w:ind w:left="80"/>
              <w:spacing w:after="0"/>
              <w:rPr>
                <w:sz w:val="20"/>
                <w:szCs w:val="20"/>
                <w:color w:val="auto"/>
              </w:rPr>
            </w:pPr>
            <w:r>
              <w:rPr>
                <w:rFonts w:ascii="Arial" w:cs="Arial" w:eastAsia="Arial" w:hAnsi="Arial"/>
                <w:sz w:val="18"/>
                <w:szCs w:val="18"/>
                <w:color w:val="auto"/>
              </w:rPr>
              <w:t>Diluted</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5,661,000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5,048,000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Common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Common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6"/>
              </w:rPr>
              <w:t>Comprehensive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Treasury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Accumulated</w:t>
            </w:r>
          </w:p>
        </w:tc>
        <w:tc>
          <w:tcPr>
            <w:tcW w:w="2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Income</w:t>
            </w: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(Loss)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r>
      <w:tr>
        <w:trPr>
          <w:trHeight w:val="198"/>
        </w:trPr>
        <w:tc>
          <w:tcPr>
            <w:tcW w:w="20" w:type="dxa"/>
            <w:vAlign w:val="bottom"/>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4,630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(5,017)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271,349</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(264,190)</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(128)</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2,064</w:t>
            </w: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Share based</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Stock issued upon option</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exercise</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Issuance of stock upon</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debt conversion</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2,247</w:t>
            </w: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stock upon</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(3,032)</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(3,032)</w:t>
            </w: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income</w:t>
            </w: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198"/>
        </w:trPr>
        <w:tc>
          <w:tcPr>
            <w:tcW w:w="20" w:type="dxa"/>
            <w:vAlign w:val="bottom"/>
          </w:tcPr>
          <w:p>
            <w:pPr>
              <w:spacing w:after="0"/>
              <w:rPr>
                <w:sz w:val="17"/>
                <w:szCs w:val="17"/>
                <w:color w:val="auto"/>
              </w:rPr>
            </w:pPr>
          </w:p>
        </w:tc>
        <w:tc>
          <w:tcPr>
            <w:tcW w:w="194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4"/>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DECEMBER 31, 2012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5,260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(5,017)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274,445</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(267,222)</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(102)</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2,160</w:t>
            </w: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 based</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w w:val="95"/>
              </w:rPr>
              <w:t>Stock issued upon option</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exercise</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stock upon</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conversion of</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Issuance of stock upon</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private offering, net of</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offering costs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662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3,433</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(1,662)</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(1,662)</w:t>
            </w: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960" w:type="dxa"/>
            <w:vAlign w:val="bottom"/>
            <w:gridSpan w:val="2"/>
          </w:tcPr>
          <w:p>
            <w:pPr>
              <w:spacing w:after="0"/>
              <w:rPr>
                <w:sz w:val="20"/>
                <w:szCs w:val="20"/>
                <w:color w:val="auto"/>
              </w:rPr>
            </w:pPr>
            <w:r>
              <w:rPr>
                <w:rFonts w:ascii="Arial" w:cs="Arial" w:eastAsia="Arial" w:hAnsi="Arial"/>
                <w:sz w:val="18"/>
                <w:szCs w:val="18"/>
                <w:color w:val="auto"/>
              </w:rPr>
              <w:t>income (loss)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198"/>
        </w:trPr>
        <w:tc>
          <w:tcPr>
            <w:tcW w:w="20" w:type="dxa"/>
            <w:vAlign w:val="bottom"/>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5"/>
        </w:trPr>
        <w:tc>
          <w:tcPr>
            <w:tcW w:w="20" w:type="dxa"/>
            <w:vAlign w:val="bottom"/>
          </w:tcPr>
          <w:p>
            <w:pPr>
              <w:spacing w:after="0"/>
              <w:rPr>
                <w:sz w:val="22"/>
                <w:szCs w:val="2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5,969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(5,017)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278,159</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(268,884)</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(104)</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4,217</w:t>
            </w: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rPr>
              <w:t>FOR THE</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rPr>
              <w:t>YEAR ENDED</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8"/>
                <w:szCs w:val="18"/>
                <w:b w:val="1"/>
                <w:bCs w:val="1"/>
                <w:color w:val="auto"/>
                <w:w w:val="99"/>
              </w:rPr>
              <w:t>DECEMBER 31,</w:t>
            </w:r>
          </w:p>
        </w:tc>
        <w:tc>
          <w:tcPr>
            <w:tcW w:w="56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2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(1,662)</w:t>
            </w: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provided by operations:</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20"/>
              <w:spacing w:after="0"/>
              <w:rPr>
                <w:sz w:val="20"/>
                <w:szCs w:val="20"/>
                <w:color w:val="auto"/>
              </w:rPr>
            </w:pPr>
            <w:r>
              <w:rPr>
                <w:rFonts w:ascii="Arial" w:cs="Arial" w:eastAsia="Arial" w:hAnsi="Arial"/>
                <w:sz w:val="18"/>
                <w:szCs w:val="18"/>
                <w:color w:val="auto"/>
              </w:rPr>
              <w:t>Interest income on settlement</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sale/disposal of assets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20"/>
              <w:spacing w:after="0"/>
              <w:rPr>
                <w:sz w:val="20"/>
                <w:szCs w:val="20"/>
                <w:color w:val="auto"/>
              </w:rPr>
            </w:pPr>
            <w:r>
              <w:rPr>
                <w:rFonts w:ascii="Arial" w:cs="Arial" w:eastAsia="Arial" w:hAnsi="Arial"/>
                <w:sz w:val="18"/>
                <w:szCs w:val="18"/>
                <w:color w:val="auto"/>
              </w:rPr>
              <w:t>Amortization of OID and derivative mark-to-market</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debt payoff</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20"/>
              <w:spacing w:after="0"/>
              <w:rPr>
                <w:sz w:val="20"/>
                <w:szCs w:val="20"/>
                <w:color w:val="auto"/>
              </w:rPr>
            </w:pPr>
            <w:r>
              <w:rPr>
                <w:rFonts w:ascii="Arial" w:cs="Arial" w:eastAsia="Arial" w:hAnsi="Arial"/>
                <w:sz w:val="18"/>
                <w:szCs w:val="18"/>
                <w:color w:val="auto"/>
              </w:rPr>
              <w:t>Loss on debt conversion</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80"/>
              <w:spacing w:after="0"/>
              <w:rPr>
                <w:sz w:val="20"/>
                <w:szCs w:val="20"/>
                <w:color w:val="auto"/>
              </w:rPr>
            </w:pPr>
            <w:r>
              <w:rPr>
                <w:rFonts w:ascii="Arial" w:cs="Arial" w:eastAsia="Arial" w:hAnsi="Arial"/>
                <w:sz w:val="18"/>
                <w:szCs w:val="18"/>
                <w:color w:val="auto"/>
              </w:rPr>
              <w:t>Restricted cash</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(899)</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80"/>
              <w:spacing w:after="0"/>
              <w:rPr>
                <w:sz w:val="20"/>
                <w:szCs w:val="20"/>
                <w:color w:val="auto"/>
              </w:rPr>
            </w:pPr>
            <w:r>
              <w:rPr>
                <w:rFonts w:ascii="Arial" w:cs="Arial" w:eastAsia="Arial" w:hAnsi="Arial"/>
                <w:sz w:val="18"/>
                <w:szCs w:val="18"/>
                <w:color w:val="auto"/>
              </w:rPr>
              <w:t>Inventory</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(1,008)</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 and other long-term obligations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928</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Net cash provided by operating activities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2,025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2,809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Net purchases of property and equipment</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intangible assets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Collection of note receivable</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760"/>
              <w:spacing w:after="0"/>
              <w:rPr>
                <w:sz w:val="20"/>
                <w:szCs w:val="20"/>
                <w:color w:val="auto"/>
              </w:rPr>
            </w:pPr>
            <w:r>
              <w:rPr>
                <w:rFonts w:ascii="Arial" w:cs="Arial" w:eastAsia="Arial" w:hAnsi="Arial"/>
                <w:sz w:val="18"/>
                <w:szCs w:val="18"/>
                <w:b w:val="1"/>
                <w:bCs w:val="1"/>
                <w:color w:val="auto"/>
              </w:rPr>
              <w:t>Net cash used in investing activities</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(435)</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(10,978)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notes payable</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Payments on notes payable</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(6,880)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conversion of subordinated notes payable</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Payments on line of credit</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capital leases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Debt financing fees</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issuance of common stock</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Net proceeds from exercise of stock options</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9,252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foreign exchange rates</w:t>
            </w: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1,761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Cash and equivalents at beginning of period</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2,177</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1,067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equivalents at end of period</w:t>
            </w:r>
          </w:p>
        </w:tc>
        <w:tc>
          <w:tcPr>
            <w:tcW w:w="1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3,938</w:t>
            </w: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2,177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Cash paid for:</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2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1,461</w:t>
            </w: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Conversion of subordinated convertible notes payable to equity</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upon acquisition</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Asure Software, Inc., a Delaware corporation incorporated in 1985, provides web-based workforce management solutions that enable organizations to manage their office environments as well as their human resource and payroll processes effectively and efficiently. Asure develops, markets, sells and supports its offerings worldwide through its principal office in Austin, Texas and through additional offices in Warwick, Rhode Island; Framingham, Massachusetts; Traverse City, Michigan and Staines, United Kingdom.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OF PRESENTATION</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Asure has prepared its consolidated financial statements in accordance with U.S. generally accepted accounting principles and has included the accounts of its wholly owned subsidiaries. We have eliminated all significant intercompany transactions and balances in consolidation. Asure has made certain reclassifications to the prior year’s financial statements to conform to the current year presentation. As discussed in Note 8- Stockholders’ Equity, Asure has adjusted all prior periods to reflect its 3-for-2 stock split as if it had occurred at the earliest date presented in these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chief operating decision maker is Asure’s Chief Executive Officer who reviews financial information presented on a company-wide basis. Accordingly, in accordance with Financial Accounting Standards Board (“FASB”) Accounting Standards Codification (“ASC”) 280, Asure determined that it has a single reporting segment and operating unit structure.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Preparation of the consolidated financial statements in conformity with U.S. generally accepted accounting principles requires management to make estimates and assumptions that affect the reported amounts of the assets and liabilities and disclosure of contingent assets and liabilities at the date of the financial statements and the reported amounts of revenues and expenses during the reporting period. These estimates are subjective in nature and involve judgments that affect the reported amounts of assets and liabilities, the disclosure of contingent assets and liabilities at fiscal year end and the reported amounts of revenues and expenses during the fiscal year. The more significant estimates made by management include the valuation allowance for the gross deferred tax assets, useful lives of fixed assets, the determination of the fair value of its long-lived assets, and the fair value of assets acquired and liabilities assumed during acquisitions. Asure bases its estimates on historical experience and on various other assumptions its management believes reasonable under the given circumstances. These estimates could be materially different under different conditions and assumptions. Additionally, the actual amounts could differ from the estimates made. Management periodically evaluates estimates used in the preparation of the financial statements for continued reasonableness. Asure makes appropriate adjustments, if any, to the estimates used prospectively based upon such periodic evaluation.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56" w:lineRule="exact"/>
        <w:rPr>
          <w:sz w:val="20"/>
          <w:szCs w:val="20"/>
          <w:color w:val="auto"/>
        </w:rPr>
      </w:pPr>
    </w:p>
    <w:p>
      <w:pPr>
        <w:jc w:val="both"/>
        <w:ind w:firstLine="703"/>
        <w:spacing w:after="0" w:line="270" w:lineRule="auto"/>
        <w:rPr>
          <w:sz w:val="20"/>
          <w:szCs w:val="20"/>
          <w:color w:val="auto"/>
        </w:rPr>
      </w:pPr>
      <w:r>
        <w:rPr>
          <w:rFonts w:ascii="Arial" w:cs="Arial" w:eastAsia="Arial" w:hAnsi="Arial"/>
          <w:sz w:val="17"/>
          <w:szCs w:val="17"/>
          <w:color w:val="auto"/>
        </w:rPr>
        <w:t>In December 2012, we demanded a purchase price adjustment from PeopleCube Holding B.V. and Meeting Maker Holding B.V., the sellers of the capital stock of Meeting Maker – United States, Inc. (dba PeopleCube) that we purchased in July 2012, based on matters we discovered after closing. Both parties agreed for the post-closing adjustment to be resolved by an independent accountant consistent with the purchase agreement. In January 2013, we filed a claim in federal court in Texas seeking to compel the sellers to comply with the working capital adjustment process. The sellers simultaneously filed a claim in the state court of Massachusetts alleging that we did not comply with the working capital adjustment process. Our claim was amended in April 2013 to add contractual indemnification claims for the sellers’ breach of warranties and representations made in the purchase agreement. In May 2013, the sellers amended their original complaint to allege misrepresentations and omissions by us in connection with the purchase transaction. The sellers seek an unspecified amount of damages and the trebling of such damages once calculated. We have filed a counterclaim in Massachusetts for contractual indemnification claims for the sellers’ breach of their warranties and representations.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2013, we reached an agreement (based upon the determination by the independent accountant) to settle our purchase price post-closing adjustment dispute with the sellers. The parties agreed to a post-closing adjustment due to us with accrued interest of $540. The parties agreed to reduce the original $3,000 deferred purchase payment by the post-closing adjustment amount. This also had the effect of reducing our long-term debt by a like amount. The remaining deferred purchase price balance was $2,460. The parties also agreed to dismiss the litigation and claims in Texas in favor of consolidating all remaining disputes in the Massachusetts state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7225665</wp:posOffset>
            </wp:positionH>
            <wp:positionV relativeFrom="paragraph">
              <wp:posOffset>-153670</wp:posOffset>
            </wp:positionV>
            <wp:extent cx="260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-170815</wp:posOffset>
            </wp:positionV>
            <wp:extent cx="285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2014, we reached an agreement to settle all claims and dismiss all pending litigation with the sellers of PeopleCube. Under the settlement agreement, the parties agreed to dismiss the litigation and settle the remaining balance due of $2,460 on the Subordinated Notes Payable: PeopleCube Acquisition Note for $1,700. Separately, our insurance carrier agreed to pay us $500 in conjunction with the settlement. With the insurance proceeds and after offsetting any related litigation costs incurred in 2014, we expect to record a net gain of approximately $1,000 on the settlement in the first quarter of 2014.</w:t>
      </w:r>
    </w:p>
    <w:p>
      <w:pPr>
        <w:spacing w:after="0" w:line="18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Finally, as part of the original purchase price in the PeopleCube acquisition, we issued 255,000 shares of our common stock subject to a lockup of 125,000 shares expiring in June 2013 and 130,000 shares expiring in June 2014. This settlement also removed the lockup for the remaining 130,000 shares.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Asure was also the defendant or plaintiff in various actions that arose in the normal course of business. As of December 31, 2013, we believe none of the pending legal proceedings to which we are a party are material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April 2013, The NASDAQ Stock Market (“NASDAQ”) notified us that we had failed to maintain a minimum market value of listed securities (“MVLS”) of $35,000 over the previous 30 consecutive business days as required by The NASDAQ Capital Market set forth in Listing Rule 5550(b)(2). NASDAQ also advised us in its letter that we did not meet the requirements under NASDAQ Marketplace Rule 5550(b)(1), which requires maintenance of $2,500 of stockholders’ equity, and Rule 5550(b)(3), which requires net income from continuing operations of $500 or more in 2012 or in two of the three years 2010, 2011 and 2012. Under Rule 5550, we could regain compliance and avoid the potential for delisting of our common stock by satisfying any one of the minimum MVLS test, the minimum equity test or the minimum net income test. In order to meet the minimum equity requirement, we increased stockholders’ equity by selling 662,000 shares for net proceeds of $3,400 in May 2013. In August 2013, NASDAQ notified us that since the May 2013 sale of securities, which was at a discount to the then current market price, included certain officers and directors, the private placement required shareholder approval under Listing Rule 5635(c).We held a special meeting held in September 2013 at which our stockholders voted to ratify this sale of shares to our officers and directors. In October 2013, we received notification from NASDAQ that we regained compliance with Listing Rules 5635(c) and 5550(b).</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2013, Asure’s principal source of liquidity consisted of $3,938 of current cash and cash equivalents as well as future cash generated from operations. Cash and cash equivalents were $2,177 at December 31, 2012. We believe that we have and/or will generate sufficient cash for our short- and long-term needs, including meeting the requirements of our amended Notes Payable, and the related debt covenant requirements. We are continuing to reduce expenses as a percentage of revenue and thus may utilize our cash balances in the short-term to reduce long-term costs. Based on current internal projections, we believe that we currently have and/or will generate sufficient cash for our operational needs, including any required debt payments, for at least the next twelve months.</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Management is focused on growing our existing product offering as well as our customer base to increase our recurring revenues. We are also exploring additional strategic acquisitions in the near future, although we have no agreements to make any acquisition at this time. We would fund any acquisitions with equity, available cash, future cash from operations, or debt from outside sources.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12 months and to maintain compliance with the terms of our debt agreements and related covenants or to obtain compliance through debt repayments made with the available cash on hand or anticipated for receipt in the ordinary course of operations.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and cash equivalents include cash deposits and highly liquid investments with an original maturity of three months or less when purchased.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CASH</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Restricted cash represents a certificate of deposit held in a cash collateral account as required by JPMorgan Chase Bank N.A. (“Bank”), to secure our obligations under our credit card obligations with the Bank.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OF FINANCIAL INSTRUMENTS</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apply the authoritative guidance on fair value measurements for financial assets and liabilities that are measured at fair value on a recurring basis, and non-financial assets and liabilities such as goodwill, intangible assets and property and equipment that are measured at fair value on a non-recurring basis.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DERIVATIVE</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convertible notes payable contained an embedded derivative instrument related to the conversion feature that we accounted for separately. We re-measured the fair values of these instruments for each reporting period and recorded a gain or loss for the change in fair value. The embedded derivative was settled during 2012. See Note 6- Notes Payable and Derivative Liability for further details. No derivative feature remains at December 31,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CONCENTRATION OF CREDIT RISK</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grant credit to customers in the ordinary course of business. We limit concentrations of credit risk related to our trade accounts receivable due to our large number of customers, including third-party resellers, and their dispersion across several industries and geographic areas. We perform ongoing credit evaluations of our customers and maintain reserves for potential credit losses. We require advanced payments or secured transactions when deemed necessary.</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Asure reviews potential customers’ credit ratings to evaluate customers’ ability to pay an obligation within the payment term, which is usually net thirty days. If we receive reasonable assurance of payment and know of no barriers to legally enforce the payment obligation, we may extend credit to customers. We place accounts on “Credit Hold” if a placed order exceeds the credit limit or sooner if circumstances warrant. We follow our credit policy consistently and routinely monitor our delinquent accounts for indications of uncollectability.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ALLOWANCE FOR DOUBTFUL ACCOUNTS</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Asure maintains an allowance for doubtful accounts at an amount we estimate sufficient to provide adequate protection against losses resulting from extending credit to our customers. We base this allowance, in the aggregate, on historical collection experience, age of receivables and general economic conditions. The allowance for doubtful accounts also considers the need for specific customer reserves based on the customer’s payment experience, credit-worthiness and age of receivable balances. Asure’s bad debts have not been material and have been within management expectations.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annual changes in our allowance for doubtful accounts: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3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Provision for doubtful accounts receivable</w:t>
            </w:r>
          </w:p>
        </w:tc>
        <w:tc>
          <w:tcPr>
            <w:tcW w:w="3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Write-off of uncollectible accounts receivable</w:t>
            </w:r>
          </w:p>
        </w:tc>
        <w:tc>
          <w:tcPr>
            <w:tcW w:w="3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Balance at December 31, 2012</w:t>
            </w:r>
          </w:p>
        </w:tc>
        <w:tc>
          <w:tcPr>
            <w:tcW w:w="3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182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 receivable</w:t>
            </w:r>
          </w:p>
        </w:tc>
        <w:tc>
          <w:tcPr>
            <w:tcW w:w="3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Write-off of uncollectible accounts receivable</w:t>
            </w:r>
          </w:p>
        </w:tc>
        <w:tc>
          <w:tcPr>
            <w:tcW w:w="3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1440" w:type="dxa"/>
            <w:vAlign w:val="bottom"/>
          </w:tcPr>
          <w:p>
            <w:pPr>
              <w:spacing w:after="0"/>
              <w:rPr>
                <w:sz w:val="22"/>
                <w:szCs w:val="22"/>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December 31, 2013</w:t>
            </w:r>
          </w:p>
        </w:tc>
        <w:tc>
          <w:tcPr>
            <w:tcW w:w="3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1440" w:type="dxa"/>
            <w:vAlign w:val="bottom"/>
          </w:tcPr>
          <w:p>
            <w:pPr>
              <w:spacing w:after="0"/>
              <w:rPr>
                <w:sz w:val="22"/>
                <w:szCs w:val="22"/>
                <w:color w:val="auto"/>
              </w:rPr>
            </w:pPr>
          </w:p>
        </w:tc>
      </w:tr>
      <w:tr>
        <w:trPr>
          <w:trHeight w:val="601"/>
        </w:trPr>
        <w:tc>
          <w:tcPr>
            <w:tcW w:w="1440" w:type="dxa"/>
            <w:vAlign w:val="bottom"/>
          </w:tcPr>
          <w:p>
            <w:pPr>
              <w:spacing w:after="0"/>
              <w:rPr>
                <w:sz w:val="24"/>
                <w:szCs w:val="24"/>
                <w:color w:val="auto"/>
              </w:rPr>
            </w:pPr>
          </w:p>
        </w:tc>
        <w:tc>
          <w:tcPr>
            <w:tcW w:w="382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F-8</w:t>
            </w:r>
          </w:p>
        </w:tc>
        <w:tc>
          <w:tcPr>
            <w:tcW w:w="5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INVENTORY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Inventory consists of finished goods and is stated at the lower of cost or market. Inventory includes purchased LCD panels and a full range of biometric and card recognition clocks that we sell as part of our workforce and workspace management solutions. We routinely assess our on-hand inventory for timely identification and measurement of obsolete, slow-moving or otherwise impaired inventory.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PROPERTY AND EQUIPMENT</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record property and equipment, including software, furniture and equipment, at cost less accumulated depreciation. We record depreciation using the straight-line method over the estimated economic useful lives of the assets, which range from two to five years. Property and equipment also includes leasehold improvements and capital leases, which we record at cost less accumulated amortization. We record amortization of leasehold improvements and capital leases using the straight-line method over the shorter of the lease term or over the life of the respective assets, as applicable. We recognize gains or losses related to retirements or disposition of fixed assets in the period incurred. We expense repair and maintenance costs as incurred. We periodically review the estimated economic useful lives of our property and equipment and make adjustments, if necessary, according to the latest information available.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COMBINATIONS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Asure has accounted for our acquisitions using the acquisition method of accounting based on ASC 805—</w:t>
      </w:r>
      <w:r>
        <w:rPr>
          <w:rFonts w:ascii="Arial" w:cs="Arial" w:eastAsia="Arial" w:hAnsi="Arial"/>
          <w:sz w:val="17"/>
          <w:szCs w:val="17"/>
          <w:i w:val="1"/>
          <w:iCs w:val="1"/>
          <w:color w:val="auto"/>
        </w:rPr>
        <w:t>Business Combinations</w:t>
      </w:r>
      <w:r>
        <w:rPr>
          <w:rFonts w:ascii="Arial" w:cs="Arial" w:eastAsia="Arial" w:hAnsi="Arial"/>
          <w:sz w:val="17"/>
          <w:szCs w:val="17"/>
          <w:color w:val="auto"/>
        </w:rPr>
        <w:t>, which requires recognition and measurement of all identifiable assets acquired and liabilities assumed at their full fair value as of the date we obtain control. We have determined the fair value of assets acquired and liabilities assumed based upon our estimates of the fair values of assets acquired and liabilities assumed in the acquisitions. Goodwill represents the excess of the purchase price over the fair value of the net tangible and identifiable intangible assets acquired. While we have used our best estimates and assumptions to measure the fair value of the identifiable assets acquired and liabilities assumed at the acquisition date, our estimates are inherently uncertain and subject to refinement. As a result, during the measurement period, not to exceed one year from the date of acquisition, any changes in the estimated fair values of the net assets recorded for the acquisitions will result in an adjustment to goodwill. Upon the conclusion of the measurement period or final determination of the values of assets acquired or liabilities assumed, whichever comes first, we record any subsequent adjustments to our consolidated statements of comprehensive income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 AND OTHER INTANGIBLE ASSETS</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Goodwill represents the excess of the purchase price in a business combination over the fair value of net tangible and intangible assets acquired in a business combination. We test goodwill for impairment on an annual basis in the fourth fiscal quarter of each year, and between annual tests if indicators of potential impairment exist, using a fair-value-based approach. There has been no impairment of goodwill for the periods presented. See Notes 4 and 5 for additional information regarding goodwill. We amortize intangible assets not considered to have an indefinite useful life using the straight-line method over their estimated period of benefit, which generally ranges from one to ten years. Each reporting period, we evaluate the estimated remaining useful life of intangible assets and assess whether events or changes in circumstances warrant a revision to the remaining period of amortization or indicate that impairment exists. We have not identified any impairments of finite-lived intangible assets during any of the periods presented. See Note 5 – Goodwill and Other Intangible Assets for additional information regarding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IMPAIRMENT OF LONG-LIVED ASSETS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ASC 350, Asure reviews and evaluates our long-lived assets for impairment whenever events or changes in circumstances indicate that we may not recover their net book value. When such factors and circumstances exist, including those noted above, we compare the assets’ carrying amounts against the estimated undiscounted cash flows to be generated by those assets over their estimated useful lives. If the carrying amounts are greater than the undiscounted cash flows, we estimate the fair values of those assets by discounting the projected cash flows. We record any excess of the carrying amounts over the fair values as impairments in that fiscal period. We have identified no impairment of long-lived assets during any of the periods presented.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ORIGINAL ISSUE DISCOUNTS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recognize original issue discounts, when incurred on the issuance of debt, as a reduction of the current loan obligations that we amortize to interest expense over the life of the related indebtedness using the effective interest rate method. We record the amortization as interest expense – amortization of OID and derivative mark-to-market in the Consolidated Statements of Comprehensive Income (Loss). At the time of any repurchases or retirements of related debt, we will write off the remaining amount of net original issue discounts and include them in the calculation of gain/(loss) on retirement in the consolidated statements of comprehensive income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Our revenues consist of software-as-a-service (“SaaS”) offerings, time-based software subscriptions, and perpetual software license sale arrangements that also, typically, include hardware, maintenance/support and professional services elements. We recognize revenue when persuasive evidence of an arrangement exists, delivery has occurred, the fee is fixed or determinable and collectability is probable. Software and software-related elements are recognized in accordance with ASC 985-605 </w:t>
      </w:r>
      <w:r>
        <w:rPr>
          <w:rFonts w:ascii="Arial" w:cs="Arial" w:eastAsia="Arial" w:hAnsi="Arial"/>
          <w:sz w:val="16"/>
          <w:szCs w:val="16"/>
          <w:i w:val="1"/>
          <w:iCs w:val="1"/>
          <w:color w:val="auto"/>
        </w:rPr>
        <w:t>Software Revenue Recognition</w:t>
      </w:r>
      <w:r>
        <w:rPr>
          <w:rFonts w:ascii="Arial" w:cs="Arial" w:eastAsia="Arial" w:hAnsi="Arial"/>
          <w:sz w:val="16"/>
          <w:szCs w:val="16"/>
          <w:color w:val="auto"/>
        </w:rPr>
        <w:t xml:space="preserve">. Non-software revenue elements are recognized in accordance with ASC 605-25 </w:t>
      </w:r>
      <w:r>
        <w:rPr>
          <w:rFonts w:ascii="Arial" w:cs="Arial" w:eastAsia="Arial" w:hAnsi="Arial"/>
          <w:sz w:val="16"/>
          <w:szCs w:val="16"/>
          <w:i w:val="1"/>
          <w:iCs w:val="1"/>
          <w:color w:val="auto"/>
        </w:rPr>
        <w:t>Revenue Recognition Multiple-Element Arrangements.</w:t>
      </w:r>
      <w:r>
        <w:rPr>
          <w:rFonts w:ascii="Arial" w:cs="Arial" w:eastAsia="Arial" w:hAnsi="Arial"/>
          <w:sz w:val="16"/>
          <w:szCs w:val="16"/>
          <w:color w:val="auto"/>
        </w:rPr>
        <w:t xml:space="preserve"> Since we currently offer our software solutions under either a perpetual license, time-based subscription or SaaS model, revenue recognition timing varies based on which form of software rights the customer purchases.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SaaS arrangements and time-based software subscriptions typically have an initial term ranging from one to three years and are renewable on an annual basis. A typical SaaS arrangement will also include hardware, setup and implementation services. We allocate the value of the SaaS arrangement to each separate unit of accounting based on vendor-specific objective evidence (“VSOE”) of selling price, when it exists, third-party evidence of selling price for like services or best estimated selling price. Revenue allocated to the SaaS/software subscription element is recognized ratably over the non-cancellable term of the SaaS/subscription service. Revenue allocated to other units of accounting included in the arrangement are recognized as outlined in the paragraphs below.</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Perpetual software licenses are typically sold in multiple-element arrangements that include hardware, maintenance/support and professional services. Software license revenues, determined under the residual method, are generally recognized on the date the product is delivered to the customer if VSOE of fair value exists for all undelivered elements of the software arrangement. If VSOE of fair value does not exist for an undelivered element, the entire software arrangement is deferred and recognized ratably, over the remaining non-cancellable maintenance term after all other undelivered elements have been delivered. We base VSOE of fair value for our maintenance, training and installation services on the prices charged for these services when sold separately. Revenue allocated to hardware, maintenance and services elements included in the arrangement are recognized as outlined below.</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Hardware devices sold to customers (typically time clock, LCD panel and other peripheral devices) are not essential to the functionality of the software and as such are treated as non-software elements for revenue recognition purposes. Hardware revenue is recognized when title passes to the customer, typically the date the hardware is shipped. If hardware is sold under a HaaS arrangement, title to the hardware remains with Asure and hardware usage revenue is recognized ratably over the non-cancellable term of the hardware service delivery, typically one year.</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professional services offerings which typically include data migration, set up, training, and implementation services are also not essential to the functionality of our products, as third parties or customers themselves can perform these services. Set up and implementation services typically occur at the start of the software arrangement while certain other professional services, depending on the nature of the services and customer requirements, may occur several months later. Professional services performed for a fixed fee can be reasonably estimated and are recognized on a proportional performance basis. Revenue for professional services engagements billed on a time and materials basis are recognized as the services are delivered. Revenues on all other professional services engagements are recognized upon the earlier of the completion of the services deliverable or the expiration of the customer’s right to receive the service.</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Maintenance/support revenues are recognized ratably over the non-cancellable term of the support agreement. Initial maintenance/support terms are typically one to three years and are renewable on an annual basis.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do not recognize revenue for agreements with rights of return, refundable fees, cancellation rights or acceptance clauses until these return, refund or cancellation rights have expired or acceptance has occurred. Our arrangements with resellers do not allow for any rights of return.</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Deferred revenue includes amounts received from customers in excess of revenue recognized, and is comprised of deferred maintenance, service and other revenue. We recognize deferred revenues when we complete the service and over the terms of the arrangements, primarily ranging from one to three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ADVERTISING COSTS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expense advertising costs as we incur them. Advertising expenses were $0 and $16 for 2013 and 2012, respectively. We recorded these expenses as part of sales and marketing expenses on our Consolidated Statements of Comprehensive Income (Loss).</w:t>
      </w:r>
    </w:p>
    <w:p>
      <w:pPr>
        <w:sectPr>
          <w:pgSz w:w="11900" w:h="16838" w:orient="portrait"/>
          <w:cols w:equalWidth="0" w:num="1">
            <w:col w:w="11420"/>
          </w:cols>
          <w:pgMar w:left="240" w:top="121"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 OBLIGATIONS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Asure recognizes its lease obligations with scheduled rent increases over the term of the lease on a straight-line basis. Accordingly, we charge the total amount of base rentals over the term of our leases to expense on a straight-line method, recording the amount of rental expense in excess of lease payments as a deferred rent liability. As of December 31, 2013 and 2012, we had no deferred rent liabilities. We also recognize capital lease obligations and record the underlying assets and liabilities on our Consolidated Balance Sheets. As of December 31, 2013 and 2012, Asure had $399 and $389 in capital lease obligations,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CURRENCY TRANSLATION</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measure the financial statements of our foreign subsidiaries using the local currency as the functional currency. Accordingly, we translate the assets and liabilities of these foreign subsidiaries at current exchange rates at each balance sheet date. We record translation adjustments arising from the translation of net assets located outside of the United States into United States dollars in accumulated other comprehensive income (loss) as a separate component of stockholders’ equity. We translate income and expenses from the foreign subsidiaries using monthly average exchange rates. We include net gains and losses resulting from foreign exchange transactions in other income and expenses, which were not significant in 2013 and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account for income taxes using the liability method under FASB ASC 740,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which requires recognition of deferred tax assets and liabilities for the expected future tax consequences of events included in the financial statements. Under the liability method, we determine deferred tax assets and liabilities based on the difference between the financial statement and tax bases of assets and liabilities using enacted tax rates in effect in the years in which we expect the differences to reverse. We reduce deferred tax assets by a valuation allowance when it is more likely than not that we will not realize some component or all of the deferred tax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BASED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adopted Statement ASC 718 effective August 1, 2005, using the modified prospective application transition method. The modified prospective application method requires that companies recognize compensation expense on stock-based payment awards that are modified, repurchased or cancelled after the effective date. We estimate the fair value of each award granted from our stock option plans at the date of grant using the Black-Scholes option pricing model. During 2013 and 2012, we granted 216,000 and 260,000 stock options, respectively.</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2013, we expect to recognize $399 of unrecognized compensation costs related to non-vested option grants over the course of the following three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issued 17,000 shares of common stock related to exercises of stock options granted from our stock option plans for 2013 and 30,000 shares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February 2013, the Financial Accounting Standards Board (“FASB”) issued guidance on disclosures of additional information with respect to changes in accumulated other comprehensive income (“AOCI”) balances by component and significant items reclassified out of AOCI. Expanded disclosures for presentation of changes in AOCI involve disaggregating the total change of each component of other comprehensive income as well as presenting separately for each such component the portion of the change in AOCI related to (1) amounts reclassified into income and (2) current-period other comprehensive income. Additionally, for amounts reclassified into income, we are required to disclose in one location, based upon each specific AOCI component, the amounts impacting individual income statement line items. We are required to disclose the income statement line item impacts only for components of AOCI reclassified into income in their entirety. We would make the disclosures required with respect to income statement line item impacts in either the notes to the consolidated financial statements or parenthetically on the face of the financial statements. For us, this Accounting Standards Update was effective beginning January 1, 2013. Because this standard only impacts presentation and disclosure requirements, its adoption did not have a material impact on our consolidated results of operations or financial condition.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2013, the FASB issued Accounting Standards Update No. 2013-11 (ASU 2013-11), which updated the guidance in ASC Topic 740, Income Taxes. The amendments in ASU 2013-11 generally provide guidance for the presentation of unrecognized tax benefits when a net operating loss carryforward, a similar tax loss, or a tax credit carryforward exists at the reporting date. The guidance requires an unrecognized tax benefit to be presented as a decrease in a deferred tax asset where a net operating loss, a similar tax loss, or a tax credit carryforward exists and certain criteria are met. This guidance became effective for us as of January 1, 2014 and is consistent with our present practice.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Effective August 1, 2008, Asure adopted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defines fair value, establishes a framework for measuring fair value in U.S. generally accepted accounting principles and expands disclosures about fair value measurements.</w:t>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ASC 820 establishes a three-tier fair value hierarchy, which is based on the reliability of the inputs used in measuring fair values. These tiers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238" w:lineRule="exact"/>
        <w:rPr>
          <w:sz w:val="20"/>
          <w:szCs w:val="20"/>
          <w:color w:val="auto"/>
        </w:rPr>
      </w:pPr>
    </w:p>
    <w:p>
      <w:pPr>
        <w:ind w:left="720"/>
        <w:spacing w:after="0"/>
        <w:tabs>
          <w:tab w:leader="none" w:pos="23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25" w:lineRule="exact"/>
        <w:rPr>
          <w:sz w:val="20"/>
          <w:szCs w:val="20"/>
          <w:color w:val="auto"/>
        </w:rPr>
      </w:pPr>
    </w:p>
    <w:p>
      <w:pPr>
        <w:jc w:val="center"/>
        <w:ind w:left="920" w:right="40"/>
        <w:spacing w:after="0" w:line="277" w:lineRule="auto"/>
        <w:rPr>
          <w:sz w:val="20"/>
          <w:szCs w:val="20"/>
          <w:color w:val="auto"/>
        </w:rPr>
      </w:pPr>
      <w:r>
        <w:rPr>
          <w:rFonts w:ascii="Arial" w:cs="Arial" w:eastAsia="Arial" w:hAnsi="Arial"/>
          <w:sz w:val="18"/>
          <w:szCs w:val="18"/>
          <w:color w:val="auto"/>
        </w:rPr>
        <w:t>Level 2:           Quoted prices in active markets for similar assets or liabilities; quoted prices in markets that are not active for identical or similar assets or liabilities; and model-driven valuations whose significant inputs are observable; and</w:t>
      </w:r>
    </w:p>
    <w:p>
      <w:pPr>
        <w:spacing w:after="0" w:line="170" w:lineRule="exact"/>
        <w:rPr>
          <w:sz w:val="20"/>
          <w:szCs w:val="20"/>
          <w:color w:val="auto"/>
        </w:rPr>
      </w:pPr>
    </w:p>
    <w:p>
      <w:pPr>
        <w:ind w:left="2360" w:right="40" w:hanging="1629"/>
        <w:spacing w:after="0" w:line="277" w:lineRule="auto"/>
        <w:tabs>
          <w:tab w:leader="none" w:pos="23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197" w:lineRule="exact"/>
        <w:rPr>
          <w:sz w:val="20"/>
          <w:szCs w:val="20"/>
          <w:color w:val="auto"/>
        </w:rPr>
      </w:pPr>
    </w:p>
    <w:p>
      <w:pPr>
        <w:ind w:right="40" w:firstLine="693"/>
        <w:spacing w:after="0" w:line="277" w:lineRule="auto"/>
        <w:rPr>
          <w:sz w:val="20"/>
          <w:szCs w:val="20"/>
          <w:color w:val="auto"/>
        </w:rPr>
      </w:pPr>
      <w:r>
        <w:rPr>
          <w:rFonts w:ascii="Arial" w:cs="Arial" w:eastAsia="Arial" w:hAnsi="Arial"/>
          <w:sz w:val="18"/>
          <w:szCs w:val="18"/>
          <w:color w:val="auto"/>
        </w:rPr>
        <w:t>The following table presents the fair value hierarchy for our financial assets measured at fair value on a recurring basis as of December 31, 2013 and 2012,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40" w:type="dxa"/>
            <w:vAlign w:val="bottom"/>
            <w:gridSpan w:val="8"/>
          </w:tcPr>
          <w:p>
            <w:pPr>
              <w:ind w:left="440"/>
              <w:spacing w:after="0"/>
              <w:rPr>
                <w:sz w:val="20"/>
                <w:szCs w:val="20"/>
                <w:color w:val="auto"/>
              </w:rPr>
            </w:pPr>
            <w:r>
              <w:rPr>
                <w:rFonts w:ascii="Arial" w:cs="Arial" w:eastAsia="Arial" w:hAnsi="Arial"/>
                <w:sz w:val="18"/>
                <w:szCs w:val="18"/>
                <w:b w:val="1"/>
                <w:bCs w:val="1"/>
                <w:color w:val="auto"/>
              </w:rPr>
              <w:t>Fair Value Measure at December 31, 2013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8"/>
              </w:rPr>
              <w:t>Total</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1"/>
              </w:rPr>
              <w:t>Quoted</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Prices</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Value at</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in Active</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Restricted cash- certificate of deposit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4,338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gridSpan w:val="8"/>
          </w:tcPr>
          <w:p>
            <w:pPr>
              <w:ind w:left="440"/>
              <w:spacing w:after="0"/>
              <w:rPr>
                <w:sz w:val="20"/>
                <w:szCs w:val="20"/>
                <w:color w:val="auto"/>
              </w:rPr>
            </w:pPr>
            <w:r>
              <w:rPr>
                <w:rFonts w:ascii="Arial" w:cs="Arial" w:eastAsia="Arial" w:hAnsi="Arial"/>
                <w:sz w:val="18"/>
                <w:szCs w:val="18"/>
                <w:b w:val="1"/>
                <w:bCs w:val="1"/>
                <w:color w:val="auto"/>
              </w:rPr>
              <w:t>Fair Value Measure at December 31, 2012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8"/>
              </w:rPr>
              <w:t>Total</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1"/>
              </w:rPr>
              <w:t>Quoted</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Prices</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Value at</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in Active</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Restricted cash- certificate of deposit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2,427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our level 2 asset, the fair value is based on information obtained from our third party service provider and approximates carrying value.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Assets and Liabilities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Financial assets and liabilities with carrying amounts approximating fair value include cash, trade accounts receivable, accounts payable, accrued expenses and other current liabilities. The carrying amount of these financial assets and liabilities approximates fair value because of their short maturities.</w:t>
      </w:r>
    </w:p>
    <w:p>
      <w:pPr>
        <w:spacing w:after="0" w:line="1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line of credit and notes payable, including current portion, as of December 31, 2013, had a carrying value of $17,006. This carrying value approximates fair value. The fair value is based on interest rates that are currently available to us for issuance of debt with similar terms and remaining maturities.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Acquisition</w:t>
      </w:r>
    </w:p>
    <w:p>
      <w:pPr>
        <w:spacing w:after="0" w:line="25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 July 2012, Asure acquired the capital stock of Meeting Maker – United States, Inc., doing business as (“dba”) PeopleCube, for a combination of cash and Asure common stock. The 2012 acquisition of PeopleCube gave Asure a product line that includes software to assist customers in driving integrated facility management of offices, conference rooms, video conferencing, events and training, alternative workspaces and lobby use.</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purchase price was composed of $9,800 in cash, subject to a post-closing working capital adjustment, (ii) 255,000 shares of our common stock, par value $0.01 per share, representing just under five percent of Asure’s outstanding shares and valued at $2.94 per share and (iii) an additional $3,000 note from us due on October 31, 2014, subject to offset of any amounts owed by the seller under the indemnification provisions of the stock purchase agreement. The note was adjusted to a fair value of $2,404 at the date of purchase based on our incremental borrowing rate. We recorded the note at fair value using a discount rate of 10%, which resulted in an original issue discount of $622, which will accrete up the note to its aggregate principal amount over the course of the life of the loan using the effective interest method. Details regarding the financing of the acquisition are described in the below Notes Payable table. Transactions costs for this acquisition were $905 and we expensed them as incurred.</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discussed above, in December 2012, we demanded a purchase price adjustment from PeopleCube Holding B.V. and Meeting Maker Holding B.V., the sellers of the capital stock of Meeting Maker – United States, Inc. (dba PeopleCube) that we purchased in July 2012, based on matters we discovered after closing. In the third quarter of 2013, we reached an agreement to settle our post-closing working capital adjustment dispute. The parties agreed to a post-closing working capital adjustment due to us of $496, with accrued interest of $44, totaling $540. The parties agreed to reduce the original $3,000 deferred purchase payment by the post-closing adjustment amount of $540. This also had the effect of reducing our long-term debt by a like amount and $496 was deducted from our goodwill balance. The remaining deferred purchase price balance under the Subordinated Notes Payable: Peoplecube Acquisition Note then became $2,460.</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following is the purchase price allocation for the acquisition of PeopleCube. We expect to continue to deduct goodwill arising from this acquisition for tax purposes over 15 years. We recorded the transaction using the acquisition method of accounting and recognized assets and liabilities assumed at their fair value as of the date of acquisition. The $7,445 of intangible assets subject to amortization, consist of $5,242 allocated to Customer Relationships, $1,842 in Developed Technology, $338 for Trade Names and $23 for a Covenant not-to-compete. We estimated the fair value of the Customer Relationships using the excess earnings method, a form of the income approach. We discounted cash flow projections using a rate of 16.6%, which reflects the risk associated with the intangible asset related to the other assets and the overall business operations to us. We estimated the fair value of the Developed Technology and Trade Names using the relief from royalty method based upon a 5% royalty rate. We estimated the value of the Covenant not-to-compete using a damages calculation, which is a form of the income approach.</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Consideration paid:</w:t>
            </w:r>
          </w:p>
        </w:tc>
        <w:tc>
          <w:tcPr>
            <w:tcW w:w="3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Cash per stock purchase agreement</w:t>
            </w:r>
          </w:p>
        </w:tc>
        <w:tc>
          <w:tcPr>
            <w:tcW w:w="4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Working capital adjustments</w:t>
            </w:r>
          </w:p>
        </w:tc>
        <w:tc>
          <w:tcPr>
            <w:tcW w:w="3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cash paid</w:t>
            </w:r>
          </w:p>
        </w:tc>
        <w:tc>
          <w:tcPr>
            <w:tcW w:w="3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Fair value of note payable</w:t>
            </w:r>
          </w:p>
        </w:tc>
        <w:tc>
          <w:tcPr>
            <w:tcW w:w="3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2,404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stock issued</w:t>
            </w:r>
          </w:p>
        </w:tc>
        <w:tc>
          <w:tcPr>
            <w:tcW w:w="3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14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Total consideration paid</w:t>
            </w:r>
          </w:p>
        </w:tc>
        <w:tc>
          <w:tcPr>
            <w:tcW w:w="3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12,951</w:t>
            </w:r>
          </w:p>
        </w:tc>
        <w:tc>
          <w:tcPr>
            <w:tcW w:w="1440" w:type="dxa"/>
            <w:vAlign w:val="bottom"/>
          </w:tcPr>
          <w:p>
            <w:pPr>
              <w:spacing w:after="0"/>
              <w:rPr>
                <w:sz w:val="19"/>
                <w:szCs w:val="19"/>
                <w:color w:val="auto"/>
              </w:rPr>
            </w:pPr>
          </w:p>
        </w:tc>
      </w:tr>
      <w:tr>
        <w:trPr>
          <w:trHeight w:val="581"/>
        </w:trPr>
        <w:tc>
          <w:tcPr>
            <w:tcW w:w="1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740" w:type="dxa"/>
            <w:vAlign w:val="bottom"/>
          </w:tcPr>
          <w:p>
            <w:pPr>
              <w:ind w:left="780"/>
              <w:spacing w:after="0"/>
              <w:rPr>
                <w:sz w:val="20"/>
                <w:szCs w:val="20"/>
                <w:color w:val="auto"/>
              </w:rPr>
            </w:pPr>
            <w:r>
              <w:rPr>
                <w:rFonts w:ascii="Arial" w:cs="Arial" w:eastAsia="Arial" w:hAnsi="Arial"/>
                <w:sz w:val="18"/>
                <w:szCs w:val="18"/>
                <w:color w:val="auto"/>
              </w:rPr>
              <w:t>F-13</w:t>
            </w: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We based the allocations on fair values at the date of acquisition:</w:t>
            </w: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7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PeopleCube</w:t>
            </w:r>
          </w:p>
        </w:tc>
      </w:tr>
      <w:tr>
        <w:trPr>
          <w:trHeight w:val="216"/>
        </w:trPr>
        <w:tc>
          <w:tcPr>
            <w:tcW w:w="7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Assets Acquired</w:t>
            </w:r>
          </w:p>
        </w:tc>
        <w:tc>
          <w:tcPr>
            <w:tcW w:w="7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2,608</w:t>
            </w:r>
          </w:p>
        </w:tc>
      </w:tr>
      <w:tr>
        <w:trPr>
          <w:trHeight w:val="216"/>
        </w:trPr>
        <w:tc>
          <w:tcPr>
            <w:tcW w:w="7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Fixed assets</w:t>
            </w:r>
          </w:p>
        </w:tc>
        <w:tc>
          <w:tcPr>
            <w:tcW w:w="7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r>
      <w:tr>
        <w:trPr>
          <w:trHeight w:val="216"/>
        </w:trPr>
        <w:tc>
          <w:tcPr>
            <w:tcW w:w="7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r>
      <w:tr>
        <w:trPr>
          <w:trHeight w:val="216"/>
        </w:trPr>
        <w:tc>
          <w:tcPr>
            <w:tcW w:w="7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Goodwill</w:t>
            </w:r>
          </w:p>
        </w:tc>
        <w:tc>
          <w:tcPr>
            <w:tcW w:w="7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9,276</w:t>
            </w:r>
          </w:p>
        </w:tc>
      </w:tr>
      <w:tr>
        <w:trPr>
          <w:trHeight w:val="223"/>
        </w:trPr>
        <w:tc>
          <w:tcPr>
            <w:tcW w:w="780" w:type="dxa"/>
            <w:vAlign w:val="bottom"/>
          </w:tcPr>
          <w:p>
            <w:pPr>
              <w:spacing w:after="0"/>
              <w:rPr>
                <w:sz w:val="19"/>
                <w:szCs w:val="19"/>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w:t>
            </w:r>
          </w:p>
        </w:tc>
        <w:tc>
          <w:tcPr>
            <w:tcW w:w="7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Total assets acquired</w:t>
            </w:r>
          </w:p>
        </w:tc>
        <w:tc>
          <w:tcPr>
            <w:tcW w:w="7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19,570</w:t>
            </w:r>
          </w:p>
        </w:tc>
      </w:tr>
      <w:tr>
        <w:trPr>
          <w:trHeight w:val="216"/>
        </w:trPr>
        <w:tc>
          <w:tcPr>
            <w:tcW w:w="78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Liabilities assumed</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7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w:t>
            </w:r>
          </w:p>
        </w:tc>
      </w:tr>
      <w:tr>
        <w:trPr>
          <w:trHeight w:val="216"/>
        </w:trPr>
        <w:tc>
          <w:tcPr>
            <w:tcW w:w="7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Accrued other liabilities</w:t>
            </w:r>
          </w:p>
        </w:tc>
        <w:tc>
          <w:tcPr>
            <w:tcW w:w="7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r>
      <w:tr>
        <w:trPr>
          <w:trHeight w:val="216"/>
        </w:trPr>
        <w:tc>
          <w:tcPr>
            <w:tcW w:w="7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payable</w:t>
            </w:r>
          </w:p>
        </w:tc>
        <w:tc>
          <w:tcPr>
            <w:tcW w:w="7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(1,614)</w:t>
            </w:r>
          </w:p>
        </w:tc>
      </w:tr>
      <w:tr>
        <w:trPr>
          <w:trHeight w:val="216"/>
        </w:trPr>
        <w:tc>
          <w:tcPr>
            <w:tcW w:w="7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Deferred revenue</w:t>
            </w:r>
          </w:p>
        </w:tc>
        <w:tc>
          <w:tcPr>
            <w:tcW w:w="7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(4,089)</w:t>
            </w:r>
          </w:p>
        </w:tc>
      </w:tr>
      <w:tr>
        <w:trPr>
          <w:trHeight w:val="27"/>
        </w:trPr>
        <w:tc>
          <w:tcPr>
            <w:tcW w:w="7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3"/>
        </w:trPr>
        <w:tc>
          <w:tcPr>
            <w:tcW w:w="78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assumed</w:t>
            </w:r>
          </w:p>
        </w:tc>
        <w:tc>
          <w:tcPr>
            <w:tcW w:w="7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(6,619)</w:t>
            </w:r>
          </w:p>
        </w:tc>
      </w:tr>
      <w:tr>
        <w:trPr>
          <w:trHeight w:val="216"/>
        </w:trPr>
        <w:tc>
          <w:tcPr>
            <w:tcW w:w="780" w:type="dxa"/>
            <w:vAlign w:val="bottom"/>
          </w:tcPr>
          <w:p>
            <w:pPr>
              <w:spacing w:after="0"/>
              <w:rPr>
                <w:sz w:val="18"/>
                <w:szCs w:val="18"/>
                <w:color w:val="auto"/>
              </w:rPr>
            </w:pPr>
          </w:p>
        </w:tc>
        <w:tc>
          <w:tcPr>
            <w:tcW w:w="676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57"/>
        </w:trPr>
        <w:tc>
          <w:tcPr>
            <w:tcW w:w="780" w:type="dxa"/>
            <w:vAlign w:val="bottom"/>
          </w:tcPr>
          <w:p>
            <w:pPr>
              <w:spacing w:after="0"/>
              <w:rPr>
                <w:sz w:val="22"/>
                <w:szCs w:val="22"/>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12,951</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unaudited summary of pro forma combined results of operation for 2012 gives effect to the acquisition of PeopleCube as if we had completed it on January 1, 2012. This pro forma summary does not reflect any operating efficiencies, cost savings or revenue enhancements that we may achieve by combining companies. In addition, we have not reflected certain non-recurring expenses, such as legal expenses and other transactions expenses for the first 12 months after the acquisition, in the pro forma summary. We present this pro forma summary for informational purposes only and it is not necessarily indicative of what our actual results of operations would have been had the acquisition taken place as January 1, 2012, nor is it indicative of future consolidated results of operations.</w:t>
      </w:r>
    </w:p>
    <w:p>
      <w:pPr>
        <w:spacing w:after="0" w:line="21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rPr>
              <w:t>FOR THE YEAR</w:t>
            </w:r>
          </w:p>
        </w:tc>
      </w:tr>
      <w:tr>
        <w:trPr>
          <w:trHeight w:val="216"/>
        </w:trPr>
        <w:tc>
          <w:tcPr>
            <w:tcW w:w="708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ENDED</w:t>
            </w:r>
          </w:p>
        </w:tc>
      </w:tr>
      <w:tr>
        <w:trPr>
          <w:trHeight w:val="216"/>
        </w:trPr>
        <w:tc>
          <w:tcPr>
            <w:tcW w:w="708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DECEMBER 31,</w:t>
            </w:r>
          </w:p>
        </w:tc>
      </w:tr>
      <w:tr>
        <w:trPr>
          <w:trHeight w:val="241"/>
        </w:trPr>
        <w:tc>
          <w:tcPr>
            <w:tcW w:w="7080" w:type="dxa"/>
            <w:vAlign w:val="bottom"/>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24,422</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(loss)</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(3,900)</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Basic and diluted</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(0.74)</w:t>
            </w:r>
          </w:p>
        </w:tc>
      </w:tr>
      <w:tr>
        <w:trPr>
          <w:trHeight w:val="216"/>
        </w:trPr>
        <w:tc>
          <w:tcPr>
            <w:tcW w:w="70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Acquisitions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2011, we made two acquisitions for approximately $10,400 in aggregate purchase consideration. We funded the 2011 acquisitions from available cash on hand, long-term debt and promissory notes issued to the sellers.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2011, we purchased (through a wholly-owned subsidiary) substantially all of the assets and assumed certain liabilities of ADI Time, LLC relating to its time and attendance software and management services business. The purchase price for the assets consisted of $6,000 in cash and a $1,095 promissory note from our subsidiary. This note bore interest at an annual rate of 0.16%, was due October 2014 and was guaranteed by us. In October 2013, we paid this note in full, less a 5% discount for early payment. We made a principal payment of $245,000 in July 2012 and a final payment of $811,000 in October 2013 in full payment of this note.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December 2011, we purchased (through a wholly-owned subsidiary) substantially all of the assets and assumed certain liabilities of WG Ross Corp., dba Legiant, relating to its cloud computing time and attendance software and management services. The purchase price for the assets was $4,000, consisting of approximately $1,511 in cash and three subordinated promissory notes in the aggregate principal amount of approximately $2,489, as adjusted pursuant to the terms of the asset purchase agreement. One of the promissory notes was for an aggregate principal amount of $250, bore interest at an annual rate of 0.20%, matured on February 1, 2012 and was paid in full. The second promissory note was for an aggregate principal amount of approximately $479 and bore interest at an annual rate of 5.00%. The third promissory note was for an aggregate principal amount of approximately $1,761 and bore interest at an annual rate of 0.20%. In September 2013, we entered into a Third Amendment to our Loan Agreement with Deerpath Funding, LP. Under this amendment, we borrowed an additional $2,500 in September 2013. We used a portion of the net proceeds to pay the two remaining notes totaling $1,696. These loans were due in October 2014.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Asure accounted for its historical acquisitions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We recorded the amount exceeding the fair value of net assets acquired at the date of acquisition as goodwill. We recorded intangible assets apart from goodwill if the assets had contractual or other legal rights or if the assets could be separated and sold, transferred, licensed, rented or exchanged. Asure’s goodwill relates to the acquisitions of ADI and Legiant in 2011 and the acquisition of PeopleCube in July 2012.</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accordance with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we review and evaluate our long-lived assets, including intangible assets with finite lives, for impairment whenever events or changes in circumstances indicate that we may not recover their net book value. We test goodwill for impairment on an annual basis in the fourth fiscal quarter of each year, and between annual tests, if indicators of potential impairment exist, using a fair-value-based approach. There has been no impairment of goodwill for the periods presented. We amortize intangible assets not considered to have an indefinite useful life using the straight-line method over their estimated period of benefit, which generally ranges from one to ten years. Each reporting period, we evaluate the estimated remaining useful life of intangible assets and assess whether events or changes in circumstances warrant a revision to the remaining period of amortization or indicate that impairment exists. We have not identified any impairments of finite-lived intangible assets during any of the periods presented.</w:t>
      </w:r>
    </w:p>
    <w:p>
      <w:pPr>
        <w:spacing w:after="0" w:line="1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discussed above, in the third quarter of 2013, we reached an agreement to settle our purchase price post-closing adjustment dispute. The parties agreed to a post-closing adjustment due to us of $496, with accrued interest of $44, totaling $540. The post-closing adjustment of $496 was deducted from our goodwill balance at September 30, 2013.</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The following table summarizes the annual changes in our goodwill:</w:t>
            </w: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840" w:type="dxa"/>
            <w:vAlign w:val="bottom"/>
          </w:tcPr>
          <w:p>
            <w:pPr>
              <w:ind w:left="180"/>
              <w:spacing w:after="0"/>
              <w:rPr>
                <w:sz w:val="20"/>
                <w:szCs w:val="20"/>
                <w:color w:val="auto"/>
              </w:rPr>
            </w:pPr>
            <w:r>
              <w:rPr>
                <w:rFonts w:ascii="Arial" w:cs="Arial" w:eastAsia="Arial" w:hAnsi="Arial"/>
                <w:sz w:val="18"/>
                <w:szCs w:val="18"/>
                <w:color w:val="auto"/>
              </w:rPr>
              <w:t>Goodwill recognized upon acquisition of PeopleCube</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9,695</w:t>
            </w:r>
          </w:p>
        </w:tc>
        <w:tc>
          <w:tcPr>
            <w:tcW w:w="120" w:type="dxa"/>
            <w:vAlign w:val="bottom"/>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goodwill</w:t>
            </w:r>
          </w:p>
        </w:tc>
        <w:tc>
          <w:tcPr>
            <w:tcW w:w="6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w:t>
            </w:r>
          </w:p>
        </w:tc>
      </w:tr>
      <w:tr>
        <w:trPr>
          <w:trHeight w:val="216"/>
        </w:trPr>
        <w:tc>
          <w:tcPr>
            <w:tcW w:w="780" w:type="dxa"/>
            <w:vAlign w:val="bottom"/>
          </w:tcPr>
          <w:p>
            <w:pPr>
              <w:spacing w:after="0"/>
              <w:rPr>
                <w:sz w:val="18"/>
                <w:szCs w:val="18"/>
                <w:color w:val="auto"/>
              </w:rPr>
            </w:pPr>
          </w:p>
        </w:tc>
        <w:tc>
          <w:tcPr>
            <w:tcW w:w="68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Balance at December 31, 2012</w:t>
            </w:r>
          </w:p>
        </w:tc>
        <w:tc>
          <w:tcPr>
            <w:tcW w:w="6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15,525</w:t>
            </w:r>
          </w:p>
        </w:tc>
        <w:tc>
          <w:tcPr>
            <w:tcW w:w="120" w:type="dxa"/>
            <w:vAlign w:val="bottom"/>
            <w:tcBorders>
              <w:top w:val="single" w:sz="8" w:color="CCEEFF"/>
            </w:tcBorders>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goodwill</w:t>
            </w:r>
          </w:p>
        </w:tc>
        <w:tc>
          <w:tcPr>
            <w:tcW w:w="6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r>
      <w:tr>
        <w:trPr>
          <w:trHeight w:val="216"/>
        </w:trPr>
        <w:tc>
          <w:tcPr>
            <w:tcW w:w="780" w:type="dxa"/>
            <w:vAlign w:val="bottom"/>
          </w:tcPr>
          <w:p>
            <w:pPr>
              <w:spacing w:after="0"/>
              <w:rPr>
                <w:sz w:val="18"/>
                <w:szCs w:val="18"/>
                <w:color w:val="auto"/>
              </w:rPr>
            </w:pPr>
          </w:p>
        </w:tc>
        <w:tc>
          <w:tcPr>
            <w:tcW w:w="68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Balance at December 31, 2013</w:t>
            </w:r>
          </w:p>
        </w:tc>
        <w:tc>
          <w:tcPr>
            <w:tcW w:w="6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15,005</w:t>
            </w:r>
          </w:p>
        </w:tc>
        <w:tc>
          <w:tcPr>
            <w:tcW w:w="120" w:type="dxa"/>
            <w:vAlign w:val="bottom"/>
            <w:tcBorders>
              <w:top w:val="single" w:sz="8" w:color="CCEEFF"/>
            </w:tcBorders>
          </w:tcPr>
          <w:p>
            <w:pPr>
              <w:spacing w:after="0"/>
              <w:rPr>
                <w:sz w:val="18"/>
                <w:szCs w:val="18"/>
                <w:color w:val="auto"/>
              </w:rPr>
            </w:pPr>
          </w:p>
        </w:tc>
      </w:tr>
      <w:tr>
        <w:trPr>
          <w:trHeight w:val="21"/>
        </w:trPr>
        <w:tc>
          <w:tcPr>
            <w:tcW w:w="7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gross carrying amount and accumulated amortization of our intangible assets as of December 31, 2013 and 2012 are as follows:</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8"/>
                <w:szCs w:val="18"/>
                <w:b w:val="1"/>
                <w:bCs w:val="1"/>
                <w:color w:val="auto"/>
              </w:rPr>
              <w:t>December 31, 2013</w:t>
            </w: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94"/>
              </w:rPr>
              <w:t>Amortization</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Intangible</w:t>
            </w:r>
          </w:p>
        </w:tc>
        <w:tc>
          <w:tcPr>
            <w:tcW w:w="7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Period (in</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w w:val="90"/>
              </w:rPr>
              <w:t>Accumulated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Asset</w:t>
            </w:r>
          </w:p>
        </w:tc>
        <w:tc>
          <w:tcPr>
            <w:tcW w:w="7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Years)</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Gross</w:t>
            </w:r>
          </w:p>
        </w:tc>
        <w:tc>
          <w:tcPr>
            <w:tcW w:w="1400" w:type="dxa"/>
            <w:vAlign w:val="bottom"/>
          </w:tcPr>
          <w:p>
            <w:pPr>
              <w:spacing w:after="0"/>
              <w:rPr>
                <w:sz w:val="20"/>
                <w:szCs w:val="20"/>
                <w:color w:val="auto"/>
              </w:rPr>
            </w:pPr>
          </w:p>
        </w:tc>
        <w:tc>
          <w:tcPr>
            <w:tcW w:w="1900" w:type="dxa"/>
            <w:vAlign w:val="bottom"/>
            <w:gridSpan w:val="3"/>
          </w:tcPr>
          <w:p>
            <w:pPr>
              <w:jc w:val="right"/>
              <w:ind w:right="840"/>
              <w:spacing w:after="0"/>
              <w:rPr>
                <w:sz w:val="20"/>
                <w:szCs w:val="20"/>
                <w:color w:val="auto"/>
              </w:rPr>
            </w:pPr>
            <w:r>
              <w:rPr>
                <w:rFonts w:ascii="Arial" w:cs="Arial" w:eastAsia="Arial" w:hAnsi="Arial"/>
                <w:sz w:val="18"/>
                <w:szCs w:val="18"/>
                <w:b w:val="1"/>
                <w:bCs w:val="1"/>
                <w:color w:val="auto"/>
                <w:w w:val="94"/>
              </w:rPr>
              <w:t>Amortization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Developed</w:t>
            </w: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740" w:type="dxa"/>
            <w:vAlign w:val="bottom"/>
            <w:gridSpan w:val="2"/>
            <w:shd w:val="clear" w:color="auto" w:fill="CCEEFF"/>
          </w:tcPr>
          <w:p>
            <w:pPr>
              <w:jc w:val="center"/>
              <w:ind w:left="610"/>
              <w:spacing w:after="0"/>
              <w:rPr>
                <w:sz w:val="20"/>
                <w:szCs w:val="20"/>
                <w:color w:val="auto"/>
              </w:rPr>
            </w:pPr>
            <w:r>
              <w:rPr>
                <w:rFonts w:ascii="Arial" w:cs="Arial" w:eastAsia="Arial" w:hAnsi="Arial"/>
                <w:sz w:val="18"/>
                <w:szCs w:val="18"/>
                <w:color w:val="auto"/>
                <w:w w:val="95"/>
              </w:rPr>
              <w:t>8.3</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17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(1,424)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 w:type="dxa"/>
            <w:vAlign w:val="bottom"/>
          </w:tcPr>
          <w:p>
            <w:pPr>
              <w:spacing w:after="0" w:line="201" w:lineRule="exact"/>
              <w:rPr>
                <w:sz w:val="20"/>
                <w:szCs w:val="20"/>
                <w:color w:val="auto"/>
              </w:rPr>
            </w:pPr>
            <w:r>
              <w:rPr>
                <w:rFonts w:ascii="Arial" w:cs="Arial" w:eastAsia="Arial" w:hAnsi="Arial"/>
                <w:sz w:val="18"/>
                <w:szCs w:val="18"/>
                <w:color w:val="auto"/>
              </w:rPr>
              <w:t>Customer</w:t>
            </w: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w w:val="90"/>
              </w:rPr>
              <w:t>Relationships</w:t>
            </w:r>
          </w:p>
        </w:tc>
        <w:tc>
          <w:tcPr>
            <w:tcW w:w="1740" w:type="dxa"/>
            <w:vAlign w:val="bottom"/>
            <w:gridSpan w:val="2"/>
          </w:tcPr>
          <w:p>
            <w:pPr>
              <w:jc w:val="center"/>
              <w:ind w:left="610"/>
              <w:spacing w:after="0"/>
              <w:rPr>
                <w:sz w:val="20"/>
                <w:szCs w:val="20"/>
                <w:color w:val="auto"/>
              </w:rPr>
            </w:pPr>
            <w:r>
              <w:rPr>
                <w:rFonts w:ascii="Arial" w:cs="Arial" w:eastAsia="Arial" w:hAnsi="Arial"/>
                <w:sz w:val="18"/>
                <w:szCs w:val="18"/>
                <w:color w:val="auto"/>
                <w:w w:val="79"/>
              </w:rPr>
              <w:t>7</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12,481</w:t>
            </w: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(5,370)</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7,111</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Reseller</w:t>
            </w: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88"/>
              </w:rPr>
              <w:t>Relationships</w:t>
            </w:r>
          </w:p>
        </w:tc>
        <w:tc>
          <w:tcPr>
            <w:tcW w:w="1740" w:type="dxa"/>
            <w:vAlign w:val="bottom"/>
            <w:gridSpan w:val="2"/>
            <w:shd w:val="clear" w:color="auto" w:fill="CCEEFF"/>
          </w:tcPr>
          <w:p>
            <w:pPr>
              <w:jc w:val="center"/>
              <w:ind w:left="610"/>
              <w:spacing w:after="0"/>
              <w:rPr>
                <w:sz w:val="20"/>
                <w:szCs w:val="20"/>
                <w:color w:val="auto"/>
              </w:rPr>
            </w:pPr>
            <w:r>
              <w:rPr>
                <w:rFonts w:ascii="Arial" w:cs="Arial" w:eastAsia="Arial" w:hAnsi="Arial"/>
                <w:sz w:val="18"/>
                <w:szCs w:val="18"/>
                <w:color w:val="auto"/>
                <w:w w:val="79"/>
              </w:rPr>
              <w:t>7</w:t>
            </w: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(274)</w:t>
            </w: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88"/>
              </w:rPr>
              <w:t>Trade Names</w:t>
            </w:r>
          </w:p>
        </w:tc>
        <w:tc>
          <w:tcPr>
            <w:tcW w:w="1740" w:type="dxa"/>
            <w:vAlign w:val="bottom"/>
            <w:gridSpan w:val="2"/>
          </w:tcPr>
          <w:p>
            <w:pPr>
              <w:jc w:val="center"/>
              <w:ind w:left="590"/>
              <w:spacing w:after="0"/>
              <w:rPr>
                <w:sz w:val="20"/>
                <w:szCs w:val="20"/>
                <w:color w:val="auto"/>
              </w:rPr>
            </w:pPr>
            <w:r>
              <w:rPr>
                <w:rFonts w:ascii="Arial" w:cs="Arial" w:eastAsia="Arial" w:hAnsi="Arial"/>
                <w:sz w:val="18"/>
                <w:szCs w:val="18"/>
                <w:color w:val="auto"/>
                <w:w w:val="99"/>
              </w:rPr>
              <w:t>-</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659</w:t>
            </w: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(659)</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Covenant</w:t>
            </w: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not-to-</w:t>
            </w: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compete</w:t>
            </w:r>
          </w:p>
        </w:tc>
        <w:tc>
          <w:tcPr>
            <w:tcW w:w="7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(199)</w:t>
            </w: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7.2</w:t>
            </w:r>
          </w:p>
        </w:tc>
        <w:tc>
          <w:tcPr>
            <w:tcW w:w="14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17,605</w:t>
            </w:r>
          </w:p>
        </w:tc>
        <w:tc>
          <w:tcPr>
            <w:tcW w:w="17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(7,926)</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9,679</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4"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w w:val="91"/>
              </w:rPr>
              <w:t>December 31, 2012</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9"/>
              </w:rPr>
              <w:t>Weighted Average</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Remaining</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Amortization</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1"/>
              </w:rPr>
              <w:t>Accumulated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200" w:type="dxa"/>
            <w:vAlign w:val="bottom"/>
          </w:tcPr>
          <w:p>
            <w:pPr>
              <w:spacing w:after="0"/>
              <w:rPr>
                <w:sz w:val="20"/>
                <w:szCs w:val="20"/>
                <w:color w:val="auto"/>
              </w:rPr>
            </w:pPr>
            <w:r>
              <w:rPr>
                <w:rFonts w:ascii="Arial" w:cs="Arial" w:eastAsia="Arial" w:hAnsi="Arial"/>
                <w:sz w:val="18"/>
                <w:szCs w:val="18"/>
                <w:b w:val="1"/>
                <w:bCs w:val="1"/>
                <w:color w:val="auto"/>
              </w:rPr>
              <w:t>Intangible Asset</w:t>
            </w:r>
          </w:p>
        </w:tc>
        <w:tc>
          <w:tcPr>
            <w:tcW w:w="10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Period (in Years)</w:t>
            </w:r>
          </w:p>
        </w:tc>
        <w:tc>
          <w:tcPr>
            <w:tcW w:w="26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Amortization</w:t>
            </w:r>
          </w:p>
        </w:tc>
        <w:tc>
          <w:tcPr>
            <w:tcW w:w="300" w:type="dxa"/>
            <w:vAlign w:val="bottom"/>
          </w:tcPr>
          <w:p>
            <w:pPr>
              <w:spacing w:after="0"/>
              <w:rPr>
                <w:sz w:val="20"/>
                <w:szCs w:val="20"/>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Net</w:t>
            </w:r>
          </w:p>
        </w:tc>
      </w:tr>
      <w:tr>
        <w:trPr>
          <w:trHeight w:val="216"/>
        </w:trPr>
        <w:tc>
          <w:tcPr>
            <w:tcW w:w="2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2,317</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(3,515)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8,963</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w:t>
            </w:r>
          </w:p>
        </w:tc>
        <w:tc>
          <w:tcPr>
            <w:tcW w:w="1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Trade Names</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(494)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7"/>
        </w:trPr>
        <w:tc>
          <w:tcPr>
            <w:tcW w:w="2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7.2</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17,627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(5,448)</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12,179</w:t>
            </w:r>
          </w:p>
        </w:tc>
      </w:tr>
      <w:tr>
        <w:trPr>
          <w:trHeight w:val="21"/>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record amortization expense using the straight-line method over the estimated economic useful lives of the intangible assets, as noted above. Amortization expenses were $2,180 and $1,726 for 2013 and 2012 respectively, included in Operating Expenses. Amortization expenses recorded in Cost of Sales were $317 and $316 for 2013 and 2012, of which $0 and $102, respectively, related to the acquisitions in those periods.</w:t>
      </w:r>
    </w:p>
    <w:p>
      <w:pPr>
        <w:spacing w:after="0" w:line="19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August 2013, we entered into a purchase agreement to sell certain customer relationships, developed technology and trade names related to certain intangible assets acquired in the purchase of PeopleCube. The selling price for these assets was $140 with a gain recognized of $72.</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future estimated amortization expense relating to our intangible assets as of December 31, 2013:</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Calendar Years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2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2,128</w:t>
            </w:r>
          </w:p>
        </w:tc>
        <w:tc>
          <w:tcPr>
            <w:tcW w:w="1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1,586</w:t>
            </w:r>
          </w:p>
        </w:tc>
        <w:tc>
          <w:tcPr>
            <w:tcW w:w="120" w:type="dxa"/>
            <w:vAlign w:val="bottom"/>
          </w:tcPr>
          <w:p>
            <w:pPr>
              <w:spacing w:after="0"/>
              <w:rPr>
                <w:sz w:val="18"/>
                <w:szCs w:val="18"/>
                <w:color w:val="auto"/>
              </w:rPr>
            </w:pPr>
          </w:p>
        </w:tc>
      </w:tr>
      <w:tr>
        <w:trPr>
          <w:trHeight w:val="223"/>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6960" w:type="dxa"/>
            <w:vAlign w:val="bottom"/>
          </w:tcPr>
          <w:p>
            <w:pPr>
              <w:spacing w:after="0"/>
              <w:rPr>
                <w:sz w:val="18"/>
                <w:szCs w:val="18"/>
                <w:color w:val="auto"/>
              </w:rPr>
            </w:pPr>
          </w:p>
        </w:tc>
        <w:tc>
          <w:tcPr>
            <w:tcW w:w="6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9,679</w:t>
            </w:r>
          </w:p>
        </w:tc>
        <w:tc>
          <w:tcPr>
            <w:tcW w:w="120" w:type="dxa"/>
            <w:vAlign w:val="bottom"/>
          </w:tcPr>
          <w:p>
            <w:pPr>
              <w:spacing w:after="0"/>
              <w:rPr>
                <w:sz w:val="18"/>
                <w:szCs w:val="18"/>
                <w:color w:val="auto"/>
              </w:rPr>
            </w:pPr>
          </w:p>
        </w:tc>
      </w:tr>
      <w:tr>
        <w:trPr>
          <w:trHeight w:val="21"/>
        </w:trPr>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NOTE 6 – NOTES PAYABLE</w:t>
            </w: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640" w:type="dxa"/>
            <w:vAlign w:val="bottom"/>
            <w:gridSpan w:val="3"/>
          </w:tcPr>
          <w:p>
            <w:pPr>
              <w:ind w:left="640"/>
              <w:spacing w:after="0"/>
              <w:rPr>
                <w:sz w:val="20"/>
                <w:szCs w:val="20"/>
                <w:color w:val="auto"/>
              </w:rPr>
            </w:pPr>
            <w:r>
              <w:rPr>
                <w:rFonts w:ascii="Arial" w:cs="Arial" w:eastAsia="Arial" w:hAnsi="Arial"/>
                <w:sz w:val="18"/>
                <w:szCs w:val="18"/>
                <w:color w:val="auto"/>
                <w:w w:val="95"/>
              </w:rPr>
              <w:t>The following table summarizes our outstanding debt as of the dates indicated:</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Balance as of</w:t>
            </w:r>
          </w:p>
        </w:tc>
        <w:tc>
          <w:tcPr>
            <w:tcW w:w="160" w:type="dxa"/>
            <w:vAlign w:val="bottom"/>
          </w:tcPr>
          <w:p>
            <w:pPr>
              <w:spacing w:after="0"/>
              <w:rPr>
                <w:sz w:val="24"/>
                <w:szCs w:val="2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Balance as of</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Stated Interest</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December</w:t>
            </w:r>
          </w:p>
        </w:tc>
        <w:tc>
          <w:tcPr>
            <w:tcW w:w="16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December</w:t>
            </w:r>
          </w:p>
        </w:tc>
      </w:tr>
      <w:tr>
        <w:trPr>
          <w:trHeight w:val="241"/>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Notes Payable</w:t>
            </w:r>
          </w:p>
        </w:tc>
        <w:tc>
          <w:tcPr>
            <w:tcW w:w="120" w:type="dxa"/>
            <w:vAlign w:val="bottom"/>
          </w:tcPr>
          <w:p>
            <w:pPr>
              <w:spacing w:after="0"/>
              <w:rPr>
                <w:sz w:val="20"/>
                <w:szCs w:val="20"/>
                <w:color w:val="auto"/>
              </w:rPr>
            </w:pPr>
          </w:p>
        </w:tc>
        <w:tc>
          <w:tcPr>
            <w:tcW w:w="2080" w:type="dxa"/>
            <w:vAlign w:val="bottom"/>
          </w:tcPr>
          <w:p>
            <w:pPr>
              <w:ind w:left="680"/>
              <w:spacing w:after="0"/>
              <w:rPr>
                <w:sz w:val="20"/>
                <w:szCs w:val="20"/>
                <w:color w:val="auto"/>
              </w:rPr>
            </w:pPr>
            <w:r>
              <w:rPr>
                <w:rFonts w:ascii="Arial" w:cs="Arial" w:eastAsia="Arial" w:hAnsi="Arial"/>
                <w:sz w:val="18"/>
                <w:szCs w:val="18"/>
                <w:b w:val="1"/>
                <w:bCs w:val="1"/>
                <w:color w:val="auto"/>
              </w:rPr>
              <w:t>Maturity</w:t>
            </w:r>
          </w:p>
        </w:tc>
        <w:tc>
          <w:tcPr>
            <w:tcW w:w="120" w:type="dxa"/>
            <w:vAlign w:val="bottom"/>
          </w:tcPr>
          <w:p>
            <w:pPr>
              <w:spacing w:after="0"/>
              <w:rPr>
                <w:sz w:val="20"/>
                <w:szCs w:val="20"/>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Rate</w:t>
            </w:r>
          </w:p>
        </w:tc>
        <w:tc>
          <w:tcPr>
            <w:tcW w:w="12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31, 2013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31,2012</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4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Subordinated notes payable:</w:t>
            </w:r>
          </w:p>
        </w:tc>
        <w:tc>
          <w:tcPr>
            <w:tcW w:w="120" w:type="dxa"/>
            <w:vAlign w:val="bottom"/>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ADI - Acquisition Note</w:t>
            </w:r>
          </w:p>
        </w:tc>
        <w:tc>
          <w:tcPr>
            <w:tcW w:w="2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10/1/2014</w:t>
            </w: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r>
      <w:tr>
        <w:trPr>
          <w:trHeight w:val="202"/>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rPr>
              <w:t>Subordinated notes payable:</w:t>
            </w:r>
          </w:p>
        </w:tc>
        <w:tc>
          <w:tcPr>
            <w:tcW w:w="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Legiant Acquisition - Note # 2</w:t>
            </w:r>
          </w:p>
        </w:tc>
        <w:tc>
          <w:tcPr>
            <w:tcW w:w="22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10/1/2014</w:t>
            </w: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Subordinated notes payable:</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Legiant – Acquisition – Note #3</w:t>
            </w:r>
          </w:p>
        </w:tc>
        <w:tc>
          <w:tcPr>
            <w:tcW w:w="2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10/1/2014</w:t>
            </w: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Subordinated Convertible Notes Payable – 9% Notes</w:t>
            </w:r>
          </w:p>
        </w:tc>
        <w:tc>
          <w:tcPr>
            <w:tcW w:w="22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9/30/2014</w:t>
            </w: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Payable – 15% Notes</w:t>
            </w:r>
          </w:p>
        </w:tc>
        <w:tc>
          <w:tcPr>
            <w:tcW w:w="22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9/30/2014</w:t>
            </w: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Subordinated Notes Payable: PeopleCube Acquisition Note</w:t>
            </w:r>
          </w:p>
        </w:tc>
        <w:tc>
          <w:tcPr>
            <w:tcW w:w="22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10/31/2014</w:t>
            </w: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2,220</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2,499</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Senior Note Payable</w:t>
            </w:r>
          </w:p>
        </w:tc>
        <w:tc>
          <w:tcPr>
            <w:tcW w:w="22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7/01/2016</w:t>
            </w: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14,548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14,138</w:t>
            </w:r>
          </w:p>
        </w:tc>
      </w:tr>
      <w:tr>
        <w:trPr>
          <w:trHeight w:val="27"/>
        </w:trPr>
        <w:tc>
          <w:tcPr>
            <w:tcW w:w="20" w:type="dxa"/>
            <w:vAlign w:val="bottom"/>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b w:val="1"/>
                <w:bCs w:val="1"/>
                <w:color w:val="auto"/>
              </w:rPr>
              <w:t>Total Notes Payable</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17,006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20,137</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Short-term notes payable</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w:t>
            </w:r>
          </w:p>
        </w:tc>
      </w:tr>
      <w:tr>
        <w:trPr>
          <w:trHeight w:val="230"/>
        </w:trPr>
        <w:tc>
          <w:tcPr>
            <w:tcW w:w="20" w:type="dxa"/>
            <w:vAlign w:val="bottom"/>
          </w:tcPr>
          <w:p>
            <w:pPr>
              <w:spacing w:after="0"/>
              <w:rPr>
                <w:sz w:val="20"/>
                <w:szCs w:val="20"/>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Long-term notes payable</w:t>
            </w: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12,698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16,687</w:t>
            </w:r>
          </w:p>
        </w:tc>
      </w:tr>
      <w:tr>
        <w:trPr>
          <w:trHeight w:val="59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ind w:left="960"/>
              <w:spacing w:after="0"/>
              <w:rPr>
                <w:sz w:val="20"/>
                <w:szCs w:val="20"/>
                <w:color w:val="auto"/>
              </w:rPr>
            </w:pPr>
            <w:r>
              <w:rPr>
                <w:rFonts w:ascii="Arial" w:cs="Arial" w:eastAsia="Arial" w:hAnsi="Arial"/>
                <w:sz w:val="18"/>
                <w:szCs w:val="18"/>
                <w:color w:val="auto"/>
              </w:rPr>
              <w:t>F-16</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future principal payments related to our outstanding debt, including the impact of the amendment to the Senior Note Payable discussed below:</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w:t>
            </w:r>
          </w:p>
        </w:tc>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Gross Amount</w:t>
            </w:r>
          </w:p>
        </w:tc>
        <w:tc>
          <w:tcPr>
            <w:tcW w:w="700" w:type="dxa"/>
            <w:vAlign w:val="bottom"/>
          </w:tcPr>
          <w:p>
            <w:pPr>
              <w:spacing w:after="0"/>
              <w:rPr>
                <w:sz w:val="20"/>
                <w:szCs w:val="20"/>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7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December 31, 2015</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1,850</w:t>
            </w:r>
          </w:p>
        </w:tc>
        <w:tc>
          <w:tcPr>
            <w:tcW w:w="700" w:type="dxa"/>
            <w:vAlign w:val="bottom"/>
          </w:tcPr>
          <w:p>
            <w:pPr>
              <w:spacing w:after="0"/>
              <w:rPr>
                <w:sz w:val="18"/>
                <w:szCs w:val="18"/>
                <w:color w:val="auto"/>
              </w:rPr>
            </w:pPr>
          </w:p>
        </w:tc>
      </w:tr>
      <w:tr>
        <w:trPr>
          <w:trHeight w:val="22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7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10,848</w:t>
            </w:r>
          </w:p>
        </w:tc>
        <w:tc>
          <w:tcPr>
            <w:tcW w:w="700" w:type="dxa"/>
            <w:vAlign w:val="bottom"/>
            <w:tcBorders>
              <w:bottom w:val="single" w:sz="8" w:color="CCEEFF"/>
            </w:tcBorders>
            <w:shd w:val="clear" w:color="auto" w:fill="CCEEFF"/>
          </w:tcPr>
          <w:p>
            <w:pPr>
              <w:spacing w:after="0"/>
              <w:rPr>
                <w:sz w:val="19"/>
                <w:szCs w:val="19"/>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Gross Notes Payable</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17,353</w:t>
            </w:r>
          </w:p>
        </w:tc>
        <w:tc>
          <w:tcPr>
            <w:tcW w:w="700" w:type="dxa"/>
            <w:vAlign w:val="bottom"/>
          </w:tcPr>
          <w:p>
            <w:pPr>
              <w:spacing w:after="0"/>
              <w:rPr>
                <w:sz w:val="18"/>
                <w:szCs w:val="18"/>
                <w:color w:val="auto"/>
              </w:rPr>
            </w:pPr>
          </w:p>
        </w:tc>
      </w:tr>
      <w:tr>
        <w:trPr>
          <w:trHeight w:val="21"/>
        </w:trPr>
        <w:tc>
          <w:tcPr>
            <w:tcW w:w="5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Unamortized Original Issue Discount</w:t>
            </w:r>
          </w:p>
        </w:tc>
        <w:tc>
          <w:tcPr>
            <w:tcW w:w="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c>
          <w:tcPr>
            <w:tcW w:w="700" w:type="dxa"/>
            <w:vAlign w:val="bottom"/>
            <w:tcBorders>
              <w:bottom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Total Notes Payable</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17,006</w:t>
            </w:r>
          </w:p>
        </w:tc>
        <w:tc>
          <w:tcPr>
            <w:tcW w:w="700" w:type="dxa"/>
            <w:vAlign w:val="bottom"/>
          </w:tcPr>
          <w:p>
            <w:pPr>
              <w:spacing w:after="0"/>
              <w:rPr>
                <w:sz w:val="18"/>
                <w:szCs w:val="18"/>
                <w:color w:val="auto"/>
              </w:rPr>
            </w:pPr>
          </w:p>
        </w:tc>
      </w:tr>
      <w:tr>
        <w:trPr>
          <w:trHeight w:val="21"/>
        </w:trPr>
        <w:tc>
          <w:tcPr>
            <w:tcW w:w="5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ADI - Acquisition Note</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conjunction with the acquisition of the assets of ADI in October 2011, our wholly-owned subsidiary issued a $1,095 note payable to the seller. This note bore interest at an annual rate of 0.16%, had a maturity date of October 1, 2014 and was guaranteed by us. We recorded the note at fair value using a discount rate of 9%, which resulted in an original issue discount of $244, which will accrete up the note to its aggregate principal amount over the course of the life of the loan using the effective interest method. We recognized amortization of the original issue discount of $68 and $68 during 2013 and 2012, respectively. We made a principal payment of $245,000 in July 2012 and the balance of $811,000 in October 2013. This note was paid in full in October 2013, less a 5% discount for early payment.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Legiant Acquisition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conjunction with the acquisition of Legiant in December 2011, our wholly-owned subsidiary issued three separate promissory notes to the seller.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guaranteed all three promissory notes, which are subordinated to our Senior Note Payable discussed below. The details of each of the notes are as follows: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Legiant Acquisition - Note #1</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Legiant Acquisition - Note #1 was for an aggregate principal amount of $250, bore interest at an annual rate of 0.20% and matured in February 2012. We paid this note in full in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Legiant Acquisition - Note #2</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Legiant Acquisition - Note #2 was for the principal amount of $478, bore interest at an annual rate of 5.00% and required monthly payments of $10 until June 2012. Asure made a principal payment of $235 in July 2012. No further cash interest or principal was payable until the maturity date of October 1, 2014. We paid the balance in full in September 2013, less a 15% discount for early payment, in connection with the additional borrowing under our Senior Note Payable, as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Legiant Acquisition - Note #3</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Legiant Acquisition - Note #3 was for an aggregate principal amount of $1,761, bore interest at an annual rate of 0.20%, and was due in a single lump sum on October 1, 2014. We recorded the note at fair value using a discount rate of 9%, resulting in an original issue discount of $382, which will accrete up the note to its aggregate principal amount over the course of the life of the loan using the effective interest method. We paid the balance in full in September 2013, less a 15% discount for early payment, in connection with the additional borrowing under our Senior Note Payable, as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Convertible Notes Payable - 9% Notes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September 2011, we sold $1,500 of our 9% subordinated convertible notes (“9% Notes”) in a private placement to accredited investors to finance the ADI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9% Notes - As Originally Issued</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9% Notes pay interest on each of March 31, June 30, September 30 and December 31, beginning on December 31, 2011, at a rate of 9% per year. The 9% Notes will mature on September 30, 2014. The 9% Notes are secured by all of our assets, but are subordinated to our obligations under the Senior Note Payable and the 15% Notes discussed below.</w:t>
      </w:r>
    </w:p>
    <w:p>
      <w:pPr>
        <w:sectPr>
          <w:pgSz w:w="11900" w:h="16838" w:orient="portrait"/>
          <w:cols w:equalWidth="0" w:num="1">
            <w:col w:w="11420"/>
          </w:cols>
          <w:pgMar w:left="240" w:top="122"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Beginning 12 months from the date of issuance, each note holder may convert the 9% Notes into shares of our common stock at a conversion price of $5.00 per share, subject to adjustments for stock dividends and splits and certain other events. Additionally, if we subsequently issue common stock at a price below the then current conversion price, the conversion price will be reset to the greater of $3.27 per share (the closing price of our common stock on September 30, 2011) or such lower price. In the event that a holder of a 9% Note elects to convert the 9% Note into equity, and we determine that such conversion would jeopardize our federal tax loss carryforward benefits, we may elect to prepay any or all of such 9% Notes prior to conversion, subject to certain limitations, at a purchase price equal to the product of the number of shares into which the 9% Note is convertible and the volume weighted average closing price during the 20 day trading period beginning on the 10th day before the conversion notice is received by us, multiplied by the Premium Rate. The Premium Rate is 1.1 if a holder notifies us of an intention to convert the 9% Note into equity prior to the date that is 90 days before the maturity date and 1.5 if such notification is made within 90 days of the maturity date. The 9% Notes also contain customary terms of default.</w:t>
      </w:r>
    </w:p>
    <w:p>
      <w:pPr>
        <w:spacing w:after="0" w:line="1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agreed that if we issue common stock below $3.25 per share, each holder of the 9% Notes outstanding at that time will have the right to purchase such holder’s pro rata portion of the new stock issuance.</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9% Notes contained embedded derivative instruments related to the conversion feature that Asure accounted for separately. Asure has re-measured the fair values of these instruments for each reporting period and recorded a gain or loss for the change in fair value. At inception, we valued the conversion feature at $274, resulting in an original issue discount on the convertible debt accreting up the 9% Notes to their aggregate principal amount over the course of the life of the loan using the effective interest method. We recognized amortization of the original issue discount of $21 during 2011. We used a Monte Carlo simulation in a risk-neutral framework to simulate our market capitalization outcomes, including considerations of our projected share price volatility, to estimate the fair value of the embedded derivative. The fair value of the conversion feature was $835 at December 31, 2011, with $561 being recorded in the income statement for the mark-to-market impact. This amount of $561 was recorded in interest expense – amortization of OID and derivative mark-to-market in our Consolidated Statements of Comprehensive Income (Loss).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9% Notes - Amendments</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March 2012, we amended the terms of the 9% Notes to eliminate the embedded derivative features resulting in a settlement or extinguishment of the derivative liability. Under the terms of the amendment, each holder of 9% Notes was permitted to convert the outstanding principal balance due there under into shares of our common stock at the conversion price originally set forth in the 9% Notes ($5.00 per share of common stock) on or before March 15, 2012. As consideration for agreeing to the terms of the amendment, we made a one-time cash payment in such amount as follows: (i) $211 for holders of 9% Notes who elected to convert their 9% Notes into common stock prior to March 16, 2012, an amount equal to 80% of the interest that such holder would have received by holding the 9% Note to maturity and (ii) $11 for holders of 9% Notes who did not elect to convert their 9% Notes into common stock prior to March 16, 2012, an amount equal to 3% of the outstanding principal amount of each 9% Note. In each case, the holders of the 9% Notes agreed to the removal of the dilution protection provision to reset the conversion price below $5.00 per share upon certain issuances of our common stock below $5.00 per share. Holders of approximately $1,150 of the total $1,500 of principal amount of 9% Notes converted their 9% Notes to common stock.</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amendment to the 9% Notes eliminated the derivative liability. Effective on March 10, 2012, we no longer accounted for the derivatives on a separate basis. Therefore, we no longer re-measure the value of the derivatives after the amendment date. The fair value of the conversion feature was $1,300 at March 10, 2012, with $465 recorded in the income statement for the mark-to-market impact. We recorded this amount in interest expense – amortization of OID and derivative mark-to-market in the Consolidated Statements of Comprehensive Income (Loss). The conversion of the 9% Notes and elimination of the derivative liability resulted in a loss on debt conversion of $198, a reduction in the carrying value of the 9% Notes to $296 at March 31, 2012 and an increase in additional paid in capital of $2,244 for the issuance of 345,000 shares of common stock issued upon conversion. We recognized amortization of the original issue discount of $21 and $34 during 2013 and 2012, respectively.</w:t>
      </w:r>
    </w:p>
    <w:p>
      <w:pPr>
        <w:spacing w:after="0" w:line="20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Mr. Goepel, our Chief Executive Officer, purchased $200 of the 9% Notes. Red Oak Fund, LP purchased $600 of the 9% Notes. Mr. Sandberg, our Chairman, is the controlling member of Red Oak Partners, LLC, which manages the Red Oak Fund. Both parties subsequently converted the 9% Notes under the terms of the amendment in 2012. At December 31, 2013, we had $238 outstanding under the 9% Notes with a September 30, 2014 maturity.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- 15% Notes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September 2011, we sold $1,700 of our 15% subordinated notes (“15% Notes”) in a private placement to accredited investors. The 15% Notes paid interest on each of March 31, June 30, September 30 and December 31, beginning on December 31, 2011, at a rate of 15% per year. The 15% Notes had a maturity date of September 30, 2014. In July 2012, Asure prepaid $900 from proceeds of the Senior Note Payable. Mr. Goepel, our Chief Executive Officer, originally purchased $500 of the 15% Notes. Pinnacle Fund, LLLP originally purchased $300 of the 15% Notes. Mr. Sandberg, our Chairman, is the controlling member of Red Oak Partners, LLC, which owns 50% of Pinnacle Partners, LLC, the general partner of the Pinnacle Fund, LLLP. Red Oak Partners, LLC is also the manager of the Pinnacle Fund, LLLP. We expensed $115 of fees for this transaction during 2012. The 15% Notes were secured by all of our assets, but were subordinated to our obligations to the Senior Note Payable discussed below. The 15% Notes also contained customary terms of default. We paid these notes in full in 2013.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PeopleCube Acquisition Note</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July 2012, we issued a $3,000 Note to the seller in the PeopleCube stock acquisition. The note is due October 31, 2014, subject to offset of any amounts owed by the seller to us under the indemnification provisions of the stock purchase agreement. We recorded the note at fair value using a discount rate of 10%, which resulted in an original issue discount of $622, which will accrete up the note to its aggregate principal amount over the course of the life of the loan using the effective interest method. We recognized amortization of the original issue discount of $121 during 2012.</w:t>
      </w:r>
    </w:p>
    <w:p>
      <w:pPr>
        <w:spacing w:after="0" w:line="19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third quarter of 2013, we reached an agreement to settle our post-closing working capital adjustment dispute with PeopleCube Holding B.V. and Meeting Maker Holding B.V., the sellers of the capital stock of Meeting Maker – United States, Inc. (dba PeopleCube). The parties agreed to a post-closing adjustment due to us of $496, with accrued interest of $44, totaling $540. The parties agreed to reduce the original $3,000 deferred purchase payment by the post-closing adjustment amount of $540. This also had the effect of reducing our note by a like amount. The remaining deferred purchase price balance under the Subordinated Notes Payable: PeopleCube Acquisition Note became $2,460.</w:t>
      </w:r>
    </w:p>
    <w:p>
      <w:pPr>
        <w:spacing w:after="0" w:line="173" w:lineRule="exact"/>
        <w:rPr>
          <w:sz w:val="20"/>
          <w:szCs w:val="20"/>
          <w:color w:val="auto"/>
        </w:rPr>
      </w:pPr>
    </w:p>
    <w:p>
      <w:pPr>
        <w:jc w:val="both"/>
        <w:ind w:firstLine="707"/>
        <w:spacing w:after="0" w:line="259" w:lineRule="auto"/>
        <w:rPr>
          <w:sz w:val="20"/>
          <w:szCs w:val="20"/>
          <w:color w:val="auto"/>
        </w:rPr>
      </w:pPr>
      <w:r>
        <w:rPr>
          <w:rFonts w:ascii="Arial" w:cs="Arial" w:eastAsia="Arial" w:hAnsi="Arial"/>
          <w:sz w:val="18"/>
          <w:szCs w:val="18"/>
          <w:color w:val="auto"/>
        </w:rPr>
        <w:t>In February, 2014, we reached an agreement to settle all claims and dismiss all pending litigation with PeopleCube Holding B.V. and Meeting Maker Holding B.V., the sellers of the capital stock of Meeting Maker – United States, Inc. (dba PeopleCube). Under the settlement agreement, the parties agreed to dismiss the litigation and we settled the remaining balance due by us of $2,500 on the Subordinated Notes Payable: PeopleCube Acquisition Note for $1,700. See Note 14- Subsequent Events.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 Payable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July 2012, we and our wholly-owned subsidiaries entered into a loan agreement with Deerpath Funding, LP, a Delaware limited partnership, as lender, administrative agent and collateral agent (“Deerpath”). Under the loan agreement, we borrowed $14,500 to (i) finance the cash purchase consideration for the acquisition of PeopleCube, (ii) pay outstanding indebtedness under the 15% Notes (including partial interest and subordination consent payments of $134 to Mr. Goepel, our Chief Executive Officer, and $81 to Pinnacle Fund, which is controlled by David Sandberg, our Chairman) and our bank line of credit, and (iii) pay transaction costs and expenses of the term loan and the acquisition of PeopleCube.</w:t>
      </w:r>
    </w:p>
    <w:p>
      <w:pPr>
        <w:spacing w:after="0" w:line="20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loan agreement also provided for a conditional commitment of additional single advance senior secured term loans from time to time in an aggregate amount not to exceed $10,000 to be used for refinancing certain other indebtedness, funding permitted acquisitions or other growth initiatives, and paying fees and expenses of the term loans and permitted acquisitions. We did not borrow any amounts under the conditional term loan commitment in 2012.</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first amendment in March 2013 required an additional $2,000 principal payment by October 31, 2013 which we paid in May 2013. In addition, in connection with the first amendment, we paid a $240 loan amendment fee, of which $52 was recorded to interest expense and $188 was recorded as a prepaid expense that we amortizing to interest expense over the term of the note payable.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September 2013, we entered into a third amendment to our loan agreement. Under this amendment and as part of the conditional term loan commitment, we borrowed an additional $2,500 in September 2013 and borrowed an additional $1,500 in December 2013. The third amendment increased the amount outstanding to $13,411.</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the third amendment in September 2013, we recorded $110 of loan amendment fees as a prepaid expense and are amortizing this amount to interest expense over the term of the note payable.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senior note payable bears interest at a floating annual rate equal to LIBOR plus 8.0%, subject to a LIBOR floor of 9.5%, or a minimum of 11.5%. It requires monthly payments of interest only and quarterly principal payments of $362 from October 1, 2012. With the additional borrowing in September 2013 and beginning January 1, 2014, the quarterly principal payments became $425 with any remaining principal due on July 1, 2016.</w:t>
      </w:r>
    </w:p>
    <w:p>
      <w:pPr>
        <w:sectPr>
          <w:pgSz w:w="11900" w:h="16838" w:orient="portrait"/>
          <w:cols w:equalWidth="0" w:num="1">
            <w:col w:w="11420"/>
          </w:cols>
          <w:pgMar w:left="240" w:top="122"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prepay all or a portion of the principal amount outstanding at any time, subject to a premium ranging from 1% to 5% of the principal amount being prepaid depending on if the prepayment occurs on or before the first, second or third anniversary of the third amendment date. The term loan requires annual mandatory prepayments beginning December 31, 2012 of outstanding principal with 75% of excess cash flow as defined in the loan agreement (such percentage to be reduced to 50% if we achieve a specified senior debt-to-EBITDA ratio) and, at Deerpath’s election, with proceeds from certain events, including 100% of the net proceeds of any asset sales and issuance of equity securities. The senior note payable is secured by a first priority lien on all of our and our subsidiaries’ assets and pledges of 100% of the equity interests in Asure’s domestic subsidiaries and 65% of the equity interests in Asure’s foreign subsidiaries.</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loan agreement contains customary covenants, which were amended effective September 30, 2013, including but not limited to limitations with respect to debt, liens, mergers and acquisitions, sale of assets, loans or advances to and investments in others, dividends or other distributions, capital expenditures and management compensation. Deerpath may designate one representative to attend all meetings of our board of directors as a non-voting observer.</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used the net proceeds from the third amendment to pay the two Legiant Acquisition Notes totaling $1,700, as well as the two related party 15% Notes totaling $800. These loans were all due in October 2014. Under the latest amendment, we also changed certain financial covenants. Beginning with September 30, 2013, our Total Debt to EBITDA Ratio may not exceed 4.75 to 1.00 (an increase from the previous requirement of 3.50 to 1.00), with levels stepping down thereafter. Our Senior Debt to EBITDA Ratio may not exceed 3.85 to 1.00 at September 30, 2013 (an increase from the previous requirement of 2.50 to 1.00), with levels stepping down thereafter. Our Fixed Charge Coverage Ratio may not be less than 0.8 to 1.00 as of September 30, 2013 (a decrease from the previous requirement of 1.00 to 1.00), with levels stepping up thereafter.</w:t>
      </w:r>
    </w:p>
    <w:p>
      <w:pPr>
        <w:spacing w:after="0" w:line="20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were in compliance with the covenant requirements as of December 31, 2013 and expect to be in compliance or be able to obtain compliance through debt repayments with the available cash on hand or as expected to be generated from operations over the subsequent twelve month period.</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loan agreement contains customary events of default, including, among others, (i) payment defaults, (ii) covenant defaults, (iii) incorrect representations or warranties, (iv) bankruptcy and insolvency events, (v) certain cross defaults and cross accelerations, (vi) certain change of control or change of management events and (vii) certain material adverse events. In some cases, the defaults are subject to customary notice and grace period provisions.</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made quarterly principal payments of $362 each on the senior note payable beginning October 1, 2012. We paid the required $2,000 principal payment in May 2013.</w:t>
      </w:r>
    </w:p>
    <w:p>
      <w:pPr>
        <w:spacing w:after="0" w:line="170"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In March, 2014, we entered into a Credit Agreement with Wells Fargo Bank, National Association, as administrative agent, and the lenders that are party thereto. We used the proceeds of the term loan to finance the repayment of all amounts outstanding under our loan agreement with Deerpath. See Note 14- Subsequent Events for further details.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September 2011, we entered into a credit agreement with JPMorgan Chase Bank N.A. (“Bank”), providing for a $500 line of credit (the “Line of Credit”), which we fully utilized as of December 31, 2011. As originally issued, the Line of Credit bore interest at a rate of 1.5% above the CB Floating Rate and matured on September 28, 2012. The CB Floating rate is defined as the Bank’s prime rate, as announced from time to time, provided that the CB Floating Rate may not be less than the adjusted one month LIBOR rate. The aggregate principal amount of advances outstanding at any one time under the Line of Credit may not exceed 80% of eligible trade accounts and accounts receivable or the maximum principal amount then available, whichever is less.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repaid the $500 outstanding under the line of credit in full in July 2012. This line expired as of December 31, 2012. No amounts are outstanding related to the Line of Credit.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AND EQUIPMENT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and related depreciable useful lives as of December 31, 2013 and 2012 are composed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r>
      <w:tr>
        <w:trPr>
          <w:trHeight w:val="216"/>
        </w:trPr>
        <w:tc>
          <w:tcPr>
            <w:tcW w:w="5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Software: 3-5 years</w:t>
            </w:r>
          </w:p>
        </w:tc>
        <w:tc>
          <w:tcPr>
            <w:tcW w:w="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Furniture and equipment: 2-5 years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4,371</w:t>
            </w:r>
          </w:p>
        </w:tc>
        <w:tc>
          <w:tcPr>
            <w:tcW w:w="4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4,102</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Internal support equipment: 2-4 years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Vehicle: 7 years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lease term or life of the asset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w w:val="99"/>
              </w:rPr>
              <w:t>Leasehold improvements: lease term or life of the improvement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2,153</w:t>
            </w:r>
          </w:p>
        </w:tc>
      </w:tr>
      <w:tr>
        <w:trPr>
          <w:trHeight w:val="27"/>
        </w:trPr>
        <w:tc>
          <w:tcPr>
            <w:tcW w:w="5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11,566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11,034</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(10,333)</w:t>
            </w:r>
          </w:p>
        </w:tc>
        <w:tc>
          <w:tcPr>
            <w:tcW w:w="4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(9,880)</w:t>
            </w:r>
          </w:p>
        </w:tc>
      </w:tr>
      <w:tr>
        <w:trPr>
          <w:trHeight w:val="27"/>
        </w:trPr>
        <w:tc>
          <w:tcPr>
            <w:tcW w:w="5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50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1,233</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1,154</w:t>
            </w:r>
          </w:p>
        </w:tc>
      </w:tr>
      <w:tr>
        <w:trPr>
          <w:trHeight w:val="20"/>
        </w:trPr>
        <w:tc>
          <w:tcPr>
            <w:tcW w:w="50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record the amortization of our capital leases as depreciation expense on our Consolidated Statements of Comprehensive Income (Loss).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expenses relating to property and equipment were approximately $449 and $255 for 2013 and 2012, respectively.</w:t>
      </w:r>
    </w:p>
    <w:p>
      <w:pPr>
        <w:spacing w:after="0" w:line="24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October 2012, we entered into a Code Purchase and Perpetual License Agreement (“License Agreement”) with FotoPunch, Inc., a Delaware corporation (“FotoPunch”) that owns and develops facial and voice recognition software for tracking employee time and labor management information for use with mobile and other devices. Under the License Agreement, we acquired a worldwide, perpetual, right to use the code and software in the workforce management hardware, equipment and software solutions industry. We have the right to grant sublicenses to resellers and third parties. For a period of two years, FotoPunch has agreed to assist us in integrating and using the facial and voice recognition software with our solutions.</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the same time, we also entered into a Rights Agreement with FotoPunch under which FotoPunch granted us an option to acquire it or its business and a right of first refusal to match any third party offer.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May 2013, we sold approximately 662,000 shares of common stock to various investors, including certain directors of the Company and other entities affiliated with the directors at a purchase price of $5.31 per share, for proceeds, net of fees and expenses, of approximately $3,433. We sold the shares pursuant to a registration statement on Form S-3 and a related prospectus supplement. We used $2,000 of the funds to make a required principal payment under our loan agreement with Deerpath Funding. We used the balance of the net proceeds for general corporate purposes and repayment of additional outstanding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SPLIT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27, 2012, the Board of Directors declared a 3-for-2 stock split, payable April 30, 2012 to the holders of record of our common stock as of the close of business on April 23, 2012. We made cash payments based upon the closing price of our shares on the record date in lieu of the issuance of fractional shares. All prior periods have been adjusted to reflect the impact of the stock split.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 PROGRAM</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Asure’s stock repurchase plan, we may repurchase up to 450,000 shares of our common stock. We have repurchased a total of 384,000 shares for approximately $5.0 million over the life of the plan. Management will periodically assess repurchasing additional shares, depending on our cash position, market conditions, financial covenants and other factors. While the program remains in place, we did not repurchase any shares during 2013 or 2012.</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AND STOCK OPTION PLANS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Asure has one active equity plan, the 2009 Equity Plan (the “2009 Plan”). The 2009 Plan provides for the issuance of non-qualified and incentive stock options to our employees and consultants. We generally grant stock options with exercise prices greater than or equal to the fair market value at the time of grant. The options generally vest over three to four years and are exercisable for a period of five to ten years beginning with date of grant. Our shareholders approved an amendment to the 2009 Plan in June 2012 to increase the number of shares reserved under the plan from 525,000 to 900,000. We have a total of 795,000 options granted and outstanding pursuant to the 2009 Plan as of December 31, 2013.</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use the Black-Scholes option valuation model to value employee stock awards. We estimate stock price volatility based upon our historical volatility. Estimated option life and forfeiture rate assumptions are derived from historical data. For stock-based compensation awards with graded vesting, we recognize compensation expense using the straight-line amortization method.</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compensation expense recognized in the Consolidated Statements of Comprehensive Income (Loss) for stock based awards was $160 and $88 for 2013 and 2012,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assumptions used to develop their fair value for 2013 and 2012:</w:t>
      </w:r>
    </w:p>
    <w:p>
      <w:pPr>
        <w:spacing w:after="0" w:line="221"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0.350%</w:t>
            </w: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0.63</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0.91</w:t>
            </w: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w:t>
            </w: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2013, Asure had reserved shares of common stock for future issuance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795,000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Options available for future grant</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105,000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w:t>
            </w: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900,000</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760" w:type="dxa"/>
            <w:vAlign w:val="bottom"/>
            <w:gridSpan w:val="4"/>
          </w:tcPr>
          <w:p>
            <w:pPr>
              <w:jc w:val="right"/>
              <w:ind w:right="420"/>
              <w:spacing w:after="0"/>
              <w:rPr>
                <w:sz w:val="20"/>
                <w:szCs w:val="20"/>
                <w:color w:val="auto"/>
              </w:rPr>
            </w:pPr>
            <w:r>
              <w:rPr>
                <w:rFonts w:ascii="Arial" w:cs="Arial" w:eastAsia="Arial" w:hAnsi="Arial"/>
                <w:sz w:val="18"/>
                <w:szCs w:val="18"/>
                <w:color w:val="auto"/>
              </w:rPr>
              <w:t>The following table summarizes activity under all Plans during 2013 and 2012.</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For 2013</w:t>
            </w:r>
          </w:p>
        </w:tc>
        <w:tc>
          <w:tcPr>
            <w:tcW w:w="11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2012</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190"/>
              <w:spacing w:after="0" w:line="198" w:lineRule="exact"/>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19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9"/>
              </w:rPr>
              <w:t>Exercise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Price</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Shares</w:t>
            </w:r>
          </w:p>
        </w:tc>
        <w:tc>
          <w:tcPr>
            <w:tcW w:w="240" w:type="dxa"/>
            <w:vAlign w:val="bottom"/>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the beginning of the year</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679,000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530,000</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216,000</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260,000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(17,000)</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(37,000)</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(83,000)</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(74,000)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Outstanding at the end of the year</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795,000</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3.58</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679,000</w:t>
            </w:r>
          </w:p>
        </w:tc>
        <w:tc>
          <w:tcPr>
            <w:tcW w:w="1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2"/>
          </w:tcPr>
          <w:p>
            <w:pPr>
              <w:spacing w:after="0" w:line="196" w:lineRule="exact"/>
              <w:rPr>
                <w:sz w:val="20"/>
                <w:szCs w:val="20"/>
                <w:color w:val="auto"/>
              </w:rPr>
            </w:pPr>
            <w:r>
              <w:rPr>
                <w:rFonts w:ascii="Arial" w:cs="Arial" w:eastAsia="Arial" w:hAnsi="Arial"/>
                <w:sz w:val="18"/>
                <w:szCs w:val="18"/>
                <w:color w:val="auto"/>
              </w:rPr>
              <w:t>Options exercisable at the end of the year</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369,000</w:t>
            </w:r>
          </w:p>
        </w:tc>
        <w:tc>
          <w:tcPr>
            <w:tcW w:w="2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242,000</w:t>
            </w:r>
          </w:p>
        </w:tc>
        <w:tc>
          <w:tcPr>
            <w:tcW w:w="1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 during the year</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F-22</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outstanding and exercisable options and their exercise prices as of December 31, 2013:</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80" w:type="dxa"/>
            <w:vAlign w:val="bottom"/>
            <w:gridSpan w:val="5"/>
          </w:tcPr>
          <w:p>
            <w:pPr>
              <w:jc w:val="right"/>
              <w:spacing w:after="0"/>
              <w:rPr>
                <w:sz w:val="20"/>
                <w:szCs w:val="20"/>
                <w:color w:val="auto"/>
              </w:rPr>
            </w:pPr>
            <w:r>
              <w:rPr>
                <w:rFonts w:ascii="Arial" w:cs="Arial" w:eastAsia="Arial" w:hAnsi="Arial"/>
                <w:sz w:val="18"/>
                <w:szCs w:val="18"/>
                <w:b w:val="1"/>
                <w:bCs w:val="1"/>
                <w:color w:val="auto"/>
              </w:rPr>
              <w:t>OPTIONS OUTSTANDING</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60" w:type="dxa"/>
            <w:vAlign w:val="bottom"/>
            <w:gridSpan w:val="5"/>
          </w:tcPr>
          <w:p>
            <w:pPr>
              <w:ind w:left="320"/>
              <w:spacing w:after="0"/>
              <w:rPr>
                <w:sz w:val="20"/>
                <w:szCs w:val="20"/>
                <w:color w:val="auto"/>
              </w:rPr>
            </w:pPr>
            <w:r>
              <w:rPr>
                <w:rFonts w:ascii="Arial" w:cs="Arial" w:eastAsia="Arial" w:hAnsi="Arial"/>
                <w:sz w:val="18"/>
                <w:szCs w:val="18"/>
                <w:b w:val="1"/>
                <w:bCs w:val="1"/>
                <w:color w:val="auto"/>
              </w:rPr>
              <w:t>OPTIONS EXERCISABLE</w:t>
            </w:r>
          </w:p>
        </w:tc>
      </w:tr>
      <w:tr>
        <w:trPr>
          <w:trHeight w:val="198"/>
        </w:trPr>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Borders>
              <w:top w:val="single" w:sz="8" w:color="auto"/>
            </w:tcBorders>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rPr>
              <w:t>NUMBER</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NUMBER</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WEIGHTED-</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EXERCISABLE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OUTSTANDING</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AVERAGE</w:t>
            </w: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rPr>
              <w:t>WEIGHTED-</w:t>
            </w: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AND</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11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8"/>
              </w:rPr>
              <w:t>RANGE OF</w:t>
            </w: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AT</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REMAINING</w:t>
            </w:r>
          </w:p>
        </w:tc>
        <w:tc>
          <w:tcPr>
            <w:tcW w:w="10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AVERAGE</w:t>
            </w: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VESTED AT</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AVERAGE</w:t>
            </w:r>
          </w:p>
        </w:tc>
      </w:tr>
      <w:tr>
        <w:trPr>
          <w:trHeight w:val="216"/>
        </w:trPr>
        <w:tc>
          <w:tcPr>
            <w:tcW w:w="11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rPr>
              <w:t>EXERCISE</w:t>
            </w: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DECEMBER 31,</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CONTRACTUAL</w:t>
            </w:r>
          </w:p>
        </w:tc>
        <w:tc>
          <w:tcPr>
            <w:tcW w:w="10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EXERCISE</w:t>
            </w: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DECEMBER 31,</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EXERCISE</w:t>
            </w:r>
          </w:p>
        </w:tc>
      </w:tr>
      <w:tr>
        <w:trPr>
          <w:trHeight w:val="241"/>
        </w:trPr>
        <w:tc>
          <w:tcPr>
            <w:tcW w:w="140" w:type="dxa"/>
            <w:vAlign w:val="bottom"/>
          </w:tcPr>
          <w:p>
            <w:pPr>
              <w:spacing w:after="0"/>
              <w:rPr>
                <w:sz w:val="20"/>
                <w:szCs w:val="20"/>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8"/>
              </w:rPr>
              <w:t>PRICES</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60" w:type="dxa"/>
            <w:vAlign w:val="bottom"/>
          </w:tcPr>
          <w:p>
            <w:pPr>
              <w:spacing w:after="0"/>
              <w:rPr>
                <w:sz w:val="20"/>
                <w:szCs w:val="20"/>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LIFE (YEARS)</w:t>
            </w:r>
          </w:p>
        </w:tc>
        <w:tc>
          <w:tcPr>
            <w:tcW w:w="10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PRICE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PRICE</w:t>
            </w:r>
          </w:p>
        </w:tc>
      </w:tr>
      <w:tr>
        <w:trPr>
          <w:trHeight w:val="216"/>
        </w:trPr>
        <w:tc>
          <w:tcPr>
            <w:tcW w:w="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- 2.11</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32,000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w:t>
            </w:r>
          </w:p>
        </w:tc>
      </w:tr>
      <w:tr>
        <w:trPr>
          <w:trHeight w:val="202"/>
        </w:trPr>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ind w:left="2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2.33</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- 2.33</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467,000</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319,000</w:t>
            </w:r>
          </w:p>
        </w:tc>
        <w:tc>
          <w:tcPr>
            <w:tcW w:w="1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r>
      <w:tr>
        <w:trPr>
          <w:trHeight w:val="202"/>
        </w:trPr>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- 6.42</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296,000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26,000</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5.63</w:t>
            </w:r>
          </w:p>
        </w:tc>
      </w:tr>
      <w:tr>
        <w:trPr>
          <w:trHeight w:val="216"/>
        </w:trPr>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55"/>
        </w:trPr>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 xml:space="preserve">- </w:t>
            </w:r>
            <w:r>
              <w:rPr>
                <w:rFonts w:ascii="Arial" w:cs="Arial" w:eastAsia="Arial" w:hAnsi="Arial"/>
                <w:sz w:val="18"/>
                <w:szCs w:val="18"/>
                <w:b w:val="1"/>
                <w:bCs w:val="1"/>
                <w:color w:val="auto"/>
                <w:w w:val="91"/>
              </w:rPr>
              <w:t>6.42</w:t>
            </w:r>
          </w:p>
        </w:tc>
        <w:tc>
          <w:tcPr>
            <w:tcW w:w="16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795,000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3.58</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369,000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2.54</w:t>
            </w:r>
          </w:p>
        </w:tc>
      </w:tr>
      <w:tr>
        <w:trPr>
          <w:trHeight w:val="20"/>
        </w:trPr>
        <w:tc>
          <w:tcPr>
            <w:tcW w:w="1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aggregate intrinsic value of options outstanding and options exercisable is $1,612 and $1,134, respectively, at December 31, 2013.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DEFINED CONTRIBUTION PLAN</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sponsor a defined contribution 401(k) plan that is available to substantially all employees. Our Board of Directors may amend or terminate the plan at any time. We provided matching contributions to the plan of $147 and $86 in 2013 and 2012,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REVENUE CONCENTRATION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2013 and 2012, there were no customers who individually represented 10% or more of consolidated revenue.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NET LOSS PER SHARE</w:t>
      </w:r>
    </w:p>
    <w:p>
      <w:pPr>
        <w:spacing w:after="0" w:line="25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following table sets forth the computation of basic and diluted net loss per common share for 2013 and 2012. On April 30, 2012, we completed a 3-for-2 stock split. All prior periods have been adjusted to reflect the impact of the stock split, including the impact on basic and diluted net loss per share.</w:t>
      </w:r>
    </w:p>
    <w:p>
      <w:pPr>
        <w:spacing w:after="0" w:line="15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excluded stock options to acquire 795,000 and 679,000 shares for 2013 and 2012, respectively, from the computation of the dilutive stock options because the effect of including the stock options would have been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Year</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Year</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Ended December</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Ended December</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8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18"/>
                <w:szCs w:val="18"/>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(1,662)</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Weighted-average shares of common stock outstanding</w:t>
            </w:r>
          </w:p>
        </w:tc>
        <w:tc>
          <w:tcPr>
            <w:tcW w:w="3020" w:type="dxa"/>
            <w:vAlign w:val="bottom"/>
            <w:gridSpan w:val="3"/>
          </w:tcPr>
          <w:p>
            <w:pPr>
              <w:jc w:val="right"/>
              <w:ind w:right="220"/>
              <w:spacing w:after="0"/>
              <w:rPr>
                <w:sz w:val="20"/>
                <w:szCs w:val="20"/>
                <w:color w:val="auto"/>
              </w:rPr>
            </w:pPr>
            <w:r>
              <w:rPr>
                <w:rFonts w:ascii="Arial" w:cs="Arial" w:eastAsia="Arial" w:hAnsi="Arial"/>
                <w:sz w:val="18"/>
                <w:szCs w:val="18"/>
                <w:color w:val="auto"/>
              </w:rPr>
              <w:t>5,661,000</w:t>
            </w:r>
          </w:p>
        </w:tc>
        <w:tc>
          <w:tcPr>
            <w:tcW w:w="1360" w:type="dxa"/>
            <w:vAlign w:val="bottom"/>
          </w:tcPr>
          <w:p>
            <w:pPr>
              <w:jc w:val="right"/>
              <w:spacing w:after="0"/>
              <w:rPr>
                <w:sz w:val="20"/>
                <w:szCs w:val="20"/>
                <w:color w:val="auto"/>
              </w:rPr>
            </w:pPr>
            <w:r>
              <w:rPr>
                <w:rFonts w:ascii="Arial" w:cs="Arial" w:eastAsia="Arial" w:hAnsi="Arial"/>
                <w:sz w:val="18"/>
                <w:szCs w:val="18"/>
                <w:color w:val="auto"/>
              </w:rPr>
              <w:t>5,048,000</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40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4040" w:type="dxa"/>
            <w:vAlign w:val="bottom"/>
          </w:tcPr>
          <w:p>
            <w:pPr>
              <w:ind w:left="40"/>
              <w:spacing w:after="0"/>
              <w:rPr>
                <w:sz w:val="20"/>
                <w:szCs w:val="20"/>
                <w:color w:val="auto"/>
              </w:rPr>
            </w:pPr>
            <w:r>
              <w:rPr>
                <w:rFonts w:ascii="Arial" w:cs="Arial" w:eastAsia="Arial" w:hAnsi="Arial"/>
                <w:sz w:val="18"/>
                <w:szCs w:val="18"/>
                <w:color w:val="auto"/>
              </w:rPr>
              <w:t>Basic and diluted net loss per share</w:t>
            </w:r>
          </w:p>
        </w:tc>
        <w:tc>
          <w:tcPr>
            <w:tcW w:w="14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(0.29)</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(0.60)</w:t>
            </w:r>
          </w:p>
        </w:tc>
        <w:tc>
          <w:tcPr>
            <w:tcW w:w="1440" w:type="dxa"/>
            <w:vAlign w:val="bottom"/>
          </w:tcPr>
          <w:p>
            <w:pPr>
              <w:spacing w:after="0"/>
              <w:rPr>
                <w:sz w:val="19"/>
                <w:szCs w:val="19"/>
                <w:color w:val="auto"/>
              </w:rPr>
            </w:pPr>
          </w:p>
        </w:tc>
      </w:tr>
      <w:tr>
        <w:trPr>
          <w:trHeight w:val="581"/>
        </w:trPr>
        <w:tc>
          <w:tcPr>
            <w:tcW w:w="14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Arial" w:cs="Arial" w:eastAsia="Arial" w:hAnsi="Arial"/>
                <w:sz w:val="18"/>
                <w:szCs w:val="18"/>
                <w:color w:val="auto"/>
              </w:rPr>
              <w:t>F-23</w:t>
            </w:r>
          </w:p>
        </w:tc>
        <w:tc>
          <w:tcPr>
            <w:tcW w:w="13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pre-tax loss for the years ended December 31, 2013 and 2012 are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(1,660)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(1,867)</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Foreign</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(880)</w:t>
            </w:r>
          </w:p>
        </w:tc>
      </w:tr>
      <w:tr>
        <w:trPr>
          <w:trHeight w:val="27"/>
        </w:trPr>
        <w:tc>
          <w:tcPr>
            <w:tcW w:w="5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(1,545)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(2,747)</w:t>
            </w: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the provision for income taxes attributable to continuing operations for the years ended December 31, 2013 and 2012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8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28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38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State</w:t>
            </w:r>
          </w:p>
        </w:tc>
        <w:tc>
          <w:tcPr>
            <w:tcW w:w="2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28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Total current</w:t>
            </w:r>
          </w:p>
        </w:tc>
        <w:tc>
          <w:tcPr>
            <w:tcW w:w="2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2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State</w:t>
            </w:r>
          </w:p>
        </w:tc>
        <w:tc>
          <w:tcPr>
            <w:tcW w:w="2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440" w:type="dxa"/>
            <w:vAlign w:val="bottom"/>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2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deferred</w:t>
            </w:r>
          </w:p>
        </w:tc>
        <w:tc>
          <w:tcPr>
            <w:tcW w:w="2860" w:type="dxa"/>
            <w:vAlign w:val="bottom"/>
            <w:tcBorders>
              <w:top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Borders>
              <w:top w:val="single" w:sz="8" w:color="CCEEFF"/>
            </w:tcBorders>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
        </w:trPr>
        <w:tc>
          <w:tcPr>
            <w:tcW w:w="14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574"/>
        </w:trPr>
        <w:tc>
          <w:tcPr>
            <w:tcW w:w="14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840" w:type="dxa"/>
            <w:vAlign w:val="bottom"/>
            <w:gridSpan w:val="2"/>
          </w:tcPr>
          <w:p>
            <w:pPr>
              <w:jc w:val="right"/>
              <w:ind w:right="1870"/>
              <w:spacing w:after="0"/>
              <w:rPr>
                <w:sz w:val="20"/>
                <w:szCs w:val="20"/>
                <w:color w:val="auto"/>
              </w:rPr>
            </w:pPr>
            <w:r>
              <w:rPr>
                <w:rFonts w:ascii="Arial" w:cs="Arial" w:eastAsia="Arial" w:hAnsi="Arial"/>
                <w:sz w:val="18"/>
                <w:szCs w:val="18"/>
                <w:color w:val="auto"/>
              </w:rPr>
              <w:t>F-24</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at December 31, 2013 and 2012 are as follows: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3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2013</w:t>
            </w: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700" w:type="dxa"/>
            <w:vAlign w:val="bottom"/>
          </w:tcPr>
          <w:p>
            <w:pPr>
              <w:spacing w:after="0"/>
              <w:rPr>
                <w:sz w:val="20"/>
                <w:szCs w:val="20"/>
                <w:color w:val="auto"/>
              </w:rPr>
            </w:pP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b w:val="1"/>
                <w:bCs w:val="1"/>
                <w:color w:val="auto"/>
              </w:rPr>
              <w:t>DEFERRED TAX ASSETS:</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Current deferred tax assets</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2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920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858</w:t>
            </w:r>
          </w:p>
        </w:tc>
      </w:tr>
      <w:tr>
        <w:trPr>
          <w:trHeight w:val="216"/>
        </w:trPr>
        <w:tc>
          <w:tcPr>
            <w:tcW w:w="32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8"/>
                <w:szCs w:val="18"/>
                <w:color w:val="auto"/>
              </w:rPr>
            </w:pPr>
          </w:p>
        </w:tc>
        <w:tc>
          <w:tcPr>
            <w:tcW w:w="2040" w:type="dxa"/>
            <w:vAlign w:val="bottom"/>
            <w:gridSpan w:val="2"/>
          </w:tcPr>
          <w:p>
            <w:pPr>
              <w:jc w:val="right"/>
              <w:ind w:right="740"/>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30</w:t>
            </w:r>
          </w:p>
        </w:tc>
      </w:tr>
      <w:tr>
        <w:trPr>
          <w:trHeight w:val="216"/>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36</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w:t>
            </w:r>
          </w:p>
        </w:tc>
      </w:tr>
      <w:tr>
        <w:trPr>
          <w:trHeight w:val="27"/>
        </w:trPr>
        <w:tc>
          <w:tcPr>
            <w:tcW w:w="3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700" w:type="dxa"/>
            <w:vAlign w:val="bottom"/>
            <w:shd w:val="clear" w:color="auto" w:fill="CCEEFF"/>
          </w:tcPr>
          <w:p>
            <w:pPr>
              <w:spacing w:after="0"/>
              <w:rPr>
                <w:sz w:val="2"/>
                <w:szCs w:val="2"/>
                <w:color w:val="auto"/>
              </w:rPr>
            </w:pPr>
          </w:p>
        </w:tc>
      </w:tr>
      <w:tr>
        <w:trPr>
          <w:trHeight w:val="216"/>
        </w:trPr>
        <w:tc>
          <w:tcPr>
            <w:tcW w:w="3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740"/>
              <w:spacing w:after="0"/>
              <w:rPr>
                <w:sz w:val="20"/>
                <w:szCs w:val="20"/>
                <w:color w:val="auto"/>
              </w:rPr>
            </w:pPr>
            <w:r>
              <w:rPr>
                <w:rFonts w:ascii="Arial" w:cs="Arial" w:eastAsia="Arial" w:hAnsi="Arial"/>
                <w:sz w:val="18"/>
                <w:szCs w:val="18"/>
                <w:color w:val="auto"/>
              </w:rPr>
              <w:t>1,060</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919</w:t>
            </w:r>
          </w:p>
        </w:tc>
      </w:tr>
      <w:tr>
        <w:trPr>
          <w:trHeight w:val="216"/>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3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(1,001)</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(1,003)</w:t>
            </w:r>
          </w:p>
        </w:tc>
      </w:tr>
      <w:tr>
        <w:trPr>
          <w:trHeight w:val="27"/>
        </w:trPr>
        <w:tc>
          <w:tcPr>
            <w:tcW w:w="3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700" w:type="dxa"/>
            <w:vAlign w:val="bottom"/>
            <w:shd w:val="clear" w:color="auto" w:fill="CCEEFF"/>
          </w:tcPr>
          <w:p>
            <w:pPr>
              <w:spacing w:after="0"/>
              <w:rPr>
                <w:sz w:val="2"/>
                <w:szCs w:val="2"/>
                <w:color w:val="auto"/>
              </w:rPr>
            </w:pPr>
          </w:p>
        </w:tc>
      </w:tr>
      <w:tr>
        <w:trPr>
          <w:trHeight w:val="223"/>
        </w:trPr>
        <w:tc>
          <w:tcPr>
            <w:tcW w:w="3220" w:type="dxa"/>
            <w:vAlign w:val="bottom"/>
          </w:tcPr>
          <w:p>
            <w:pPr>
              <w:ind w:left="80"/>
              <w:spacing w:after="0"/>
              <w:rPr>
                <w:sz w:val="20"/>
                <w:szCs w:val="20"/>
                <w:color w:val="auto"/>
              </w:rPr>
            </w:pPr>
            <w:r>
              <w:rPr>
                <w:rFonts w:ascii="Arial" w:cs="Arial" w:eastAsia="Arial" w:hAnsi="Arial"/>
                <w:sz w:val="18"/>
                <w:szCs w:val="18"/>
                <w:color w:val="auto"/>
              </w:rPr>
              <w:t>Net current deferred tax assets</w:t>
            </w:r>
          </w:p>
        </w:tc>
        <w:tc>
          <w:tcPr>
            <w:tcW w:w="360" w:type="dxa"/>
            <w:vAlign w:val="bottom"/>
          </w:tcPr>
          <w:p>
            <w:pPr>
              <w:spacing w:after="0"/>
              <w:rPr>
                <w:sz w:val="19"/>
                <w:szCs w:val="19"/>
                <w:color w:val="auto"/>
              </w:rPr>
            </w:pPr>
          </w:p>
        </w:tc>
        <w:tc>
          <w:tcPr>
            <w:tcW w:w="2040" w:type="dxa"/>
            <w:vAlign w:val="bottom"/>
            <w:gridSpan w:val="2"/>
          </w:tcPr>
          <w:p>
            <w:pPr>
              <w:jc w:val="right"/>
              <w:ind w:right="740"/>
              <w:spacing w:after="0"/>
              <w:rPr>
                <w:sz w:val="20"/>
                <w:szCs w:val="20"/>
                <w:color w:val="auto"/>
              </w:rPr>
            </w:pPr>
            <w:r>
              <w:rPr>
                <w:rFonts w:ascii="Arial" w:cs="Arial" w:eastAsia="Arial" w:hAnsi="Arial"/>
                <w:sz w:val="18"/>
                <w:szCs w:val="18"/>
                <w:color w:val="auto"/>
              </w:rPr>
              <w:t>59</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2"/>
          </w:tcPr>
          <w:p>
            <w:pPr>
              <w:jc w:val="right"/>
              <w:ind w:right="640"/>
              <w:spacing w:after="0"/>
              <w:rPr>
                <w:sz w:val="20"/>
                <w:szCs w:val="20"/>
                <w:color w:val="auto"/>
              </w:rPr>
            </w:pPr>
            <w:r>
              <w:rPr>
                <w:rFonts w:ascii="Arial" w:cs="Arial" w:eastAsia="Arial" w:hAnsi="Arial"/>
                <w:sz w:val="18"/>
                <w:szCs w:val="18"/>
                <w:color w:val="auto"/>
              </w:rPr>
              <w:t>(84)</w:t>
            </w:r>
          </w:p>
        </w:tc>
      </w:tr>
      <w:tr>
        <w:trPr>
          <w:trHeight w:val="216"/>
        </w:trPr>
        <w:tc>
          <w:tcPr>
            <w:tcW w:w="3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220" w:type="dxa"/>
            <w:vAlign w:val="bottom"/>
          </w:tcPr>
          <w:p>
            <w:pPr>
              <w:ind w:left="80"/>
              <w:spacing w:after="0"/>
              <w:rPr>
                <w:sz w:val="20"/>
                <w:szCs w:val="20"/>
                <w:color w:val="auto"/>
              </w:rPr>
            </w:pPr>
            <w:r>
              <w:rPr>
                <w:rFonts w:ascii="Arial" w:cs="Arial" w:eastAsia="Arial" w:hAnsi="Arial"/>
                <w:sz w:val="18"/>
                <w:szCs w:val="18"/>
                <w:color w:val="auto"/>
              </w:rPr>
              <w:t>Noncurrent deferred tax assets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losses</w:t>
            </w:r>
          </w:p>
        </w:tc>
        <w:tc>
          <w:tcPr>
            <w:tcW w:w="3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40,105</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40,400</w:t>
            </w:r>
          </w:p>
        </w:tc>
      </w:tr>
      <w:tr>
        <w:trPr>
          <w:trHeight w:val="202"/>
        </w:trPr>
        <w:tc>
          <w:tcPr>
            <w:tcW w:w="3220" w:type="dxa"/>
            <w:vAlign w:val="bottom"/>
          </w:tcPr>
          <w:p>
            <w:pPr>
              <w:ind w:left="180"/>
              <w:spacing w:after="0" w:line="201" w:lineRule="exact"/>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credit carryforwards</w:t>
            </w:r>
          </w:p>
        </w:tc>
        <w:tc>
          <w:tcPr>
            <w:tcW w:w="360" w:type="dxa"/>
            <w:vAlign w:val="bottom"/>
          </w:tcPr>
          <w:p>
            <w:pPr>
              <w:spacing w:after="0"/>
              <w:rPr>
                <w:sz w:val="20"/>
                <w:szCs w:val="20"/>
                <w:color w:val="auto"/>
              </w:rPr>
            </w:pPr>
          </w:p>
        </w:tc>
        <w:tc>
          <w:tcPr>
            <w:tcW w:w="2040" w:type="dxa"/>
            <w:vAlign w:val="bottom"/>
            <w:gridSpan w:val="2"/>
          </w:tcPr>
          <w:p>
            <w:pPr>
              <w:jc w:val="right"/>
              <w:ind w:right="740"/>
              <w:spacing w:after="0"/>
              <w:rPr>
                <w:sz w:val="20"/>
                <w:szCs w:val="20"/>
                <w:color w:val="auto"/>
              </w:rPr>
            </w:pPr>
            <w:r>
              <w:rPr>
                <w:rFonts w:ascii="Arial" w:cs="Arial" w:eastAsia="Arial" w:hAnsi="Arial"/>
                <w:sz w:val="18"/>
                <w:szCs w:val="18"/>
                <w:color w:val="auto"/>
              </w:rPr>
              <w:t>4,398</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4,353</w:t>
            </w:r>
          </w:p>
        </w:tc>
      </w:tr>
      <w:tr>
        <w:trPr>
          <w:trHeight w:val="202"/>
        </w:trPr>
        <w:tc>
          <w:tcPr>
            <w:tcW w:w="32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Minimum tax credit</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carryforwards</w:t>
            </w:r>
          </w:p>
        </w:tc>
        <w:tc>
          <w:tcPr>
            <w:tcW w:w="36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161</w:t>
            </w: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161</w:t>
            </w:r>
          </w:p>
        </w:tc>
      </w:tr>
      <w:tr>
        <w:trPr>
          <w:trHeight w:val="216"/>
        </w:trPr>
        <w:tc>
          <w:tcPr>
            <w:tcW w:w="3220" w:type="dxa"/>
            <w:vAlign w:val="bottom"/>
          </w:tcPr>
          <w:p>
            <w:pPr>
              <w:ind w:left="180"/>
              <w:spacing w:after="0"/>
              <w:rPr>
                <w:sz w:val="20"/>
                <w:szCs w:val="20"/>
                <w:color w:val="auto"/>
              </w:rPr>
            </w:pPr>
            <w:r>
              <w:rPr>
                <w:rFonts w:ascii="Arial" w:cs="Arial" w:eastAsia="Arial" w:hAnsi="Arial"/>
                <w:sz w:val="18"/>
                <w:szCs w:val="18"/>
                <w:color w:val="auto"/>
              </w:rPr>
              <w:t>Fixed assets</w:t>
            </w:r>
          </w:p>
        </w:tc>
        <w:tc>
          <w:tcPr>
            <w:tcW w:w="360" w:type="dxa"/>
            <w:vAlign w:val="bottom"/>
          </w:tcPr>
          <w:p>
            <w:pPr>
              <w:spacing w:after="0"/>
              <w:rPr>
                <w:sz w:val="18"/>
                <w:szCs w:val="18"/>
                <w:color w:val="auto"/>
              </w:rPr>
            </w:pPr>
          </w:p>
        </w:tc>
        <w:tc>
          <w:tcPr>
            <w:tcW w:w="20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171</w:t>
            </w:r>
          </w:p>
        </w:tc>
      </w:tr>
      <w:tr>
        <w:trPr>
          <w:trHeight w:val="216"/>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based compensation</w:t>
            </w:r>
          </w:p>
        </w:tc>
        <w:tc>
          <w:tcPr>
            <w:tcW w:w="3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67</w:t>
            </w:r>
          </w:p>
        </w:tc>
      </w:tr>
      <w:tr>
        <w:trPr>
          <w:trHeight w:val="216"/>
        </w:trPr>
        <w:tc>
          <w:tcPr>
            <w:tcW w:w="322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2040" w:type="dxa"/>
            <w:vAlign w:val="bottom"/>
            <w:gridSpan w:val="2"/>
          </w:tcPr>
          <w:p>
            <w:pPr>
              <w:jc w:val="right"/>
              <w:ind w:right="740"/>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r>
      <w:tr>
        <w:trPr>
          <w:trHeight w:val="27"/>
        </w:trPr>
        <w:tc>
          <w:tcPr>
            <w:tcW w:w="3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r>
      <w:tr>
        <w:trPr>
          <w:trHeight w:val="216"/>
        </w:trPr>
        <w:tc>
          <w:tcPr>
            <w:tcW w:w="3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44,670</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45,152</w:t>
            </w:r>
          </w:p>
        </w:tc>
      </w:tr>
      <w:tr>
        <w:trPr>
          <w:trHeight w:val="223"/>
        </w:trPr>
        <w:tc>
          <w:tcPr>
            <w:tcW w:w="32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19"/>
                <w:szCs w:val="19"/>
                <w:color w:val="auto"/>
              </w:rPr>
            </w:pPr>
          </w:p>
        </w:tc>
        <w:tc>
          <w:tcPr>
            <w:tcW w:w="2040" w:type="dxa"/>
            <w:vAlign w:val="bottom"/>
            <w:gridSpan w:val="2"/>
          </w:tcPr>
          <w:p>
            <w:pPr>
              <w:jc w:val="right"/>
              <w:ind w:right="680"/>
              <w:spacing w:after="0"/>
              <w:rPr>
                <w:sz w:val="20"/>
                <w:szCs w:val="20"/>
                <w:color w:val="auto"/>
              </w:rPr>
            </w:pPr>
            <w:r>
              <w:rPr>
                <w:rFonts w:ascii="Arial" w:cs="Arial" w:eastAsia="Arial" w:hAnsi="Arial"/>
                <w:sz w:val="18"/>
                <w:szCs w:val="18"/>
                <w:color w:val="auto"/>
              </w:rPr>
              <w:t>(43,243)</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2"/>
          </w:tcPr>
          <w:p>
            <w:pPr>
              <w:jc w:val="right"/>
              <w:ind w:right="640"/>
              <w:spacing w:after="0"/>
              <w:rPr>
                <w:sz w:val="20"/>
                <w:szCs w:val="20"/>
                <w:color w:val="auto"/>
              </w:rPr>
            </w:pPr>
            <w:r>
              <w:rPr>
                <w:rFonts w:ascii="Arial" w:cs="Arial" w:eastAsia="Arial" w:hAnsi="Arial"/>
                <w:sz w:val="18"/>
                <w:szCs w:val="18"/>
                <w:color w:val="auto"/>
              </w:rPr>
              <w:t>(42,955)</w:t>
            </w:r>
          </w:p>
        </w:tc>
      </w:tr>
      <w:tr>
        <w:trPr>
          <w:trHeight w:val="202"/>
        </w:trPr>
        <w:tc>
          <w:tcPr>
            <w:tcW w:w="32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Net noncurrent deferred tax</w:t>
            </w:r>
          </w:p>
        </w:tc>
        <w:tc>
          <w:tcPr>
            <w:tcW w:w="3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7"/>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1,427</w:t>
            </w: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2,197</w:t>
            </w:r>
          </w:p>
        </w:tc>
      </w:tr>
      <w:tr>
        <w:trPr>
          <w:trHeight w:val="216"/>
        </w:trPr>
        <w:tc>
          <w:tcPr>
            <w:tcW w:w="3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220" w:type="dxa"/>
            <w:vAlign w:val="bottom"/>
          </w:tcPr>
          <w:p>
            <w:pPr>
              <w:ind w:left="160"/>
              <w:spacing w:after="0"/>
              <w:rPr>
                <w:sz w:val="20"/>
                <w:szCs w:val="20"/>
                <w:color w:val="auto"/>
              </w:rPr>
            </w:pPr>
            <w:r>
              <w:rPr>
                <w:rFonts w:ascii="Arial" w:cs="Arial" w:eastAsia="Arial" w:hAnsi="Arial"/>
                <w:sz w:val="18"/>
                <w:szCs w:val="18"/>
                <w:color w:val="auto"/>
              </w:rPr>
              <w:t>Acquired intangibles</w:t>
            </w:r>
          </w:p>
        </w:tc>
        <w:tc>
          <w:tcPr>
            <w:tcW w:w="360" w:type="dxa"/>
            <w:vAlign w:val="bottom"/>
          </w:tcPr>
          <w:p>
            <w:pPr>
              <w:spacing w:after="0"/>
              <w:rPr>
                <w:sz w:val="18"/>
                <w:szCs w:val="18"/>
                <w:color w:val="auto"/>
              </w:rPr>
            </w:pPr>
          </w:p>
        </w:tc>
        <w:tc>
          <w:tcPr>
            <w:tcW w:w="2040" w:type="dxa"/>
            <w:vAlign w:val="bottom"/>
            <w:gridSpan w:val="2"/>
          </w:tcPr>
          <w:p>
            <w:pPr>
              <w:jc w:val="right"/>
              <w:ind w:right="680"/>
              <w:spacing w:after="0"/>
              <w:rPr>
                <w:sz w:val="20"/>
                <w:szCs w:val="20"/>
                <w:color w:val="auto"/>
              </w:rPr>
            </w:pPr>
            <w:r>
              <w:rPr>
                <w:rFonts w:ascii="Arial" w:cs="Arial" w:eastAsia="Arial" w:hAnsi="Arial"/>
                <w:sz w:val="18"/>
                <w:szCs w:val="18"/>
                <w:color w:val="auto"/>
              </w:rPr>
              <w:t>(1,347)</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640"/>
              <w:spacing w:after="0"/>
              <w:rPr>
                <w:sz w:val="20"/>
                <w:szCs w:val="20"/>
                <w:color w:val="auto"/>
              </w:rPr>
            </w:pPr>
            <w:r>
              <w:rPr>
                <w:rFonts w:ascii="Arial" w:cs="Arial" w:eastAsia="Arial" w:hAnsi="Arial"/>
                <w:sz w:val="18"/>
                <w:szCs w:val="18"/>
                <w:color w:val="auto"/>
              </w:rPr>
              <w:t>(2,089)</w:t>
            </w:r>
          </w:p>
        </w:tc>
      </w:tr>
      <w:tr>
        <w:trPr>
          <w:trHeight w:val="216"/>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(316)</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(248)</w:t>
            </w:r>
          </w:p>
        </w:tc>
      </w:tr>
      <w:tr>
        <w:trPr>
          <w:trHeight w:val="223"/>
        </w:trPr>
        <w:tc>
          <w:tcPr>
            <w:tcW w:w="3220" w:type="dxa"/>
            <w:vAlign w:val="bottom"/>
          </w:tcPr>
          <w:p>
            <w:pPr>
              <w:ind w:left="220"/>
              <w:spacing w:after="0"/>
              <w:rPr>
                <w:sz w:val="20"/>
                <w:szCs w:val="20"/>
                <w:color w:val="auto"/>
              </w:rPr>
            </w:pPr>
            <w:r>
              <w:rPr>
                <w:rFonts w:ascii="Arial" w:cs="Arial" w:eastAsia="Arial" w:hAnsi="Arial"/>
                <w:sz w:val="18"/>
                <w:szCs w:val="18"/>
                <w:color w:val="auto"/>
              </w:rPr>
              <w:t>Fixed assets</w:t>
            </w:r>
          </w:p>
        </w:tc>
        <w:tc>
          <w:tcPr>
            <w:tcW w:w="360" w:type="dxa"/>
            <w:vAlign w:val="bottom"/>
          </w:tcPr>
          <w:p>
            <w:pPr>
              <w:spacing w:after="0"/>
              <w:rPr>
                <w:sz w:val="19"/>
                <w:szCs w:val="19"/>
                <w:color w:val="auto"/>
              </w:rPr>
            </w:pPr>
          </w:p>
        </w:tc>
        <w:tc>
          <w:tcPr>
            <w:tcW w:w="2040" w:type="dxa"/>
            <w:vAlign w:val="bottom"/>
            <w:gridSpan w:val="2"/>
          </w:tcPr>
          <w:p>
            <w:pPr>
              <w:jc w:val="right"/>
              <w:ind w:right="680"/>
              <w:spacing w:after="0"/>
              <w:rPr>
                <w:sz w:val="20"/>
                <w:szCs w:val="20"/>
                <w:color w:val="auto"/>
              </w:rPr>
            </w:pPr>
            <w:r>
              <w:rPr>
                <w:rFonts w:ascii="Arial" w:cs="Arial" w:eastAsia="Arial" w:hAnsi="Arial"/>
                <w:sz w:val="18"/>
                <w:szCs w:val="18"/>
                <w:color w:val="auto"/>
              </w:rPr>
              <w:t>(138)</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r>
      <w:tr>
        <w:trPr>
          <w:trHeight w:val="202"/>
        </w:trPr>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noncurrent deferred tax</w:t>
            </w:r>
          </w:p>
        </w:tc>
        <w:tc>
          <w:tcPr>
            <w:tcW w:w="3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7"/>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6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(1,801)</w:t>
            </w: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(2,337)</w:t>
            </w:r>
          </w:p>
        </w:tc>
      </w:tr>
      <w:tr>
        <w:trPr>
          <w:trHeight w:val="216"/>
        </w:trPr>
        <w:tc>
          <w:tcPr>
            <w:tcW w:w="3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r>
      <w:tr>
        <w:trPr>
          <w:trHeight w:val="202"/>
        </w:trPr>
        <w:tc>
          <w:tcPr>
            <w:tcW w:w="32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Net current deferred tax asset</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71"/>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(liability)</w:t>
            </w:r>
          </w:p>
        </w:tc>
        <w:tc>
          <w:tcPr>
            <w:tcW w:w="36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59</w:t>
            </w:r>
          </w:p>
        </w:tc>
        <w:tc>
          <w:tcPr>
            <w:tcW w:w="6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(84)</w:t>
            </w:r>
          </w:p>
        </w:tc>
      </w:tr>
      <w:tr>
        <w:trPr>
          <w:trHeight w:val="195"/>
        </w:trPr>
        <w:tc>
          <w:tcPr>
            <w:tcW w:w="3220" w:type="dxa"/>
            <w:vAlign w:val="bottom"/>
            <w:tcBorders>
              <w:top w:val="single" w:sz="8" w:color="CCEEFF"/>
            </w:tcBorders>
          </w:tcPr>
          <w:p>
            <w:pPr>
              <w:ind w:left="80"/>
              <w:spacing w:after="0" w:line="195" w:lineRule="exact"/>
              <w:rPr>
                <w:sz w:val="20"/>
                <w:szCs w:val="20"/>
                <w:color w:val="auto"/>
              </w:rPr>
            </w:pPr>
            <w:r>
              <w:rPr>
                <w:rFonts w:ascii="Arial" w:cs="Arial" w:eastAsia="Arial" w:hAnsi="Arial"/>
                <w:sz w:val="18"/>
                <w:szCs w:val="18"/>
                <w:color w:val="auto"/>
              </w:rPr>
              <w:t>Net noncurrent deferred tax</w:t>
            </w:r>
          </w:p>
        </w:tc>
        <w:tc>
          <w:tcPr>
            <w:tcW w:w="3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liability</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2040" w:type="dxa"/>
            <w:vAlign w:val="bottom"/>
            <w:gridSpan w:val="2"/>
          </w:tcPr>
          <w:p>
            <w:pPr>
              <w:jc w:val="right"/>
              <w:ind w:right="680"/>
              <w:spacing w:after="0"/>
              <w:rPr>
                <w:sz w:val="20"/>
                <w:szCs w:val="20"/>
                <w:color w:val="auto"/>
              </w:rPr>
            </w:pPr>
            <w:r>
              <w:rPr>
                <w:rFonts w:ascii="Arial" w:cs="Arial" w:eastAsia="Arial" w:hAnsi="Arial"/>
                <w:sz w:val="18"/>
                <w:szCs w:val="18"/>
                <w:color w:val="auto"/>
              </w:rPr>
              <w:t>(374)</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640"/>
              <w:spacing w:after="0"/>
              <w:rPr>
                <w:sz w:val="20"/>
                <w:szCs w:val="20"/>
                <w:color w:val="auto"/>
              </w:rPr>
            </w:pPr>
            <w:r>
              <w:rPr>
                <w:rFonts w:ascii="Arial" w:cs="Arial" w:eastAsia="Arial" w:hAnsi="Arial"/>
                <w:sz w:val="18"/>
                <w:szCs w:val="18"/>
                <w:color w:val="auto"/>
              </w:rPr>
              <w:t>(140)</w:t>
            </w:r>
          </w:p>
        </w:tc>
      </w:tr>
      <w:tr>
        <w:trPr>
          <w:trHeight w:val="21"/>
        </w:trPr>
        <w:tc>
          <w:tcPr>
            <w:tcW w:w="3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At December 31, 2013, we had federal net operating loss carryforwards of approximately $116,480, research and development credit carryforwards of approximately $4,868 and alternative minimum tax credit carryforwards of approximately $161. The net operating loss and research and development credit carryforwards will expire in varying amounts from 2018 through 2034, if not utilized. Minimum tax credit carryforwards carry forward indefinitely.</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our various acquisitions in prior years, we may be subject to a substantial annual limitation in the utilization of the net operating losses and credit carryforwards due to the “change in ownership” provisions of the Internal Revenue Code of 1986. The annual limitation may result in the expiration of net operating losses before utilization.</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uncertainty surrounding the timing of realizing the benefits of its favorable tax attributes in future tax returns, we have placed a valuation allowance against our net deferred tax assets, exclusive of goodwill. During 2013, the valuation allowance increased by approximately $286 due primarily to operations, including expiration of tax carryforwards. Approximately $8,251 of the valuation allowance relates to tax benefits for stock option deductions included in our net operating loss carryforward which we will allocate, if and when realized, directly to contributed capital to the extent the benefits exceed amounts attributable to book deferred compensation expense.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consider undistributed earnings of our foreign subsidiaries as permanently reinvested and, accordingly, we have made no provision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or state income taxes thereon.</w:t>
      </w:r>
    </w:p>
    <w:p>
      <w:pPr>
        <w:sectPr>
          <w:pgSz w:w="11900" w:h="16838" w:orient="portrait"/>
          <w:cols w:equalWidth="0" w:num="1">
            <w:col w:w="11420"/>
          </w:cols>
          <w:pgMar w:left="240" w:top="122" w:right="23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provision for income taxes attributable to continuing operations differs from the expected tax expense (benefit) amount computed by applying the statutory federal income tax rate of 34% to income before income taxes as a result of the following:</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For 2013</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For 2012</w:t>
            </w:r>
          </w:p>
        </w:tc>
      </w:tr>
      <w:tr>
        <w:trPr>
          <w:trHeight w:val="216"/>
        </w:trPr>
        <w:tc>
          <w:tcPr>
            <w:tcW w:w="5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Computed at statutory rate</w:t>
            </w:r>
          </w:p>
        </w:tc>
        <w:tc>
          <w:tcPr>
            <w:tcW w:w="11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(525)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(934)</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 and other</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Credit carryforwards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667</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taxed at different rates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Tax carryforwards not benefitted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r>
      <w:tr>
        <w:trPr>
          <w:trHeight w:val="27"/>
        </w:trPr>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5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w:t>
            </w:r>
          </w:p>
        </w:tc>
      </w:tr>
      <w:tr>
        <w:trPr>
          <w:trHeight w:val="20"/>
        </w:trPr>
        <w:tc>
          <w:tcPr>
            <w:tcW w:w="5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amount of unrecognized tax benefits as of January 1, 2013 was approximately $1,195. The reconciliation of our unrecognized tax benefits at the beginning and end of the year is as follows:</w:t>
      </w:r>
    </w:p>
    <w:p>
      <w:pPr>
        <w:spacing w:after="0" w:line="21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2013</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r>
      <w:tr>
        <w:trPr>
          <w:trHeight w:val="223"/>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5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7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 2013</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120" w:type="dxa"/>
            <w:vAlign w:val="bottom"/>
            <w:tcBorders>
              <w:top w:val="single" w:sz="8" w:color="CCEEFF"/>
            </w:tcBorders>
          </w:tcPr>
          <w:p>
            <w:pPr>
              <w:spacing w:after="0"/>
              <w:rPr>
                <w:sz w:val="18"/>
                <w:szCs w:val="18"/>
                <w:color w:val="auto"/>
              </w:rPr>
            </w:pPr>
          </w:p>
        </w:tc>
      </w:tr>
      <w:tr>
        <w:trPr>
          <w:trHeight w:val="21"/>
        </w:trPr>
        <w:tc>
          <w:tcPr>
            <w:tcW w:w="7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2013, we had $1,252 of unrecognized tax benefits, which would affect the effective tax rate if recognized. The Company’s assessment of its unrecognized tax benefits is subject to change as a function of the Company’s financial statement audit.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During 2013, we recognized $6 of interest and penalties in our income tax expense.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Asure files tax returns in the U.S. federal jurisdiction and in several state and foreign jurisdictions. We are no longer subject to U.S. federal income tax examinations for years ending before July 31, 2010 and are no longer subject to state and local or foreign income tax examinations by tax authorities for years ending before July 31, 2009. Asure is not currently under audit for federal, state or any foreign jurisdictions.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Asure’s future minimum lease payments under all operating and capital leases as of December 31, 2013 are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OPERATING</w:t>
            </w:r>
          </w:p>
        </w:tc>
        <w:tc>
          <w:tcPr>
            <w:tcW w:w="12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CAPITAL</w:t>
            </w:r>
          </w:p>
        </w:tc>
      </w:tr>
      <w:tr>
        <w:trPr>
          <w:trHeight w:val="216"/>
        </w:trPr>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LEASE</w:t>
            </w:r>
          </w:p>
        </w:tc>
        <w:tc>
          <w:tcPr>
            <w:tcW w:w="12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LEASE</w:t>
            </w:r>
          </w:p>
        </w:tc>
      </w:tr>
      <w:tr>
        <w:trPr>
          <w:trHeight w:val="241"/>
        </w:trPr>
        <w:tc>
          <w:tcPr>
            <w:tcW w:w="496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CALENDAR YEAR ENDING:</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OBLIGATIONS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OBLIGATIONS</w:t>
            </w:r>
          </w:p>
        </w:tc>
        <w:tc>
          <w:tcPr>
            <w:tcW w:w="100" w:type="dxa"/>
            <w:vAlign w:val="bottom"/>
          </w:tcPr>
          <w:p>
            <w:pPr>
              <w:spacing w:after="0"/>
              <w:rPr>
                <w:sz w:val="20"/>
                <w:szCs w:val="20"/>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1,240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399</w:t>
            </w:r>
          </w:p>
        </w:tc>
      </w:tr>
      <w:tr>
        <w:trPr>
          <w:trHeight w:val="21"/>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Less current portion of obligations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obligations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r>
      <w:tr>
        <w:trPr>
          <w:trHeight w:val="20"/>
        </w:trPr>
        <w:tc>
          <w:tcPr>
            <w:tcW w:w="4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rent expense under all operating leases for 2013 and 2012 were $671 and $589, respectively. For 2013 and 2012, approximately 45.1% and 51.0%, respectively, of our total operating lease obligations relates to our corporate office facility at Wild Basin in Austin, Texas.</w:t>
      </w:r>
    </w:p>
    <w:p>
      <w:pPr>
        <w:sectPr>
          <w:pgSz w:w="11900" w:h="16838" w:orient="portrait"/>
          <w:cols w:equalWidth="0" w:num="1">
            <w:col w:w="11420"/>
          </w:cols>
          <w:pgMar w:left="240" w:top="122"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February 2014, we reached an agreement to settle all claims and dismiss all pending litigation with PeopleCube Holding B.V. and Meeting Maker Holding B.V., the sellers of the capital stock of Meeting Maker – United States, Inc. (dba PeopleCube) that we purchased in July 2012.</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settlement agreement, the parties agreed to dismiss the litigation and we settled the remaining balance due by us of $2,500 on the Subordinated Notes Payable: PeopleCube Acquisition Note for $1,700. Separately, our insurance carrier agreed to pay us $500 in conjunction with the settlement. With the insurance proceeds and after offsetting any related litigation costs incurred in 2014, we expect to record a net gain of approximately $1,000 on the settlement in the first quarter of 2014. We paid this note in full in 2014. Finally, as part of the original purchase price in the Meeting Maker acquisition, we issued 255,000 shares of our common stock subject to a lockup expiring as to 125,000 shares in June 2013 and 130,000 shares in June 2014. This settlement also removed the lockup for the remaining 130,000 shares.</w:t>
      </w:r>
    </w:p>
    <w:p>
      <w:pPr>
        <w:spacing w:after="0" w:line="22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March 2014, we entered into a Credit Agreement with Wells Fargo Bank, National Association, as administrative agent, and the lenders that are party thereto.</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Credit Agreement provides for a term loan in the amount of $15,000. The term loan will mature in March 2019. The outstanding principal amount of the term loan is payable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jc w:val="right"/>
              <w:ind w:right="860"/>
              <w:spacing w:after="0"/>
              <w:rPr>
                <w:sz w:val="20"/>
                <w:szCs w:val="20"/>
                <w:color w:val="auto"/>
              </w:rPr>
            </w:pPr>
            <w:r>
              <w:rPr>
                <w:rFonts w:ascii="Arial" w:cs="Arial" w:eastAsia="Arial" w:hAnsi="Arial"/>
                <w:sz w:val="16"/>
                <w:szCs w:val="16"/>
                <w:color w:val="auto"/>
                <w:w w:val="74"/>
              </w:rPr>
              <w:t>·</w:t>
            </w:r>
          </w:p>
        </w:tc>
        <w:tc>
          <w:tcPr>
            <w:tcW w:w="2940" w:type="dxa"/>
            <w:vAlign w:val="bottom"/>
            <w:gridSpan w:val="2"/>
          </w:tcPr>
          <w:p>
            <w:pPr>
              <w:ind w:left="960"/>
              <w:spacing w:after="0"/>
              <w:rPr>
                <w:sz w:val="20"/>
                <w:szCs w:val="20"/>
                <w:color w:val="auto"/>
              </w:rPr>
            </w:pPr>
            <w:r>
              <w:rPr>
                <w:rFonts w:ascii="Arial" w:cs="Arial" w:eastAsia="Arial" w:hAnsi="Arial"/>
                <w:sz w:val="18"/>
                <w:szCs w:val="18"/>
                <w:color w:val="auto"/>
                <w:w w:val="89"/>
              </w:rPr>
              <w:t>$188 on June 30, 2014 and</w:t>
            </w:r>
          </w:p>
        </w:tc>
        <w:tc>
          <w:tcPr>
            <w:tcW w:w="5120" w:type="dxa"/>
            <w:vAlign w:val="bottom"/>
          </w:tcPr>
          <w:p>
            <w:pPr>
              <w:ind w:left="40"/>
              <w:spacing w:after="0"/>
              <w:rPr>
                <w:sz w:val="20"/>
                <w:szCs w:val="20"/>
                <w:color w:val="auto"/>
              </w:rPr>
            </w:pPr>
            <w:r>
              <w:rPr>
                <w:rFonts w:ascii="Arial" w:cs="Arial" w:eastAsia="Arial" w:hAnsi="Arial"/>
                <w:sz w:val="18"/>
                <w:szCs w:val="18"/>
                <w:color w:val="auto"/>
                <w:w w:val="96"/>
              </w:rPr>
              <w:t>the last day of each fiscal quarter thereafter up to March 31, 2016;</w:t>
            </w:r>
          </w:p>
        </w:tc>
      </w:tr>
      <w:tr>
        <w:trPr>
          <w:trHeight w:val="216"/>
        </w:trPr>
        <w:tc>
          <w:tcPr>
            <w:tcW w:w="1000" w:type="dxa"/>
            <w:vAlign w:val="bottom"/>
          </w:tcPr>
          <w:p>
            <w:pPr>
              <w:jc w:val="right"/>
              <w:ind w:right="860"/>
              <w:spacing w:after="0"/>
              <w:rPr>
                <w:sz w:val="20"/>
                <w:szCs w:val="20"/>
                <w:color w:val="auto"/>
              </w:rPr>
            </w:pPr>
            <w:r>
              <w:rPr>
                <w:rFonts w:ascii="Arial" w:cs="Arial" w:eastAsia="Arial" w:hAnsi="Arial"/>
                <w:sz w:val="16"/>
                <w:szCs w:val="16"/>
                <w:color w:val="auto"/>
                <w:w w:val="74"/>
              </w:rPr>
              <w:t>·</w:t>
            </w:r>
          </w:p>
        </w:tc>
        <w:tc>
          <w:tcPr>
            <w:tcW w:w="2200" w:type="dxa"/>
            <w:vAlign w:val="bottom"/>
          </w:tcPr>
          <w:p>
            <w:pPr>
              <w:ind w:left="960"/>
              <w:spacing w:after="0"/>
              <w:rPr>
                <w:sz w:val="20"/>
                <w:szCs w:val="20"/>
                <w:color w:val="auto"/>
              </w:rPr>
            </w:pPr>
            <w:r>
              <w:rPr>
                <w:rFonts w:ascii="Arial" w:cs="Arial" w:eastAsia="Arial" w:hAnsi="Arial"/>
                <w:sz w:val="18"/>
                <w:szCs w:val="18"/>
                <w:color w:val="auto"/>
                <w:w w:val="87"/>
              </w:rPr>
              <w:t>$281 on June 30,</w:t>
            </w:r>
          </w:p>
        </w:tc>
        <w:tc>
          <w:tcPr>
            <w:tcW w:w="740" w:type="dxa"/>
            <w:vAlign w:val="bottom"/>
          </w:tcPr>
          <w:p>
            <w:pPr>
              <w:ind w:left="20"/>
              <w:spacing w:after="0"/>
              <w:rPr>
                <w:sz w:val="20"/>
                <w:szCs w:val="20"/>
                <w:color w:val="auto"/>
              </w:rPr>
            </w:pPr>
            <w:r>
              <w:rPr>
                <w:rFonts w:ascii="Arial" w:cs="Arial" w:eastAsia="Arial" w:hAnsi="Arial"/>
                <w:sz w:val="18"/>
                <w:szCs w:val="18"/>
                <w:color w:val="auto"/>
                <w:w w:val="93"/>
              </w:rPr>
              <w:t>2016 and</w:t>
            </w:r>
          </w:p>
        </w:tc>
        <w:tc>
          <w:tcPr>
            <w:tcW w:w="5120" w:type="dxa"/>
            <w:vAlign w:val="bottom"/>
          </w:tcPr>
          <w:p>
            <w:pPr>
              <w:ind w:left="40"/>
              <w:spacing w:after="0"/>
              <w:rPr>
                <w:sz w:val="20"/>
                <w:szCs w:val="20"/>
                <w:color w:val="auto"/>
              </w:rPr>
            </w:pPr>
            <w:r>
              <w:rPr>
                <w:rFonts w:ascii="Arial" w:cs="Arial" w:eastAsia="Arial" w:hAnsi="Arial"/>
                <w:sz w:val="18"/>
                <w:szCs w:val="18"/>
                <w:color w:val="auto"/>
                <w:w w:val="90"/>
              </w:rPr>
              <w:t>the last day of each fiscal quarter thereafter up to March 31, 2017; and</w:t>
            </w:r>
          </w:p>
        </w:tc>
      </w:tr>
      <w:tr>
        <w:trPr>
          <w:trHeight w:val="230"/>
        </w:trPr>
        <w:tc>
          <w:tcPr>
            <w:tcW w:w="1000" w:type="dxa"/>
            <w:vAlign w:val="bottom"/>
          </w:tcPr>
          <w:p>
            <w:pPr>
              <w:jc w:val="right"/>
              <w:ind w:right="860"/>
              <w:spacing w:after="0"/>
              <w:rPr>
                <w:sz w:val="20"/>
                <w:szCs w:val="20"/>
                <w:color w:val="auto"/>
              </w:rPr>
            </w:pPr>
            <w:r>
              <w:rPr>
                <w:rFonts w:ascii="Arial" w:cs="Arial" w:eastAsia="Arial" w:hAnsi="Arial"/>
                <w:sz w:val="16"/>
                <w:szCs w:val="16"/>
                <w:color w:val="auto"/>
                <w:w w:val="74"/>
              </w:rPr>
              <w:t>·</w:t>
            </w:r>
          </w:p>
        </w:tc>
        <w:tc>
          <w:tcPr>
            <w:tcW w:w="2200" w:type="dxa"/>
            <w:vAlign w:val="bottom"/>
          </w:tcPr>
          <w:p>
            <w:pPr>
              <w:ind w:left="960"/>
              <w:spacing w:after="0"/>
              <w:rPr>
                <w:sz w:val="20"/>
                <w:szCs w:val="20"/>
                <w:color w:val="auto"/>
              </w:rPr>
            </w:pPr>
            <w:r>
              <w:rPr>
                <w:rFonts w:ascii="Arial" w:cs="Arial" w:eastAsia="Arial" w:hAnsi="Arial"/>
                <w:sz w:val="18"/>
                <w:szCs w:val="18"/>
                <w:color w:val="auto"/>
                <w:w w:val="87"/>
              </w:rPr>
              <w:t>$375 on June 30,</w:t>
            </w: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2017 and the last day of each fiscal quarter thereafter.</w:t>
            </w:r>
          </w:p>
        </w:tc>
      </w:tr>
    </w:tbl>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March 2014, we used the proceeds of the term loan to finance the repayment of all amounts outstanding under our loan agreement with Deerpath Funding, LP (“Deerpath”) and the payment of certain fees, cost and expenses related to the Credit Agreement. The Deerpath loan bore interest at a floating annual rate equal to LIBOR plus 8.0%, subject to a LIBOR floor of 9.5%, or a minimum of 11.5%. We expect to incur, in the first quarter of 2014, a one-time charge of approximately $1,400 in connection with the refinancing, of which approximately $700 is non-cash deferred financing costs.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also provides for a revolving loan commitment in the aggregate amount of up to $3,000. The outstanding principal amount of the revolving loan is due and payable in March 2019. Additionally, the Credit Agreement provides for a $10,000 uncommitted incremental term loan facility to support permitted acquisitions.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term loan and revolving loan will bear interest, at our option, at (i) the greater of 1% or LIBOR, plus an applicable margin or (ii) a base rate (as defined in the Credit Agreement) plus an applicable margin. We have elected to use the Libor rate plus the applicable margin, which is 5% for the first six months. Interest is payable monthly and the margin varies based upon our leverage ratio. See table below of applicable margin rates.</w:t>
      </w:r>
    </w:p>
    <w:p>
      <w:pPr>
        <w:spacing w:after="0" w:line="187" w:lineRule="exact"/>
        <w:rPr>
          <w:sz w:val="20"/>
          <w:szCs w:val="20"/>
          <w:color w:val="auto"/>
        </w:rPr>
      </w:pPr>
    </w:p>
    <w:tbl>
      <w:tblPr>
        <w:tblLayout w:type="fixed"/>
        <w:tblInd w:w="2310" w:type="dxa"/>
        <w:tblCellMar>
          <w:top w:w="0" w:type="dxa"/>
          <w:left w:w="0" w:type="dxa"/>
          <w:bottom w:w="0" w:type="dxa"/>
          <w:right w:w="0" w:type="dxa"/>
        </w:tblCellMar>
      </w:tblPr>
      <w:tr>
        <w:trPr>
          <w:trHeight w:val="267"/>
        </w:trPr>
        <w:tc>
          <w:tcPr>
            <w:tcW w:w="120" w:type="dxa"/>
            <w:vAlign w:val="bottom"/>
            <w:tcBorders>
              <w:top w:val="single" w:sz="8" w:color="auto"/>
              <w:left w:val="single" w:sz="8" w:color="auto"/>
              <w:bottom w:val="single" w:sz="8" w:color="auto"/>
            </w:tcBorders>
          </w:tcPr>
          <w:p>
            <w:pPr>
              <w:spacing w:after="0"/>
              <w:rPr>
                <w:sz w:val="23"/>
                <w:szCs w:val="23"/>
                <w:color w:val="auto"/>
              </w:rPr>
            </w:pPr>
          </w:p>
        </w:tc>
        <w:tc>
          <w:tcPr>
            <w:tcW w:w="262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Total Leverage Ratio</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Base Rate Margin</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LIBOR Rate Margin</w:t>
            </w:r>
          </w:p>
        </w:tc>
      </w:tr>
      <w:tr>
        <w:trPr>
          <w:trHeight w:val="207"/>
        </w:trPr>
        <w:tc>
          <w:tcPr>
            <w:tcW w:w="2740" w:type="dxa"/>
            <w:vAlign w:val="bottom"/>
            <w:tcBorders>
              <w:left w:val="single" w:sz="8" w:color="auto"/>
              <w:bottom w:val="single" w:sz="8" w:color="auto"/>
              <w:right w:val="single" w:sz="8" w:color="auto"/>
            </w:tcBorders>
            <w:gridSpan w:val="2"/>
          </w:tcPr>
          <w:p>
            <w:pPr>
              <w:ind w:left="20"/>
              <w:spacing w:after="0" w:line="200" w:lineRule="exact"/>
              <w:rPr>
                <w:sz w:val="20"/>
                <w:szCs w:val="20"/>
                <w:color w:val="auto"/>
              </w:rPr>
            </w:pPr>
            <w:r>
              <w:rPr>
                <w:rFonts w:ascii="Arial" w:cs="Arial" w:eastAsia="Arial" w:hAnsi="Arial"/>
                <w:sz w:val="18"/>
                <w:szCs w:val="18"/>
                <w:color w:val="auto"/>
              </w:rPr>
              <w:t>&gt; 2.75:1.0</w:t>
            </w:r>
          </w:p>
        </w:tc>
        <w:tc>
          <w:tcPr>
            <w:tcW w:w="2040" w:type="dxa"/>
            <w:vAlign w:val="bottom"/>
            <w:tcBorders>
              <w:bottom w:val="single" w:sz="8" w:color="auto"/>
              <w:right w:val="single" w:sz="8" w:color="auto"/>
            </w:tcBorders>
          </w:tcPr>
          <w:p>
            <w:pPr>
              <w:jc w:val="center"/>
              <w:ind w:right="10"/>
              <w:spacing w:after="0" w:line="200" w:lineRule="exact"/>
              <w:rPr>
                <w:sz w:val="20"/>
                <w:szCs w:val="20"/>
                <w:color w:val="auto"/>
              </w:rPr>
            </w:pPr>
            <w:r>
              <w:rPr>
                <w:rFonts w:ascii="Arial" w:cs="Arial" w:eastAsia="Arial" w:hAnsi="Arial"/>
                <w:sz w:val="18"/>
                <w:szCs w:val="18"/>
                <w:color w:val="auto"/>
                <w:w w:val="90"/>
              </w:rPr>
              <w:t>3.00%</w:t>
            </w:r>
          </w:p>
        </w:tc>
        <w:tc>
          <w:tcPr>
            <w:tcW w:w="2060" w:type="dxa"/>
            <w:vAlign w:val="bottom"/>
            <w:tcBorders>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90"/>
              </w:rPr>
              <w:t>4.00%</w:t>
            </w:r>
          </w:p>
        </w:tc>
      </w:tr>
      <w:tr>
        <w:trPr>
          <w:trHeight w:val="176"/>
        </w:trPr>
        <w:tc>
          <w:tcPr>
            <w:tcW w:w="2740" w:type="dxa"/>
            <w:vAlign w:val="bottom"/>
            <w:tcBorders>
              <w:left w:val="single" w:sz="8" w:color="auto"/>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rPr>
              <w:t>&lt; 2.75:1.0 but &gt; 2.25:1</w:t>
            </w:r>
          </w:p>
        </w:tc>
        <w:tc>
          <w:tcPr>
            <w:tcW w:w="2040" w:type="dxa"/>
            <w:vAlign w:val="bottom"/>
            <w:tcBorders>
              <w:right w:val="single" w:sz="8" w:color="auto"/>
            </w:tcBorders>
          </w:tcPr>
          <w:p>
            <w:pPr>
              <w:jc w:val="center"/>
              <w:ind w:right="10"/>
              <w:spacing w:after="0" w:line="176" w:lineRule="exact"/>
              <w:rPr>
                <w:sz w:val="20"/>
                <w:szCs w:val="20"/>
                <w:color w:val="auto"/>
              </w:rPr>
            </w:pPr>
            <w:r>
              <w:rPr>
                <w:rFonts w:ascii="Arial" w:cs="Arial" w:eastAsia="Arial" w:hAnsi="Arial"/>
                <w:sz w:val="18"/>
                <w:szCs w:val="18"/>
                <w:color w:val="auto"/>
                <w:w w:val="90"/>
              </w:rPr>
              <w:t>2.50%</w:t>
            </w:r>
          </w:p>
        </w:tc>
        <w:tc>
          <w:tcPr>
            <w:tcW w:w="20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3.50%</w:t>
            </w:r>
          </w:p>
        </w:tc>
      </w:tr>
      <w:tr>
        <w:trPr>
          <w:trHeight w:val="28"/>
        </w:trPr>
        <w:tc>
          <w:tcPr>
            <w:tcW w:w="120" w:type="dxa"/>
            <w:vAlign w:val="bottom"/>
            <w:tcBorders>
              <w:top w:val="single" w:sz="8" w:color="auto"/>
              <w:left w:val="single" w:sz="8" w:color="auto"/>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176"/>
        </w:trPr>
        <w:tc>
          <w:tcPr>
            <w:tcW w:w="2740" w:type="dxa"/>
            <w:vAlign w:val="bottom"/>
            <w:tcBorders>
              <w:left w:val="single" w:sz="8" w:color="auto"/>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rPr>
              <w:t>&lt; 2.25:1</w:t>
            </w:r>
          </w:p>
        </w:tc>
        <w:tc>
          <w:tcPr>
            <w:tcW w:w="2040" w:type="dxa"/>
            <w:vAlign w:val="bottom"/>
            <w:tcBorders>
              <w:right w:val="single" w:sz="8" w:color="auto"/>
            </w:tcBorders>
          </w:tcPr>
          <w:p>
            <w:pPr>
              <w:jc w:val="center"/>
              <w:ind w:right="10"/>
              <w:spacing w:after="0" w:line="176" w:lineRule="exact"/>
              <w:rPr>
                <w:sz w:val="20"/>
                <w:szCs w:val="20"/>
                <w:color w:val="auto"/>
              </w:rPr>
            </w:pPr>
            <w:r>
              <w:rPr>
                <w:rFonts w:ascii="Arial" w:cs="Arial" w:eastAsia="Arial" w:hAnsi="Arial"/>
                <w:sz w:val="18"/>
                <w:szCs w:val="18"/>
                <w:color w:val="auto"/>
                <w:w w:val="90"/>
              </w:rPr>
              <w:t>2.00%</w:t>
            </w:r>
          </w:p>
        </w:tc>
        <w:tc>
          <w:tcPr>
            <w:tcW w:w="20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3.00%</w:t>
            </w:r>
          </w:p>
        </w:tc>
      </w:tr>
      <w:tr>
        <w:trPr>
          <w:trHeight w:val="28"/>
        </w:trPr>
        <w:tc>
          <w:tcPr>
            <w:tcW w:w="120" w:type="dxa"/>
            <w:vAlign w:val="bottom"/>
            <w:tcBorders>
              <w:top w:val="single" w:sz="8" w:color="auto"/>
              <w:left w:val="single" w:sz="8" w:color="auto"/>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voluntarily prepay the principal amount outstanding under the revolving loan at any time without penalty or premium. We must pay a premium if we make a voluntary prepayment of outstanding principal under the term loan during the first two years following the closing date or if we are required to prepay outstanding principal under the Credit Agreement with proceeds resulting from certain asset sales or debt incurrence. The premium is 1% or 0.5% of the principal amount being prepaid depending on whether the prepayment occurs on or before the first anniversary of the closing date or subsequent to the first anniversary date through the second anniversary of the closing date. In addition, we are required to repay outstanding principal on an annual basis with 50% of excess cash flow, certain over advances, asset sale proceeds, debt proceeds, and proceeds from judgments and settlements.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Credit Agreement, we are required to maintain a fixed charge coverage ratio of not less than 1.5 to 1.0 beginning with the quarter ending June 30, 2014 and each calendar quarter thereafter, and a leverage ratio of not greater than 3.5 to 1.0 beginning with the quarter ending June 30, 2014 with the levels stepping down thereafter.</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Credit Agreement contains customary affirmative and negative covenants, including, among others, limitations with respect to debt, liens, fundamental changes, sale of assets, prepayment of debt, investments, dividends, and transactions with affiliates.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contains customary events of default, including, among others, payment defaults, covenant defaults, judgment defaults, bankruptcy and insolvency events, cross defaults to certain indebtedness, incorrect representations or warranties, and change of control. In some cases, the defaults are subject to customary notice and grace period provisions.</w:t>
      </w:r>
    </w:p>
    <w:p>
      <w:pPr>
        <w:spacing w:after="0" w:line="20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connection with the Credit Agreement, we and our wholly owned active subsidiaries entered into a Guaranty and Security Agreement, in March 2014, with Wells Fargo Bank. Under the Guaranty and Security Agreement, we and each of our wholly owned active subsidiaries have guaranteed all obligations under the Credit Agreement and granted a security interest in substantially all of our and our subsidiaries’ assets.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ASURE SOFTWARE, INC.</w:t>
      </w:r>
    </w:p>
    <w:p>
      <w:pPr>
        <w:spacing w:after="0" w:line="229" w:lineRule="exact"/>
        <w:rPr>
          <w:sz w:val="20"/>
          <w:szCs w:val="20"/>
          <w:color w:val="auto"/>
        </w:rPr>
      </w:pPr>
    </w:p>
    <w:p>
      <w:pPr>
        <w:spacing w:after="0"/>
        <w:tabs>
          <w:tab w:leader="none" w:pos="5040" w:val="left"/>
          <w:tab w:leader="none" w:pos="6180" w:val="left"/>
        </w:tabs>
        <w:rPr>
          <w:sz w:val="20"/>
          <w:szCs w:val="20"/>
          <w:color w:val="auto"/>
        </w:rPr>
      </w:pPr>
      <w:r>
        <w:rPr>
          <w:rFonts w:ascii="Arial" w:cs="Arial" w:eastAsia="Arial" w:hAnsi="Arial"/>
          <w:sz w:val="18"/>
          <w:szCs w:val="18"/>
          <w:color w:val="auto"/>
        </w:rPr>
        <w:t>March 27,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14605</wp:posOffset>
            </wp:positionV>
            <wp:extent cx="23583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58390" cy="17145"/>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4080" w:type="dxa"/>
            <w:vAlign w:val="bottom"/>
            <w:tcBorders>
              <w:bottom w:val="single" w:sz="8" w:color="auto"/>
            </w:tcBorders>
          </w:tcPr>
          <w:p>
            <w:pPr>
              <w:ind w:left="1840"/>
              <w:spacing w:after="0"/>
              <w:rPr>
                <w:sz w:val="20"/>
                <w:szCs w:val="20"/>
                <w:color w:val="auto"/>
              </w:rPr>
            </w:pPr>
            <w:r>
              <w:rPr>
                <w:rFonts w:ascii="Arial" w:cs="Arial" w:eastAsia="Arial" w:hAnsi="Arial"/>
                <w:sz w:val="18"/>
                <w:szCs w:val="18"/>
                <w:b w:val="1"/>
                <w:bCs w:val="1"/>
                <w:color w:val="auto"/>
              </w:rPr>
              <w:t>Title</w:t>
            </w:r>
          </w:p>
        </w:tc>
        <w:tc>
          <w:tcPr>
            <w:tcW w:w="240" w:type="dxa"/>
            <w:vAlign w:val="bottom"/>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39"/>
        </w:trPr>
        <w:tc>
          <w:tcPr>
            <w:tcW w:w="8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w:t>
            </w:r>
          </w:p>
        </w:tc>
        <w:tc>
          <w:tcPr>
            <w:tcW w:w="39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PATRICK GOEPEL</w:t>
            </w:r>
          </w:p>
        </w:tc>
        <w:tc>
          <w:tcPr>
            <w:tcW w:w="12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March 27, 2014</w:t>
            </w:r>
          </w:p>
        </w:tc>
      </w:tr>
      <w:tr>
        <w:trPr>
          <w:trHeight w:val="202"/>
        </w:trPr>
        <w:tc>
          <w:tcPr>
            <w:tcW w:w="800" w:type="dxa"/>
            <w:vAlign w:val="bottom"/>
          </w:tcPr>
          <w:p>
            <w:pPr>
              <w:spacing w:after="0"/>
              <w:rPr>
                <w:sz w:val="17"/>
                <w:szCs w:val="17"/>
                <w:color w:val="auto"/>
              </w:rPr>
            </w:pPr>
          </w:p>
        </w:tc>
        <w:tc>
          <w:tcPr>
            <w:tcW w:w="3920" w:type="dxa"/>
            <w:vAlign w:val="bottom"/>
          </w:tcPr>
          <w:p>
            <w:pPr>
              <w:ind w:left="400"/>
              <w:spacing w:after="0" w:line="201" w:lineRule="exact"/>
              <w:rPr>
                <w:sz w:val="20"/>
                <w:szCs w:val="20"/>
                <w:color w:val="auto"/>
              </w:rPr>
            </w:pPr>
            <w:r>
              <w:rPr>
                <w:rFonts w:ascii="Arial" w:cs="Arial" w:eastAsia="Arial" w:hAnsi="Arial"/>
                <w:sz w:val="18"/>
                <w:szCs w:val="18"/>
                <w:color w:val="auto"/>
              </w:rPr>
              <w:t>Patrick Goepel</w:t>
            </w:r>
          </w:p>
        </w:tc>
        <w:tc>
          <w:tcPr>
            <w:tcW w:w="1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rPr>
              <w:t>(Principal Executive Officer)</w:t>
            </w:r>
          </w:p>
        </w:tc>
        <w:tc>
          <w:tcPr>
            <w:tcW w:w="2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30"/>
        </w:trPr>
        <w:tc>
          <w:tcPr>
            <w:tcW w:w="8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and Director</w:t>
            </w: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39"/>
        </w:trPr>
        <w:tc>
          <w:tcPr>
            <w:tcW w:w="8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w:t>
            </w:r>
          </w:p>
        </w:tc>
        <w:tc>
          <w:tcPr>
            <w:tcW w:w="39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JENNIFER CROW</w:t>
            </w:r>
          </w:p>
        </w:tc>
        <w:tc>
          <w:tcPr>
            <w:tcW w:w="12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March 27, 2014</w:t>
            </w:r>
          </w:p>
        </w:tc>
      </w:tr>
      <w:tr>
        <w:trPr>
          <w:trHeight w:val="230"/>
        </w:trPr>
        <w:tc>
          <w:tcPr>
            <w:tcW w:w="800" w:type="dxa"/>
            <w:vAlign w:val="bottom"/>
          </w:tcPr>
          <w:p>
            <w:pPr>
              <w:spacing w:after="0"/>
              <w:rPr>
                <w:sz w:val="20"/>
                <w:szCs w:val="20"/>
                <w:color w:val="auto"/>
              </w:rPr>
            </w:pPr>
          </w:p>
        </w:tc>
        <w:tc>
          <w:tcPr>
            <w:tcW w:w="3920" w:type="dxa"/>
            <w:vAlign w:val="bottom"/>
          </w:tcPr>
          <w:p>
            <w:pPr>
              <w:ind w:left="400"/>
              <w:spacing w:after="0"/>
              <w:rPr>
                <w:sz w:val="20"/>
                <w:szCs w:val="20"/>
                <w:color w:val="auto"/>
              </w:rPr>
            </w:pPr>
            <w:r>
              <w:rPr>
                <w:rFonts w:ascii="Arial" w:cs="Arial" w:eastAsia="Arial" w:hAnsi="Arial"/>
                <w:sz w:val="18"/>
                <w:szCs w:val="18"/>
                <w:color w:val="auto"/>
              </w:rPr>
              <w:t>Jennifer Crow</w:t>
            </w:r>
          </w:p>
        </w:tc>
        <w:tc>
          <w:tcPr>
            <w:tcW w:w="1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25"/>
        </w:trPr>
        <w:tc>
          <w:tcPr>
            <w:tcW w:w="8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w:t>
            </w:r>
          </w:p>
        </w:tc>
        <w:tc>
          <w:tcPr>
            <w:tcW w:w="39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DAVID SANDBERG</w:t>
            </w:r>
          </w:p>
        </w:tc>
        <w:tc>
          <w:tcPr>
            <w:tcW w:w="12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Chairman of the Board</w:t>
            </w:r>
          </w:p>
        </w:tc>
        <w:tc>
          <w:tcPr>
            <w:tcW w:w="2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March 27, 2014</w:t>
            </w:r>
          </w:p>
        </w:tc>
      </w:tr>
      <w:tr>
        <w:trPr>
          <w:trHeight w:val="230"/>
        </w:trPr>
        <w:tc>
          <w:tcPr>
            <w:tcW w:w="800" w:type="dxa"/>
            <w:vAlign w:val="bottom"/>
          </w:tcPr>
          <w:p>
            <w:pPr>
              <w:spacing w:after="0"/>
              <w:rPr>
                <w:sz w:val="20"/>
                <w:szCs w:val="20"/>
                <w:color w:val="auto"/>
              </w:rPr>
            </w:pPr>
          </w:p>
        </w:tc>
        <w:tc>
          <w:tcPr>
            <w:tcW w:w="3920" w:type="dxa"/>
            <w:vAlign w:val="bottom"/>
          </w:tcPr>
          <w:p>
            <w:pPr>
              <w:ind w:left="400"/>
              <w:spacing w:after="0"/>
              <w:rPr>
                <w:sz w:val="20"/>
                <w:szCs w:val="20"/>
                <w:color w:val="auto"/>
              </w:rPr>
            </w:pPr>
            <w:r>
              <w:rPr>
                <w:rFonts w:ascii="Arial" w:cs="Arial" w:eastAsia="Arial" w:hAnsi="Arial"/>
                <w:sz w:val="18"/>
                <w:szCs w:val="18"/>
                <w:color w:val="auto"/>
              </w:rPr>
              <w:t>David Sandberg</w:t>
            </w:r>
          </w:p>
        </w:tc>
        <w:tc>
          <w:tcPr>
            <w:tcW w:w="1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25"/>
        </w:trPr>
        <w:tc>
          <w:tcPr>
            <w:tcW w:w="8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w:t>
            </w:r>
          </w:p>
        </w:tc>
        <w:tc>
          <w:tcPr>
            <w:tcW w:w="39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ADRIAN PERTIERRA</w:t>
            </w:r>
          </w:p>
        </w:tc>
        <w:tc>
          <w:tcPr>
            <w:tcW w:w="12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March 27, 2014</w:t>
            </w:r>
          </w:p>
        </w:tc>
      </w:tr>
      <w:tr>
        <w:trPr>
          <w:trHeight w:val="230"/>
        </w:trPr>
        <w:tc>
          <w:tcPr>
            <w:tcW w:w="800" w:type="dxa"/>
            <w:vAlign w:val="bottom"/>
          </w:tcPr>
          <w:p>
            <w:pPr>
              <w:spacing w:after="0"/>
              <w:rPr>
                <w:sz w:val="20"/>
                <w:szCs w:val="20"/>
                <w:color w:val="auto"/>
              </w:rPr>
            </w:pPr>
          </w:p>
        </w:tc>
        <w:tc>
          <w:tcPr>
            <w:tcW w:w="3920" w:type="dxa"/>
            <w:vAlign w:val="bottom"/>
          </w:tcPr>
          <w:p>
            <w:pPr>
              <w:ind w:left="400"/>
              <w:spacing w:after="0"/>
              <w:rPr>
                <w:sz w:val="20"/>
                <w:szCs w:val="20"/>
                <w:color w:val="auto"/>
              </w:rPr>
            </w:pPr>
            <w:r>
              <w:rPr>
                <w:rFonts w:ascii="Arial" w:cs="Arial" w:eastAsia="Arial" w:hAnsi="Arial"/>
                <w:sz w:val="18"/>
                <w:szCs w:val="18"/>
                <w:color w:val="auto"/>
              </w:rPr>
              <w:t>Adrian Pertierra</w:t>
            </w:r>
          </w:p>
        </w:tc>
        <w:tc>
          <w:tcPr>
            <w:tcW w:w="1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25"/>
        </w:trPr>
        <w:tc>
          <w:tcPr>
            <w:tcW w:w="8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w:t>
            </w:r>
          </w:p>
        </w:tc>
        <w:tc>
          <w:tcPr>
            <w:tcW w:w="39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J. RANDALL WATERFIELD</w:t>
            </w:r>
          </w:p>
        </w:tc>
        <w:tc>
          <w:tcPr>
            <w:tcW w:w="12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March 27, 2014</w:t>
            </w:r>
          </w:p>
        </w:tc>
      </w:tr>
      <w:tr>
        <w:trPr>
          <w:trHeight w:val="230"/>
        </w:trPr>
        <w:tc>
          <w:tcPr>
            <w:tcW w:w="800" w:type="dxa"/>
            <w:vAlign w:val="bottom"/>
          </w:tcPr>
          <w:p>
            <w:pPr>
              <w:spacing w:after="0"/>
              <w:rPr>
                <w:sz w:val="20"/>
                <w:szCs w:val="20"/>
                <w:color w:val="auto"/>
              </w:rPr>
            </w:pPr>
          </w:p>
        </w:tc>
        <w:tc>
          <w:tcPr>
            <w:tcW w:w="3920" w:type="dxa"/>
            <w:vAlign w:val="bottom"/>
          </w:tcPr>
          <w:p>
            <w:pPr>
              <w:ind w:left="400"/>
              <w:spacing w:after="0"/>
              <w:rPr>
                <w:sz w:val="20"/>
                <w:szCs w:val="20"/>
                <w:color w:val="auto"/>
              </w:rPr>
            </w:pPr>
            <w:r>
              <w:rPr>
                <w:rFonts w:ascii="Arial" w:cs="Arial" w:eastAsia="Arial" w:hAnsi="Arial"/>
                <w:sz w:val="18"/>
                <w:szCs w:val="18"/>
                <w:color w:val="auto"/>
              </w:rPr>
              <w:t>J. Randall Waterfield</w:t>
            </w:r>
          </w:p>
        </w:tc>
        <w:tc>
          <w:tcPr>
            <w:tcW w:w="1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25"/>
        </w:trPr>
        <w:tc>
          <w:tcPr>
            <w:tcW w:w="8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w:t>
            </w:r>
          </w:p>
        </w:tc>
        <w:tc>
          <w:tcPr>
            <w:tcW w:w="39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MATTHEW BEHRENT</w:t>
            </w:r>
          </w:p>
        </w:tc>
        <w:tc>
          <w:tcPr>
            <w:tcW w:w="12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March 27, 2014</w:t>
            </w:r>
          </w:p>
        </w:tc>
      </w:tr>
      <w:tr>
        <w:trPr>
          <w:trHeight w:val="230"/>
        </w:trPr>
        <w:tc>
          <w:tcPr>
            <w:tcW w:w="800" w:type="dxa"/>
            <w:vAlign w:val="bottom"/>
          </w:tcPr>
          <w:p>
            <w:pPr>
              <w:spacing w:after="0"/>
              <w:rPr>
                <w:sz w:val="20"/>
                <w:szCs w:val="20"/>
                <w:color w:val="auto"/>
              </w:rPr>
            </w:pPr>
          </w:p>
        </w:tc>
        <w:tc>
          <w:tcPr>
            <w:tcW w:w="3920" w:type="dxa"/>
            <w:vAlign w:val="bottom"/>
          </w:tcPr>
          <w:p>
            <w:pPr>
              <w:ind w:left="400"/>
              <w:spacing w:after="0"/>
              <w:rPr>
                <w:sz w:val="20"/>
                <w:szCs w:val="20"/>
                <w:color w:val="auto"/>
              </w:rPr>
            </w:pPr>
            <w:r>
              <w:rPr>
                <w:rFonts w:ascii="Arial" w:cs="Arial" w:eastAsia="Arial" w:hAnsi="Arial"/>
                <w:sz w:val="18"/>
                <w:szCs w:val="18"/>
                <w:color w:val="auto"/>
              </w:rPr>
              <w:t>Matthew Behrent</w:t>
            </w:r>
          </w:p>
        </w:tc>
        <w:tc>
          <w:tcPr>
            <w:tcW w:w="1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3"/>
        </w:trPr>
        <w:tc>
          <w:tcPr>
            <w:tcW w:w="8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200" w:type="dxa"/>
            <w:vAlign w:val="bottom"/>
            <w:gridSpan w:val="2"/>
          </w:tcPr>
          <w:p>
            <w:pPr>
              <w:jc w:val="right"/>
              <w:ind w:right="303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8"/>
        </w:trPr>
        <w:tc>
          <w:tcPr>
            <w:tcW w:w="800" w:type="dxa"/>
            <w:vAlign w:val="bottom"/>
            <w:tcBorders>
              <w:bottom w:val="single" w:sz="8" w:color="808080"/>
            </w:tcBorders>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rFonts w:ascii="Arial" w:cs="Arial" w:eastAsia="Arial" w:hAnsi="Arial"/>
                <w:sz w:val="14"/>
                <w:szCs w:val="14"/>
                <w:color w:val="0000EE"/>
                <w:w w:val="92"/>
              </w:rPr>
            </w:pPr>
            <w:hyperlink w:anchor="page3">
              <w:r>
                <w:rPr>
                  <w:rFonts w:ascii="Arial" w:cs="Arial" w:eastAsia="Arial" w:hAnsi="Arial"/>
                  <w:sz w:val="14"/>
                  <w:szCs w:val="14"/>
                  <w:color w:val="0000EE"/>
                  <w:w w:val="92"/>
                </w:rPr>
                <w:t>Table of Contents</w:t>
              </w:r>
            </w:hyperlink>
          </w:p>
        </w:tc>
        <w:tc>
          <w:tcPr>
            <w:tcW w:w="10380" w:type="dxa"/>
            <w:vAlign w:val="bottom"/>
          </w:tcPr>
          <w:p>
            <w:pPr>
              <w:spacing w:after="0"/>
              <w:rPr>
                <w:sz w:val="14"/>
                <w:szCs w:val="14"/>
                <w:color w:val="auto"/>
              </w:rPr>
            </w:pPr>
          </w:p>
        </w:tc>
      </w:tr>
      <w:tr>
        <w:trPr>
          <w:trHeight w:val="426"/>
        </w:trPr>
        <w:tc>
          <w:tcPr>
            <w:tcW w:w="10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380" w:type="dxa"/>
            <w:vAlign w:val="bottom"/>
          </w:tcPr>
          <w:p>
            <w:pPr>
              <w:ind w:left="3780"/>
              <w:spacing w:after="0"/>
              <w:rPr>
                <w:sz w:val="20"/>
                <w:szCs w:val="20"/>
                <w:color w:val="auto"/>
              </w:rPr>
            </w:pPr>
            <w:r>
              <w:rPr>
                <w:rFonts w:ascii="Arial" w:cs="Arial" w:eastAsia="Arial" w:hAnsi="Arial"/>
                <w:sz w:val="18"/>
                <w:szCs w:val="18"/>
                <w:b w:val="1"/>
                <w:bCs w:val="1"/>
                <w:color w:val="auto"/>
              </w:rPr>
              <w:t>INDEX TO EXHIBITS</w:t>
            </w:r>
          </w:p>
        </w:tc>
      </w:tr>
      <w:tr>
        <w:trPr>
          <w:trHeight w:val="41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380" w:type="dxa"/>
            <w:vAlign w:val="bottom"/>
          </w:tcPr>
          <w:p>
            <w:pPr>
              <w:spacing w:after="0"/>
              <w:rPr>
                <w:sz w:val="20"/>
                <w:szCs w:val="20"/>
                <w:color w:val="auto"/>
              </w:rPr>
            </w:pPr>
            <w:r>
              <w:rPr>
                <w:rFonts w:ascii="Arial" w:cs="Arial" w:eastAsia="Arial" w:hAnsi="Arial"/>
                <w:sz w:val="18"/>
                <w:szCs w:val="18"/>
                <w:b w:val="1"/>
                <w:bCs w:val="1"/>
                <w:color w:val="auto"/>
              </w:rPr>
              <w:t>DOCUMENT DESCRIPTION</w:t>
            </w:r>
          </w:p>
        </w:tc>
      </w:tr>
      <w:tr>
        <w:trPr>
          <w:trHeight w:val="241"/>
        </w:trPr>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10380" w:type="dxa"/>
            <w:vAlign w:val="bottom"/>
            <w:tcBorders>
              <w:bottom w:val="single" w:sz="8" w:color="auto"/>
            </w:tcBorders>
          </w:tcPr>
          <w:p>
            <w:pPr>
              <w:spacing w:after="0"/>
              <w:rPr>
                <w:sz w:val="20"/>
                <w:szCs w:val="20"/>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Asset Purchase Agreement dated October 1, 2011 by and among Asure Software, Inc., ADI Software, LLC and ADI Time, LLC (1)</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7"/>
              </w:rPr>
              <w:t>Asset Purchase Agreement dated December 14, 2011 by and among Asure Software, Inc., ADI Legiant, LLC and WG Ross Corp. (2)</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Stock Purchase Agreement dated July 1, 2012 between Meeting maker Holding B.V. and PeopleCube Holding B.V. and Asure Software, Inc.</w:t>
            </w:r>
          </w:p>
        </w:tc>
      </w:tr>
      <w:tr>
        <w:trPr>
          <w:trHeight w:val="230"/>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(3)</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Code Purchase and Perpetual License Agreement dated October 9, 2012 between Asure Software, Inc. and FotoPunch, Inc. (4)</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Restated Certificate of Incorporation (5)</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Certificate of Amendment to the Restated Certificate of Incorporation (6)</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(Second) Certificate of Amendment to the Restated Certificate of Incorporation (7)</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Amended and Restated Bylaws (8)</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Specimen Certificate for the Common Stock (9)</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Amended and Restated Rights Agreement, dated as of October 28, 2009 between Asure Software, Inc. and American Stock Transfer &amp; Trust</w:t>
            </w:r>
          </w:p>
        </w:tc>
      </w:tr>
      <w:tr>
        <w:trPr>
          <w:trHeight w:val="230"/>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Company (10)</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Amended and Restated Certificate of Designation of Series A Junior Participating Preferred Stock (10)</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Rights Certificate (10)</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9% Subordinated Convertible Promissory Note (1)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15% Subordinated Promissory Note (1)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Securities Purchase Agreement for 9% Subordinated Convertible Promissory Note (1)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Securities Purchase Agreement for 15% Subordinated Promissory Note (1)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Registration Rights Agreement (1)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Amended and Restated Registration Rights Agreement dated March 10, 2012 (11)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Amendment Agreement with respect to the Amended and Restated 9% Convertible Promissory Notes (11)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4.12</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Promissory Note dated October 2011 issued in connection with acquisition of certain assets from ADI Time, LLC (2)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Letter Agreement from Patrick Goepel relating to forfeiture of option rights (2)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Stock Option Agreement for Patrick Goepel (2)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Stock Option Agreement for Steve Rodriguez (2)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Stock Option Agreement for Mike Kinney (2)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Amended Restricted Stock Plan, effective May 23, 2006 (12)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2009 Equity Plan, amended as of June 26, 2012 (13)</w:t>
            </w:r>
          </w:p>
        </w:tc>
      </w:tr>
      <w:tr>
        <w:trPr>
          <w:trHeight w:val="608"/>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Arial" w:cs="Arial" w:eastAsia="Arial" w:hAnsi="Arial"/>
                <w:sz w:val="18"/>
                <w:szCs w:val="18"/>
                <w:color w:val="auto"/>
              </w:rPr>
              <w:t>25</w:t>
            </w:r>
          </w:p>
        </w:tc>
      </w:tr>
      <w:tr>
        <w:trPr>
          <w:trHeight w:val="118"/>
        </w:trPr>
        <w:tc>
          <w:tcPr>
            <w:tcW w:w="10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3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rFonts w:ascii="Arial" w:cs="Arial" w:eastAsia="Arial" w:hAnsi="Arial"/>
                <w:sz w:val="14"/>
                <w:szCs w:val="14"/>
                <w:color w:val="0000EE"/>
                <w:w w:val="92"/>
              </w:rPr>
            </w:pPr>
            <w:hyperlink w:anchor="page3">
              <w:r>
                <w:rPr>
                  <w:rFonts w:ascii="Arial" w:cs="Arial" w:eastAsia="Arial" w:hAnsi="Arial"/>
                  <w:sz w:val="14"/>
                  <w:szCs w:val="14"/>
                  <w:color w:val="0000EE"/>
                  <w:w w:val="92"/>
                </w:rPr>
                <w:t>Table of Contents</w:t>
              </w:r>
            </w:hyperlink>
          </w:p>
        </w:tc>
        <w:tc>
          <w:tcPr>
            <w:tcW w:w="10200" w:type="dxa"/>
            <w:vAlign w:val="bottom"/>
          </w:tcPr>
          <w:p>
            <w:pPr>
              <w:spacing w:after="0"/>
              <w:rPr>
                <w:sz w:val="14"/>
                <w:szCs w:val="14"/>
                <w:color w:val="auto"/>
              </w:rPr>
            </w:pPr>
          </w:p>
        </w:tc>
      </w:tr>
      <w:tr>
        <w:trPr>
          <w:trHeight w:val="453"/>
        </w:trPr>
        <w:tc>
          <w:tcPr>
            <w:tcW w:w="10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Amendment No. 3 to 2009 Equity Plan (13)</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Form of Option Agreement under the 2009 Equity Plan (13)</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Stock Purchase Agreement dated September 25,2009 with Patrick Goepel (14)</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Amended and Restated Employment Agreement dated July 2, 2011 with Patrick Goepel (2)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Employment Letter with Mike Kinney, dated as of August 15, 2011 (2)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Employment Letter with Steve Rodriguez, dated as of August 15, 2011 (2)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Credit Agreement between Asure Software, Inc. and JPMorgan Chase Bank, N.A. (1)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10.11</w:t>
            </w:r>
          </w:p>
        </w:tc>
        <w:tc>
          <w:tcPr>
            <w:tcW w:w="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Fourth Amendment to Lease Agreement with WB One &amp; Two LTD (15)</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Lease Agreement to Premises located at 200 Crossings Boulevard, Warwick, Rhode Island (2)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Sixth Amendment to Lease Agreement with Wild Basin I &amp; II Investors, LP (2)</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5"/>
              </w:rPr>
              <w:t>First Amendment to Loan Agreement effective as of December 31, 2012 by and among Asure Software Inc., ADI Software, LLC, Asure</w:t>
            </w:r>
          </w:p>
        </w:tc>
      </w:tr>
      <w:tr>
        <w:trPr>
          <w:trHeight w:val="230"/>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Legiant, LLC Meeting Maker - United States, Inc. and Deerpath Funding, LP (16)</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Form of Common Stock Purchase Agreement dated as of May 30, 2013 (17)</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5"/>
              </w:rPr>
              <w:t>Second Amendment to Loan Agreement effective as of March 31, 2013 by and among Asure Software Inc., ADI Software, LLC, Asure</w:t>
            </w:r>
          </w:p>
        </w:tc>
      </w:tr>
      <w:tr>
        <w:trPr>
          <w:trHeight w:val="230"/>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Legiant, LLC Meeting Maker - United States, Inc. and Deerpath Funding, LP (18)</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4"/>
              </w:rPr>
              <w:t>Third Amendment to Loan Agreement effective as of September 30, 2013 by and among Asure Software Inc., ADI Software, LLC, Asure</w:t>
            </w:r>
          </w:p>
        </w:tc>
      </w:tr>
      <w:tr>
        <w:trPr>
          <w:trHeight w:val="230"/>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Legiant, LLC Meeting Maker - United States, Inc. and Deerpath Funding, LP (19)</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0"/>
              </w:rPr>
              <w:t>Credit Agreement by and among Wells Fargo Bank, National Association, as Administrative Agent, the Lenders that are parties Hereto as the</w:t>
            </w:r>
          </w:p>
        </w:tc>
      </w:tr>
      <w:tr>
        <w:trPr>
          <w:trHeight w:val="230"/>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Lenders, and Asure Software, Inc., as Borrower, Dated as of March 20, 2014 (20)</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3"/>
              </w:rPr>
              <w:t>Guaranty and Security Agreement between Asure Software, Inc. and Wells Fargo Bank, National Association, dated March 20, 2014 (20)</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Code of Business Conduct and Ethics (8)</w:t>
            </w:r>
          </w:p>
        </w:tc>
      </w:tr>
    </w:tbl>
    <w:p>
      <w:pPr>
        <w:spacing w:after="0" w:line="202" w:lineRule="exact"/>
        <w:rPr>
          <w:sz w:val="20"/>
          <w:szCs w:val="20"/>
          <w:color w:val="auto"/>
        </w:rPr>
      </w:pPr>
    </w:p>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0000EE"/>
        </w:rPr>
        <w:t>Subsidiaries of the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23.1</w:t>
            </w:r>
          </w:p>
        </w:tc>
        <w:tc>
          <w:tcPr>
            <w:tcW w:w="23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3"/>
              </w:rPr>
              <w:t>Consent of Ernst &amp; Young LLP*</w:t>
            </w:r>
          </w:p>
        </w:tc>
        <w:tc>
          <w:tcPr>
            <w:tcW w:w="6380" w:type="dxa"/>
            <w:vAlign w:val="bottom"/>
            <w:gridSpan w:val="2"/>
          </w:tcPr>
          <w:p>
            <w:pPr>
              <w:spacing w:after="0"/>
              <w:rPr>
                <w:sz w:val="18"/>
                <w:szCs w:val="18"/>
                <w:color w:val="auto"/>
              </w:rPr>
            </w:pPr>
          </w:p>
        </w:tc>
      </w:tr>
      <w:tr>
        <w:trPr>
          <w:trHeight w:val="412"/>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31.1</w:t>
            </w:r>
          </w:p>
        </w:tc>
        <w:tc>
          <w:tcPr>
            <w:tcW w:w="5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3440" w:type="dxa"/>
            <w:vAlign w:val="bottom"/>
          </w:tcPr>
          <w:p>
            <w:pPr>
              <w:spacing w:after="0"/>
              <w:rPr>
                <w:sz w:val="24"/>
                <w:szCs w:val="24"/>
                <w:color w:val="auto"/>
              </w:rPr>
            </w:pPr>
          </w:p>
        </w:tc>
      </w:tr>
      <w:tr>
        <w:trPr>
          <w:trHeight w:val="412"/>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31.2</w:t>
            </w:r>
          </w:p>
        </w:tc>
        <w:tc>
          <w:tcPr>
            <w:tcW w:w="5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3440" w:type="dxa"/>
            <w:vAlign w:val="bottom"/>
          </w:tcPr>
          <w:p>
            <w:pPr>
              <w:spacing w:after="0"/>
              <w:rPr>
                <w:sz w:val="24"/>
                <w:szCs w:val="24"/>
                <w:color w:val="auto"/>
              </w:rPr>
            </w:pPr>
          </w:p>
        </w:tc>
      </w:tr>
      <w:tr>
        <w:trPr>
          <w:trHeight w:val="412"/>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32.1</w:t>
            </w:r>
          </w:p>
        </w:tc>
        <w:tc>
          <w:tcPr>
            <w:tcW w:w="87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 Sarbanes-Oxley Act of 2002*</w:t>
            </w:r>
          </w:p>
        </w:tc>
      </w:tr>
      <w:tr>
        <w:trPr>
          <w:trHeight w:val="412"/>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32.2</w:t>
            </w:r>
          </w:p>
        </w:tc>
        <w:tc>
          <w:tcPr>
            <w:tcW w:w="87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 Sarbanes-Oxley Act of 2002*</w:t>
            </w:r>
          </w:p>
        </w:tc>
      </w:tr>
    </w:tbl>
    <w:p>
      <w:pPr>
        <w:spacing w:after="0" w:line="229" w:lineRule="exact"/>
        <w:rPr>
          <w:sz w:val="20"/>
          <w:szCs w:val="20"/>
          <w:color w:val="auto"/>
        </w:rPr>
      </w:pPr>
    </w:p>
    <w:p>
      <w:pPr>
        <w:ind w:left="1040" w:hanging="1032"/>
        <w:spacing w:after="0" w:line="286"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following materials from Asure Software, Inc.’s Annual Report on Form 10-K for the year ended December 31, 2013, formatted in XBRL (Extensible Business Reporting Language): (1) the Consolidated Balance Sheets, (2) the Consolidated Statements of Comprehensive Income (Loss), (3) the Consolidated Statements of Cash Flows, and (4) Notes to Consolidated Financial Statements.</w:t>
      </w: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4" w:right="3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660" w:right="8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for the three months ended September 30, 2011 filed with the SEC on November 14, 2011.</w:t>
      </w:r>
    </w:p>
    <w:p>
      <w:pPr>
        <w:spacing w:after="0" w:line="197"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year ended December 31, 2011 filed with the SEC on March 30, 2012.</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July 6, 2012.</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October 15, 2012.</w:t>
      </w:r>
    </w:p>
    <w:p>
      <w:pPr>
        <w:spacing w:after="0" w:line="225" w:lineRule="exact"/>
        <w:rPr>
          <w:rFonts w:ascii="Arial" w:cs="Arial" w:eastAsia="Arial" w:hAnsi="Arial"/>
          <w:sz w:val="18"/>
          <w:szCs w:val="18"/>
          <w:color w:val="auto"/>
        </w:rPr>
      </w:pPr>
    </w:p>
    <w:p>
      <w:pPr>
        <w:ind w:left="660" w:right="2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for the three months ended October 31, 2004 filed with the SEC on December 15, 2004.</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December 29, 2009.</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Appendix C to the Company’s 2012 Proxy Statement filed with the SEC on May 23, 2012.</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September 27, 2012.</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4.1 to the Company’s Registration Statement on Form S-3 filed with the SEC on December 13, 2012.</w:t>
      </w:r>
    </w:p>
    <w:p>
      <w:pPr>
        <w:spacing w:after="0" w:line="263" w:lineRule="exact"/>
        <w:rPr>
          <w:rFonts w:ascii="Arial" w:cs="Arial" w:eastAsia="Arial" w:hAnsi="Arial"/>
          <w:sz w:val="17"/>
          <w:szCs w:val="17"/>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October 28, 2009.</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March 12, 2012.</w:t>
      </w:r>
    </w:p>
    <w:p>
      <w:pPr>
        <w:spacing w:after="0" w:line="252"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for the three months ended April 30, 2006 filed with the SEC on June 14, 2006.</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Company’s 2013 Proxy Statement filed with the SEC on April 30, 2013.</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September 28, 2009.</w:t>
      </w:r>
    </w:p>
    <w:p>
      <w:pPr>
        <w:spacing w:after="0" w:line="25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for the three months ended March 31, 2010 filed with the SEC on May 17, 2010.</w:t>
      </w:r>
    </w:p>
    <w:p>
      <w:pPr>
        <w:spacing w:after="0" w:line="170" w:lineRule="exact"/>
        <w:rPr>
          <w:rFonts w:ascii="Arial" w:cs="Arial" w:eastAsia="Arial" w:hAnsi="Arial"/>
          <w:sz w:val="18"/>
          <w:szCs w:val="18"/>
          <w:color w:val="auto"/>
        </w:rPr>
      </w:pPr>
    </w:p>
    <w:p>
      <w:pPr>
        <w:ind w:left="660" w:right="28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year ended December 31, 2012 filed with the SEC on April 1, 2013.</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June 5, 2013.</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August 7, 2013</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October 2, 2013</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March 25, 2014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56" w:name="page57"/>
    <w:bookmarkEnd w:id="5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2"/>
          </w:tcPr>
          <w:p>
            <w:pPr>
              <w:ind w:left="940"/>
              <w:spacing w:after="0"/>
              <w:rPr>
                <w:sz w:val="20"/>
                <w:szCs w:val="20"/>
                <w:color w:val="auto"/>
              </w:rPr>
            </w:pPr>
            <w:r>
              <w:rPr>
                <w:rFonts w:ascii="Arial" w:cs="Arial" w:eastAsia="Arial" w:hAnsi="Arial"/>
                <w:sz w:val="18"/>
                <w:szCs w:val="18"/>
                <w:b w:val="1"/>
                <w:bCs w:val="1"/>
                <w:color w:val="auto"/>
                <w:w w:val="98"/>
              </w:rPr>
              <w:t>LIST OF SUBSIDIARIES</w:t>
            </w:r>
          </w:p>
        </w:tc>
      </w:tr>
      <w:tr>
        <w:trPr>
          <w:trHeight w:val="439"/>
        </w:trPr>
        <w:tc>
          <w:tcPr>
            <w:tcW w:w="3660" w:type="dxa"/>
            <w:vAlign w:val="bottom"/>
          </w:tcPr>
          <w:p>
            <w:pPr>
              <w:spacing w:after="0"/>
              <w:rPr>
                <w:sz w:val="20"/>
                <w:szCs w:val="20"/>
                <w:color w:val="auto"/>
              </w:rPr>
            </w:pPr>
            <w:r>
              <w:rPr>
                <w:rFonts w:ascii="Arial" w:cs="Arial" w:eastAsia="Arial" w:hAnsi="Arial"/>
                <w:sz w:val="18"/>
                <w:szCs w:val="18"/>
                <w:b w:val="1"/>
                <w:bCs w:val="1"/>
                <w:color w:val="auto"/>
              </w:rPr>
              <w:t>Subsidiary</w:t>
            </w:r>
          </w:p>
        </w:tc>
        <w:tc>
          <w:tcPr>
            <w:tcW w:w="3060" w:type="dxa"/>
            <w:vAlign w:val="bottom"/>
            <w:gridSpan w:val="3"/>
          </w:tcPr>
          <w:p>
            <w:pPr>
              <w:ind w:left="100"/>
              <w:spacing w:after="0"/>
              <w:rPr>
                <w:sz w:val="20"/>
                <w:szCs w:val="20"/>
                <w:color w:val="auto"/>
              </w:rPr>
            </w:pPr>
            <w:r>
              <w:rPr>
                <w:rFonts w:ascii="Arial" w:cs="Arial" w:eastAsia="Arial" w:hAnsi="Arial"/>
                <w:sz w:val="18"/>
                <w:szCs w:val="18"/>
                <w:b w:val="1"/>
                <w:bCs w:val="1"/>
                <w:color w:val="auto"/>
              </w:rPr>
              <w:t>Location</w:t>
            </w:r>
          </w:p>
        </w:tc>
      </w:tr>
      <w:tr>
        <w:trPr>
          <w:trHeight w:val="202"/>
        </w:trPr>
        <w:tc>
          <w:tcPr>
            <w:tcW w:w="3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Compression Labs, Inc.</w:t>
            </w:r>
          </w:p>
        </w:tc>
        <w:tc>
          <w:tcPr>
            <w:tcW w:w="100" w:type="dxa"/>
            <w:vAlign w:val="bottom"/>
          </w:tcPr>
          <w:p>
            <w:pPr>
              <w:spacing w:after="0"/>
              <w:rPr>
                <w:sz w:val="17"/>
                <w:szCs w:val="17"/>
                <w:color w:val="auto"/>
              </w:rPr>
            </w:pPr>
          </w:p>
        </w:tc>
        <w:tc>
          <w:tcPr>
            <w:tcW w:w="1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Delaware</w:t>
            </w:r>
          </w:p>
        </w:tc>
        <w:tc>
          <w:tcPr>
            <w:tcW w:w="1020" w:type="dxa"/>
            <w:vAlign w:val="bottom"/>
          </w:tcPr>
          <w:p>
            <w:pPr>
              <w:spacing w:after="0"/>
              <w:rPr>
                <w:sz w:val="17"/>
                <w:szCs w:val="17"/>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Forgent Networks Canada, Inc.</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Canada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iSarla Software Solutions Private Limited</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India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VTEL Australia, PTY LTD</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Australia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VTEL Germany, GmbH</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Germany</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ADI Software, LLC</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Delaware</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Asure Legiant, LLC</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Delaware</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Meeting Maker - United States, Inc.</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Delaware</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Meeting Maker LTD</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United Kingdom</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Business Solve LTD</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420"/>
          </w:cols>
          <w:pgMar w:left="240" w:top="36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firstLine="860"/>
        <w:spacing w:after="0" w:line="259" w:lineRule="auto"/>
        <w:rPr>
          <w:sz w:val="20"/>
          <w:szCs w:val="20"/>
          <w:color w:val="auto"/>
        </w:rPr>
      </w:pPr>
      <w:r>
        <w:rPr>
          <w:rFonts w:ascii="Arial" w:cs="Arial" w:eastAsia="Arial" w:hAnsi="Arial"/>
          <w:sz w:val="18"/>
          <w:szCs w:val="18"/>
          <w:color w:val="auto"/>
        </w:rPr>
        <w:t>We consent to the incorporation by reference in the following registration statements, and in the related prospectuses thereto, of Asure Software, Inc. (Form S-3 Nos. 333-185488 and 333-182828 and Form S-8 Nos. 333-77733, 333-44533, 333-48885, 333-28499, 333-64212, and 333-110239) of our report dated March 27, 2014, with respect to the consolidated financial statements of Asure Software, Inc. included in this Annual Report (Form 10-K) for the year ended December 31, 2013.</w:t>
      </w:r>
    </w:p>
    <w:p>
      <w:pPr>
        <w:spacing w:after="0" w:line="200" w:lineRule="exact"/>
        <w:rPr>
          <w:sz w:val="20"/>
          <w:szCs w:val="20"/>
          <w:color w:val="auto"/>
        </w:rPr>
      </w:pPr>
    </w:p>
    <w:p>
      <w:pPr>
        <w:spacing w:after="0" w:line="230" w:lineRule="exact"/>
        <w:rPr>
          <w:sz w:val="20"/>
          <w:szCs w:val="20"/>
          <w:color w:val="auto"/>
        </w:rPr>
      </w:pPr>
    </w:p>
    <w:p>
      <w:pPr>
        <w:ind w:left="7140"/>
        <w:spacing w:after="0"/>
        <w:tabs>
          <w:tab w:leader="none" w:pos="7460" w:val="left"/>
        </w:tabs>
        <w:rPr>
          <w:sz w:val="20"/>
          <w:szCs w:val="20"/>
          <w:color w:val="auto"/>
        </w:rPr>
      </w:pPr>
      <w:r>
        <w:rPr>
          <w:rFonts w:ascii="Arial" w:cs="Arial" w:eastAsia="Arial" w:hAnsi="Arial"/>
          <w:sz w:val="18"/>
          <w:szCs w:val="18"/>
          <w:u w:val="single" w:color="auto"/>
          <w:color w:val="auto"/>
        </w:rPr>
        <w:t>/s/</w:t>
      </w:r>
      <w:r>
        <w:rPr>
          <w:sz w:val="20"/>
          <w:szCs w:val="20"/>
          <w:color w:val="auto"/>
        </w:rPr>
        <w:tab/>
      </w:r>
      <w:r>
        <w:rPr>
          <w:rFonts w:ascii="Arial" w:cs="Arial" w:eastAsia="Arial" w:hAnsi="Arial"/>
          <w:sz w:val="17"/>
          <w:szCs w:val="17"/>
          <w:u w:val="single" w:color="auto"/>
          <w:color w:val="auto"/>
        </w:rPr>
        <w:t>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2014</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Patrick Goepel, certify that:</w:t>
      </w:r>
    </w:p>
    <w:p>
      <w:pPr>
        <w:spacing w:after="0" w:line="252"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the Annual Report on Form 10-K of the Company for the calendar year ended December 31, 2013 (the “Report”);</w:t>
      </w:r>
    </w:p>
    <w:p>
      <w:pPr>
        <w:spacing w:after="0" w:line="252" w:lineRule="exact"/>
        <w:rPr>
          <w:rFonts w:ascii="Arial" w:cs="Arial" w:eastAsia="Arial" w:hAnsi="Arial"/>
          <w:sz w:val="18"/>
          <w:szCs w:val="18"/>
          <w:color w:val="auto"/>
        </w:rPr>
      </w:pPr>
    </w:p>
    <w:p>
      <w:pPr>
        <w:jc w:val="both"/>
        <w:ind w:left="1040" w:right="40" w:hanging="519"/>
        <w:spacing w:after="0" w:line="26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208" w:lineRule="exact"/>
        <w:rPr>
          <w:rFonts w:ascii="Arial" w:cs="Arial" w:eastAsia="Arial" w:hAnsi="Arial"/>
          <w:sz w:val="18"/>
          <w:szCs w:val="18"/>
          <w:color w:val="auto"/>
        </w:rPr>
      </w:pPr>
    </w:p>
    <w:p>
      <w:pPr>
        <w:ind w:left="1040" w:right="20" w:hanging="519"/>
        <w:spacing w:after="0" w:line="308"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3" w:lineRule="exact"/>
        <w:rPr>
          <w:rFonts w:ascii="Arial" w:cs="Arial" w:eastAsia="Arial" w:hAnsi="Arial"/>
          <w:sz w:val="17"/>
          <w:szCs w:val="17"/>
          <w:color w:val="auto"/>
        </w:rPr>
      </w:pPr>
    </w:p>
    <w:p>
      <w:pPr>
        <w:jc w:val="both"/>
        <w:ind w:left="1040" w:right="40" w:hanging="519"/>
        <w:spacing w:after="0" w:line="291"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Company and we have:</w:t>
      </w:r>
    </w:p>
    <w:p>
      <w:pPr>
        <w:spacing w:after="0" w:line="237" w:lineRule="exact"/>
        <w:rPr>
          <w:rFonts w:ascii="Arial" w:cs="Arial" w:eastAsia="Arial" w:hAnsi="Arial"/>
          <w:sz w:val="16"/>
          <w:szCs w:val="16"/>
          <w:color w:val="auto"/>
        </w:rPr>
      </w:pPr>
    </w:p>
    <w:p>
      <w:pPr>
        <w:jc w:val="both"/>
        <w:ind w:left="1700" w:right="40" w:hanging="517"/>
        <w:spacing w:after="0" w:line="264" w:lineRule="auto"/>
        <w:tabs>
          <w:tab w:leader="none" w:pos="1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208" w:lineRule="exact"/>
        <w:rPr>
          <w:rFonts w:ascii="Arial" w:cs="Arial" w:eastAsia="Arial" w:hAnsi="Arial"/>
          <w:sz w:val="18"/>
          <w:szCs w:val="18"/>
          <w:color w:val="auto"/>
        </w:rPr>
      </w:pPr>
    </w:p>
    <w:p>
      <w:pPr>
        <w:jc w:val="both"/>
        <w:ind w:left="1700" w:right="20" w:hanging="517"/>
        <w:spacing w:after="0" w:line="264" w:lineRule="auto"/>
        <w:tabs>
          <w:tab w:leader="none" w:pos="1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700" w:right="20" w:hanging="517"/>
        <w:spacing w:after="0" w:line="264" w:lineRule="auto"/>
        <w:tabs>
          <w:tab w:leader="none" w:pos="1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208" w:lineRule="exact"/>
        <w:rPr>
          <w:rFonts w:ascii="Arial" w:cs="Arial" w:eastAsia="Arial" w:hAnsi="Arial"/>
          <w:sz w:val="18"/>
          <w:szCs w:val="18"/>
          <w:color w:val="auto"/>
        </w:rPr>
      </w:pPr>
    </w:p>
    <w:p>
      <w:pPr>
        <w:jc w:val="both"/>
        <w:ind w:left="1700" w:right="20" w:hanging="517"/>
        <w:spacing w:after="0" w:line="264" w:lineRule="auto"/>
        <w:tabs>
          <w:tab w:leader="none" w:pos="1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calendar year ended December 31, 2013 that has materially affected, or is reasonably likely to materially affect, the Company’s internal control over financial reporting; and</w:t>
      </w:r>
    </w:p>
    <w:p>
      <w:pPr>
        <w:spacing w:after="0" w:line="208"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97" w:lineRule="exact"/>
        <w:rPr>
          <w:rFonts w:ascii="Arial" w:cs="Arial" w:eastAsia="Arial" w:hAnsi="Arial"/>
          <w:sz w:val="18"/>
          <w:szCs w:val="18"/>
          <w:color w:val="auto"/>
        </w:rPr>
      </w:pPr>
    </w:p>
    <w:p>
      <w:pPr>
        <w:ind w:left="1700" w:right="40" w:hanging="517"/>
        <w:spacing w:after="0" w:line="308" w:lineRule="auto"/>
        <w:tabs>
          <w:tab w:leader="none" w:pos="17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3" w:lineRule="exact"/>
        <w:rPr>
          <w:rFonts w:ascii="Arial" w:cs="Arial" w:eastAsia="Arial" w:hAnsi="Arial"/>
          <w:sz w:val="17"/>
          <w:szCs w:val="17"/>
          <w:color w:val="auto"/>
        </w:rPr>
      </w:pPr>
    </w:p>
    <w:p>
      <w:pPr>
        <w:ind w:left="1700" w:right="20" w:hanging="517"/>
        <w:spacing w:after="0" w:line="277" w:lineRule="auto"/>
        <w:tabs>
          <w:tab w:leader="none" w:pos="1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6090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609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2014</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Jennifer Crow, certify that:</w:t>
      </w:r>
    </w:p>
    <w:p>
      <w:pPr>
        <w:spacing w:after="0" w:line="252"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the Annual Report on Form 10-K of the Company for the calendar year ended December 31, 2013 (the “Report”);</w:t>
      </w:r>
    </w:p>
    <w:p>
      <w:pPr>
        <w:spacing w:after="0" w:line="252" w:lineRule="exact"/>
        <w:rPr>
          <w:rFonts w:ascii="Arial" w:cs="Arial" w:eastAsia="Arial" w:hAnsi="Arial"/>
          <w:sz w:val="18"/>
          <w:szCs w:val="18"/>
          <w:color w:val="auto"/>
        </w:rPr>
      </w:pPr>
    </w:p>
    <w:p>
      <w:pPr>
        <w:jc w:val="both"/>
        <w:ind w:left="1040" w:right="40" w:hanging="519"/>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208" w:lineRule="exact"/>
        <w:rPr>
          <w:rFonts w:ascii="Arial" w:cs="Arial" w:eastAsia="Arial" w:hAnsi="Arial"/>
          <w:sz w:val="18"/>
          <w:szCs w:val="18"/>
          <w:color w:val="auto"/>
        </w:rPr>
      </w:pPr>
    </w:p>
    <w:p>
      <w:pPr>
        <w:ind w:left="1040" w:right="20" w:hanging="519"/>
        <w:spacing w:after="0" w:line="308"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3" w:lineRule="exact"/>
        <w:rPr>
          <w:rFonts w:ascii="Arial" w:cs="Arial" w:eastAsia="Arial" w:hAnsi="Arial"/>
          <w:sz w:val="17"/>
          <w:szCs w:val="17"/>
          <w:color w:val="auto"/>
        </w:rPr>
      </w:pPr>
    </w:p>
    <w:p>
      <w:pPr>
        <w:jc w:val="both"/>
        <w:ind w:left="1040" w:right="40" w:hanging="519"/>
        <w:spacing w:after="0" w:line="291"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Company and we have:</w:t>
      </w:r>
    </w:p>
    <w:p>
      <w:pPr>
        <w:spacing w:after="0" w:line="237" w:lineRule="exact"/>
        <w:rPr>
          <w:rFonts w:ascii="Arial" w:cs="Arial" w:eastAsia="Arial" w:hAnsi="Arial"/>
          <w:sz w:val="16"/>
          <w:szCs w:val="16"/>
          <w:color w:val="auto"/>
        </w:rPr>
      </w:pPr>
    </w:p>
    <w:p>
      <w:pPr>
        <w:jc w:val="both"/>
        <w:ind w:left="1700" w:right="40" w:hanging="517"/>
        <w:spacing w:after="0" w:line="264" w:lineRule="auto"/>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208" w:lineRule="exact"/>
        <w:rPr>
          <w:rFonts w:ascii="Arial" w:cs="Arial" w:eastAsia="Arial" w:hAnsi="Arial"/>
          <w:sz w:val="18"/>
          <w:szCs w:val="18"/>
          <w:color w:val="auto"/>
        </w:rPr>
      </w:pPr>
    </w:p>
    <w:p>
      <w:pPr>
        <w:jc w:val="both"/>
        <w:ind w:left="1700" w:right="20" w:hanging="517"/>
        <w:spacing w:after="0" w:line="264" w:lineRule="auto"/>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700" w:right="20" w:hanging="517"/>
        <w:spacing w:after="0" w:line="264" w:lineRule="auto"/>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208" w:lineRule="exact"/>
        <w:rPr>
          <w:rFonts w:ascii="Arial" w:cs="Arial" w:eastAsia="Arial" w:hAnsi="Arial"/>
          <w:sz w:val="18"/>
          <w:szCs w:val="18"/>
          <w:color w:val="auto"/>
        </w:rPr>
      </w:pPr>
    </w:p>
    <w:p>
      <w:pPr>
        <w:jc w:val="both"/>
        <w:ind w:left="1700" w:right="20" w:hanging="517"/>
        <w:spacing w:after="0" w:line="264" w:lineRule="auto"/>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calendar year ended December 31, 2013 that has materially affected, or is reasonably likely to materially affect, the Company’s internal control over financial reporting; and</w:t>
      </w:r>
    </w:p>
    <w:p>
      <w:pPr>
        <w:spacing w:after="0" w:line="208"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97" w:lineRule="exact"/>
        <w:rPr>
          <w:rFonts w:ascii="Arial" w:cs="Arial" w:eastAsia="Arial" w:hAnsi="Arial"/>
          <w:sz w:val="18"/>
          <w:szCs w:val="18"/>
          <w:color w:val="auto"/>
        </w:rPr>
      </w:pPr>
    </w:p>
    <w:p>
      <w:pPr>
        <w:ind w:left="1700" w:right="40" w:hanging="517"/>
        <w:spacing w:after="0" w:line="308" w:lineRule="auto"/>
        <w:tabs>
          <w:tab w:leader="none" w:pos="17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3" w:lineRule="exact"/>
        <w:rPr>
          <w:rFonts w:ascii="Arial" w:cs="Arial" w:eastAsia="Arial" w:hAnsi="Arial"/>
          <w:sz w:val="17"/>
          <w:szCs w:val="17"/>
          <w:color w:val="auto"/>
        </w:rPr>
      </w:pPr>
    </w:p>
    <w:p>
      <w:pPr>
        <w:ind w:left="1700" w:right="20" w:hanging="517"/>
        <w:spacing w:after="0" w:line="277" w:lineRule="auto"/>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JENNIFER 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751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751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Jennifer Crow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2014</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Patrick Goepel, do hereby certify, pursuant to 18 U.S.C. Section 1350, as adopted by Section 906 of the Sarbanes-Oxley Act of 2002, that:</w:t>
      </w:r>
    </w:p>
    <w:p>
      <w:pPr>
        <w:spacing w:after="0" w:line="252" w:lineRule="exact"/>
        <w:rPr>
          <w:sz w:val="20"/>
          <w:szCs w:val="20"/>
          <w:color w:val="auto"/>
        </w:rPr>
      </w:pPr>
    </w:p>
    <w:p>
      <w:pPr>
        <w:ind w:left="1040" w:right="4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calendar year ended December 31, 2013 (the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14605</wp:posOffset>
            </wp:positionV>
            <wp:extent cx="218694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86940" cy="1714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March 27, 2014</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has been provided to Asure Software, Inc. and will be retained by Asure Software,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Jennifer Crow, do hereby certify, pursuant to 18 U.S.C. Section 1350, as adopted by Section 906 of the Sarbanes-Oxley Act of 2002, that:</w:t>
      </w:r>
    </w:p>
    <w:p>
      <w:pPr>
        <w:spacing w:after="0" w:line="252" w:lineRule="exact"/>
        <w:rPr>
          <w:sz w:val="20"/>
          <w:szCs w:val="20"/>
          <w:color w:val="auto"/>
        </w:rPr>
      </w:pPr>
    </w:p>
    <w:p>
      <w:pPr>
        <w:ind w:left="1040" w:right="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2013 (the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JENNIFER 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14605</wp:posOffset>
            </wp:positionV>
            <wp:extent cx="218694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86940" cy="1714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Jennifer Crow</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March 27, 2014</w:t>
      </w:r>
    </w:p>
    <w:p>
      <w:pPr>
        <w:spacing w:after="0" w:line="200" w:lineRule="exact"/>
        <w:rPr>
          <w:sz w:val="20"/>
          <w:szCs w:val="20"/>
          <w:color w:val="auto"/>
        </w:rPr>
      </w:pPr>
    </w:p>
    <w:p>
      <w:pPr>
        <w:spacing w:after="0" w:line="2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has been provided to Asure Software, Inc. and will be retained by Asure Software,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lowerRoman"/>
      <w:start w:val="1"/>
    </w:lvl>
  </w:abstractNum>
  <w:abstractNum w:abstractNumId="5">
    <w:nsid w:val="4DB127F8"/>
    <w:multiLevelType w:val="hybridMultilevel"/>
    <w:lvl w:ilvl="0">
      <w:lvlJc w:val="left"/>
      <w:lvlText w:val="(%1)"/>
      <w:numFmt w:val="lowerLetter"/>
      <w:start w:val="1"/>
    </w:lvl>
    <w:lvl w:ilvl="1">
      <w:lvlJc w:val="left"/>
      <w:lvlText w:val="(%2)"/>
      <w:numFmt w:val="decimal"/>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decimal"/>
      <w:start w:val="21"/>
    </w:lvl>
  </w:abstractNum>
  <w:abstractNum w:abstractNumId="8">
    <w:nsid w:val="1190CDE7"/>
    <w:multiLevelType w:val="hybridMultilevel"/>
    <w:lvl w:ilvl="0">
      <w:lvlJc w:val="left"/>
      <w:lvlText w:val="%1"/>
      <w:numFmt w:val="decimal"/>
      <w:start w:val="10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2019-12-06T06:25:16Z</dcterms:created>
  <dcterms:modified xsi:type="dcterms:W3CDTF">2019-12-06T06:25:16Z</dcterms:modified>
</cp:coreProperties>
</file>