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286385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3195320</wp:posOffset>
            </wp:positionH>
            <wp:positionV relativeFrom="paragraph">
              <wp:posOffset>227965</wp:posOffset>
            </wp:positionV>
            <wp:extent cx="8661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jc w:val="center"/>
        <w:ind w:right="80"/>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3195320</wp:posOffset>
            </wp:positionH>
            <wp:positionV relativeFrom="paragraph">
              <wp:posOffset>74295</wp:posOffset>
            </wp:positionV>
            <wp:extent cx="8661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ind w:left="3960" w:right="1820" w:hanging="3642"/>
        <w:spacing w:after="0" w:line="519" w:lineRule="auto"/>
        <w:tabs>
          <w:tab w:leader="none" w:pos="814"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 xml:space="preserve">ANNUAL REPORT PURSUANT TO SECTION 13 OR 15(d) OF THE SECURITIES EXCHANGE ACT OF 1934 </w:t>
      </w:r>
      <w:r>
        <w:rPr>
          <w:rFonts w:ascii="Arial" w:cs="Arial" w:eastAsia="Arial" w:hAnsi="Arial"/>
          <w:sz w:val="18"/>
          <w:szCs w:val="18"/>
          <w:color w:val="auto"/>
        </w:rPr>
        <w:t xml:space="preserve">For the calendar year ended </w:t>
      </w:r>
      <w:r>
        <w:rPr>
          <w:rFonts w:ascii="Arial" w:cs="Arial" w:eastAsia="Arial" w:hAnsi="Arial"/>
          <w:sz w:val="18"/>
          <w:szCs w:val="18"/>
          <w:b w:val="1"/>
          <w:bCs w:val="1"/>
          <w:u w:val="single" w:color="auto"/>
          <w:color w:val="auto"/>
        </w:rPr>
        <w:t>December 31, 2016</w:t>
      </w:r>
    </w:p>
    <w:p>
      <w:pPr>
        <w:jc w:val="center"/>
        <w:spacing w:after="0"/>
        <w:rPr>
          <w:sz w:val="20"/>
          <w:szCs w:val="20"/>
          <w:color w:val="auto"/>
        </w:rPr>
      </w:pPr>
      <w:r>
        <w:rPr>
          <w:rFonts w:ascii="Arial" w:cs="Arial" w:eastAsia="Arial" w:hAnsi="Arial"/>
          <w:sz w:val="18"/>
          <w:szCs w:val="18"/>
          <w:color w:val="auto"/>
        </w:rPr>
        <w:t>OR</w:t>
      </w:r>
    </w:p>
    <w:p>
      <w:pPr>
        <w:spacing w:after="0" w:line="248" w:lineRule="exact"/>
        <w:rPr>
          <w:sz w:val="24"/>
          <w:szCs w:val="24"/>
          <w:color w:val="auto"/>
        </w:rPr>
      </w:pPr>
    </w:p>
    <w:p>
      <w:pPr>
        <w:ind w:left="820" w:hanging="502"/>
        <w:spacing w:after="0"/>
        <w:tabs>
          <w:tab w:leader="none" w:pos="82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239" w:lineRule="exact"/>
        <w:rPr>
          <w:sz w:val="24"/>
          <w:szCs w:val="24"/>
          <w:color w:val="auto"/>
        </w:rPr>
      </w:pPr>
    </w:p>
    <w:tbl>
      <w:tblPr>
        <w:tblLayout w:type="fixed"/>
        <w:tblInd w:w="3560" w:type="dxa"/>
        <w:tblCellMar>
          <w:top w:w="0" w:type="dxa"/>
          <w:left w:w="0" w:type="dxa"/>
          <w:bottom w:w="0" w:type="dxa"/>
          <w:right w:w="0" w:type="dxa"/>
        </w:tblCellMar>
      </w:tblPr>
      <w:tr>
        <w:trPr>
          <w:trHeight w:val="207"/>
        </w:trPr>
        <w:tc>
          <w:tcPr>
            <w:tcW w:w="2180" w:type="dxa"/>
            <w:vAlign w:val="bottom"/>
          </w:tcPr>
          <w:p>
            <w:pPr>
              <w:spacing w:after="0"/>
              <w:rPr>
                <w:sz w:val="20"/>
                <w:szCs w:val="20"/>
                <w:color w:val="auto"/>
              </w:rPr>
            </w:pPr>
            <w:r>
              <w:rPr>
                <w:rFonts w:ascii="Arial" w:cs="Arial" w:eastAsia="Arial" w:hAnsi="Arial"/>
                <w:sz w:val="18"/>
                <w:szCs w:val="18"/>
                <w:color w:val="auto"/>
                <w:w w:val="93"/>
              </w:rPr>
              <w:t>For the transition period from</w:t>
            </w:r>
          </w:p>
        </w:tc>
        <w:tc>
          <w:tcPr>
            <w:tcW w:w="820" w:type="dxa"/>
            <w:vAlign w:val="bottom"/>
            <w:tcBorders>
              <w:bottom w:val="single" w:sz="8" w:color="auto"/>
            </w:tcBorders>
          </w:tcPr>
          <w:p>
            <w:pPr>
              <w:spacing w:after="0"/>
              <w:rPr>
                <w:sz w:val="17"/>
                <w:szCs w:val="17"/>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to</w:t>
            </w:r>
          </w:p>
        </w:tc>
        <w:tc>
          <w:tcPr>
            <w:tcW w:w="900" w:type="dxa"/>
            <w:vAlign w:val="bottom"/>
            <w:tcBorders>
              <w:bottom w:val="single" w:sz="8" w:color="auto"/>
            </w:tcBorders>
          </w:tcPr>
          <w:p>
            <w:pPr>
              <w:spacing w:after="0"/>
              <w:rPr>
                <w:sz w:val="17"/>
                <w:szCs w:val="17"/>
                <w:color w:val="auto"/>
              </w:rPr>
            </w:pPr>
          </w:p>
        </w:tc>
      </w:tr>
      <w:tr>
        <w:trPr>
          <w:trHeight w:val="480"/>
        </w:trPr>
        <w:tc>
          <w:tcPr>
            <w:tcW w:w="4120" w:type="dxa"/>
            <w:vAlign w:val="bottom"/>
            <w:gridSpan w:val="4"/>
          </w:tcPr>
          <w:p>
            <w:pPr>
              <w:ind w:left="920"/>
              <w:spacing w:after="0"/>
              <w:rPr>
                <w:sz w:val="20"/>
                <w:szCs w:val="20"/>
                <w:color w:val="auto"/>
              </w:rPr>
            </w:pPr>
            <w:r>
              <w:rPr>
                <w:rFonts w:ascii="Arial" w:cs="Arial" w:eastAsia="Arial" w:hAnsi="Arial"/>
                <w:sz w:val="18"/>
                <w:szCs w:val="18"/>
                <w:color w:val="auto"/>
              </w:rPr>
              <w:t>Commission file number: 0-20008</w:t>
            </w:r>
          </w:p>
        </w:tc>
      </w:tr>
    </w:tbl>
    <w:p>
      <w:pPr>
        <w:spacing w:after="0" w:line="186" w:lineRule="exact"/>
        <w:rPr>
          <w:sz w:val="24"/>
          <w:szCs w:val="24"/>
          <w:color w:val="auto"/>
        </w:rPr>
      </w:pPr>
    </w:p>
    <w:tbl>
      <w:tblPr>
        <w:tblLayout w:type="fixed"/>
        <w:tblInd w:w="1100" w:type="dxa"/>
        <w:tblCellMar>
          <w:top w:w="0" w:type="dxa"/>
          <w:left w:w="0" w:type="dxa"/>
          <w:bottom w:w="0" w:type="dxa"/>
          <w:right w:w="0" w:type="dxa"/>
        </w:tblCellMar>
      </w:tblPr>
      <w:tr>
        <w:trPr>
          <w:trHeight w:val="375"/>
        </w:trPr>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40" w:type="dxa"/>
            <w:vAlign w:val="bottom"/>
            <w:tcBorders>
              <w:bottom w:val="single" w:sz="8" w:color="auto"/>
            </w:tcBorders>
            <w:gridSpan w:val="3"/>
          </w:tcPr>
          <w:p>
            <w:pPr>
              <w:spacing w:after="0"/>
              <w:rPr>
                <w:sz w:val="20"/>
                <w:szCs w:val="20"/>
                <w:color w:val="auto"/>
              </w:rPr>
            </w:pPr>
            <w:r>
              <w:rPr>
                <w:rFonts w:ascii="Arial" w:cs="Arial" w:eastAsia="Arial" w:hAnsi="Arial"/>
                <w:sz w:val="32"/>
                <w:szCs w:val="32"/>
                <w:b w:val="1"/>
                <w:bCs w:val="1"/>
                <w:color w:val="auto"/>
                <w:w w:val="99"/>
              </w:rPr>
              <w:t>ASURE SOFTWARE, INC.</w:t>
            </w: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43"/>
        </w:trPr>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40" w:type="dxa"/>
            <w:vAlign w:val="bottom"/>
            <w:gridSpan w:val="5"/>
          </w:tcPr>
          <w:p>
            <w:pPr>
              <w:jc w:val="right"/>
              <w:ind w:right="260"/>
              <w:spacing w:after="0"/>
              <w:rPr>
                <w:sz w:val="20"/>
                <w:szCs w:val="20"/>
                <w:color w:val="auto"/>
              </w:rPr>
            </w:pPr>
            <w:r>
              <w:rPr>
                <w:rFonts w:ascii="Arial" w:cs="Arial" w:eastAsia="Arial" w:hAnsi="Arial"/>
                <w:sz w:val="18"/>
                <w:szCs w:val="18"/>
                <w:color w:val="auto"/>
              </w:rPr>
              <w:t>(Exact Name of Registrant as Specified in its Charter)</w:t>
            </w: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392"/>
        </w:trPr>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720" w:type="dxa"/>
            <w:vAlign w:val="bottom"/>
            <w:gridSpan w:val="7"/>
          </w:tcPr>
          <w:p>
            <w:pPr>
              <w:jc w:val="center"/>
              <w:ind w:right="5000"/>
              <w:spacing w:after="0"/>
              <w:rPr>
                <w:sz w:val="20"/>
                <w:szCs w:val="20"/>
                <w:color w:val="auto"/>
              </w:rPr>
            </w:pPr>
            <w:r>
              <w:rPr>
                <w:rFonts w:ascii="Arial" w:cs="Arial" w:eastAsia="Arial" w:hAnsi="Arial"/>
                <w:sz w:val="18"/>
                <w:szCs w:val="18"/>
                <w:b w:val="1"/>
                <w:bCs w:val="1"/>
                <w:color w:val="auto"/>
                <w:w w:val="91"/>
              </w:rPr>
              <w:t>Delaware</w:t>
            </w:r>
          </w:p>
        </w:tc>
        <w:tc>
          <w:tcPr>
            <w:tcW w:w="1580" w:type="dxa"/>
            <w:vAlign w:val="bottom"/>
            <w:gridSpan w:val="5"/>
          </w:tcPr>
          <w:p>
            <w:pPr>
              <w:jc w:val="right"/>
              <w:ind w:right="220"/>
              <w:spacing w:after="0"/>
              <w:rPr>
                <w:sz w:val="20"/>
                <w:szCs w:val="20"/>
                <w:color w:val="auto"/>
              </w:rPr>
            </w:pPr>
            <w:r>
              <w:rPr>
                <w:rFonts w:ascii="Arial" w:cs="Arial" w:eastAsia="Arial" w:hAnsi="Arial"/>
                <w:sz w:val="18"/>
                <w:szCs w:val="18"/>
                <w:b w:val="1"/>
                <w:bCs w:val="1"/>
                <w:color w:val="auto"/>
              </w:rPr>
              <w:t>74-2415696</w:t>
            </w:r>
          </w:p>
        </w:tc>
      </w:tr>
      <w:tr>
        <w:trPr>
          <w:trHeight w:val="20"/>
        </w:trPr>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2"/>
        </w:trPr>
        <w:tc>
          <w:tcPr>
            <w:tcW w:w="6820" w:type="dxa"/>
            <w:vAlign w:val="bottom"/>
            <w:gridSpan w:val="9"/>
          </w:tcPr>
          <w:p>
            <w:pPr>
              <w:jc w:val="center"/>
              <w:ind w:right="3880"/>
              <w:spacing w:after="0"/>
              <w:rPr>
                <w:sz w:val="20"/>
                <w:szCs w:val="20"/>
                <w:color w:val="auto"/>
              </w:rPr>
            </w:pPr>
            <w:r>
              <w:rPr>
                <w:rFonts w:ascii="Arial" w:cs="Arial" w:eastAsia="Arial" w:hAnsi="Arial"/>
                <w:sz w:val="18"/>
                <w:szCs w:val="18"/>
                <w:color w:val="auto"/>
                <w:w w:val="93"/>
              </w:rPr>
              <w:t>(State or other jurisdiction of</w:t>
            </w:r>
          </w:p>
        </w:tc>
        <w:tc>
          <w:tcPr>
            <w:tcW w:w="1580" w:type="dxa"/>
            <w:vAlign w:val="bottom"/>
            <w:gridSpan w:val="5"/>
          </w:tcPr>
          <w:p>
            <w:pPr>
              <w:jc w:val="center"/>
              <w:ind w:left="170"/>
              <w:spacing w:after="0"/>
              <w:rPr>
                <w:sz w:val="20"/>
                <w:szCs w:val="20"/>
                <w:color w:val="auto"/>
              </w:rPr>
            </w:pPr>
            <w:r>
              <w:rPr>
                <w:rFonts w:ascii="Arial" w:cs="Arial" w:eastAsia="Arial" w:hAnsi="Arial"/>
                <w:sz w:val="18"/>
                <w:szCs w:val="18"/>
                <w:color w:val="auto"/>
                <w:w w:val="93"/>
              </w:rPr>
              <w:t>(I.R.S. Employer</w:t>
            </w:r>
          </w:p>
        </w:tc>
      </w:tr>
      <w:tr>
        <w:trPr>
          <w:trHeight w:val="230"/>
        </w:trPr>
        <w:tc>
          <w:tcPr>
            <w:tcW w:w="6820" w:type="dxa"/>
            <w:vAlign w:val="bottom"/>
            <w:gridSpan w:val="9"/>
          </w:tcPr>
          <w:p>
            <w:pPr>
              <w:jc w:val="center"/>
              <w:ind w:right="3900"/>
              <w:spacing w:after="0"/>
              <w:rPr>
                <w:sz w:val="20"/>
                <w:szCs w:val="20"/>
                <w:color w:val="auto"/>
              </w:rPr>
            </w:pPr>
            <w:r>
              <w:rPr>
                <w:rFonts w:ascii="Arial" w:cs="Arial" w:eastAsia="Arial" w:hAnsi="Arial"/>
                <w:sz w:val="18"/>
                <w:szCs w:val="18"/>
                <w:color w:val="auto"/>
                <w:w w:val="92"/>
              </w:rPr>
              <w:t>incorporation or organization)</w:t>
            </w:r>
          </w:p>
        </w:tc>
        <w:tc>
          <w:tcPr>
            <w:tcW w:w="1580" w:type="dxa"/>
            <w:vAlign w:val="bottom"/>
            <w:gridSpan w:val="5"/>
          </w:tcPr>
          <w:p>
            <w:pPr>
              <w:jc w:val="center"/>
              <w:ind w:left="15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6820" w:type="dxa"/>
            <w:vAlign w:val="bottom"/>
            <w:gridSpan w:val="9"/>
          </w:tcPr>
          <w:p>
            <w:pPr>
              <w:jc w:val="center"/>
              <w:ind w:right="3880"/>
              <w:spacing w:after="0"/>
              <w:rPr>
                <w:sz w:val="20"/>
                <w:szCs w:val="20"/>
                <w:color w:val="auto"/>
              </w:rPr>
            </w:pPr>
            <w:r>
              <w:rPr>
                <w:rFonts w:ascii="Arial" w:cs="Arial" w:eastAsia="Arial" w:hAnsi="Arial"/>
                <w:sz w:val="18"/>
                <w:szCs w:val="18"/>
                <w:b w:val="1"/>
                <w:bCs w:val="1"/>
                <w:color w:val="auto"/>
                <w:w w:val="90"/>
              </w:rPr>
              <w:t>110 Wild Basin Road, Suite 100</w:t>
            </w: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94"/>
        </w:trPr>
        <w:tc>
          <w:tcPr>
            <w:tcW w:w="940" w:type="dxa"/>
            <w:vAlign w:val="bottom"/>
          </w:tcPr>
          <w:p>
            <w:pPr>
              <w:spacing w:after="0"/>
              <w:rPr>
                <w:sz w:val="16"/>
                <w:szCs w:val="16"/>
                <w:color w:val="auto"/>
              </w:rPr>
            </w:pPr>
          </w:p>
        </w:tc>
        <w:tc>
          <w:tcPr>
            <w:tcW w:w="5880" w:type="dxa"/>
            <w:vAlign w:val="bottom"/>
            <w:gridSpan w:val="8"/>
          </w:tcPr>
          <w:p>
            <w:pPr>
              <w:jc w:val="center"/>
              <w:ind w:right="4840"/>
              <w:spacing w:after="0" w:line="194" w:lineRule="exact"/>
              <w:rPr>
                <w:sz w:val="20"/>
                <w:szCs w:val="20"/>
                <w:color w:val="auto"/>
              </w:rPr>
            </w:pPr>
            <w:r>
              <w:rPr>
                <w:rFonts w:ascii="Arial" w:cs="Arial" w:eastAsia="Arial" w:hAnsi="Arial"/>
                <w:sz w:val="18"/>
                <w:szCs w:val="18"/>
                <w:b w:val="1"/>
                <w:bCs w:val="1"/>
                <w:color w:val="auto"/>
                <w:w w:val="88"/>
              </w:rPr>
              <w:t>Austin, Texas</w:t>
            </w:r>
          </w:p>
        </w:tc>
        <w:tc>
          <w:tcPr>
            <w:tcW w:w="1360" w:type="dxa"/>
            <w:vAlign w:val="bottom"/>
            <w:gridSpan w:val="4"/>
          </w:tcPr>
          <w:p>
            <w:pPr>
              <w:jc w:val="right"/>
              <w:ind w:right="220"/>
              <w:spacing w:after="0" w:line="194" w:lineRule="exact"/>
              <w:rPr>
                <w:sz w:val="20"/>
                <w:szCs w:val="20"/>
                <w:color w:val="auto"/>
              </w:rPr>
            </w:pPr>
            <w:r>
              <w:rPr>
                <w:rFonts w:ascii="Arial" w:cs="Arial" w:eastAsia="Arial" w:hAnsi="Arial"/>
                <w:sz w:val="18"/>
                <w:szCs w:val="18"/>
                <w:b w:val="1"/>
                <w:bCs w:val="1"/>
                <w:color w:val="auto"/>
              </w:rPr>
              <w:t>78746</w:t>
            </w:r>
          </w:p>
        </w:tc>
        <w:tc>
          <w:tcPr>
            <w:tcW w:w="220" w:type="dxa"/>
            <w:vAlign w:val="bottom"/>
          </w:tcPr>
          <w:p>
            <w:pPr>
              <w:spacing w:after="0"/>
              <w:rPr>
                <w:sz w:val="16"/>
                <w:szCs w:val="16"/>
                <w:color w:val="auto"/>
              </w:rPr>
            </w:pPr>
          </w:p>
        </w:tc>
      </w:tr>
      <w:tr>
        <w:trPr>
          <w:trHeight w:val="20"/>
        </w:trPr>
        <w:tc>
          <w:tcPr>
            <w:tcW w:w="940" w:type="dxa"/>
            <w:vAlign w:val="bottom"/>
          </w:tcPr>
          <w:p>
            <w:pPr>
              <w:spacing w:after="0" w:line="20" w:lineRule="exact"/>
              <w:rPr>
                <w:sz w:val="1"/>
                <w:szCs w:val="1"/>
                <w:color w:val="auto"/>
              </w:rPr>
            </w:pPr>
          </w:p>
        </w:tc>
        <w:tc>
          <w:tcPr>
            <w:tcW w:w="1040" w:type="dxa"/>
            <w:vAlign w:val="bottom"/>
            <w:gridSpan w:val="3"/>
            <w:shd w:val="clear" w:color="auto" w:fill="000000"/>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r>
      <w:tr>
        <w:trPr>
          <w:trHeight w:val="237"/>
        </w:trPr>
        <w:tc>
          <w:tcPr>
            <w:tcW w:w="6820" w:type="dxa"/>
            <w:vAlign w:val="bottom"/>
            <w:gridSpan w:val="9"/>
          </w:tcPr>
          <w:p>
            <w:pPr>
              <w:jc w:val="center"/>
              <w:ind w:right="3880"/>
              <w:spacing w:after="0"/>
              <w:rPr>
                <w:sz w:val="20"/>
                <w:szCs w:val="20"/>
                <w:color w:val="auto"/>
              </w:rPr>
            </w:pPr>
            <w:r>
              <w:rPr>
                <w:rFonts w:ascii="Arial" w:cs="Arial" w:eastAsia="Arial" w:hAnsi="Arial"/>
                <w:sz w:val="18"/>
                <w:szCs w:val="18"/>
                <w:color w:val="auto"/>
                <w:w w:val="92"/>
              </w:rPr>
              <w:t>(Address of Principal Executive Offices)</w:t>
            </w:r>
          </w:p>
        </w:tc>
        <w:tc>
          <w:tcPr>
            <w:tcW w:w="480" w:type="dxa"/>
            <w:vAlign w:val="bottom"/>
          </w:tcPr>
          <w:p>
            <w:pPr>
              <w:spacing w:after="0"/>
              <w:rPr>
                <w:sz w:val="20"/>
                <w:szCs w:val="20"/>
                <w:color w:val="auto"/>
              </w:rPr>
            </w:pPr>
          </w:p>
        </w:tc>
        <w:tc>
          <w:tcPr>
            <w:tcW w:w="1100" w:type="dxa"/>
            <w:vAlign w:val="bottom"/>
            <w:gridSpan w:val="4"/>
          </w:tcPr>
          <w:p>
            <w:pPr>
              <w:jc w:val="center"/>
              <w:ind w:right="220"/>
              <w:spacing w:after="0"/>
              <w:rPr>
                <w:sz w:val="20"/>
                <w:szCs w:val="20"/>
                <w:color w:val="auto"/>
              </w:rPr>
            </w:pPr>
            <w:r>
              <w:rPr>
                <w:rFonts w:ascii="Arial" w:cs="Arial" w:eastAsia="Arial" w:hAnsi="Arial"/>
                <w:sz w:val="18"/>
                <w:szCs w:val="18"/>
                <w:color w:val="auto"/>
                <w:w w:val="94"/>
              </w:rPr>
              <w:t>(Zip Code)</w:t>
            </w:r>
          </w:p>
        </w:tc>
      </w:tr>
      <w:tr>
        <w:trPr>
          <w:trHeight w:val="392"/>
        </w:trPr>
        <w:tc>
          <w:tcPr>
            <w:tcW w:w="4000" w:type="dxa"/>
            <w:vAlign w:val="bottom"/>
            <w:gridSpan w:val="6"/>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(512) 437-2700</w:t>
            </w: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37"/>
        </w:trPr>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40" w:type="dxa"/>
            <w:vAlign w:val="bottom"/>
            <w:gridSpan w:val="5"/>
          </w:tcPr>
          <w:p>
            <w:pPr>
              <w:jc w:val="right"/>
              <w:ind w:right="260"/>
              <w:spacing w:after="0"/>
              <w:rPr>
                <w:sz w:val="20"/>
                <w:szCs w:val="20"/>
                <w:color w:val="auto"/>
              </w:rPr>
            </w:pPr>
            <w:r>
              <w:rPr>
                <w:rFonts w:ascii="Arial" w:cs="Arial" w:eastAsia="Arial" w:hAnsi="Arial"/>
                <w:sz w:val="18"/>
                <w:szCs w:val="18"/>
                <w:color w:val="auto"/>
              </w:rPr>
              <w:t>(Registrant’s Telephone Number, including Area Code)</w:t>
            </w: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r>
    </w:tbl>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None</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Common Stock, $0.01 par value</w:t>
      </w:r>
    </w:p>
    <w:p>
      <w:pPr>
        <w:spacing w:after="0" w:line="111" w:lineRule="exact"/>
        <w:rPr>
          <w:sz w:val="24"/>
          <w:szCs w:val="24"/>
          <w:color w:val="auto"/>
        </w:rPr>
      </w:pPr>
    </w:p>
    <w:p>
      <w:pPr>
        <w:ind w:right="1720"/>
        <w:spacing w:after="0" w:line="317" w:lineRule="exact"/>
        <w:rPr>
          <w:sz w:val="20"/>
          <w:szCs w:val="20"/>
          <w:color w:val="auto"/>
        </w:rPr>
      </w:pPr>
      <w:r>
        <w:rPr>
          <w:rFonts w:ascii="Arial" w:cs="Arial" w:eastAsia="Arial" w:hAnsi="Arial"/>
          <w:sz w:val="17"/>
          <w:szCs w:val="17"/>
          <w:color w:val="auto"/>
        </w:rPr>
        <w:t xml:space="preserve">Indicate by check mark if the registrant is a well-known seasoned issuer, as defined in Rule 405 of the Securities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Indicate by check mark if the registrant is not required to file reports pursuant to Section 13 or 15(d) of the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15"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3"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if disclosure of delinquent filings pursuant to Item 405 of Regulation S-K (§ 229.405 of this chapter)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16"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as defined in Rule 12b-2 of the Exchange Act.</w:t>
      </w:r>
    </w:p>
    <w:p>
      <w:pPr>
        <w:spacing w:after="0" w:line="70" w:lineRule="exact"/>
        <w:rPr>
          <w:sz w:val="24"/>
          <w:szCs w:val="24"/>
          <w:color w:val="auto"/>
        </w:rPr>
      </w:pPr>
    </w:p>
    <w:p>
      <w:pPr>
        <w:ind w:left="1040"/>
        <w:spacing w:after="0" w:line="207" w:lineRule="exact"/>
        <w:tabs>
          <w:tab w:leader="none" w:pos="3560" w:val="left"/>
          <w:tab w:leader="none" w:pos="5680" w:val="left"/>
          <w:tab w:leader="none" w:pos="814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144" w:lineRule="exact"/>
        <w:rPr>
          <w:sz w:val="24"/>
          <w:szCs w:val="24"/>
          <w:color w:val="auto"/>
        </w:rPr>
      </w:pPr>
    </w:p>
    <w:p>
      <w:pPr>
        <w:spacing w:after="0" w:line="196" w:lineRule="exact"/>
        <w:tabs>
          <w:tab w:leader="none" w:pos="894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ab/>
        <w:t xml:space="preserve">No </w:t>
      </w:r>
      <w:r>
        <w:rPr>
          <w:rFonts w:ascii="MS PGothic" w:cs="MS PGothic" w:eastAsia="MS PGothic" w:hAnsi="MS PGothic"/>
          <w:sz w:val="17"/>
          <w:szCs w:val="17"/>
          <w:color w:val="auto"/>
        </w:rPr>
        <w:t>☒</w:t>
      </w:r>
    </w:p>
    <w:p>
      <w:pPr>
        <w:spacing w:after="0" w:line="202"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The aggregate market value of the 4,809,312 shares of the registrant’s Common Stock held by non-affiliates on June 30, 2016, the last business day of the registrant’s most recently completed second quarter, was approximately $22,651,860. For purposes of this computation all officers, directors and 5% beneficial owners of the registrant are deemed to be affiliates. Such determination should not be deemed an admission that such officers, directors and beneficial owners are, in fact, affiliates of the registrant.</w:t>
      </w:r>
    </w:p>
    <w:p>
      <w:pPr>
        <w:spacing w:after="0" w:line="119" w:lineRule="exact"/>
        <w:rPr>
          <w:sz w:val="24"/>
          <w:szCs w:val="24"/>
          <w:color w:val="auto"/>
        </w:rPr>
      </w:pPr>
    </w:p>
    <w:p>
      <w:pPr>
        <w:spacing w:after="0"/>
        <w:rPr>
          <w:sz w:val="20"/>
          <w:szCs w:val="20"/>
          <w:color w:val="auto"/>
        </w:rPr>
      </w:pPr>
      <w:r>
        <w:rPr>
          <w:rFonts w:ascii="Arial" w:cs="Arial" w:eastAsia="Arial" w:hAnsi="Arial"/>
          <w:sz w:val="18"/>
          <w:szCs w:val="18"/>
          <w:color w:val="auto"/>
        </w:rPr>
        <w:t>At March 15, 2017, there were 8,630,023 shares of the registrant’s Common Stock, $.01 par value, issued and outstanding.</w:t>
      </w:r>
    </w:p>
    <w:p>
      <w:pPr>
        <w:spacing w:after="0" w:line="144" w:lineRule="exact"/>
        <w:rPr>
          <w:sz w:val="24"/>
          <w:szCs w:val="24"/>
          <w:color w:val="auto"/>
        </w:rPr>
      </w:pPr>
    </w:p>
    <w:p>
      <w:pPr>
        <w:ind w:left="3740"/>
        <w:spacing w:after="0"/>
        <w:rPr>
          <w:sz w:val="20"/>
          <w:szCs w:val="20"/>
          <w:color w:val="auto"/>
        </w:rPr>
      </w:pPr>
      <w:r>
        <w:rPr>
          <w:rFonts w:ascii="Arial" w:cs="Arial" w:eastAsia="Arial" w:hAnsi="Arial"/>
          <w:sz w:val="18"/>
          <w:szCs w:val="18"/>
          <w:color w:val="auto"/>
        </w:rPr>
        <w:t>DOCUMENTS INCORPORATED BY REFERENCE</w:t>
      </w:r>
    </w:p>
    <w:p>
      <w:pPr>
        <w:spacing w:after="0" w:line="158" w:lineRule="exact"/>
        <w:rPr>
          <w:sz w:val="24"/>
          <w:szCs w:val="24"/>
          <w:color w:val="auto"/>
        </w:rPr>
      </w:pPr>
    </w:p>
    <w:p>
      <w:pPr>
        <w:jc w:val="both"/>
        <w:spacing w:after="0" w:line="286" w:lineRule="auto"/>
        <w:rPr>
          <w:sz w:val="20"/>
          <w:szCs w:val="20"/>
          <w:color w:val="auto"/>
        </w:rPr>
      </w:pPr>
      <w:r>
        <w:rPr>
          <w:rFonts w:ascii="Arial" w:cs="Arial" w:eastAsia="Arial" w:hAnsi="Arial"/>
          <w:sz w:val="17"/>
          <w:szCs w:val="17"/>
          <w:color w:val="auto"/>
        </w:rPr>
        <w:t>Portions of the registrant’s definitive Proxy Statement relating to its 2017 Annual Meeting of Shareholders are incorporated by reference into Part III of this Annual Report on Form 10-K where indicated. Such Proxy Statement, or an amendment to this report containing the Items comprising Part III, will be filed with the U.S. Securities and Exchange Commission within 120 days after the end of the fiscal year to which this report relates.</w:t>
      </w:r>
    </w:p>
    <w:p>
      <w:pPr>
        <w:sectPr>
          <w:pgSz w:w="11900" w:h="16920" w:orient="portrait"/>
          <w:cols w:equalWidth="0" w:num="1">
            <w:col w:w="11420"/>
          </w:cols>
          <w:pgMar w:left="240" w:top="567" w:right="239" w:bottom="0" w:gutter="0" w:footer="0" w:header="0"/>
        </w:sectPr>
      </w:pPr>
    </w:p>
    <w:bookmarkStart w:id="1" w:name="page2"/>
    <w:bookmarkEnd w:id="1"/>
    <w:p>
      <w:pPr>
        <w:jc w:val="both"/>
        <w:spacing w:after="0" w:line="28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40" w:type="dxa"/>
            <w:vAlign w:val="bottom"/>
            <w:gridSpan w:val="8"/>
          </w:tcPr>
          <w:p>
            <w:pPr>
              <w:ind w:left="460"/>
              <w:spacing w:after="0"/>
              <w:rPr>
                <w:sz w:val="20"/>
                <w:szCs w:val="20"/>
                <w:color w:val="auto"/>
              </w:rPr>
            </w:pPr>
            <w:r>
              <w:rPr>
                <w:rFonts w:ascii="Arial" w:cs="Arial" w:eastAsia="Arial" w:hAnsi="Arial"/>
                <w:sz w:val="18"/>
                <w:szCs w:val="18"/>
                <w:b w:val="1"/>
                <w:bCs w:val="1"/>
                <w:color w:val="auto"/>
              </w:rPr>
              <w:t>TABLE OF CONTENTS</w:t>
            </w:r>
          </w:p>
        </w:tc>
        <w:tc>
          <w:tcPr>
            <w:tcW w:w="1280" w:type="dxa"/>
            <w:vAlign w:val="bottom"/>
          </w:tcPr>
          <w:p>
            <w:pPr>
              <w:spacing w:after="0"/>
              <w:rPr>
                <w:sz w:val="20"/>
                <w:szCs w:val="20"/>
                <w:color w:val="auto"/>
              </w:rPr>
            </w:pPr>
          </w:p>
        </w:tc>
      </w:tr>
      <w:tr>
        <w:trPr>
          <w:trHeight w:val="459"/>
        </w:trPr>
        <w:tc>
          <w:tcPr>
            <w:tcW w:w="96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92"/>
        </w:trPr>
        <w:tc>
          <w:tcPr>
            <w:tcW w:w="9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180" w:type="dxa"/>
            <w:vAlign w:val="bottom"/>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1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960" w:type="dxa"/>
            <w:vAlign w:val="bottom"/>
            <w:gridSpan w:val="2"/>
          </w:tcPr>
          <w:p>
            <w:pPr>
              <w:spacing w:after="0" w:line="196" w:lineRule="exact"/>
              <w:rPr>
                <w:sz w:val="20"/>
                <w:szCs w:val="20"/>
                <w:color w:val="auto"/>
              </w:rPr>
            </w:pPr>
            <w:r>
              <w:rPr>
                <w:rFonts w:ascii="Arial" w:cs="Arial" w:eastAsia="Arial" w:hAnsi="Arial"/>
                <w:sz w:val="18"/>
                <w:szCs w:val="18"/>
                <w:color w:val="auto"/>
              </w:rPr>
              <w:t>Item 1A.</w:t>
            </w:r>
          </w:p>
        </w:tc>
        <w:tc>
          <w:tcPr>
            <w:tcW w:w="9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10">
              <w:r>
                <w:rPr>
                  <w:rFonts w:ascii="Arial" w:cs="Arial" w:eastAsia="Arial" w:hAnsi="Arial"/>
                  <w:sz w:val="18"/>
                  <w:szCs w:val="18"/>
                  <w:color w:val="0000EE"/>
                  <w:w w:val="89"/>
                </w:rPr>
                <w:t>Risk Factors</w:t>
              </w:r>
            </w:hyperlink>
          </w:p>
        </w:tc>
        <w:tc>
          <w:tcPr>
            <w:tcW w:w="8260" w:type="dxa"/>
            <w:vAlign w:val="bottom"/>
            <w:gridSpan w:val="16"/>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960" w:type="dxa"/>
            <w:vAlign w:val="bottom"/>
            <w:gridSpan w:val="2"/>
          </w:tcPr>
          <w:p>
            <w:pPr>
              <w:spacing w:after="0" w:line="196" w:lineRule="exact"/>
              <w:rPr>
                <w:sz w:val="20"/>
                <w:szCs w:val="20"/>
                <w:color w:val="auto"/>
              </w:rPr>
            </w:pPr>
            <w:r>
              <w:rPr>
                <w:rFonts w:ascii="Arial" w:cs="Arial" w:eastAsia="Arial" w:hAnsi="Arial"/>
                <w:sz w:val="18"/>
                <w:szCs w:val="18"/>
                <w:color w:val="auto"/>
              </w:rPr>
              <w:t>Item 1B.</w:t>
            </w:r>
          </w:p>
        </w:tc>
        <w:tc>
          <w:tcPr>
            <w:tcW w:w="206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10">
              <w:r>
                <w:rPr>
                  <w:rFonts w:ascii="Arial" w:cs="Arial" w:eastAsia="Arial" w:hAnsi="Arial"/>
                  <w:sz w:val="18"/>
                  <w:szCs w:val="18"/>
                  <w:color w:val="0000EE"/>
                  <w:w w:val="90"/>
                </w:rPr>
                <w:t>Unresolved Staff Comments</w:t>
              </w:r>
            </w:hyperlink>
          </w:p>
        </w:tc>
        <w:tc>
          <w:tcPr>
            <w:tcW w:w="7120" w:type="dxa"/>
            <w:vAlign w:val="bottom"/>
            <w:gridSpan w:val="11"/>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96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74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10">
              <w:r>
                <w:rPr>
                  <w:rFonts w:ascii="Arial" w:cs="Arial" w:eastAsia="Arial" w:hAnsi="Arial"/>
                  <w:sz w:val="18"/>
                  <w:szCs w:val="18"/>
                  <w:color w:val="0000EE"/>
                  <w:w w:val="87"/>
                </w:rPr>
                <w:t>Properties</w:t>
              </w:r>
            </w:hyperlink>
          </w:p>
        </w:tc>
        <w:tc>
          <w:tcPr>
            <w:tcW w:w="8440" w:type="dxa"/>
            <w:vAlign w:val="bottom"/>
            <w:gridSpan w:val="17"/>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96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9180" w:type="dxa"/>
            <w:vAlign w:val="bottom"/>
            <w:gridSpan w:val="19"/>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Legal Proceedings</w:t>
              </w:r>
            </w:hyperlink>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453"/>
        </w:trPr>
        <w:tc>
          <w:tcPr>
            <w:tcW w:w="96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92"/>
        </w:trPr>
        <w:tc>
          <w:tcPr>
            <w:tcW w:w="960" w:type="dxa"/>
            <w:vAlign w:val="bottom"/>
            <w:gridSpan w:val="2"/>
          </w:tcPr>
          <w:p>
            <w:pPr>
              <w:spacing w:after="0"/>
              <w:rPr>
                <w:sz w:val="20"/>
                <w:szCs w:val="20"/>
                <w:color w:val="auto"/>
              </w:rPr>
            </w:pPr>
            <w:r>
              <w:rPr>
                <w:rFonts w:ascii="Arial" w:cs="Arial" w:eastAsia="Arial" w:hAnsi="Arial"/>
                <w:sz w:val="18"/>
                <w:szCs w:val="18"/>
                <w:color w:val="auto"/>
              </w:rPr>
              <w:t>Item 5.</w:t>
            </w:r>
          </w:p>
        </w:tc>
        <w:tc>
          <w:tcPr>
            <w:tcW w:w="9180" w:type="dxa"/>
            <w:vAlign w:val="bottom"/>
            <w:gridSpan w:val="19"/>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Market for Registrant’s Common Equity, Related Stockholder Matters and Issuer Purchases of Equity Securities</w:t>
              </w:r>
            </w:hyperlink>
          </w:p>
        </w:tc>
        <w:tc>
          <w:tcPr>
            <w:tcW w:w="1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196"/>
        </w:trPr>
        <w:tc>
          <w:tcPr>
            <w:tcW w:w="960" w:type="dxa"/>
            <w:vAlign w:val="bottom"/>
            <w:gridSpan w:val="2"/>
          </w:tcPr>
          <w:p>
            <w:pPr>
              <w:spacing w:after="0" w:line="196" w:lineRule="exact"/>
              <w:rPr>
                <w:sz w:val="20"/>
                <w:szCs w:val="20"/>
                <w:color w:val="auto"/>
              </w:rPr>
            </w:pPr>
            <w:r>
              <w:rPr>
                <w:rFonts w:ascii="Arial" w:cs="Arial" w:eastAsia="Arial" w:hAnsi="Arial"/>
                <w:sz w:val="18"/>
                <w:szCs w:val="18"/>
                <w:color w:val="auto"/>
              </w:rPr>
              <w:t>Item 6.</w:t>
            </w:r>
          </w:p>
        </w:tc>
        <w:tc>
          <w:tcPr>
            <w:tcW w:w="17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9"/>
              </w:rPr>
            </w:pPr>
            <w:hyperlink w:anchor="page12">
              <w:r>
                <w:rPr>
                  <w:rFonts w:ascii="Arial" w:cs="Arial" w:eastAsia="Arial" w:hAnsi="Arial"/>
                  <w:sz w:val="18"/>
                  <w:szCs w:val="18"/>
                  <w:color w:val="0000EE"/>
                  <w:w w:val="89"/>
                </w:rPr>
                <w:t>Selected Financial Data</w:t>
              </w:r>
            </w:hyperlink>
          </w:p>
        </w:tc>
        <w:tc>
          <w:tcPr>
            <w:tcW w:w="6360" w:type="dxa"/>
            <w:vAlign w:val="bottom"/>
            <w:tcBorders>
              <w:top w:val="single" w:sz="8" w:color="0000EE"/>
            </w:tcBorders>
            <w:gridSpan w:val="13"/>
          </w:tcPr>
          <w:p>
            <w:pPr>
              <w:spacing w:after="0"/>
              <w:rPr>
                <w:sz w:val="17"/>
                <w:szCs w:val="17"/>
                <w:color w:val="auto"/>
              </w:rPr>
            </w:pPr>
          </w:p>
        </w:tc>
        <w:tc>
          <w:tcPr>
            <w:tcW w:w="1100" w:type="dxa"/>
            <w:vAlign w:val="bottom"/>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960" w:type="dxa"/>
            <w:vAlign w:val="bottom"/>
            <w:gridSpan w:val="2"/>
          </w:tcPr>
          <w:p>
            <w:pPr>
              <w:spacing w:after="0" w:line="196" w:lineRule="exact"/>
              <w:rPr>
                <w:sz w:val="20"/>
                <w:szCs w:val="20"/>
                <w:color w:val="auto"/>
              </w:rPr>
            </w:pPr>
            <w:r>
              <w:rPr>
                <w:rFonts w:ascii="Arial" w:cs="Arial" w:eastAsia="Arial" w:hAnsi="Arial"/>
                <w:sz w:val="18"/>
                <w:szCs w:val="18"/>
                <w:color w:val="auto"/>
              </w:rPr>
              <w:t>Item 7.</w:t>
            </w:r>
          </w:p>
        </w:tc>
        <w:tc>
          <w:tcPr>
            <w:tcW w:w="9180" w:type="dxa"/>
            <w:vAlign w:val="bottom"/>
            <w:gridSpan w:val="19"/>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Management’s Discussion and Analysis of Financial Condition and Results of Operations</w:t>
              </w:r>
            </w:hyperlink>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960" w:type="dxa"/>
            <w:vAlign w:val="bottom"/>
            <w:gridSpan w:val="2"/>
          </w:tcPr>
          <w:p>
            <w:pPr>
              <w:spacing w:after="0" w:line="196" w:lineRule="exact"/>
              <w:rPr>
                <w:sz w:val="20"/>
                <w:szCs w:val="20"/>
                <w:color w:val="auto"/>
              </w:rPr>
            </w:pPr>
            <w:r>
              <w:rPr>
                <w:rFonts w:ascii="Arial" w:cs="Arial" w:eastAsia="Arial" w:hAnsi="Arial"/>
                <w:sz w:val="18"/>
                <w:szCs w:val="18"/>
                <w:color w:val="auto"/>
              </w:rPr>
              <w:t>Item 7A.</w:t>
            </w:r>
          </w:p>
        </w:tc>
        <w:tc>
          <w:tcPr>
            <w:tcW w:w="432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1"/>
              </w:rPr>
            </w:pPr>
            <w:hyperlink w:anchor="page21">
              <w:r>
                <w:rPr>
                  <w:rFonts w:ascii="Arial" w:cs="Arial" w:eastAsia="Arial" w:hAnsi="Arial"/>
                  <w:sz w:val="18"/>
                  <w:szCs w:val="18"/>
                  <w:color w:val="0000EE"/>
                  <w:w w:val="91"/>
                </w:rPr>
                <w:t>Quantitative and Qualitative Disclosures about Market Risk</w:t>
              </w:r>
            </w:hyperlink>
          </w:p>
        </w:tc>
        <w:tc>
          <w:tcPr>
            <w:tcW w:w="2140" w:type="dxa"/>
            <w:vAlign w:val="bottom"/>
            <w:tcBorders>
              <w:top w:val="single" w:sz="8" w:color="0000EE"/>
            </w:tcBorders>
            <w:gridSpan w:val="2"/>
          </w:tcPr>
          <w:p>
            <w:pPr>
              <w:spacing w:after="0"/>
              <w:rPr>
                <w:sz w:val="17"/>
                <w:szCs w:val="17"/>
                <w:color w:val="auto"/>
              </w:rPr>
            </w:pPr>
          </w:p>
        </w:tc>
        <w:tc>
          <w:tcPr>
            <w:tcW w:w="2720" w:type="dxa"/>
            <w:vAlign w:val="bottom"/>
            <w:gridSpan w:val="4"/>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960" w:type="dxa"/>
            <w:vAlign w:val="bottom"/>
            <w:gridSpan w:val="2"/>
          </w:tcPr>
          <w:p>
            <w:pPr>
              <w:spacing w:after="0" w:line="196" w:lineRule="exact"/>
              <w:rPr>
                <w:sz w:val="20"/>
                <w:szCs w:val="20"/>
                <w:color w:val="auto"/>
              </w:rPr>
            </w:pPr>
            <w:r>
              <w:rPr>
                <w:rFonts w:ascii="Arial" w:cs="Arial" w:eastAsia="Arial" w:hAnsi="Arial"/>
                <w:sz w:val="18"/>
                <w:szCs w:val="18"/>
                <w:color w:val="auto"/>
              </w:rPr>
              <w:t>Item 8.</w:t>
            </w:r>
          </w:p>
        </w:tc>
        <w:tc>
          <w:tcPr>
            <w:tcW w:w="334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21">
              <w:r>
                <w:rPr>
                  <w:rFonts w:ascii="Arial" w:cs="Arial" w:eastAsia="Arial" w:hAnsi="Arial"/>
                  <w:sz w:val="18"/>
                  <w:szCs w:val="18"/>
                  <w:color w:val="0000EE"/>
                  <w:w w:val="89"/>
                </w:rPr>
                <w:t>Financial Statements and Supplementary Data</w:t>
              </w:r>
            </w:hyperlink>
          </w:p>
        </w:tc>
        <w:tc>
          <w:tcPr>
            <w:tcW w:w="5840" w:type="dxa"/>
            <w:vAlign w:val="bottom"/>
            <w:gridSpan w:val="8"/>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960" w:type="dxa"/>
            <w:vAlign w:val="bottom"/>
            <w:gridSpan w:val="2"/>
          </w:tcPr>
          <w:p>
            <w:pPr>
              <w:spacing w:after="0" w:line="196" w:lineRule="exact"/>
              <w:rPr>
                <w:sz w:val="20"/>
                <w:szCs w:val="20"/>
                <w:color w:val="auto"/>
              </w:rPr>
            </w:pPr>
            <w:r>
              <w:rPr>
                <w:rFonts w:ascii="Arial" w:cs="Arial" w:eastAsia="Arial" w:hAnsi="Arial"/>
                <w:sz w:val="18"/>
                <w:szCs w:val="18"/>
                <w:color w:val="auto"/>
              </w:rPr>
              <w:t>Item 9.</w:t>
            </w:r>
          </w:p>
        </w:tc>
        <w:tc>
          <w:tcPr>
            <w:tcW w:w="656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w:anchor="page22">
              <w:r>
                <w:rPr>
                  <w:rFonts w:ascii="Arial" w:cs="Arial" w:eastAsia="Arial" w:hAnsi="Arial"/>
                  <w:sz w:val="18"/>
                  <w:szCs w:val="18"/>
                  <w:color w:val="0000EE"/>
                  <w:w w:val="90"/>
                </w:rPr>
                <w:t>Changes in and Disagreements with Accountants on Accounting and Financial Disclosures</w:t>
              </w:r>
            </w:hyperlink>
          </w:p>
        </w:tc>
        <w:tc>
          <w:tcPr>
            <w:tcW w:w="2620" w:type="dxa"/>
            <w:vAlign w:val="bottom"/>
            <w:gridSpan w:val="3"/>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960" w:type="dxa"/>
            <w:vAlign w:val="bottom"/>
            <w:gridSpan w:val="2"/>
          </w:tcPr>
          <w:p>
            <w:pPr>
              <w:spacing w:after="0" w:line="196" w:lineRule="exact"/>
              <w:rPr>
                <w:sz w:val="20"/>
                <w:szCs w:val="20"/>
                <w:color w:val="auto"/>
              </w:rPr>
            </w:pPr>
            <w:r>
              <w:rPr>
                <w:rFonts w:ascii="Arial" w:cs="Arial" w:eastAsia="Arial" w:hAnsi="Arial"/>
                <w:sz w:val="18"/>
                <w:szCs w:val="18"/>
                <w:color w:val="auto"/>
              </w:rPr>
              <w:t>Item 9A.</w:t>
            </w:r>
          </w:p>
        </w:tc>
        <w:tc>
          <w:tcPr>
            <w:tcW w:w="9180" w:type="dxa"/>
            <w:vAlign w:val="bottom"/>
            <w:gridSpan w:val="19"/>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Controls and Procedures</w:t>
              </w:r>
            </w:hyperlink>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453"/>
        </w:trPr>
        <w:tc>
          <w:tcPr>
            <w:tcW w:w="960" w:type="dxa"/>
            <w:vAlign w:val="bottom"/>
            <w:gridSpan w:val="2"/>
          </w:tcPr>
          <w:p>
            <w:pPr>
              <w:spacing w:after="0"/>
              <w:rPr>
                <w:sz w:val="20"/>
                <w:szCs w:val="20"/>
                <w:color w:val="auto"/>
              </w:rPr>
            </w:pPr>
            <w:r>
              <w:rPr>
                <w:rFonts w:ascii="Arial" w:cs="Arial" w:eastAsia="Arial" w:hAnsi="Arial"/>
                <w:sz w:val="18"/>
                <w:szCs w:val="18"/>
                <w:b w:val="1"/>
                <w:bCs w:val="1"/>
                <w:color w:val="auto"/>
              </w:rPr>
              <w:t>PART III</w:t>
            </w: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92"/>
        </w:trPr>
        <w:tc>
          <w:tcPr>
            <w:tcW w:w="960" w:type="dxa"/>
            <w:vAlign w:val="bottom"/>
            <w:gridSpan w:val="2"/>
          </w:tcPr>
          <w:p>
            <w:pPr>
              <w:spacing w:after="0"/>
              <w:rPr>
                <w:sz w:val="20"/>
                <w:szCs w:val="20"/>
                <w:color w:val="auto"/>
              </w:rPr>
            </w:pPr>
            <w:r>
              <w:rPr>
                <w:rFonts w:ascii="Arial" w:cs="Arial" w:eastAsia="Arial" w:hAnsi="Arial"/>
                <w:sz w:val="18"/>
                <w:szCs w:val="18"/>
                <w:color w:val="auto"/>
              </w:rPr>
              <w:t>Item 10.</w:t>
            </w:r>
          </w:p>
        </w:tc>
        <w:tc>
          <w:tcPr>
            <w:tcW w:w="9180" w:type="dxa"/>
            <w:vAlign w:val="bottom"/>
            <w:gridSpan w:val="19"/>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Directors, Executive Officers and Corporate Governance</w:t>
              </w:r>
            </w:hyperlink>
          </w:p>
        </w:tc>
        <w:tc>
          <w:tcPr>
            <w:tcW w:w="12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196"/>
        </w:trPr>
        <w:tc>
          <w:tcPr>
            <w:tcW w:w="960" w:type="dxa"/>
            <w:vAlign w:val="bottom"/>
            <w:gridSpan w:val="2"/>
          </w:tcPr>
          <w:p>
            <w:pPr>
              <w:spacing w:after="0" w:line="196" w:lineRule="exact"/>
              <w:rPr>
                <w:sz w:val="20"/>
                <w:szCs w:val="20"/>
                <w:color w:val="auto"/>
              </w:rPr>
            </w:pPr>
            <w:r>
              <w:rPr>
                <w:rFonts w:ascii="Arial" w:cs="Arial" w:eastAsia="Arial" w:hAnsi="Arial"/>
                <w:sz w:val="18"/>
                <w:szCs w:val="18"/>
                <w:color w:val="auto"/>
              </w:rPr>
              <w:t>Item 11.</w:t>
            </w:r>
          </w:p>
        </w:tc>
        <w:tc>
          <w:tcPr>
            <w:tcW w:w="18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w:anchor="page23">
              <w:r>
                <w:rPr>
                  <w:rFonts w:ascii="Arial" w:cs="Arial" w:eastAsia="Arial" w:hAnsi="Arial"/>
                  <w:sz w:val="18"/>
                  <w:szCs w:val="18"/>
                  <w:color w:val="0000EE"/>
                  <w:w w:val="90"/>
                </w:rPr>
                <w:t>Executive Compensation</w:t>
              </w:r>
            </w:hyperlink>
          </w:p>
        </w:tc>
        <w:tc>
          <w:tcPr>
            <w:tcW w:w="2280" w:type="dxa"/>
            <w:vAlign w:val="bottom"/>
            <w:tcBorders>
              <w:top w:val="single" w:sz="8" w:color="0000EE"/>
            </w:tcBorders>
            <w:gridSpan w:val="5"/>
          </w:tcPr>
          <w:p>
            <w:pPr>
              <w:spacing w:after="0"/>
              <w:rPr>
                <w:sz w:val="17"/>
                <w:szCs w:val="17"/>
                <w:color w:val="auto"/>
              </w:rPr>
            </w:pPr>
          </w:p>
        </w:tc>
        <w:tc>
          <w:tcPr>
            <w:tcW w:w="5080" w:type="dxa"/>
            <w:vAlign w:val="bottom"/>
            <w:gridSpan w:val="7"/>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960" w:type="dxa"/>
            <w:vAlign w:val="bottom"/>
            <w:gridSpan w:val="2"/>
          </w:tcPr>
          <w:p>
            <w:pPr>
              <w:spacing w:after="0" w:line="196" w:lineRule="exact"/>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23">
              <w:r>
                <w:rPr>
                  <w:rFonts w:ascii="Arial" w:cs="Arial" w:eastAsia="Arial" w:hAnsi="Arial"/>
                  <w:sz w:val="18"/>
                  <w:szCs w:val="18"/>
                  <w:color w:val="0000EE"/>
                  <w:w w:val="90"/>
                </w:rPr>
                <w:t>Security Ownership of Certain Beneficial Owners and Management and Related Stockholder Matters</w:t>
              </w:r>
            </w:hyperlink>
          </w:p>
        </w:tc>
        <w:tc>
          <w:tcPr>
            <w:tcW w:w="1880" w:type="dxa"/>
            <w:vAlign w:val="bottom"/>
            <w:gridSpan w:val="2"/>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960" w:type="dxa"/>
            <w:vAlign w:val="bottom"/>
            <w:gridSpan w:val="2"/>
          </w:tcPr>
          <w:p>
            <w:pPr>
              <w:spacing w:after="0" w:line="196" w:lineRule="exact"/>
              <w:rPr>
                <w:sz w:val="20"/>
                <w:szCs w:val="20"/>
                <w:color w:val="auto"/>
              </w:rPr>
            </w:pPr>
            <w:r>
              <w:rPr>
                <w:rFonts w:ascii="Arial" w:cs="Arial" w:eastAsia="Arial" w:hAnsi="Arial"/>
                <w:sz w:val="18"/>
                <w:szCs w:val="18"/>
                <w:color w:val="auto"/>
              </w:rPr>
              <w:t>Item 13.</w:t>
            </w:r>
          </w:p>
        </w:tc>
        <w:tc>
          <w:tcPr>
            <w:tcW w:w="546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23">
              <w:r>
                <w:rPr>
                  <w:rFonts w:ascii="Arial" w:cs="Arial" w:eastAsia="Arial" w:hAnsi="Arial"/>
                  <w:sz w:val="18"/>
                  <w:szCs w:val="18"/>
                  <w:color w:val="0000EE"/>
                  <w:w w:val="89"/>
                </w:rPr>
                <w:t>Certain Relationships and Related Transactions, and Director Independence</w:t>
              </w:r>
            </w:hyperlink>
          </w:p>
        </w:tc>
        <w:tc>
          <w:tcPr>
            <w:tcW w:w="3720" w:type="dxa"/>
            <w:vAlign w:val="bottom"/>
            <w:gridSpan w:val="5"/>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960" w:type="dxa"/>
            <w:vAlign w:val="bottom"/>
            <w:gridSpan w:val="2"/>
          </w:tcPr>
          <w:p>
            <w:pPr>
              <w:spacing w:after="0" w:line="196" w:lineRule="exact"/>
              <w:rPr>
                <w:sz w:val="20"/>
                <w:szCs w:val="20"/>
                <w:color w:val="auto"/>
              </w:rPr>
            </w:pPr>
            <w:r>
              <w:rPr>
                <w:rFonts w:ascii="Arial" w:cs="Arial" w:eastAsia="Arial" w:hAnsi="Arial"/>
                <w:sz w:val="18"/>
                <w:szCs w:val="18"/>
                <w:color w:val="auto"/>
              </w:rPr>
              <w:t>Item 14.</w:t>
            </w:r>
          </w:p>
        </w:tc>
        <w:tc>
          <w:tcPr>
            <w:tcW w:w="9180" w:type="dxa"/>
            <w:vAlign w:val="bottom"/>
            <w:gridSpan w:val="19"/>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Principal Accountant Fees and Services</w:t>
              </w:r>
            </w:hyperlink>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453"/>
        </w:trPr>
        <w:tc>
          <w:tcPr>
            <w:tcW w:w="960" w:type="dxa"/>
            <w:vAlign w:val="bottom"/>
            <w:gridSpan w:val="2"/>
          </w:tcPr>
          <w:p>
            <w:pPr>
              <w:spacing w:after="0"/>
              <w:rPr>
                <w:sz w:val="20"/>
                <w:szCs w:val="20"/>
                <w:color w:val="auto"/>
              </w:rPr>
            </w:pPr>
            <w:r>
              <w:rPr>
                <w:rFonts w:ascii="Arial" w:cs="Arial" w:eastAsia="Arial" w:hAnsi="Arial"/>
                <w:sz w:val="18"/>
                <w:szCs w:val="18"/>
                <w:b w:val="1"/>
                <w:bCs w:val="1"/>
                <w:color w:val="auto"/>
              </w:rPr>
              <w:t>PART IV</w:t>
            </w: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92"/>
        </w:trPr>
        <w:tc>
          <w:tcPr>
            <w:tcW w:w="960" w:type="dxa"/>
            <w:vAlign w:val="bottom"/>
            <w:gridSpan w:val="2"/>
          </w:tcPr>
          <w:p>
            <w:pPr>
              <w:spacing w:after="0"/>
              <w:rPr>
                <w:sz w:val="20"/>
                <w:szCs w:val="20"/>
                <w:color w:val="auto"/>
              </w:rPr>
            </w:pPr>
            <w:r>
              <w:rPr>
                <w:rFonts w:ascii="Arial" w:cs="Arial" w:eastAsia="Arial" w:hAnsi="Arial"/>
                <w:sz w:val="18"/>
                <w:szCs w:val="18"/>
                <w:color w:val="auto"/>
              </w:rPr>
              <w:t>Item 15.</w:t>
            </w:r>
          </w:p>
        </w:tc>
        <w:tc>
          <w:tcPr>
            <w:tcW w:w="9180" w:type="dxa"/>
            <w:vAlign w:val="bottom"/>
            <w:gridSpan w:val="19"/>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Exhibits and Financial Statement Schedules</w:t>
              </w:r>
            </w:hyperlink>
          </w:p>
        </w:tc>
        <w:tc>
          <w:tcPr>
            <w:tcW w:w="12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12"/>
        </w:trPr>
        <w:tc>
          <w:tcPr>
            <w:tcW w:w="960" w:type="dxa"/>
            <w:vAlign w:val="bottom"/>
            <w:gridSpan w:val="2"/>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Signatures</w:t>
              </w:r>
            </w:hyperlink>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19"/>
        </w:trPr>
        <w:tc>
          <w:tcPr>
            <w:tcW w:w="760" w:type="dxa"/>
            <w:vAlign w:val="bottom"/>
            <w:tcBorders>
              <w:top w:val="single" w:sz="8" w:color="0000EE"/>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Asure Software, Inc., a Delaware corporation, is a global provider of cloud-based software-as-a-service (“SaaS”) time and labor management and Agile Workplace management solutions that enable organizations to manage their office environments as well as their human resource and payroll processes effectively and efficiently.</w:t>
      </w:r>
    </w:p>
    <w:p>
      <w:pPr>
        <w:spacing w:after="0" w:line="20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Asure serves approximately 7,000 clients in 80 countries, ranging from global Fortune 500 clients to small and mid-sized businesses. Some of our current clients include Aetna, Apple Inc., Baker &amp; McKenzie, Deutsche Bank, KPMG UK, La Trobe University, Merck and Co., Inc., Mondelez, Pfizer, Inc., Pearson, PSSI, Salesforce.com, Inc., State Street and Thomson Reuters. Our mission guides the work we do each day; it is “To deliver innovative technology with the passion to empower every client’s workplace and the commitment to make their workdays easier.”</w:t>
      </w:r>
    </w:p>
    <w:p>
      <w:pPr>
        <w:spacing w:after="0" w:line="19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currently offer a full suite of solutions to help clients optimize and manage their mobile workforces and their global workspaces. SaaS-based offerings include: asset management, mobile room scheduling, mobile time tracking, scheduling software, space utilization solutions, tablet-based time clocks, time and labor management software, traditional time clocks, touch panels for room scheduling, and workplace business intelligence (“BI”) analytics, as well as human resource management, payroll processing and benefits administration services businesses. All products are implemented using our proven client deployment model and supported with professional services and client support teams as needed.</w:t>
      </w:r>
    </w:p>
    <w:p>
      <w:pPr>
        <w:spacing w:after="0" w:line="20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More than ever, companies are trying to get a handle on how to track, understand and optimize their real estate and time and labor costs in a world that is becoming increasingly mobile and global. With tele-commuting, hoteling (i.e., sharing of cubical space), and alternative working on the rise, executives have an opportunity to reinvent their workspaces to better meet the needs of their workforces and save millions in real estate costs. Similarly, mobile time tracking with geospatial and facial recognition technologies allows executives to better understand where and when their employees are working, and provides great insights into optimizing labor schedules and labor costs. Mobile time and tablet-based time tracking solutions also help combat “buddy punching”- when a dishonest worker covers for an absent co-worker by punching the company time clock for the absent worker- which can cost companies millions of dollars per year.</w:t>
      </w:r>
    </w:p>
    <w:p>
      <w:pPr>
        <w:spacing w:after="0" w:line="216"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We were incorporated in 1985 and our principal executive offices are located at 110 Wild Basin Road, Suite 100, Austin, Texas 78746. Our telephone number is (512) 437-2700 and our website is www.asuresoftware.com. Information on our website is not part of this Annual Report on Form 10-K.</w:t>
      </w:r>
    </w:p>
    <w:p>
      <w:pPr>
        <w:spacing w:after="0" w:line="15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Asure makes available free of charge, on or through its website, our annual report on Form 10-K, our quarterly reports on Form 10-Q and our current reports on Form 8-K, and amendments to those reports filed or furnished pursuant to Section 13(a) or 15(d) of the Exchange Act, as soon as reasonably practicable after we electronically file these materials or furnish them to the Securities and Exchange Commission.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DEVELOPMENTS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Public Stock Offering</w:t>
      </w:r>
    </w:p>
    <w:p>
      <w:pPr>
        <w:spacing w:after="0" w:line="25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December 2016, we completed an underwritten public offering of 1,949,250 shares of common stock at the public offering price of $8.00 per share, which includes 254,250 shares sold pursuant to the underwriters’ full exercise of their over-allotment option. Our net proceeds, after deducting the underwriting discounts and commissions and other estimated offering expenses, were approximately $14.4 million. We intend to use the net proceeds received from the offering for general corporate purposes. We may also use a portion of the net proceeds to acquire or invest in complementary businesses, assets or technologies. We subsequently used a portion of the proceeds to reduce approximately $3.0 million of our secured subordinated indebtedness payable in connection with the 2016 acquisition of Mangrove and for the three acquisitions we closed in January 2017, as noted below.</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Acquisitions</w:t>
      </w:r>
    </w:p>
    <w:p>
      <w:pPr>
        <w:spacing w:after="0" w:line="252"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In January 2017, we closed three strategic acquisitions: Personnel Management Systems, Inc., a leading provider of outsourced HR solutions; Corporate Payroll, Inc. (Payroll Division), a leading provider of payroll services; and Payroll Specialties NW, Inc., a leading provider of payroll services.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Stock Purchase Agreement</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January 2017, we acquired all of the outstanding shares of common stock of Personnel Management Systems, Inc., a Washington corporation. The aggregate consideration for the stock consisted of (i) $3.875 million in cash and (ii) a subordinated promissory note in the principal amount of $1.125 million, subject to adjustment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Asset Purchase Agreement</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January 2017, we acquired substantially all the assets of Corporate Payroll, Inc., an Ohio corporation, relating to its payroll service bureau business. The aggregate consideration for the assets consisted of (i) $1.5 million in cash, (ii) a subordinated promissory note in the principal amount of $500,000 and (iii) 112,166 shares of our common stock valued at $1.0 million, subject to adjustment.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Asset Purchase Agreement</w:t>
      </w:r>
    </w:p>
    <w:p>
      <w:pPr>
        <w:spacing w:after="0" w:line="25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 January 2017, we acquired substantially all the assets of Payroll Specialties NW, Inc., an Oregon corporation. The aggregate consideration for the assets consisted of (i) $3.010 million in cash and (ii) a subordinated promissory note in the principal amount of $600,000, subject to adjustment.</w:t>
      </w:r>
    </w:p>
    <w:p>
      <w:pPr>
        <w:spacing w:after="0" w:line="17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See Note 14- Subsequent Events in the accompanying financial statements for more information about the Stock Purchase Agreement and Asset Purchase Agreements.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Acquisitions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Through the acquisitions described below, we have entered into the human resource management, payroll processing and benefits administration services businesses, which we have integrated into our existing AsureForce® product line.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Mangrove Stock Acquisition</w:t>
      </w:r>
    </w:p>
    <w:p>
      <w:pPr>
        <w:spacing w:after="0" w:line="25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March 2016, we acquired all of the outstanding shares of common stock of Mangrove Employer Services, Inc. (“Mangrove”), a human resource management and payroll processing company based in Tampa, Florida. The aggregate consideration for the stock consisted of (i) $11.3 million in cash, and</w:t>
      </w:r>
    </w:p>
    <w:p>
      <w:pPr>
        <w:ind w:right="3780" w:firstLine="8"/>
        <w:spacing w:after="0" w:line="524" w:lineRule="auto"/>
        <w:tabs>
          <w:tab w:leader="none" w:pos="265" w:val="left"/>
        </w:tabs>
        <w:numPr>
          <w:ilvl w:val="0"/>
          <w:numId w:val="3"/>
        </w:numPr>
        <w:rPr>
          <w:rFonts w:ascii="Arial" w:cs="Arial" w:eastAsia="Arial" w:hAnsi="Arial"/>
          <w:sz w:val="18"/>
          <w:szCs w:val="18"/>
          <w:color w:val="auto"/>
        </w:rPr>
      </w:pPr>
      <w:r>
        <w:rPr>
          <w:rFonts w:ascii="Arial" w:cs="Arial" w:eastAsia="Arial" w:hAnsi="Arial"/>
          <w:sz w:val="18"/>
          <w:szCs w:val="18"/>
          <w:color w:val="auto"/>
        </w:rPr>
        <w:t>a secured subordinated promissory note in the principal amount of $6.0 million, subject to adjustment. COBRAsource Asset Acquisition</w:t>
      </w:r>
    </w:p>
    <w:p>
      <w:pPr>
        <w:jc w:val="both"/>
        <w:ind w:firstLine="648"/>
        <w:spacing w:after="0" w:line="277" w:lineRule="auto"/>
        <w:rPr>
          <w:sz w:val="20"/>
          <w:szCs w:val="20"/>
          <w:color w:val="auto"/>
        </w:rPr>
      </w:pPr>
      <w:r>
        <w:rPr>
          <w:rFonts w:ascii="Arial" w:cs="Arial" w:eastAsia="Arial" w:hAnsi="Arial"/>
          <w:sz w:val="18"/>
          <w:szCs w:val="18"/>
          <w:color w:val="auto"/>
        </w:rPr>
        <w:t>In March 2016, we also acquired substantially all the assets of Mangrove COBRAsource Inc., a benefits administration services business which then was a wholly owned subsidiary of Mangrove. The aggregate consideration for the assets was $1.0 million.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PRODUCTS AND SERVICES</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Asure’s SaaS-based solutions are uniquely designed to help companies bring people, time, space and assets together to more effectively manage their global, mobile workforces. As companies recruit, hire and work to retain mobile employees, executives use Asure’s solutions to understand how their workspaces are used, track how and when people work, and foster productivity by making it easy for employees to find the workspace they need. We currently offer two main product lines, AsureSpace™ and AsureForce®. AsureSpace™ provides workplace management solutions that enable organizations to manage their office environments and optimize real estate utilization, and AsureForce® time and labor management solutions help organizations optimize labor and labor administration costs and activities.</w:t>
      </w:r>
    </w:p>
    <w:p>
      <w:pPr>
        <w:spacing w:after="0" w:line="19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With AsureSpace™ workspace management solutions, clients realize significant costs savings and Return on Investment (“ROI”) gains by better using their real estate with a full portfolio of industry-leading, global, SaaS-based solutions. Our SmartView® product offers unique insights into how space is being used, which allows companies to make proactive, strategic decisions about real estate investments. SmartTag® asset management helps companies assign physical assets to people and spaces so they can track and recover all assets, including cell phones, laptops, desks, chairs, and virtually any item assigned to an employee. AsureSpace™ resource scheduling and meeting room management solutions help employees easily find and reserve space for their specific needs. Our new product, NowSpace®, allows users to find and reserve desk spaces, conference rooms, catering, audiovisual, and more directly from their smart phones. AsureSpace™ touch panels and kiosks are placed outside busy areas for on-the-fly desk and space reservation needs; viewers can find, reserve and use available space as needed. And lastly, workplace business intelligence (“Workplace BI”) tools offer invaluable reporting for executives to understand space utilization and continue to make improvements in their real estate investments.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Mangrove, which was acquired in March 2016, and is now a part of our AsureForce® product line, provides cloud-based SaaS Human Capital Management (“HCM”) applications which includes human resources (“HR”), payroll, benefits, and talent management software solutions. Mangrove’s HCM suite of solutions is easy-to-use, with fully integrated HR/payroll applications uniquely designed to help companies recruit, manage, pay, and analyze their workforce more effectively.</w:t>
      </w:r>
    </w:p>
    <w:p>
      <w:pPr>
        <w:spacing w:after="0" w:line="18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acquisition enabled us to alter the marketplace of HCM by offering a comprehensive solution that brings workforce and workspace management together. These two workflows combined in one unified management platform increases company bottom-line performance through greater employee empowerment and engagement. It also gives companies new data metrics to manage their two most costly assets: their people and real estate.</w:t>
      </w:r>
    </w:p>
    <w:p>
      <w:pPr>
        <w:spacing w:after="0" w:line="14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Cost savings and additional ROI gains come in the form of a more strategic use of labor dollars and the elimination of time theft with AsureForce® workforce management solutions. GeoPunch® mobile time tracking, the AirClock™ tablet-based time tracking, and Asure’s workforce management platform offer clients several advantages. First, mobile time tracking with geospatial and facial recognition technologies help executives better understand where and when their employees are working and provide great insights into optimizing labor schedules and labor costs. Mobile time and tablet-based time tracking solutions make it much more efficient for employees to punch in and out from wherever they are working, whether it is a client site, a work site, or a home-based work arrangement. GeoPunch® and AirClock™ also help combat buddy punching, which can cost companies millions of dollars per year. Finally, employees, supervisors and executives have real-time access to data and business intelligence to help eliminate buddy punching, optimize job costing and labor scheduling, and ultimately control and optimize labor costs.</w:t>
      </w:r>
    </w:p>
    <w:p>
      <w:pPr>
        <w:spacing w:after="0" w:line="1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both product lines, support and professional services are other key elements of our software and services business. As an extension of our legacy perpetual software product offerings, Asure offers our customers maintenance and support contracts that provide ready access to qualified support staff, software patches and upgrades to our software products. We also provide installation of and training on our products, add-on software customization and other professional services on a global scale.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PRODUCT DEVELOPMENT</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strive to quickly bring to market innovative, cloud-based solutions that work when, where and how workforces are operating today. Asure’s strategy is to deliver the right technology to its customer base in order to realize efficiencies in the workplace. First-to-market mobile applications are a testament to our success in innovation. Additionally, Asure is committed to co-innovation, working in partnership with industry leaders, partners and clients around the globe to develop technology solutions that meet the needs of a rapidly shifting workplace.</w:t>
      </w:r>
    </w:p>
    <w:p>
      <w:pPr>
        <w:spacing w:after="0" w:line="21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industry is characterized by continuing improvements in technology, resulting in the frequent introduction of new products, short product life cycles, changes in customer needs and continual improvement in product performance characteristics. Asure strives to be cost-effective and timely in enhancing our software applications, developing new innovative software solutions that address the increasingly sophisticated and varied needs of an evolving range of customers, and anticipating technological advances and evolving industry standards and practices.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Asure development teams – located in Traverse City, Michigan; Dedham, Massachusetts; Salt Lake City, Utah and Austin, Texas – are staffed with software developers, quality assurance engineers and support specialists who work closely with our customers and sales and marketing teams to build products and services based on market requirements and customer feedback. We develop our new product and service roadmaps based on inputs from customers, competitive comparisons and relevant technology innovations.</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research and development strategy is rooted in innovation and flexibility. The development team enhances the functionality of our software and hardware products through new releases and new feature developments, with a particular focus on cloud-based SaaS solutions and products for the mobile workforce. Asure will also continue to evaluate opportunities for developing new software so that organizations may further streamline and automate the tasks associated with administering their businesses. We seek to simultaneously allow organizations to improve their productivity while reducing the costs associated with those business tasks.</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also actively search for potential product, service or business acquisitions that we believe will complement our existing and planned product and service offerings, such as our 2016 Mangrove human capital management, payroll processing and employee benefits administration acquisitions. We cannot assure that we will make future acquisitions or that we can successfully integrate acquired assets or businesses profitably into Asure.</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Despite our efforts, we also cannot assure that we will complete our existing and future development efforts or that our new and enhanced software products will adequately meet the requirements of the marketplace and achieve market acceptance. Additionally, Asure may experience difficulties that could delay or prevent the successful development or introduction of new or enhanced software products. In the case of acquiring new or complementary software products or technologies, we may not be able to integrate the acquisitions into our current product lines. Furthermore, despite extensive testing, errors may be found in new software products or releases after shipment, resulting in a diversion of development resources, increased service costs, loss of revenue and/or delay in market acceptance.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SALES AND DISTRIBUTION</w:t>
      </w:r>
    </w:p>
    <w:p>
      <w:pPr>
        <w:spacing w:after="0" w:line="25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Asure sells its software products and services through both a direct and channel (partner) model, which enables us to sell our software solutions in an efficient, cost-effective manner. Prospective customers learn about Asure through a variety of ways, including advertising, web site searches, sales calls, public relations, direct marketing and social media. When prospective customers show an interest in Asure, we connect them with a sales representative via our web site, phone or a face-to-face meeting to discuss their needs and the solutions they are interested in and make the sale. We track our marketing and sales activities to provide immediate preview into activities, leads and pipeline opportunities. Asure account management teams also work with existing customers to promote and sell additional solutions that are relevant for each customer. In addition to this direct sales model, we supplement these efforts with our partner programs described below. By working with our partners, we expand the reach of our direct sales force and gain access to key opportunities in major market segments worldwide. Asure has two distinct levels of partners in our Partner Program: Reseller Partners and Referral Partners.</w:t>
      </w:r>
    </w:p>
    <w:p>
      <w:pPr>
        <w:spacing w:after="0" w:line="162"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b w:val="1"/>
          <w:bCs w:val="1"/>
          <w:color w:val="auto"/>
        </w:rPr>
        <w:t>Reseller Partners</w:t>
      </w:r>
      <w:r>
        <w:rPr>
          <w:rFonts w:ascii="Arial" w:cs="Arial" w:eastAsia="Arial" w:hAnsi="Arial"/>
          <w:sz w:val="16"/>
          <w:szCs w:val="16"/>
          <w:color w:val="auto"/>
        </w:rPr>
        <w:t>. Reseller Partners are companies that represent us globally, as well as before the Federal government, and often offer</w:t>
      </w:r>
      <w:r>
        <w:rPr>
          <w:rFonts w:ascii="Arial" w:cs="Arial" w:eastAsia="Arial" w:hAnsi="Arial"/>
          <w:sz w:val="16"/>
          <w:szCs w:val="16"/>
          <w:b w:val="1"/>
          <w:bCs w:val="1"/>
          <w:color w:val="auto"/>
        </w:rPr>
        <w:t xml:space="preserve"> </w:t>
      </w:r>
      <w:r>
        <w:rPr>
          <w:rFonts w:ascii="Arial" w:cs="Arial" w:eastAsia="Arial" w:hAnsi="Arial"/>
          <w:sz w:val="16"/>
          <w:szCs w:val="16"/>
          <w:color w:val="auto"/>
        </w:rPr>
        <w:t>complementary products to either the workspace management product line or the workforce product line. Reseller Partners commit to a minimum level of business per year with us and receive a channel discount for that commitment. Our Reseller Partners outside the United States include Novera in Australia which represents the workspace product line. We also have several Reseller Partners that represent our software in the Federal government space. Resellers of our workforce product line in the United States include Oasis Outsourcing, a large provider of human resource outsourcing solutions.</w:t>
      </w:r>
    </w:p>
    <w:p>
      <w:pPr>
        <w:spacing w:after="0" w:line="15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Referral Partners</w:t>
      </w:r>
      <w:r>
        <w:rPr>
          <w:rFonts w:ascii="Arial" w:cs="Arial" w:eastAsia="Arial" w:hAnsi="Arial"/>
          <w:sz w:val="18"/>
          <w:szCs w:val="18"/>
          <w:color w:val="auto"/>
        </w:rPr>
        <w:t>. Referral Partners provide us with the name and particular information about a prospective customer and its needs as a sales</w:t>
      </w:r>
      <w:r>
        <w:rPr>
          <w:rFonts w:ascii="Arial" w:cs="Arial" w:eastAsia="Arial" w:hAnsi="Arial"/>
          <w:sz w:val="18"/>
          <w:szCs w:val="18"/>
          <w:b w:val="1"/>
          <w:bCs w:val="1"/>
          <w:color w:val="auto"/>
        </w:rPr>
        <w:t xml:space="preserve"> </w:t>
      </w:r>
      <w:r>
        <w:rPr>
          <w:rFonts w:ascii="Arial" w:cs="Arial" w:eastAsia="Arial" w:hAnsi="Arial"/>
          <w:sz w:val="18"/>
          <w:szCs w:val="18"/>
          <w:color w:val="auto"/>
        </w:rPr>
        <w:t>lead. If we accept the sales lead, we register it for the Referral Partner. If we make a sale as a direct result of such a lead, we will pay the Referral Partner a sales lead referral fee. Currently, we have a number of Referral Partners, including PolyVision Corp., Steelcase and e-Innovative Solutions for the workspace management product line and several smaller firms for our workforce product line.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COMPETITION</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believe we have a unique position in the market place, in that Asure is the only technology company in the world that offers SaaS-based workspace and workforce management solutions from a single partner. Additionally, we believe Asure has been first-to-market with mobile apps in the workspace management industry and we are the only known company to have both geospatial and facial recognition technology working together for mobile time tracking.</w:t>
      </w:r>
    </w:p>
    <w:p>
      <w:pPr>
        <w:spacing w:after="0" w:line="214" w:lineRule="exact"/>
        <w:rPr>
          <w:sz w:val="20"/>
          <w:szCs w:val="20"/>
          <w:color w:val="auto"/>
        </w:rPr>
      </w:pPr>
    </w:p>
    <w:p>
      <w:pPr>
        <w:jc w:val="both"/>
        <w:ind w:firstLine="741"/>
        <w:spacing w:after="0" w:line="255" w:lineRule="auto"/>
        <w:rPr>
          <w:sz w:val="20"/>
          <w:szCs w:val="20"/>
          <w:color w:val="auto"/>
        </w:rPr>
      </w:pPr>
      <w:r>
        <w:rPr>
          <w:rFonts w:ascii="Arial" w:cs="Arial" w:eastAsia="Arial" w:hAnsi="Arial"/>
          <w:sz w:val="18"/>
          <w:szCs w:val="18"/>
          <w:color w:val="auto"/>
        </w:rPr>
        <w:t>Specific to the AsureSpace™ line of workspace management software solutions, we have a competitive advantage in the breadth of our comprehensive platform of workspace scheduling and utilization analytics as well as our resources available for product development, client services, and customer support. The primary competitors to AsureSpace™ include Dean Evans &amp; Associates, Inc., Emergingsoft Corporation, AgilQuest Corporation and Condeco Ltd. (UK). In addition to the features and available services, we believe the principal advantages of AsureSpace™ with respect to its competitors include its cloud-based services model, extensive product integration options and partner channel, scalable deployments, configurable interfaces, mobile access and price.</w:t>
      </w:r>
    </w:p>
    <w:p>
      <w:pPr>
        <w:spacing w:after="0" w:line="22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believe that the AsureForce® line of workforce management software solutions has a competitive advantage in the marketplace in serving organizations seeking specific point-solutions as well as organizations desiring an integrated suite of solutions, particularly in the area of mobile time collection. We believe GeoPunch® and AirClock™ products are first-to-market technology solutions with significant market demand. By competing tactically with point-solutions and strategically with an integrated suite of solutions, Asure can serve the needs of a broad spectrum of companies. Primary competitors to AsureForce® include Kronos, Replicon, and Time Simplicity.</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While Asure has the advantage of a flexible, easy to use, cloud-based, SaaS-delivered software model, affordability and proven deployment methodology, we face several categories of competitive challenges:</w:t>
      </w:r>
    </w:p>
    <w:p>
      <w:pPr>
        <w:spacing w:after="0" w:line="170" w:lineRule="exact"/>
        <w:rPr>
          <w:sz w:val="20"/>
          <w:szCs w:val="20"/>
          <w:color w:val="auto"/>
        </w:rPr>
      </w:pPr>
    </w:p>
    <w:p>
      <w:pPr>
        <w:jc w:val="both"/>
        <w:ind w:left="660" w:right="680"/>
        <w:spacing w:after="0" w:line="279" w:lineRule="auto"/>
        <w:rPr>
          <w:sz w:val="20"/>
          <w:szCs w:val="20"/>
          <w:color w:val="auto"/>
        </w:rPr>
      </w:pPr>
      <w:r>
        <w:rPr>
          <w:rFonts w:ascii="Arial" w:cs="Arial" w:eastAsia="Arial" w:hAnsi="Arial"/>
          <w:sz w:val="17"/>
          <w:szCs w:val="17"/>
          <w:i w:val="1"/>
          <w:iCs w:val="1"/>
          <w:color w:val="auto"/>
        </w:rPr>
        <w:t xml:space="preserve">Vendors with face-to-face sales contact. </w:t>
      </w:r>
      <w:r>
        <w:rPr>
          <w:rFonts w:ascii="Arial" w:cs="Arial" w:eastAsia="Arial" w:hAnsi="Arial"/>
          <w:sz w:val="17"/>
          <w:szCs w:val="17"/>
          <w:color w:val="auto"/>
        </w:rPr>
        <w:t>In this highly relationship-based sales process, vendors with large, dispersed field-based sales</w:t>
      </w:r>
      <w:r>
        <w:rPr>
          <w:rFonts w:ascii="Arial" w:cs="Arial" w:eastAsia="Arial" w:hAnsi="Arial"/>
          <w:sz w:val="17"/>
          <w:szCs w:val="17"/>
          <w:i w:val="1"/>
          <w:iCs w:val="1"/>
          <w:color w:val="auto"/>
        </w:rPr>
        <w:t xml:space="preserve"> </w:t>
      </w:r>
      <w:r>
        <w:rPr>
          <w:rFonts w:ascii="Arial" w:cs="Arial" w:eastAsia="Arial" w:hAnsi="Arial"/>
          <w:sz w:val="17"/>
          <w:szCs w:val="17"/>
          <w:color w:val="auto"/>
        </w:rPr>
        <w:t>teams who meet and consult with prospects have an advantage. Key U.S. vendors who approach the market in this manner include ADP, Kronos, PeopleSoft, Condeco and Steelcase. Asure has recently launched a field-based approach to sales and also focuses on high-touch marketing campaigns and leveraging relationships with channel partners to build relationships with prospects.</w:t>
      </w:r>
    </w:p>
    <w:p>
      <w:pPr>
        <w:spacing w:after="0" w:line="198" w:lineRule="exact"/>
        <w:rPr>
          <w:sz w:val="20"/>
          <w:szCs w:val="20"/>
          <w:color w:val="auto"/>
        </w:rPr>
      </w:pPr>
    </w:p>
    <w:p>
      <w:pPr>
        <w:jc w:val="both"/>
        <w:ind w:left="660" w:right="680"/>
        <w:spacing w:after="0" w:line="264" w:lineRule="auto"/>
        <w:rPr>
          <w:sz w:val="20"/>
          <w:szCs w:val="20"/>
          <w:color w:val="auto"/>
        </w:rPr>
      </w:pPr>
      <w:r>
        <w:rPr>
          <w:rFonts w:ascii="Arial" w:cs="Arial" w:eastAsia="Arial" w:hAnsi="Arial"/>
          <w:sz w:val="18"/>
          <w:szCs w:val="18"/>
          <w:i w:val="1"/>
          <w:iCs w:val="1"/>
          <w:color w:val="auto"/>
        </w:rPr>
        <w:t xml:space="preserve">National payroll processors with loss-leader products. </w:t>
      </w:r>
      <w:r>
        <w:rPr>
          <w:rFonts w:ascii="Arial" w:cs="Arial" w:eastAsia="Arial" w:hAnsi="Arial"/>
          <w:sz w:val="18"/>
          <w:szCs w:val="18"/>
          <w:color w:val="auto"/>
        </w:rPr>
        <w:t>Large brand and market share payroll processing vendors (such as ADP, Inc.) offer</w:t>
      </w:r>
      <w:r>
        <w:rPr>
          <w:rFonts w:ascii="Arial" w:cs="Arial" w:eastAsia="Arial" w:hAnsi="Arial"/>
          <w:sz w:val="18"/>
          <w:szCs w:val="18"/>
          <w:i w:val="1"/>
          <w:iCs w:val="1"/>
          <w:color w:val="auto"/>
        </w:rPr>
        <w:t xml:space="preserve"> </w:t>
      </w:r>
      <w:r>
        <w:rPr>
          <w:rFonts w:ascii="Arial" w:cs="Arial" w:eastAsia="Arial" w:hAnsi="Arial"/>
          <w:sz w:val="18"/>
          <w:szCs w:val="18"/>
          <w:color w:val="auto"/>
        </w:rPr>
        <w:t>equivalent point solutions at little or no cost to prospects when in a competitive engagement because these loss leader products become inconsequential next to their core business offerings.</w:t>
      </w:r>
    </w:p>
    <w:p>
      <w:pPr>
        <w:spacing w:after="0" w:line="208" w:lineRule="exact"/>
        <w:rPr>
          <w:sz w:val="20"/>
          <w:szCs w:val="20"/>
          <w:color w:val="auto"/>
        </w:rPr>
      </w:pPr>
    </w:p>
    <w:p>
      <w:pPr>
        <w:jc w:val="both"/>
        <w:ind w:left="660" w:right="680"/>
        <w:spacing w:after="0" w:line="342" w:lineRule="auto"/>
        <w:rPr>
          <w:sz w:val="20"/>
          <w:szCs w:val="20"/>
          <w:color w:val="auto"/>
        </w:rPr>
      </w:pPr>
      <w:r>
        <w:rPr>
          <w:rFonts w:ascii="Arial" w:cs="Arial" w:eastAsia="Arial" w:hAnsi="Arial"/>
          <w:sz w:val="16"/>
          <w:szCs w:val="16"/>
          <w:i w:val="1"/>
          <w:iCs w:val="1"/>
          <w:color w:val="auto"/>
        </w:rPr>
        <w:t xml:space="preserve">Single application vendors. </w:t>
      </w:r>
      <w:r>
        <w:rPr>
          <w:rFonts w:ascii="Arial" w:cs="Arial" w:eastAsia="Arial" w:hAnsi="Arial"/>
          <w:sz w:val="16"/>
          <w:szCs w:val="16"/>
          <w:color w:val="auto"/>
        </w:rPr>
        <w:t>Vendors that offer similar point-solutions, such as room scheduling, office hoteling management, time and</w:t>
      </w:r>
      <w:r>
        <w:rPr>
          <w:rFonts w:ascii="Arial" w:cs="Arial" w:eastAsia="Arial" w:hAnsi="Arial"/>
          <w:sz w:val="16"/>
          <w:szCs w:val="16"/>
          <w:i w:val="1"/>
          <w:iCs w:val="1"/>
          <w:color w:val="auto"/>
        </w:rPr>
        <w:t xml:space="preserve"> </w:t>
      </w:r>
      <w:r>
        <w:rPr>
          <w:rFonts w:ascii="Arial" w:cs="Arial" w:eastAsia="Arial" w:hAnsi="Arial"/>
          <w:sz w:val="16"/>
          <w:szCs w:val="16"/>
          <w:color w:val="auto"/>
        </w:rPr>
        <w:t>attendance, employee/manager self-service and paystub management, can be perceived as better meeting an immediate and specific need.</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Because the market for our products and services is subject to rapid technological change and there are relatively low barriers to entry in the workplace management software market, we routinely encounter new entrants or competition from vendors in some or all aspects of our two product lines. Competition from these potential market entrants may take many forms. Some of our competitors, both current and future, may have greater financial, technical and marketing resources than us and therefore may be able to respond more quickly to new or emerging technologies and changes in customer requirements. As a result, they may compete more effectively on price and other terms. Additionally, those competitors may devote greater resources in developing products or in promoting and selling their products to achieve greater market acceptance. Asure is actively taking measures designed to address our competitive challenges. However, we cannot assure that we will be able to achieve or maintain a competitive advantage with respect to any of the competitive factors.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MARKETING</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Asure’s marketing strategy has relied on the development and implementation of a comprehensive integrated plan rooted in our business objectives. The marketing plan includes four primary objectives: 1) build brand awareness, 2) develop lead generation programs that drive revenue, 3) launch products in a meaningful way and 4) develop an infrastructure that supports and measures marketing activities. We deploy multi-faceted, multi-series direct marketing programs to drive awareness, interest and revenue. Marketing vehicles include our web site, organic and paid search, advertising, public relations, direct marketing, events, social media, content marketing and eMarketing. Our marketing plan addresses growth and retention goals for all target audiences, from small and medium-sized businesses to Fortune 500 companies and divisions of enterprise organizations throughout the United States, Europe and Asia/Pacific.</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INDUSTRY REGULATION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business is subject to a wide range of complex U.S. and foreign laws and regulations. In addition, many of our solutions are designed to assist clients with their compliance with certain U.S. and foreign laws and regulations that apply to them. Failure to comply with, or changes in, laws and regulations applicable to our businesses could have a materially adverse effect on our reputation, results of operations or financial condition, or have other adverse consequences.</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a provider of HR outsourcing solutions, we process personal and sensitive data related to clients, employees of our clients, vendors and our employees. We are, therefore, subject to compliance obligations under federal, state and foreign privacy and data security-related laws. For instance, in the United States, the Health Insurance Portability and Accountability Act of 1996 applies to our COBRA, flexible spending account, and health savings account benefits administration services businesses. We are also subject to federal, state and foreign security breach notification laws with respect to both our own employee data and client employee data.</w:t>
      </w:r>
    </w:p>
    <w:p>
      <w:pPr>
        <w:spacing w:after="0" w:line="18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Some of our solutions assist our clients in complying with certain U.S. and foreign laws and regulations that apply to them. For example, our HCM solutions help clients manage their compliance with certain requirements of the Patient Protection and Affordable Care Act in the United States. Our COBRA administration services and flexible spending account services in the United States are designed to help our clients comply with relevant federal guidelines relating to, respectively, employers’ benefits continuation obligations and certain requirements of the Internal Revenue Code. Although these laws and regulations apply to our clients and not to us, changes in such laws or regulations may affect our operations, products and services.</w:t>
      </w:r>
    </w:p>
    <w:p>
      <w:pPr>
        <w:spacing w:after="0" w:line="15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Additionally, the changing nature of privacy laws in the United States, Canada, the European Union and elsewhere, may impact our processing of personal information of our employees and on behalf of our clients. For example, the European Union adopted a comprehensive general data privacy regulation (the “GDPR”) in May 2016 that will replace the current EU Data Protection Directive and related country-specific legislation. The GDPR becomes fully effective in May 2018. Complying with the enhanced obligations imposed by the GDPR may result in significant costs to our business and require us to amend certain of our business practices. Further, enforcement actions and investigations by regulatory authorities related to data security incidents and privacy violations continue to increase. The future enactment of more restrictive laws, rules or regulations and/or future enforcement actions or investigations could have a materially adverse impact on us through increased costs or restrictions on our businesses and noncompliance could result in regulatory penalties and significant legal liability. Failure to comply with data privacy laws and regulations could have a materially adverse effect on our reputation, results of operations or financial condition, or have other adverse consequences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foregoing description does not include an exhaustive list of the laws and regulations governing and impacting our business.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TRADEMARKS</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registered Asure Software® as a federal trademark with the U.S. Patent and Trademark Office. Our other federal trademarks include AsureForce®, Face Time Clock®, Legiant Timecard® and ADI Time®, and we have pending applications for federal registration of the marks AsureSpace™, SmartView™ and GeoPunch™. We also use the common law trademarks iEmployee™, Netsimplicty™, AsureSpace™, ADI™, Workplace BI™ and Legiant Express™.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EMPLOYEES</w:t>
            </w:r>
          </w:p>
        </w:tc>
        <w:tc>
          <w:tcPr>
            <w:tcW w:w="7260" w:type="dxa"/>
            <w:vAlign w:val="bottom"/>
            <w:gridSpan w:val="2"/>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480"/>
        </w:trPr>
        <w:tc>
          <w:tcPr>
            <w:tcW w:w="8400" w:type="dxa"/>
            <w:vAlign w:val="bottom"/>
            <w:gridSpan w:val="3"/>
          </w:tcPr>
          <w:p>
            <w:pPr>
              <w:ind w:left="660"/>
              <w:spacing w:after="0"/>
              <w:rPr>
                <w:sz w:val="20"/>
                <w:szCs w:val="20"/>
                <w:color w:val="auto"/>
              </w:rPr>
            </w:pPr>
            <w:r>
              <w:rPr>
                <w:rFonts w:ascii="Arial" w:cs="Arial" w:eastAsia="Arial" w:hAnsi="Arial"/>
                <w:sz w:val="18"/>
                <w:szCs w:val="18"/>
                <w:color w:val="auto"/>
              </w:rPr>
              <w:t>As of December 31, 2016, we had a total of 179 employees in the following departments:</w:t>
            </w: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14"/>
        </w:trPr>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580" w:type="dxa"/>
            <w:vAlign w:val="bottom"/>
            <w:gridSpan w:val="2"/>
          </w:tcPr>
          <w:p>
            <w:pPr>
              <w:ind w:left="200"/>
              <w:spacing w:after="0"/>
              <w:rPr>
                <w:sz w:val="20"/>
                <w:szCs w:val="20"/>
                <w:color w:val="auto"/>
              </w:rPr>
            </w:pPr>
            <w:r>
              <w:rPr>
                <w:rFonts w:ascii="Arial" w:cs="Arial" w:eastAsia="Arial" w:hAnsi="Arial"/>
                <w:sz w:val="18"/>
                <w:szCs w:val="18"/>
                <w:b w:val="1"/>
                <w:bCs w:val="1"/>
                <w:color w:val="auto"/>
              </w:rPr>
              <w:t>NUMBER OF</w:t>
            </w:r>
          </w:p>
        </w:tc>
      </w:tr>
      <w:tr>
        <w:trPr>
          <w:trHeight w:val="241"/>
        </w:trPr>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960" w:type="dxa"/>
            <w:vAlign w:val="bottom"/>
          </w:tcPr>
          <w:p>
            <w:pPr>
              <w:spacing w:after="0"/>
              <w:rPr>
                <w:sz w:val="20"/>
                <w:szCs w:val="20"/>
                <w:color w:val="auto"/>
              </w:rPr>
            </w:pPr>
            <w:r>
              <w:rPr>
                <w:rFonts w:ascii="Arial" w:cs="Arial" w:eastAsia="Arial" w:hAnsi="Arial"/>
                <w:sz w:val="18"/>
                <w:szCs w:val="18"/>
                <w:b w:val="1"/>
                <w:bCs w:val="1"/>
                <w:color w:val="auto"/>
              </w:rPr>
              <w:t>FUNCTION</w:t>
            </w:r>
          </w:p>
        </w:tc>
        <w:tc>
          <w:tcPr>
            <w:tcW w:w="1580" w:type="dxa"/>
            <w:vAlign w:val="bottom"/>
            <w:gridSpan w:val="2"/>
          </w:tcPr>
          <w:p>
            <w:pPr>
              <w:ind w:left="180"/>
              <w:spacing w:after="0"/>
              <w:rPr>
                <w:sz w:val="20"/>
                <w:szCs w:val="20"/>
                <w:color w:val="auto"/>
              </w:rPr>
            </w:pPr>
            <w:r>
              <w:rPr>
                <w:rFonts w:ascii="Arial" w:cs="Arial" w:eastAsia="Arial" w:hAnsi="Arial"/>
                <w:sz w:val="18"/>
                <w:szCs w:val="18"/>
                <w:b w:val="1"/>
                <w:bCs w:val="1"/>
                <w:color w:val="auto"/>
              </w:rPr>
              <w:t>EMPLOYEES</w:t>
            </w:r>
          </w:p>
        </w:tc>
      </w:tr>
      <w:tr>
        <w:trPr>
          <w:trHeight w:val="216"/>
        </w:trPr>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Sales and marketing</w:t>
            </w:r>
          </w:p>
        </w:tc>
        <w:tc>
          <w:tcPr>
            <w:tcW w:w="146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Customer service and technical support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18"/>
                <w:szCs w:val="18"/>
                <w:color w:val="auto"/>
              </w:rPr>
            </w:pPr>
          </w:p>
        </w:tc>
      </w:tr>
      <w:tr>
        <w:trPr>
          <w:trHeight w:val="223"/>
        </w:trPr>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Finance, human resources and administration</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9"/>
                <w:szCs w:val="19"/>
                <w:color w:val="auto"/>
              </w:rPr>
            </w:pPr>
          </w:p>
        </w:tc>
      </w:tr>
      <w:tr>
        <w:trPr>
          <w:trHeight w:val="257"/>
        </w:trPr>
        <w:tc>
          <w:tcPr>
            <w:tcW w:w="1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179</w:t>
            </w:r>
          </w:p>
        </w:tc>
        <w:tc>
          <w:tcPr>
            <w:tcW w:w="12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continually evaluate and adjust the size and composition of our workforce. We also periodically retain contractors to support our sales and marketing, information technology and administrative functions. None of our employees are represented by a collective bargaining agreement. Asure has not experienced any work stoppages and we consider our relations with our employees to be good. Additionally, we augment our workforce capacity in research and development and customer service and technical support by contracting for services through third parties.</w:t>
      </w:r>
    </w:p>
    <w:p>
      <w:pPr>
        <w:spacing w:after="0" w:line="17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Our future performance depends largely on our ability to continually and effectively attract, train, retain, motivate and manage highly qualified and experienced technical, sales, marketing and managerial personnel. Asure’s future development and growth depend on the efforts of key management personnel and technical employees. Asure uses incentives, including competitive compensation and stock options, to attract and retain well-qualified employees. However, we cannot assure that we will continue to attract and retain personnel with the requisite capabilities and experience. The loss of one or more of Asure’s key management or technical personnel could have a material and adverse effect on our business and operating results.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EXECUTIVE OFFICERS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information regarding directors and corporate governance matters is incorporated herein by reference from the section entitled “Election of Directors” of the Company’s definitive Proxy Statement (the “Proxy Statement”) to be filed pursuant to Regulation 14A of the Securities Exchange Act of 1934, as amended, for the registrants’ Annual Meeting of Stockholders to be held on June 5, 2017. The Proxy Statement is anticipated to be filed within 120 days after the end of the registrant’s fiscal year ended December 31, 2016.</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information regarding the Company’s current executive officers as of March 30, 2017:</w:t>
      </w:r>
    </w:p>
    <w:p>
      <w:pPr>
        <w:spacing w:after="0" w:line="221" w:lineRule="exact"/>
        <w:rPr>
          <w:sz w:val="20"/>
          <w:szCs w:val="20"/>
          <w:color w:val="auto"/>
        </w:rPr>
      </w:pPr>
    </w:p>
    <w:tbl>
      <w:tblPr>
        <w:tblLayout w:type="fixed"/>
        <w:tblInd w:w="1440" w:type="dxa"/>
        <w:tblCellMar>
          <w:top w:w="0" w:type="dxa"/>
          <w:left w:w="0" w:type="dxa"/>
          <w:bottom w:w="0" w:type="dxa"/>
          <w:right w:w="0" w:type="dxa"/>
        </w:tblCellMar>
      </w:tblPr>
      <w:tr>
        <w:trPr>
          <w:trHeight w:val="241"/>
        </w:trPr>
        <w:tc>
          <w:tcPr>
            <w:tcW w:w="2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Age</w:t>
            </w:r>
          </w:p>
        </w:tc>
        <w:tc>
          <w:tcPr>
            <w:tcW w:w="120" w:type="dxa"/>
            <w:vAlign w:val="bottom"/>
          </w:tcPr>
          <w:p>
            <w:pPr>
              <w:spacing w:after="0"/>
              <w:rPr>
                <w:sz w:val="20"/>
                <w:szCs w:val="20"/>
                <w:color w:val="auto"/>
              </w:rPr>
            </w:pP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Position</w:t>
            </w: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Patrick Goepel</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55</w:t>
            </w:r>
          </w:p>
        </w:tc>
        <w:tc>
          <w:tcPr>
            <w:tcW w:w="12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Chief Executive Officer</w:t>
            </w: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Joe Karbowski</w:t>
            </w:r>
          </w:p>
        </w:tc>
        <w:tc>
          <w:tcPr>
            <w:tcW w:w="102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50</w:t>
            </w:r>
          </w:p>
        </w:tc>
        <w:tc>
          <w:tcPr>
            <w:tcW w:w="1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Chief Operating Officer/Chief Technical Officer</w:t>
            </w: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Brad Wolfe</w:t>
            </w:r>
          </w:p>
        </w:tc>
        <w:tc>
          <w:tcPr>
            <w:tcW w:w="102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57</w:t>
            </w:r>
          </w:p>
        </w:tc>
        <w:tc>
          <w:tcPr>
            <w:tcW w:w="12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Chief Financial Officer</w:t>
            </w:r>
          </w:p>
        </w:tc>
      </w:tr>
    </w:tbl>
    <w:p>
      <w:pPr>
        <w:spacing w:after="0" w:line="198"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color w:val="auto"/>
        </w:rPr>
        <w:t xml:space="preserve">Patrick Goepel </w:t>
      </w:r>
      <w:r>
        <w:rPr>
          <w:rFonts w:ascii="Arial" w:cs="Arial" w:eastAsia="Arial" w:hAnsi="Arial"/>
          <w:sz w:val="17"/>
          <w:szCs w:val="17"/>
          <w:color w:val="auto"/>
        </w:rPr>
        <w:t>was elected to the Company’s Board of Directors at its August 28, 2009 Annual Meeting of Shareholders. He was subsequently</w:t>
      </w:r>
      <w:r>
        <w:rPr>
          <w:rFonts w:ascii="Arial" w:cs="Arial" w:eastAsia="Arial" w:hAnsi="Arial"/>
          <w:sz w:val="17"/>
          <w:szCs w:val="17"/>
          <w:b w:val="1"/>
          <w:bCs w:val="1"/>
          <w:color w:val="auto"/>
        </w:rPr>
        <w:t xml:space="preserve"> </w:t>
      </w:r>
      <w:r>
        <w:rPr>
          <w:rFonts w:ascii="Arial" w:cs="Arial" w:eastAsia="Arial" w:hAnsi="Arial"/>
          <w:sz w:val="17"/>
          <w:szCs w:val="17"/>
          <w:color w:val="auto"/>
        </w:rPr>
        <w:t>appointed as Interim Chief Executive Officer on September 15, 2009 and became Chief Executive Officer of the Company as of January 1, 2010. Prior to his appointment, he served as Chief Operating Officer of Patersons Global Payroll. Previously, he was the President and Chief Executive Officer of Fidelity Investment’s Human Resource Services Division from 2006 to 2008; President and Chief Executive Officer of Advantec from 2005 to 2006; and Executive Vice President of Business Development and US Operations at Ceridian from 1994 to 2005. A former board member of iEmployee, Mr. Goepel currently serves on the board of directors of APPD Investments and SafeGuard World International.</w:t>
      </w:r>
    </w:p>
    <w:p>
      <w:pPr>
        <w:spacing w:after="0" w:line="174"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Joe Karbowski </w:t>
      </w:r>
      <w:r>
        <w:rPr>
          <w:rFonts w:ascii="Arial" w:cs="Arial" w:eastAsia="Arial" w:hAnsi="Arial"/>
          <w:sz w:val="18"/>
          <w:szCs w:val="18"/>
          <w:color w:val="auto"/>
        </w:rPr>
        <w:t>was promoted to Chief Operating Officer and Chief Technical Officer in September 2016. He joined the Company in 2012 when we</w:t>
      </w:r>
      <w:r>
        <w:rPr>
          <w:rFonts w:ascii="Arial" w:cs="Arial" w:eastAsia="Arial" w:hAnsi="Arial"/>
          <w:sz w:val="18"/>
          <w:szCs w:val="18"/>
          <w:b w:val="1"/>
          <w:bCs w:val="1"/>
          <w:color w:val="auto"/>
        </w:rPr>
        <w:t xml:space="preserve"> </w:t>
      </w:r>
      <w:r>
        <w:rPr>
          <w:rFonts w:ascii="Arial" w:cs="Arial" w:eastAsia="Arial" w:hAnsi="Arial"/>
          <w:sz w:val="18"/>
          <w:szCs w:val="18"/>
          <w:color w:val="auto"/>
        </w:rPr>
        <w:t>acquired PeopleCube, where he also served as Chief Technical Officer, evolving it from a startup he co-founded in 1999 to be a leader in the Agile Workplace market. With more than 25 years of experience in building commercial software companies, he is a featured speaker and has published numerous articles on software development techniques and methodologies. Joe earned a Bachelor of Science degree in Computer Science from Michigan Technological University, Houghton.</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78"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18"/>
          <w:szCs w:val="18"/>
          <w:b w:val="1"/>
          <w:bCs w:val="1"/>
          <w:color w:val="auto"/>
        </w:rPr>
        <w:t xml:space="preserve">Brad Wolfe </w:t>
      </w:r>
      <w:r>
        <w:rPr>
          <w:rFonts w:ascii="Arial" w:cs="Arial" w:eastAsia="Arial" w:hAnsi="Arial"/>
          <w:sz w:val="21"/>
          <w:szCs w:val="21"/>
          <w:color w:val="auto"/>
        </w:rPr>
        <w:t>joined the Company as Chief Financial Officer in October 2014. Prior to joining the Company, Mr. Wolfe spent</w:t>
      </w:r>
      <w:r>
        <w:rPr>
          <w:rFonts w:ascii="Arial" w:cs="Arial" w:eastAsia="Arial" w:hAnsi="Arial"/>
          <w:sz w:val="18"/>
          <w:szCs w:val="18"/>
          <w:b w:val="1"/>
          <w:bCs w:val="1"/>
          <w:color w:val="auto"/>
        </w:rPr>
        <w:t xml:space="preserve"> </w:t>
      </w:r>
      <w:r>
        <w:rPr>
          <w:rFonts w:ascii="Arial" w:cs="Arial" w:eastAsia="Arial" w:hAnsi="Arial"/>
          <w:sz w:val="21"/>
          <w:szCs w:val="21"/>
          <w:color w:val="auto"/>
        </w:rPr>
        <w:t>most of the last 14 years with DCI Group and their related entities and investments, a private equity and investment organization, where he served in consulting, office and executive finance and operational roles for the firm’s subsidiary and portfolio companies to promote their growth and profitability. Before that, he was Chief Financial Officer and Executive Vice President at AON Corporation, a Fortune 200 company. His background also includes mergers and acquisitions in both public accounting and law firm settings, and his experience spans international markets and a wide range of industries, including technology, software and real estate. Wolfe holds an MBA degree from Northwestern University’s Kellogg School of Business in Finance and Information systems, a J.D. degree from the Kent Law School executive program, and a B.B.A. degree in accounting and information systems from Southern Methodist University.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a smaller reporting company as defined by Rule 12b-2 of the Exchange Act and are not required to provide the information required under this Item.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principal offices are located in Austin, Texas where we occupy approximately 12,000 square feet of office space under one operating lease that expires in June 2018. Subsequent to December 31, 2016, we entered into a lease agreement for new corporate office facilities to accommodate our growth. We lease approximately 6,000 square feet in Dedham, Massachusetts. We also lease office suites in Michigan, Utah and the United Kingdom and, as a result of our March 2016 acquisitions, facilities in Tampa, Florida, Henderson, Nevada and Vernon Hills, Illinois.</w:t>
      </w:r>
    </w:p>
    <w:p>
      <w:pPr>
        <w:spacing w:after="0" w:line="19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Management believes that the leased properties described above are adequate to meet Asure’s current operational requirements and can accommodate further physical expansion of office space as needed.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Although Asure has been, and in the future may be, the defendant or plaintiff in various actions arising in the normal course of business, as of December 31 2016, we were not party to any pending legal proceedings.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MARKET INFORMATION</w:t>
      </w:r>
    </w:p>
    <w:p>
      <w:pPr>
        <w:spacing w:after="0" w:line="256"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Our common stock trades on the NASDAQ Capital Market System under the symbol “ASUR.” The following table shows the high and low closing sale prices of our common stock for each full quarter as reported by NASDAQ for the periods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145"/>
              <w:spacing w:after="0"/>
              <w:rPr>
                <w:sz w:val="20"/>
                <w:szCs w:val="20"/>
                <w:color w:val="auto"/>
              </w:rPr>
            </w:pPr>
            <w:r>
              <w:rPr>
                <w:rFonts w:ascii="Arial" w:cs="Arial" w:eastAsia="Arial" w:hAnsi="Arial"/>
                <w:sz w:val="18"/>
                <w:szCs w:val="18"/>
                <w:b w:val="1"/>
                <w:bCs w:val="1"/>
                <w:color w:val="auto"/>
              </w:rPr>
              <w:t>2016</w:t>
            </w:r>
          </w:p>
        </w:tc>
        <w:tc>
          <w:tcPr>
            <w:tcW w:w="11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b w:val="1"/>
                <w:bCs w:val="1"/>
                <w:color w:val="auto"/>
              </w:rPr>
              <w:t>2015</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2"/>
          </w:tcPr>
          <w:p>
            <w:pPr>
              <w:ind w:left="180"/>
              <w:spacing w:after="0"/>
              <w:rPr>
                <w:sz w:val="20"/>
                <w:szCs w:val="20"/>
                <w:color w:val="auto"/>
              </w:rPr>
            </w:pPr>
            <w:r>
              <w:rPr>
                <w:rFonts w:ascii="Arial" w:cs="Arial" w:eastAsia="Arial" w:hAnsi="Arial"/>
                <w:sz w:val="18"/>
                <w:szCs w:val="18"/>
                <w:b w:val="1"/>
                <w:bCs w:val="1"/>
                <w:color w:val="auto"/>
              </w:rPr>
              <w:t>HIGH</w:t>
            </w:r>
          </w:p>
        </w:tc>
        <w:tc>
          <w:tcPr>
            <w:tcW w:w="280" w:type="dxa"/>
            <w:vAlign w:val="bottom"/>
          </w:tcPr>
          <w:p>
            <w:pPr>
              <w:spacing w:after="0"/>
              <w:rPr>
                <w:sz w:val="19"/>
                <w:szCs w:val="19"/>
                <w:color w:val="auto"/>
              </w:rPr>
            </w:pPr>
          </w:p>
        </w:tc>
        <w:tc>
          <w:tcPr>
            <w:tcW w:w="1100" w:type="dxa"/>
            <w:vAlign w:val="bottom"/>
          </w:tcPr>
          <w:p>
            <w:pPr>
              <w:jc w:val="right"/>
              <w:ind w:right="390"/>
              <w:spacing w:after="0"/>
              <w:rPr>
                <w:sz w:val="20"/>
                <w:szCs w:val="20"/>
                <w:color w:val="auto"/>
              </w:rPr>
            </w:pPr>
            <w:r>
              <w:rPr>
                <w:rFonts w:ascii="Arial" w:cs="Arial" w:eastAsia="Arial" w:hAnsi="Arial"/>
                <w:sz w:val="18"/>
                <w:szCs w:val="18"/>
                <w:b w:val="1"/>
                <w:bCs w:val="1"/>
                <w:color w:val="auto"/>
              </w:rPr>
              <w:t>LOW</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HIGH</w:t>
            </w:r>
          </w:p>
        </w:tc>
        <w:tc>
          <w:tcPr>
            <w:tcW w:w="280" w:type="dxa"/>
            <w:vAlign w:val="bottom"/>
          </w:tcPr>
          <w:p>
            <w:pPr>
              <w:spacing w:after="0"/>
              <w:rPr>
                <w:sz w:val="19"/>
                <w:szCs w:val="19"/>
                <w:color w:val="auto"/>
              </w:rPr>
            </w:pPr>
          </w:p>
        </w:tc>
        <w:tc>
          <w:tcPr>
            <w:tcW w:w="1080" w:type="dxa"/>
            <w:vAlign w:val="bottom"/>
          </w:tcPr>
          <w:p>
            <w:pPr>
              <w:jc w:val="right"/>
              <w:ind w:right="370"/>
              <w:spacing w:after="0"/>
              <w:rPr>
                <w:sz w:val="20"/>
                <w:szCs w:val="20"/>
                <w:color w:val="auto"/>
              </w:rPr>
            </w:pPr>
            <w:r>
              <w:rPr>
                <w:rFonts w:ascii="Arial" w:cs="Arial" w:eastAsia="Arial" w:hAnsi="Arial"/>
                <w:sz w:val="18"/>
                <w:szCs w:val="18"/>
                <w:b w:val="1"/>
                <w:bCs w:val="1"/>
                <w:color w:val="auto"/>
              </w:rPr>
              <w:t>LOW</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1st Quarter</w:t>
            </w: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24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2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2nd Quarter</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5.45</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4.53</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6.34</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5.40</w:t>
            </w: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3rd Quarter</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6.57</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4.64</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6.22</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5.40</w:t>
            </w:r>
          </w:p>
        </w:tc>
      </w:tr>
      <w:tr>
        <w:trPr>
          <w:trHeight w:val="230"/>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4th Quarter</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9.55</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6.52</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5.60</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4.45</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DIVIDENDS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did not pay cash dividends on our common stock during fiscal years 2016 and 2015. We presently intend to continue a policy of retaining earnings for reinvestment in our business, rather than paying cash dividends.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HOLDERS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15, 2017, we had approximately 330 stockholders of record of our common stock.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SECURITIES AUTHORIZED FOR ISSUANCE UNDER EQUITY COMPENSATION PLANS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provides information as of December 31, 2016 with respect to shares of our common stock that we may issue under our existing equity compensation plans (share amounts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A</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B</w:t>
            </w:r>
          </w:p>
        </w:tc>
        <w:tc>
          <w:tcPr>
            <w:tcW w:w="120" w:type="dxa"/>
            <w:vAlign w:val="bottom"/>
          </w:tcPr>
          <w:p>
            <w:pPr>
              <w:spacing w:after="0"/>
              <w:rPr>
                <w:sz w:val="20"/>
                <w:szCs w:val="20"/>
                <w:color w:val="auto"/>
              </w:rPr>
            </w:pPr>
          </w:p>
        </w:tc>
        <w:tc>
          <w:tcPr>
            <w:tcW w:w="14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C</w:t>
            </w:r>
          </w:p>
        </w:tc>
      </w:tr>
      <w:tr>
        <w:trPr>
          <w:trHeight w:val="198"/>
        </w:trPr>
        <w:tc>
          <w:tcPr>
            <w:tcW w:w="20" w:type="dxa"/>
            <w:vAlign w:val="bottom"/>
          </w:tcPr>
          <w:p>
            <w:pPr>
              <w:spacing w:after="0"/>
              <w:rPr>
                <w:sz w:val="17"/>
                <w:szCs w:val="17"/>
                <w:color w:val="auto"/>
              </w:rPr>
            </w:pPr>
          </w:p>
        </w:tc>
        <w:tc>
          <w:tcPr>
            <w:tcW w:w="6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center"/>
              <w:ind w:right="10"/>
              <w:spacing w:after="0" w:line="198" w:lineRule="exact"/>
              <w:rPr>
                <w:sz w:val="20"/>
                <w:szCs w:val="20"/>
                <w:color w:val="auto"/>
              </w:rPr>
            </w:pPr>
            <w:r>
              <w:rPr>
                <w:rFonts w:ascii="Arial" w:cs="Arial" w:eastAsia="Arial" w:hAnsi="Arial"/>
                <w:sz w:val="18"/>
                <w:szCs w:val="18"/>
                <w:b w:val="1"/>
                <w:bCs w:val="1"/>
                <w:color w:val="auto"/>
                <w:w w:val="93"/>
              </w:rPr>
              <w:t>Number of</w:t>
            </w:r>
          </w:p>
        </w:tc>
        <w:tc>
          <w:tcPr>
            <w:tcW w:w="6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Securities</w:t>
            </w: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Remaining</w:t>
            </w: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Available for</w:t>
            </w: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Future Issuance</w:t>
            </w: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Number of</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4"/>
              </w:rPr>
              <w:t>Under Equity</w:t>
            </w: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Securities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Compensation</w:t>
            </w: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to be Issued Upon</w:t>
            </w:r>
          </w:p>
        </w:tc>
        <w:tc>
          <w:tcPr>
            <w:tcW w:w="156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0"/>
              </w:rPr>
              <w:t>Weighted Average</w:t>
            </w:r>
          </w:p>
        </w:tc>
        <w:tc>
          <w:tcPr>
            <w:tcW w:w="152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89"/>
              </w:rPr>
              <w:t>Plans (Excluding</w:t>
            </w: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Exercise of</w:t>
            </w:r>
          </w:p>
        </w:tc>
        <w:tc>
          <w:tcPr>
            <w:tcW w:w="156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9"/>
              </w:rPr>
              <w:t>Exercise Price of</w:t>
            </w:r>
          </w:p>
        </w:tc>
        <w:tc>
          <w:tcPr>
            <w:tcW w:w="120" w:type="dxa"/>
            <w:vAlign w:val="bottom"/>
          </w:tcPr>
          <w:p>
            <w:pPr>
              <w:spacing w:after="0"/>
              <w:rPr>
                <w:sz w:val="18"/>
                <w:szCs w:val="18"/>
                <w:color w:val="auto"/>
              </w:rPr>
            </w:pPr>
          </w:p>
        </w:tc>
        <w:tc>
          <w:tcPr>
            <w:tcW w:w="14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Securities</w:t>
            </w: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Outstanding</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Outstanding</w:t>
            </w:r>
          </w:p>
        </w:tc>
        <w:tc>
          <w:tcPr>
            <w:tcW w:w="120" w:type="dxa"/>
            <w:vAlign w:val="bottom"/>
          </w:tcPr>
          <w:p>
            <w:pPr>
              <w:spacing w:after="0"/>
              <w:rPr>
                <w:sz w:val="18"/>
                <w:szCs w:val="18"/>
                <w:color w:val="auto"/>
              </w:rPr>
            </w:pPr>
          </w:p>
        </w:tc>
        <w:tc>
          <w:tcPr>
            <w:tcW w:w="14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Reflected in</w:t>
            </w:r>
          </w:p>
        </w:tc>
      </w:tr>
      <w:tr>
        <w:trPr>
          <w:trHeight w:val="241"/>
        </w:trPr>
        <w:tc>
          <w:tcPr>
            <w:tcW w:w="6760" w:type="dxa"/>
            <w:vAlign w:val="bottom"/>
            <w:gridSpan w:val="3"/>
          </w:tcPr>
          <w:p>
            <w:pPr>
              <w:spacing w:after="0"/>
              <w:rPr>
                <w:sz w:val="20"/>
                <w:szCs w:val="20"/>
                <w:color w:val="auto"/>
              </w:rPr>
            </w:pPr>
            <w:r>
              <w:rPr>
                <w:rFonts w:ascii="Arial" w:cs="Arial" w:eastAsia="Arial" w:hAnsi="Arial"/>
                <w:sz w:val="18"/>
                <w:szCs w:val="18"/>
                <w:b w:val="1"/>
                <w:bCs w:val="1"/>
                <w:color w:val="auto"/>
              </w:rPr>
              <w:t>Plan Category</w:t>
            </w:r>
          </w:p>
        </w:tc>
        <w:tc>
          <w:tcPr>
            <w:tcW w:w="120" w:type="dxa"/>
            <w:vAlign w:val="bottom"/>
          </w:tcPr>
          <w:p>
            <w:pPr>
              <w:spacing w:after="0"/>
              <w:rPr>
                <w:sz w:val="20"/>
                <w:szCs w:val="20"/>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Options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Options</w:t>
            </w:r>
          </w:p>
        </w:tc>
        <w:tc>
          <w:tcPr>
            <w:tcW w:w="120" w:type="dxa"/>
            <w:vAlign w:val="bottom"/>
          </w:tcPr>
          <w:p>
            <w:pPr>
              <w:spacing w:after="0"/>
              <w:rPr>
                <w:sz w:val="20"/>
                <w:szCs w:val="20"/>
                <w:color w:val="auto"/>
              </w:rPr>
            </w:pPr>
          </w:p>
        </w:tc>
        <w:tc>
          <w:tcPr>
            <w:tcW w:w="14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4"/>
              </w:rPr>
              <w:t>Column A)</w:t>
            </w:r>
          </w:p>
        </w:tc>
      </w:tr>
      <w:tr>
        <w:trPr>
          <w:trHeight w:val="216"/>
        </w:trPr>
        <w:tc>
          <w:tcPr>
            <w:tcW w:w="20" w:type="dxa"/>
            <w:vAlign w:val="bottom"/>
            <w:tcBorders>
              <w:top w:val="single" w:sz="8" w:color="auto"/>
            </w:tcBorders>
          </w:tcPr>
          <w:p>
            <w:pPr>
              <w:spacing w:after="0"/>
              <w:rPr>
                <w:sz w:val="18"/>
                <w:szCs w:val="18"/>
                <w:color w:val="auto"/>
              </w:rPr>
            </w:pPr>
          </w:p>
        </w:tc>
        <w:tc>
          <w:tcPr>
            <w:tcW w:w="6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Equity Compensation Plan Approved by Stockholders (1)</w:t>
            </w:r>
          </w:p>
        </w:tc>
        <w:tc>
          <w:tcPr>
            <w:tcW w:w="120" w:type="dxa"/>
            <w:vAlign w:val="bottom"/>
            <w:shd w:val="clear" w:color="auto" w:fill="CCEEFF"/>
          </w:tcPr>
          <w:p>
            <w:pPr>
              <w:spacing w:after="0"/>
              <w:rPr>
                <w:sz w:val="18"/>
                <w:szCs w:val="18"/>
                <w:color w:val="auto"/>
              </w:rPr>
            </w:pPr>
          </w:p>
        </w:tc>
        <w:tc>
          <w:tcPr>
            <w:tcW w:w="14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100" w:type="dxa"/>
            <w:vAlign w:val="bottom"/>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100" w:type="dxa"/>
            <w:vAlign w:val="bottom"/>
            <w:shd w:val="clear" w:color="auto" w:fill="CCEEFF"/>
          </w:tcPr>
          <w:p>
            <w:pPr>
              <w:spacing w:after="0"/>
              <w:rPr>
                <w:sz w:val="18"/>
                <w:szCs w:val="18"/>
                <w:color w:val="auto"/>
              </w:rPr>
            </w:pPr>
          </w:p>
        </w:tc>
        <w:tc>
          <w:tcPr>
            <w:tcW w:w="14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74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Stockholders (2)</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1520" w:type="dxa"/>
            <w:vAlign w:val="bottom"/>
            <w:gridSpan w:val="3"/>
          </w:tcPr>
          <w:p>
            <w:pPr>
              <w:jc w:val="right"/>
              <w:ind w:right="60"/>
              <w:spacing w:after="0"/>
              <w:rPr>
                <w:sz w:val="20"/>
                <w:szCs w:val="20"/>
                <w:color w:val="auto"/>
              </w:rPr>
            </w:pPr>
            <w:r>
              <w:rPr>
                <w:rFonts w:ascii="Arial" w:cs="Arial" w:eastAsia="Arial" w:hAnsi="Arial"/>
                <w:sz w:val="18"/>
                <w:szCs w:val="18"/>
                <w:color w:val="auto"/>
              </w:rPr>
              <w:t>-0-</w:t>
            </w:r>
          </w:p>
        </w:tc>
      </w:tr>
      <w:tr>
        <w:trPr>
          <w:trHeight w:val="257"/>
        </w:trPr>
        <w:tc>
          <w:tcPr>
            <w:tcW w:w="20" w:type="dxa"/>
            <w:vAlign w:val="bottom"/>
          </w:tcPr>
          <w:p>
            <w:pPr>
              <w:spacing w:after="0"/>
              <w:rPr>
                <w:sz w:val="22"/>
                <w:szCs w:val="22"/>
                <w:color w:val="auto"/>
              </w:rPr>
            </w:pPr>
          </w:p>
        </w:tc>
        <w:tc>
          <w:tcPr>
            <w:tcW w:w="6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6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ind w:left="580" w:hanging="57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Consists of the 2009 Equity Plan.</w:t>
      </w:r>
    </w:p>
    <w:p>
      <w:pPr>
        <w:spacing w:after="0" w:line="23" w:lineRule="exact"/>
        <w:rPr>
          <w:rFonts w:ascii="Arial" w:cs="Arial" w:eastAsia="Arial" w:hAnsi="Arial"/>
          <w:sz w:val="18"/>
          <w:szCs w:val="18"/>
          <w:color w:val="auto"/>
        </w:rPr>
      </w:pPr>
    </w:p>
    <w:p>
      <w:pPr>
        <w:ind w:left="580" w:hanging="57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stockholders have previously approved our existing equity compensation plan.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ISSUER PURCHASES OF EQUITY SECURITIES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a smaller reporting company as defined by Rule 12b-2 of the Exchange Act and are not required to provide the information required under this Item.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CAUTIONARY STATEMENT REGARDING FORWARD-LOOKING STATEMENTS</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Certain statements in this Report represent forward-looking statements. Forward-looking statements include but are not limited to statements regarding our strategy, future operations, financial condition, results of operations, projected costs, and plans and objectives of management. Actual results may differ materially from those contemplated by the forward-looking statements due to, among others, the risks and uncertainties described in this Report and in our other SEC filings.</w:t>
      </w:r>
    </w:p>
    <w:p>
      <w:pPr>
        <w:spacing w:after="0" w:line="21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Asure has attempted to identify these forward-looking statements with the words “believes,” “estimates,” “plans,” “expects,” “anticipates,” “may,” “could” and other similar expressions. Although these forward-looking statements reflect management’s current plans and expectations, which we believe reasonable as of the filing date of this Report, they inherently are subject to certain risks and uncertainties. Additionally, Asure is under no obligation to update any of the forward-looking statements after the date of this Form 10-K to conform such statements to actual results.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5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sets forth, for the fiscal periods indicated, the percentage of total revenues represented by certain items in Asure’s Consolidated Statements of Comprehensive Loss:</w:t>
      </w:r>
    </w:p>
    <w:p>
      <w:pPr>
        <w:spacing w:after="0" w:line="166" w:lineRule="exact"/>
        <w:rPr>
          <w:sz w:val="20"/>
          <w:szCs w:val="20"/>
          <w:color w:val="auto"/>
        </w:rPr>
      </w:pPr>
    </w:p>
    <w:tbl>
      <w:tblPr>
        <w:tblLayout w:type="fixed"/>
        <w:tblInd w:w="1440" w:type="dxa"/>
        <w:tblCellMar>
          <w:top w:w="0" w:type="dxa"/>
          <w:left w:w="0" w:type="dxa"/>
          <w:bottom w:w="0" w:type="dxa"/>
          <w:right w:w="0" w:type="dxa"/>
        </w:tblCellMar>
      </w:tblPr>
      <w:tr>
        <w:trPr>
          <w:trHeight w:val="241"/>
        </w:trPr>
        <w:tc>
          <w:tcPr>
            <w:tcW w:w="534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46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20"/>
                <w:szCs w:val="20"/>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8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100.0%</w:t>
            </w: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100.0%</w:t>
            </w:r>
          </w:p>
        </w:tc>
      </w:tr>
      <w:tr>
        <w:trPr>
          <w:trHeight w:val="216"/>
        </w:trPr>
        <w:tc>
          <w:tcPr>
            <w:tcW w:w="6220" w:type="dxa"/>
            <w:vAlign w:val="bottom"/>
            <w:gridSpan w:val="2"/>
          </w:tcPr>
          <w:p>
            <w:pPr>
              <w:spacing w:after="0"/>
              <w:rPr>
                <w:sz w:val="20"/>
                <w:szCs w:val="20"/>
                <w:color w:val="auto"/>
              </w:rPr>
            </w:pPr>
            <w:r>
              <w:rPr>
                <w:rFonts w:ascii="Arial" w:cs="Arial" w:eastAsia="Arial" w:hAnsi="Arial"/>
                <w:sz w:val="18"/>
                <w:szCs w:val="18"/>
                <w:color w:val="auto"/>
              </w:rPr>
              <w:t>Gross margin</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77.2</w:t>
            </w: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72.7</w:t>
            </w:r>
          </w:p>
        </w:tc>
      </w:tr>
      <w:tr>
        <w:trPr>
          <w:trHeight w:val="216"/>
        </w:trPr>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59.2</w:t>
            </w: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55.6</w:t>
            </w:r>
          </w:p>
        </w:tc>
      </w:tr>
      <w:tr>
        <w:trPr>
          <w:trHeight w:val="216"/>
        </w:trPr>
        <w:tc>
          <w:tcPr>
            <w:tcW w:w="6220" w:type="dxa"/>
            <w:vAlign w:val="bottom"/>
            <w:gridSpan w:val="2"/>
          </w:tcPr>
          <w:p>
            <w:pPr>
              <w:spacing w:after="0"/>
              <w:rPr>
                <w:sz w:val="20"/>
                <w:szCs w:val="20"/>
                <w:color w:val="auto"/>
              </w:rPr>
            </w:pPr>
            <w:r>
              <w:rPr>
                <w:rFonts w:ascii="Arial" w:cs="Arial" w:eastAsia="Arial" w:hAnsi="Arial"/>
                <w:sz w:val="18"/>
                <w:szCs w:val="18"/>
                <w:color w:val="auto"/>
              </w:rPr>
              <w:t>Research and development</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8.2</w:t>
            </w: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11.3</w:t>
            </w:r>
          </w:p>
        </w:tc>
      </w:tr>
      <w:tr>
        <w:trPr>
          <w:trHeight w:val="216"/>
        </w:trPr>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6.3</w:t>
            </w: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w:t>
            </w:r>
          </w:p>
        </w:tc>
      </w:tr>
      <w:tr>
        <w:trPr>
          <w:trHeight w:val="216"/>
        </w:trPr>
        <w:tc>
          <w:tcPr>
            <w:tcW w:w="622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73.7</w:t>
            </w: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73.9</w:t>
            </w:r>
          </w:p>
        </w:tc>
      </w:tr>
      <w:tr>
        <w:trPr>
          <w:trHeight w:val="216"/>
        </w:trPr>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other loss, net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(6.2)</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w:t>
            </w:r>
          </w:p>
        </w:tc>
      </w:tr>
      <w:tr>
        <w:trPr>
          <w:trHeight w:val="230"/>
        </w:trPr>
        <w:tc>
          <w:tcPr>
            <w:tcW w:w="62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(2.7)</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(6.5)</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Asure is a leading global provider of cloud-based software-as-a-service (“SaaS”) time and labor management and Agile Workplace management solutions that enable companies of all sizes and complexities to operate more efficiently and proactively manage costs associated with their most expensive assets: real estate, labor and technology.</w:t>
      </w:r>
    </w:p>
    <w:p>
      <w:pPr>
        <w:spacing w:after="0" w:line="20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currently offer two main product lines, AsureSpace™ and AsureForce®. Our AsureSpace™ Agile Workplace management solutions enable organizations to manage their office environments and optimize real estate utilization. Our AsureForce® time and labor management solutions help organizations optimize labor and labor administration costs and activities. With our acquisitions of Mangrove Employer Services, Inc. and the assets of Mangrove COBRAsource Inc. in March 2016, we have entered into the human resource management, payroll processing and benefits administration services businesses, which we are integrating into our existing AsureForce® product line. For both product lines, support and professional services are other key elements of our software and services business. As an extension of our perpetual software product offerings, Asure offers our customers maintenance and support contracts that provide ready access to qualified support staff, software patches and upgrades to our software products. We also provide installation of and training on our products, add-on software customization and other professional services on a global scale.</w:t>
      </w:r>
    </w:p>
    <w:p>
      <w:pPr>
        <w:spacing w:after="0" w:line="17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target our sales and marketing efforts to a wide range of audiences, from small and medium-sized businesses to Fortune 500 companies and divisions of enterprise organizations throughout the United States, Europe and Asia/Pacific. We generate sales of our solutions through our direct sales teams and indirectly through our channel partners. We are expanding our investment in our direct sales teams to continue to address our market opportunity.</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March 2014, we entered into a Credit Agreement and Guaranty and Security Agreement with Wells Fargo Bank, National Association. We amended the Credit Agreement again in March 2016 coincident with the acquisition of Mangrove Employer Services, Inc. of Tampa, Florida (“Mangrove”). Under this amendment, we expanded our overall credit facility by $12.5 million to $29.2 million. This includes a $26.2 million term facility which is due March 21, 2019 and a $3.0 million revolving credit facility. The latest amendment also changes the applicable margin rates for determining the interest rate payable on the loan. The amendment also amended our leverage ratio requirements under the Credit Agreement. We have now agreed to a leverage ratio not to exceed 5.00:1 at March 31, 2016, stepping down to 2.25:1 at December 31, 2018. See Note 6- Notes Payable in the accompanying financial statements for more information.</w:t>
      </w:r>
    </w:p>
    <w:p>
      <w:pPr>
        <w:spacing w:after="0" w:line="216" w:lineRule="exact"/>
        <w:rPr>
          <w:sz w:val="20"/>
          <w:szCs w:val="20"/>
          <w:color w:val="auto"/>
        </w:rPr>
      </w:pPr>
    </w:p>
    <w:p>
      <w:pPr>
        <w:jc w:val="both"/>
        <w:ind w:firstLine="709"/>
        <w:spacing w:after="0" w:line="297" w:lineRule="auto"/>
        <w:rPr>
          <w:sz w:val="20"/>
          <w:szCs w:val="20"/>
          <w:color w:val="auto"/>
        </w:rPr>
      </w:pPr>
      <w:r>
        <w:rPr>
          <w:rFonts w:ascii="Arial" w:cs="Arial" w:eastAsia="Arial" w:hAnsi="Arial"/>
          <w:sz w:val="16"/>
          <w:szCs w:val="16"/>
          <w:color w:val="auto"/>
        </w:rPr>
        <w:t>In March 2016, we acquired all of the outstanding shares of common stock of Mangrove, a human resource management and payroll processing company. The aggregate consideration for the stock consisted of (i) $11.3 million in cash, a portion of which was used to pay certain obligations of Mangrove and (ii) a secured subordinated promissory note (the “Mangrove Note”) in the principal amount of $6.0 million, subject to adjustment. We funded the cash payment with proceeds from our credit agreement with Wells Fargo. The Mangrove Note bears interest at an annual rate of 3.50% and matures in March, 2018, with the first installment of principal due in March, 2017 and the second installment of principal due in March, 2018.</w:t>
      </w:r>
    </w:p>
    <w:p>
      <w:pPr>
        <w:spacing w:after="0" w:line="18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March 2016, we also acquired substantially all the assets of Mangrove COBRAsource Inc., a benefits administration services business. The aggregate consideration for the assets was $1.0 million.</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4- Acquisitions in the accompanying financial statements for more information about the stock and asset acquisitions in 2016.</w:t>
      </w:r>
    </w:p>
    <w:p>
      <w:pPr>
        <w:spacing w:after="0" w:line="25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December 2016, we completed an underwritten public offering of 1,949,250 shares of common stock at the public offering price of $8.00 per share, which includes 254,250 shares sold pursuant to the underwriters’ full exercise of their over-allotment option. Our net proceeds, after deducting the underwriting discounts and commissions and other estimated offering expenses, were approximately $14.4 million. We intend to use the net proceeds received from the offering for general corporate purposes. We may also use a portion of the net proceeds to acquire or invest in complementary businesses, assets or technologies. We used a portion of the proceeds to reduce approximately $3 million of our secured subordinated indebtedness payable in connection with the 2016 acquisition of Mangrove and for the three acquisitions we closed in January 2017.</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January 2017, we acquired all of the outstanding shares of common stock of Personnel Management Systems, Inc., a leading provider of outsourced HR solution. The aggregate consideration for the stock consisted of (i) $3.875 million in cash and (ii) a subordinated promissory note (the “PMSI Note”) in the principal amount of $1.125 million, subject to adjustment. We funded the cash payment with proceeds from our recent public stock offering. The PMSI Note bears interest at an annual rate of 2.0% and matures on April 30, 2018.</w:t>
      </w:r>
    </w:p>
    <w:p>
      <w:pPr>
        <w:spacing w:after="0" w:line="21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January 2017, we acquired substantially all the assets of Corporate Payroll, Inc., relating to its payroll service bureau business. The aggregate consideration for the assets consisted of (i) $1.5 million in cash, (ii) a subordinated promissory note (the “CPI Note”) in the principal amount of $500,000 and</w:t>
      </w:r>
    </w:p>
    <w:p>
      <w:pPr>
        <w:ind w:firstLine="8"/>
        <w:spacing w:after="0" w:line="261" w:lineRule="auto"/>
        <w:tabs>
          <w:tab w:leader="none" w:pos="325" w:val="left"/>
        </w:tabs>
        <w:numPr>
          <w:ilvl w:val="0"/>
          <w:numId w:val="5"/>
        </w:numPr>
        <w:rPr>
          <w:rFonts w:ascii="Arial" w:cs="Arial" w:eastAsia="Arial" w:hAnsi="Arial"/>
          <w:sz w:val="18"/>
          <w:szCs w:val="18"/>
          <w:color w:val="auto"/>
        </w:rPr>
      </w:pPr>
      <w:r>
        <w:rPr>
          <w:rFonts w:ascii="Arial" w:cs="Arial" w:eastAsia="Arial" w:hAnsi="Arial"/>
          <w:sz w:val="18"/>
          <w:szCs w:val="18"/>
          <w:color w:val="auto"/>
        </w:rPr>
        <w:t>112,166 shares of our common stock valued at $1.0 million, subject to adjustment.t. We funded the cash payment with proceeds from our recent public stock offering. The CPI Note bears no interest and matures on April 30, 2018.</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January 2017, we acquired substantially all the assets of Payroll Specialties NW, Inc., a leading provider of payroll services. The aggregate consideration for the assets consisted of (i) $3.010 million in cash and (ii) a subordinated promissory note (the “PSNW Note”) in the principal amount of $600,000, subject to adjustment. We funded the cash payment with proceeds from our recent public stock offering. The PSNW Note bears interest at an annual rate of 2.0% and matures on April 30, 2018.</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See Note 14- Subsequent Events in the accompanying financial statements for more information about the acquisitions completed in January 2017.</w:t>
      </w:r>
    </w:p>
    <w:p>
      <w:pPr>
        <w:spacing w:after="0" w:line="27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Under the continued guidance and direction of our directors and Chief Executive Officer, Asure will continue to implement its corporate strategy for growing its software and services business. However, uncertainties and challenges remain and there can be no assurances that Asure can successfully integrate acquired business operations, grow its revenues or achieve profitability and positive cash flows during calendar year 2017.</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revenue was derived from the following sources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Increase</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Revenue</w:t>
            </w:r>
          </w:p>
        </w:tc>
        <w:tc>
          <w:tcPr>
            <w:tcW w:w="30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5"/>
              </w:rPr>
              <w:t>(Decrease)</w:t>
            </w:r>
          </w:p>
        </w:tc>
        <w:tc>
          <w:tcPr>
            <w:tcW w:w="1360" w:type="dxa"/>
            <w:vAlign w:val="bottom"/>
          </w:tcPr>
          <w:p>
            <w:pPr>
              <w:jc w:val="right"/>
              <w:ind w:right="51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Cloud revenue</w:t>
            </w: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20,606</w:t>
            </w:r>
          </w:p>
        </w:tc>
        <w:tc>
          <w:tcPr>
            <w:tcW w:w="24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13,628</w:t>
            </w: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6,978</w:t>
            </w:r>
          </w:p>
        </w:tc>
        <w:tc>
          <w:tcPr>
            <w:tcW w:w="220" w:type="dxa"/>
            <w:vAlign w:val="bottom"/>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Hardware revenue</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3,795</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3,300</w:t>
            </w:r>
          </w:p>
        </w:tc>
        <w:tc>
          <w:tcPr>
            <w:tcW w:w="1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495</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Maintenance and support revenue</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4,566</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6,054</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(1,488)</w:t>
            </w: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On premise software license revenue</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2,218</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856</w:t>
            </w:r>
          </w:p>
        </w:tc>
        <w:tc>
          <w:tcPr>
            <w:tcW w:w="1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1,362</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Professional services revenue</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4,357</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1,289</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Total revenue</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35,542</w:t>
            </w:r>
          </w:p>
        </w:tc>
        <w:tc>
          <w:tcPr>
            <w:tcW w:w="240" w:type="dxa"/>
            <w:vAlign w:val="bottom"/>
          </w:tcPr>
          <w:p>
            <w:pPr>
              <w:spacing w:after="0"/>
              <w:rPr>
                <w:sz w:val="18"/>
                <w:szCs w:val="18"/>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26,906</w:t>
            </w:r>
          </w:p>
        </w:tc>
        <w:tc>
          <w:tcPr>
            <w:tcW w:w="24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8,636</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Revenue represents our consolidated revenues, including sales of our scheduling software, time and attendance and human resource software, complementary hardware devices to enhance our software products, software maintenance and support services, installation and training services and other professional services.</w:t>
      </w:r>
    </w:p>
    <w:p>
      <w:pPr>
        <w:spacing w:after="0" w:line="20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Our product offerings are categorized into AsureSpace™ and AsureForce®. AsureSpace™ offers workplace management solutions that enable organizations to manage their office environments and optimize real estate utilization, and AsureForce® offers time and labor management solutions which help organizations optimize labor and labor administration costs and activities. Both product groupings include cloud revenue, hardware revenue, maintenance and support revenue, on premise software license revenue and professional services revenue. AsureSpace™ revenues include PeopleCube, Meeting Room Manager and Roomtag revenues. AsureForce® revenues include ADI, Legiant, iEmployee, FotoPunch and Mangrove revenues.</w:t>
      </w:r>
    </w:p>
    <w:p>
      <w:pPr>
        <w:spacing w:after="0" w:line="15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total revenue in 2016 was $35,542 as compared to $26,906 in 2015. Total revenue represents our consolidated revenue, including sales of our scheduling software, time and attendance and human resource software, complementary hardware devices to enhance our software products, software maintenance and support services, installation and training services and other professional services.</w:t>
      </w:r>
    </w:p>
    <w:p>
      <w:pPr>
        <w:spacing w:after="0" w:line="18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Total revenue increased by $8,636, or 32.1%, in 2016 as compared to 2015. Cloud revenue comprised the majority of the increase with an increase of $6,978, or 51.2%. This increase was primarily due to the acquisition of Mangrove in March 2016, resulting in $5,806 of cloud revenue in 2016. On premise software license revenue, professional services revenue and hardware revenue all increased, offset by a decrease in maintenance and support revenue.</w:t>
      </w:r>
    </w:p>
    <w:p>
      <w:pPr>
        <w:spacing w:after="0" w:line="17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AsureForce® revenue was $18,307, an increase of $7,414, or 68.1%, from the $10,893 recorded for 2015. This increase was primarily due to the acquisition of Mangrove in March 2016, resulting in $5,806 of revenue in 2016. Cloud, on premise software license, hardware and professional services revenues increased, with the largest increase in cloud revenue of $6,149, or 98.1%. On premise software license revenue increased $879, or 134.1%, hardware revenue increased $582, or 44.4%, and professional services revenue increased $410, or 59.9%, over 2015. These increases were offset by a decrease in maintenance and support revenue of $606, or 30.7%, as compared to 2015 mainly due to timing and size of contracts and renewals and our continued emphasis on transitioning from on premise to on demand, cloud based services.</w:t>
      </w:r>
    </w:p>
    <w:p>
      <w:pPr>
        <w:spacing w:after="0" w:line="22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AsureSpace™ revenue was $17,235 in 2016, an increase of $1,222 or 7.6%, from the $16,013 recorded in 2015. AsureSpace™ cloud, professional services and on premise software license revenues increased, offset by decreases in hardware and maintenance and support revenues. Cloud revenue increased $829, or 11.3%, professional services revenue increased $878, or 36.9%, and on premise software license revenue increased $483, or 240.6 % over 2015. These increases were offset by decreases in hardware and maintenance and support revenues of $87, or 4.4%, and $881, or 21.6%, respectively, primarily caused by the movement of customers from on premise to on demand, cloud based solutions.</w:t>
      </w:r>
    </w:p>
    <w:p>
      <w:pPr>
        <w:spacing w:after="0" w:line="17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Total cloud revenue increased $6,978, or 51.2%, over 2015. AsureForce® cloud revenue increased $6,149, or 98.1%, as compared to 2015. In AsureForce®, the acquisition of Mangrove in March 2016 contributed $5,806 to cloud revenue. Asure Force Time revenue increased $452, or 12.0%, offset by a decreases in iEmployee revenues of $109, or 4.4%, as compared to 2015. The decrease was due to turning our focus away from the iEmployee software product and focusing resources on the newer technology in the software subscription solutions. AsureSpace™ cloud revenue increased $829,000, or 11.3%. In AsureSpace™, the majority of the increase is comprised of a $1,091, or 30.1%, increase in Resource Scheduler revenue, offset by decreases in Meeting Room Manager and Meeting Maker revenue, as compared to 2015. Overall, we attribute our cloud revenue increases to the acquisition of Mangrove in 2016 as well as a combination of new sales offset by the accretive nature of recurring cloud revenue.</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2016, hardware revenue increased by $495, or 15.0%, over 2015. AsureForce® hardware revenue increased $582, or 44.4%, over 2015, primarily as a result of Mangrove hardware revenues of $515 in 2016, as well as an increase in AsureForce Time (AFT) revenue of $81, or 7.0%. This increase was offset by a decrease in AsureSpace™ hardware revenue of $87, or 4.4%, over 2015.</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Maintenance and support revenue decreased $1.5 million, or 24.6%, over 2015. Maintenance and support revenue was $4.6 million in 2016 as compared to $6.1 million in 2015. AsureForce® maintenance and support revenue decreased $606, or 30.7%, over 2015 primarily due to a decrease in AsureForce Time revenue of $595, or 30.5%, as compared to 2015. AsureSpace™, maintenance and support revenue decreased $881, or 21.6%, over 2015 primarily due to decreases in Meeting Room Manager and Resource Scheduler maintenance and support revenue of $300, or 15.2%, and $509, or 38.7%, respectively. These decreases are primarily caused by movements of clients from on premise to on demand, cloud-based solutions.</w:t>
      </w:r>
    </w:p>
    <w:p>
      <w:pPr>
        <w:spacing w:after="0" w:line="20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premise software license revenues increased $1.4 million, or 159.1%, as compared to 2015. AsureForce® on premise software license revenues increased $879, or 134.1% from 2015 due to increases in AsureForce Time of $488, or 74.5%, and GeoPunch (FotoPunch) on premise software license revenue of $300 as compared to zero in 2015. AsureSpace™ on premise software license revenues increased $483, or 240.6% from 2015 primarily due to an increase in Resource Scheduler on premise software license revenue of $476, or 596.1%, over 2015.</w:t>
      </w:r>
    </w:p>
    <w:p>
      <w:pPr>
        <w:spacing w:after="0" w:line="19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Professional services revenue increased $1.3 million, or 42.0%, over 2015. AsureForce® professional services revenue increased $410, or 59.9%, over 2015, primarily due to Mangrove revenues of $516 in 2016. AsureSpace™ professional services revenue increased $878, or 36.9%, over 2015, primarily due to an increase in Resource Scheduler professional services revenue of $850, or 72.7%.</w:t>
      </w:r>
    </w:p>
    <w:p>
      <w:pPr>
        <w:spacing w:after="0" w:line="18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Although our total customer base is widely spread across industries, our sales are concentrated in certain industry sectors, including corporate, education, healthcare, government, legal and non-profit. We continue to target small and medium sized businesses and divisions of larger enterprises in these same industries as prospective customers. Geographically, we sell our products worldwide, but sales are largely concentrated in the United States, Canada and Europe. Additionally, we have a distribution partner in Australia. As the overall workforce management solutions market continues to experience significant growth related to SaaS products, we will continue to focus on sales of Meeting Room Manager, On Demand, PeopleCube and ADI SaaS products.</w:t>
      </w:r>
    </w:p>
    <w:p>
      <w:pPr>
        <w:spacing w:after="0" w:line="18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addition to continuing to develop our workforce and Agile Workplace management solutions and release new software updates and enhancements, we continue to actively explore other opportunities to acquire additional products or technologies to complement our current software and services. Through acquisitions in 2011 of ADI and Legiant, we expanded our cloud computing time and attendance software and management services business. The 2012 acquisition of PeopleCube gave us a product line that includes software to assist customers in driving integrated facility management of offices, conference rooms, video conferencing, events and training, alternative workspaces and lobby use. The 2014 acquisitions of FotoPunch and Roomtag support our vision to deliver innovative cloud-based Agile Workplace technologies. Our March 2016 acquisitions from Mangrove enable us to enter into the human resource management, payroll processing and benefits administration services businesses, which we are integrating into our existing AsureForce® product line. Our acquisitions in 2017 increased our human resources consulting expertise and added outsourced human resources department offerings to our clients.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Margin</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Consolidated gross margin was $27.4 million in 2016 and $19.6 million in 2015, an increase of $7.9 million, or 40.2%. Gross margin as a percentage of revenues was 77.2% for 2016 and 72.7% for 2015. We attribute the increase in gross margin to a shift in the mix of our revenue between our higher margin and lower margin product lines.</w:t>
      </w:r>
    </w:p>
    <w:p>
      <w:pPr>
        <w:spacing w:after="0" w:line="20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Consolidated cost of sales increased $777, or 10.6%, from 2015. Our cost of sales relates primarily to direct product costs, compensation and related consulting expenses, hardware expenses, facilities and related expenses and the amortization of our purchased software development costs. These expenses represented approximately 93% of the total cost of sales for 2016 and 95% for 2015. These expenses increased by approximately $603,000, or 8.7%, over 2015. This increase is comprised of increases in salary and benefits expense of $800,000, or 25.5%, offset by a decrease in facilities related expenses of $152,000, or 51.9%, over 2015. We include intangible amortization related to developed and acquired technology within cost of sales.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Selling, general and administrative (“SG&amp;A”) expenses were $21.0 million in 2016 and $15.0 million in 2015, an increase of $6.0 million, or 40.0%. SG&amp;A expenses as a percentage of revenues were 59.2% and 55.6% for 2016 and 2015, respectively.</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General and administrative expenses increased $5.9 million, or 76.6%, and sales and marketing expenses decreased $836, or 11.5%, over 2015. General and administrative expenses increased due to integration expenses related to the acquisition of Mangrove in the first quarter of 2016. Sales and marketing expenses decreased as a result of higher expenses in 2015. In 2015, we reorganized our sales team to increase our focus on larger deals in the enterprise and global markets, resulting in higher headcount and increased selling expenses.</w:t>
      </w:r>
    </w:p>
    <w:p>
      <w:pPr>
        <w:spacing w:after="0" w:line="2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may incur significant additional legal expenses and/or professional services-related expenses in the future if we pursue further acquisitions of products or businesses, even if we ultimately do not consummate any acquisition.</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Research and development (“R&amp;D”) expenses were $2.9 million in 2016 and $3.1 million in 2015, a decrease of $156,000 or 5.1%. R&amp;D expenses as a percentage of revenues were 8.2% and 11.3% for 2016 and 2015, respectively.</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$156,000 decrease is primarily due to a decline in professional and consulting fees as well as facilities, overhead and depreciation expenses as compared to 2015.</w:t>
      </w:r>
    </w:p>
    <w:p>
      <w:pPr>
        <w:spacing w:after="0" w:line="1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continued to invest heavily in 2016 to develop the solutions and technologies required to support our themes of Mobility, User Experience and Integration. These core tenets of 2016 ultimately serve our vision of helping customers build companies of the future. By expanding our investment into core technologies such as SaaS, mobile and platform integration, we have improved our competency and depth of product features. Additionally, working with strategic third parties has provided us the opportunity to co-innovate with our global customers, further establishing Asure as the core People Success Platform driving the Workplace of the future.</w:t>
      </w:r>
    </w:p>
    <w:p>
      <w:pPr>
        <w:spacing w:after="0" w:line="18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line with the themes noted above, our SaaS solutions were updated with a new mobile-first web experience, including contemporary branding and coloring in line with our corporate initiatives, and utilizing the latest responsive UI software libraries to easily adapt to the variety of devices utilized in today’s mobile workforce. This does not take away from our investment in our existing native mobile applications, but rather expands it by providing more accessibility options, allowing mobile-specific solutions to be deployed in those scenarios that require technologies only available on the phone.</w:t>
      </w:r>
    </w:p>
    <w:p>
      <w:pPr>
        <w:spacing w:after="0" w:line="15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Our AsureSpace solution saw continued focus on collaboration and web services, including a new option to integrate with the WebEx productivity suite. Combined with our enhanced Cisco TMS integration, this new option helps corporate IT by simplifying the desktop deployment requirements on organizations that have invested in Microsoft Exchange and Cisco infrastructures, while improving the end user experience by having only “one place to click” for all of their meeting needs. This feature, plus numerous other features, enhances the position of our single-source platform in the market.</w:t>
      </w:r>
    </w:p>
    <w:p>
      <w:pPr>
        <w:spacing w:after="0" w:line="15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AsureHCM suite, acquired as part of the Mangrove purchase in March 2016, has fully met the posted objectives of 2016, including the aforementioned user experience update. Key objectives outside of UX included enhancement of ACA and Cobra/Benefits modules, as well as integration with Asure’s existing Time and Labor Management (TLM). Asure has also invested in the infrastructure of the platform, with performance and scalability initiatives that will ultimately lead to a migration to Amazon AWS targeted for Q1 of 2017.</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Time and Labor Management solution, AsureForce Time, continued to expand features in both its industry leading facial recognition and core labor and compliance areas, including Payroll Based Journal (PBJ) reporting. Full integration with our AsureHCM platform allows customers utilizing both products to experience single sign-on (SSO) and a unified user experience, all while enjoying the convenience and elimination of duplicate entry that comes with having a single payroll and TLM solution.</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anticipate continuing to invest in research and development in 2017, stimulated by our 2016 success and market opportunities to cross sell and scale the business. This investment will expand the integration and analytics across our unified platform.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Amortization of Intangible Assets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Amortization expenses in 2016 were $2.3 million, an increase of $387,000, or 20.7%, as compared to $1.9 million in 2015. Amortization expenses as a percentage of revenues were 6.3% and 6.9% for 2016 and 2015, respectively. This decrease is due to some of our intangible assets becoming fully amortized.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and Loss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Other Loss was $2.0 million for the year ended 2016 as compared to $1.2 million in the year ended 2015. Other Loss in 2016 and 2015 was primarily comprised of interest expense.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5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At December 31, 2016, we had federal net operating loss carryforwards of approximately $115.7 million, Federal R&amp;D credit carryforwards of approximately $5.1 million and alternative minimum tax credit carryforwards of approximately $161,000. The net operating loss and Federal R&amp;D credit carryforwards will expire in varying amounts from 2018 through 2036, if not utilized. Minimum tax credit carryforwards carry forward indefinitely.</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Income tax expense decreased from $219,000 in 2015 to $189,000 in 2016, a $30,000, or 13.7%, decrease. These figures represent an effective tax rate of 24.1% and 14.2% in 2016 and 2015, respectively. Income tax expense is primarily due to deferred taxes on the amortization of goodwill for tax purposes and the results of foreign operations.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a result of our various acquisitions in prior years, utilization of the net operating losses and credit carryforwards may be subject to a substantial annual limitation due to the “change in ownership” provisions of the Internal Revenue Code of 1986. The annual limitation may result in the expiration of net operating losses before utilization.</w:t>
      </w:r>
    </w:p>
    <w:p>
      <w:pPr>
        <w:spacing w:after="0" w:line="20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Due to the uncertainty surrounding the timing of realizing the benefits of our favorable tax attributes in future tax returns, we have placed a valuation allowance against our net deferred tax asset, exclusive of goodwill. During 2016, we decreased the valuation allowance by approximately $1.5 million due primarily to operations, including expiration of tax carryforwards. Approximately $8.3 million of the valuation allowance relates to tax benefits for stock option deductions included in our net operating loss carryforward which we will allocate, if and when realized, directly to contributed capital to the extent the benefits exceed amounts attributable to book deferred compensation expense.</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consider the undistributed earnings of our foreign subsidiaries permanently reinvested and, accordingly, we have not provided for U.S. federal or state income taxes thereon.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(Loss)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Net loss was $972,000 in 2016. Net loss was $1.8 million in 2015. The decrease in net loss was $785, or 44.7%. Net loss as a percentage of total</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0" w:type="dxa"/>
            <w:vAlign w:val="bottom"/>
            <w:gridSpan w:val="3"/>
          </w:tcPr>
          <w:p>
            <w:pPr>
              <w:spacing w:after="0"/>
              <w:rPr>
                <w:sz w:val="20"/>
                <w:szCs w:val="20"/>
                <w:color w:val="auto"/>
              </w:rPr>
            </w:pPr>
            <w:r>
              <w:rPr>
                <w:rFonts w:ascii="Arial" w:cs="Arial" w:eastAsia="Arial" w:hAnsi="Arial"/>
                <w:sz w:val="18"/>
                <w:szCs w:val="18"/>
                <w:color w:val="auto"/>
              </w:rPr>
              <w:t>revenues was 2.7% and 6.5% in 2016 and 2015, respectively.</w:t>
            </w: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77"/>
        </w:trPr>
        <w:tc>
          <w:tcPr>
            <w:tcW w:w="6800" w:type="dxa"/>
            <w:vAlign w:val="bottom"/>
            <w:gridSpan w:val="3"/>
          </w:tcPr>
          <w:p>
            <w:pPr>
              <w:spacing w:after="0"/>
              <w:rPr>
                <w:sz w:val="20"/>
                <w:szCs w:val="20"/>
                <w:color w:val="auto"/>
              </w:rPr>
            </w:pPr>
            <w:r>
              <w:rPr>
                <w:rFonts w:ascii="Arial" w:cs="Arial" w:eastAsia="Arial" w:hAnsi="Arial"/>
                <w:sz w:val="18"/>
                <w:szCs w:val="18"/>
                <w:b w:val="1"/>
                <w:bCs w:val="1"/>
                <w:color w:val="auto"/>
              </w:rPr>
              <w:t>LIQUIDITY AND CAPITAL RESOURCES (Amounts in thousands)</w:t>
            </w: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34"/>
        </w:trPr>
        <w:tc>
          <w:tcPr>
            <w:tcW w:w="1440" w:type="dxa"/>
            <w:vAlign w:val="bottom"/>
            <w:tcBorders>
              <w:top w:val="single" w:sz="8" w:color="auto"/>
            </w:tcBorders>
          </w:tcPr>
          <w:p>
            <w:pPr>
              <w:spacing w:after="0"/>
              <w:rPr>
                <w:sz w:val="24"/>
                <w:szCs w:val="24"/>
                <w:color w:val="auto"/>
              </w:rPr>
            </w:pPr>
          </w:p>
        </w:tc>
        <w:tc>
          <w:tcPr>
            <w:tcW w:w="3860" w:type="dxa"/>
            <w:vAlign w:val="bottom"/>
            <w:tcBorders>
              <w:top w:val="single" w:sz="8" w:color="auto"/>
            </w:tcBorders>
          </w:tcPr>
          <w:p>
            <w:pPr>
              <w:spacing w:after="0"/>
              <w:rPr>
                <w:sz w:val="24"/>
                <w:szCs w:val="24"/>
                <w:color w:val="auto"/>
              </w:rPr>
            </w:pPr>
          </w:p>
        </w:tc>
        <w:tc>
          <w:tcPr>
            <w:tcW w:w="1500" w:type="dxa"/>
            <w:vAlign w:val="bottom"/>
          </w:tcPr>
          <w:p>
            <w:pPr>
              <w:spacing w:after="0"/>
              <w:rPr>
                <w:sz w:val="24"/>
                <w:szCs w:val="24"/>
                <w:color w:val="auto"/>
              </w:rPr>
            </w:pPr>
          </w:p>
        </w:tc>
        <w:tc>
          <w:tcPr>
            <w:tcW w:w="2560" w:type="dxa"/>
            <w:vAlign w:val="bottom"/>
            <w:gridSpan w:val="4"/>
          </w:tcPr>
          <w:p>
            <w:pPr>
              <w:jc w:val="center"/>
              <w:ind w:left="410"/>
              <w:spacing w:after="0"/>
              <w:rPr>
                <w:sz w:val="20"/>
                <w:szCs w:val="20"/>
                <w:color w:val="auto"/>
              </w:rPr>
            </w:pPr>
            <w:r>
              <w:rPr>
                <w:rFonts w:ascii="Arial" w:cs="Arial" w:eastAsia="Arial" w:hAnsi="Arial"/>
                <w:sz w:val="18"/>
                <w:szCs w:val="18"/>
                <w:b w:val="1"/>
                <w:bCs w:val="1"/>
                <w:color w:val="auto"/>
                <w:w w:val="91"/>
              </w:rPr>
              <w:t>At and for the year ended</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144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40" w:type="dxa"/>
            <w:vAlign w:val="bottom"/>
            <w:gridSpan w:val="3"/>
          </w:tcPr>
          <w:p>
            <w:pPr>
              <w:jc w:val="center"/>
              <w:ind w:right="330"/>
              <w:spacing w:after="0"/>
              <w:rPr>
                <w:sz w:val="20"/>
                <w:szCs w:val="20"/>
                <w:color w:val="auto"/>
              </w:rPr>
            </w:pPr>
            <w:r>
              <w:rPr>
                <w:rFonts w:ascii="Arial" w:cs="Arial" w:eastAsia="Arial" w:hAnsi="Arial"/>
                <w:sz w:val="18"/>
                <w:szCs w:val="18"/>
                <w:b w:val="1"/>
                <w:bCs w:val="1"/>
                <w:color w:val="auto"/>
                <w:w w:val="90"/>
              </w:rPr>
              <w:t>December 31,</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41"/>
        </w:trPr>
        <w:tc>
          <w:tcPr>
            <w:tcW w:w="144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5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144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center"/>
              <w:ind w:right="330"/>
              <w:spacing w:after="0"/>
              <w:rPr>
                <w:sz w:val="20"/>
                <w:szCs w:val="20"/>
                <w:color w:val="auto"/>
              </w:rPr>
            </w:pPr>
            <w:r>
              <w:rPr>
                <w:rFonts w:ascii="Arial" w:cs="Arial" w:eastAsia="Arial" w:hAnsi="Arial"/>
                <w:sz w:val="18"/>
                <w:szCs w:val="18"/>
                <w:b w:val="1"/>
                <w:bCs w:val="1"/>
                <w:color w:val="auto"/>
                <w:w w:val="88"/>
              </w:rPr>
              <w:t>(in thousands)</w:t>
            </w:r>
          </w:p>
        </w:tc>
        <w:tc>
          <w:tcPr>
            <w:tcW w:w="5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144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gridSpan w:val="2"/>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Working capital (deficit)</w:t>
            </w:r>
          </w:p>
        </w:tc>
        <w:tc>
          <w:tcPr>
            <w:tcW w:w="9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4,207</w:t>
            </w:r>
          </w:p>
        </w:tc>
        <w:tc>
          <w:tcPr>
            <w:tcW w:w="98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(8,067)</w:t>
            </w:r>
          </w:p>
        </w:tc>
      </w:tr>
      <w:tr>
        <w:trPr>
          <w:trHeight w:val="216"/>
        </w:trPr>
        <w:tc>
          <w:tcPr>
            <w:tcW w:w="144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Cash, cash equivalents and short-term investments</w:t>
            </w:r>
          </w:p>
        </w:tc>
        <w:tc>
          <w:tcPr>
            <w:tcW w:w="9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12,767</w:t>
            </w:r>
          </w:p>
        </w:tc>
        <w:tc>
          <w:tcPr>
            <w:tcW w:w="98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1,158</w:t>
            </w:r>
          </w:p>
        </w:tc>
      </w:tr>
      <w:tr>
        <w:trPr>
          <w:trHeight w:val="216"/>
        </w:trPr>
        <w:tc>
          <w:tcPr>
            <w:tcW w:w="144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(used in) provided by operating activities</w:t>
            </w:r>
          </w:p>
        </w:tc>
        <w:tc>
          <w:tcPr>
            <w:tcW w:w="9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(2,012)</w:t>
            </w:r>
          </w:p>
        </w:tc>
        <w:tc>
          <w:tcPr>
            <w:tcW w:w="9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3,355</w:t>
            </w:r>
          </w:p>
        </w:tc>
      </w:tr>
      <w:tr>
        <w:trPr>
          <w:trHeight w:val="216"/>
        </w:trPr>
        <w:tc>
          <w:tcPr>
            <w:tcW w:w="144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Cash used in investing activities</w:t>
            </w:r>
          </w:p>
        </w:tc>
        <w:tc>
          <w:tcPr>
            <w:tcW w:w="9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(18,775)</w:t>
            </w:r>
          </w:p>
        </w:tc>
        <w:tc>
          <w:tcPr>
            <w:tcW w:w="9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(1,388)</w:t>
            </w:r>
          </w:p>
        </w:tc>
      </w:tr>
      <w:tr>
        <w:trPr>
          <w:trHeight w:val="216"/>
        </w:trPr>
        <w:tc>
          <w:tcPr>
            <w:tcW w:w="144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provided by (used in) financing activities</w:t>
            </w:r>
          </w:p>
        </w:tc>
        <w:tc>
          <w:tcPr>
            <w:tcW w:w="9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32,299</w:t>
            </w:r>
          </w:p>
        </w:tc>
        <w:tc>
          <w:tcPr>
            <w:tcW w:w="9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(1,143)</w:t>
            </w:r>
          </w:p>
        </w:tc>
      </w:tr>
    </w:tbl>
    <w:p>
      <w:pPr>
        <w:spacing w:after="0" w:line="20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u w:val="single" w:color="auto"/>
          <w:color w:val="auto"/>
        </w:rPr>
        <w:t>Working Capital</w:t>
      </w:r>
      <w:r>
        <w:rPr>
          <w:rFonts w:ascii="Arial" w:cs="Arial" w:eastAsia="Arial" w:hAnsi="Arial"/>
          <w:sz w:val="16"/>
          <w:szCs w:val="16"/>
          <w:color w:val="auto"/>
        </w:rPr>
        <w:t>. We had working capital of $4.2 million at December 31, 2016, an increase of $12.3 million from the $8.1 million deficit at December 31, 2015. We attribute the increase in our working capital primarily to an increase in cash and cash equivalents of $11.6 million as a result of our public stock offering which closed in December 2016. Accounts receivable also increased $3.6 million due to an increase in revenue, offset by an increase in short term notes payable of $4.5 million. Working capital at December 31, 2016 includes $9.3 million of short term deferred revenue, a decrease from short term deferred revenue of $10.8 million at December 31, 2015. Deferred revenue is an obligation to perform future services. We expect that deferred revenue will convert to future revenue as we perform our services, but this does not represent future payments. Deferred revenue can vary based on seasonality, expiration of initial multi-year contracts and deals that are billed after implementation rather than in advance of service delivery.</w:t>
      </w:r>
    </w:p>
    <w:p>
      <w:pPr>
        <w:spacing w:after="0" w:line="19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u w:val="single" w:color="auto"/>
          <w:color w:val="auto"/>
        </w:rPr>
        <w:t>Operating Activities</w:t>
      </w:r>
      <w:r>
        <w:rPr>
          <w:rFonts w:ascii="Arial" w:cs="Arial" w:eastAsia="Arial" w:hAnsi="Arial"/>
          <w:sz w:val="18"/>
          <w:szCs w:val="18"/>
          <w:color w:val="auto"/>
        </w:rPr>
        <w:t>. Cash used in operating activities was $2.0 million in 2016 as compared to cash provided by operating activities of $3.4 million in 2015. The $2.0 million of cash used in operating activities during 2016 was primarily driven by net income (after adjustment for non-cash items) of $3.2 million and an increase in other liabilities of $466, offset by an increase in accounts receivable of $3.4 million, and decreases in deferred revenue and accounts payable of $1.7 million and $1.1 million, respectively. The $3.4 million of cash provided by operating activities during 2015 was primarily driven by net income (after adjustment for non-cash items) of $1.8 million as well as the growth in deferred revenue of $635,000, and an increase in accounts payable of $1.1 million, offset by an increase in inventory of $615,000.</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u w:val="single" w:color="auto"/>
          <w:color w:val="auto"/>
        </w:rPr>
        <w:t>Investing Activities</w:t>
      </w:r>
      <w:r>
        <w:rPr>
          <w:rFonts w:ascii="Arial" w:cs="Arial" w:eastAsia="Arial" w:hAnsi="Arial"/>
          <w:sz w:val="18"/>
          <w:szCs w:val="18"/>
          <w:color w:val="auto"/>
        </w:rPr>
        <w:t>. Cash used in investing activities during 2016 was $18.8 million. The cash used in investing activities in 2016 was primarily comprised of the acquisition of Mangrove in the first quarter of 2016 of $12.0 million and the net change in funds held for clients of $6.6 million. Cash used in investing activities during 2015 was $1.4 million. The cash used in investing activities in 2015 was primarily comprised of purchases of $1.4 million of property and equipment.</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u w:val="single" w:color="auto"/>
          <w:color w:val="auto"/>
        </w:rPr>
        <w:t>Financing Activities</w:t>
      </w:r>
      <w:r>
        <w:rPr>
          <w:rFonts w:ascii="Arial" w:cs="Arial" w:eastAsia="Arial" w:hAnsi="Arial"/>
          <w:sz w:val="18"/>
          <w:szCs w:val="18"/>
          <w:color w:val="auto"/>
        </w:rPr>
        <w:t>. Cash provided by financing activities during 2016 was $32.3 million. We borrowed $18.4 million, offset by note payable payments of $7.2 million. Our stock issuances through our public stock offering and other stock issuances yielded $15.2 million in proceeds. Cash used in financing activities during 2015 was $1.1 million. We borrowed $5.3 million, offset by note payable payments of $6.8 million, including payoff of the Roomtag acquisition note of $722,000 (see Note 6 – Notes Payable of the accompanying financial statements)</w:t>
      </w:r>
    </w:p>
    <w:p>
      <w:pPr>
        <w:sectPr>
          <w:pgSz w:w="11900" w:h="16838" w:orient="portrait"/>
          <w:cols w:equalWidth="0" w:num="1">
            <w:col w:w="11420"/>
          </w:cols>
          <w:pgMar w:left="240" w:top="125" w:right="239" w:bottom="1440" w:gutter="0" w:footer="0" w:header="0"/>
        </w:sectPr>
      </w:pP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u w:val="single" w:color="auto"/>
          <w:color w:val="auto"/>
        </w:rPr>
        <w:t>Sources of Liquidity</w:t>
      </w:r>
      <w:r>
        <w:rPr>
          <w:rFonts w:ascii="Arial" w:cs="Arial" w:eastAsia="Arial" w:hAnsi="Arial"/>
          <w:sz w:val="18"/>
          <w:szCs w:val="18"/>
          <w:color w:val="auto"/>
        </w:rPr>
        <w:t>. As of December 31, 2016, Asure’s principal sources of liquidity consisted of approximately $12.8 million of cash and cash equivalents, future cash generated from operations, and $3.0 million available for borrowing under our Wells Fargo revolver. We believe that we have and/or will generate sufficient cash for our short- and long-term needs. Based on current internal projections, we believe that we have and/or will generate sufficient cash for our operational needs, including any required debt payments, for at least the next twelve months. We currently project that we can generate positive cash flows from our operating activities for at least the next twelve months.</w:t>
      </w:r>
    </w:p>
    <w:p>
      <w:pPr>
        <w:spacing w:after="0" w:line="21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management team is focused on growing our existing software operations and is also seeking additional strategic acquisitions for the near future. At present, we plan to fund any future acquisition with equity, existing cash and cash equivalents cash generated from future operations and/or cash or debt raised from outside sources.</w:t>
      </w:r>
    </w:p>
    <w:p>
      <w:pPr>
        <w:spacing w:after="0" w:line="208" w:lineRule="exact"/>
        <w:rPr>
          <w:sz w:val="20"/>
          <w:szCs w:val="20"/>
          <w:color w:val="auto"/>
        </w:rPr>
      </w:pPr>
    </w:p>
    <w:p>
      <w:pPr>
        <w:ind w:left="700"/>
        <w:spacing w:after="0"/>
        <w:rPr>
          <w:sz w:val="20"/>
          <w:szCs w:val="20"/>
          <w:color w:val="auto"/>
        </w:rPr>
      </w:pPr>
      <w:r>
        <w:rPr>
          <w:rFonts w:ascii="Arial" w:cs="Arial" w:eastAsia="Arial" w:hAnsi="Arial"/>
          <w:sz w:val="18"/>
          <w:szCs w:val="18"/>
          <w:u w:val="single" w:color="auto"/>
          <w:color w:val="auto"/>
        </w:rPr>
        <w:t>Shelf Registration</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June 29, 2016, we filed a shelf registration statement on Form S-3 with the Securities and Exchange Commission (“SEC”) to sell from time to time up to $30 million of our common stock, preferred stock, warrants, debt securities, subscription rights and units. On July 8, 2016, the shelf registration statement was declared effective by the SEC. Under this shelf registration statement, in December 2016 we completed an underwritten public offering of 1,949,250 shares of common stock at the public offering price of $8.00 per share, which includes 254,250 shares sold pursuant to the underwriters’ full exercise of their over-allotment option. We received of approximately $14.4 million, after deducting the underwriting discounts and commissions and other estimated offering expenses.</w:t>
      </w:r>
    </w:p>
    <w:p>
      <w:pPr>
        <w:spacing w:after="0" w:line="220" w:lineRule="exact"/>
        <w:rPr>
          <w:sz w:val="20"/>
          <w:szCs w:val="20"/>
          <w:color w:val="auto"/>
        </w:rPr>
      </w:pPr>
    </w:p>
    <w:p>
      <w:pPr>
        <w:jc w:val="both"/>
        <w:ind w:firstLine="693"/>
        <w:spacing w:after="0" w:line="259" w:lineRule="auto"/>
        <w:rPr>
          <w:sz w:val="20"/>
          <w:szCs w:val="20"/>
          <w:color w:val="auto"/>
        </w:rPr>
      </w:pPr>
      <w:r>
        <w:rPr>
          <w:rFonts w:ascii="Arial" w:cs="Arial" w:eastAsia="Arial" w:hAnsi="Arial"/>
          <w:sz w:val="18"/>
          <w:szCs w:val="18"/>
          <w:color w:val="auto"/>
        </w:rPr>
        <w:t>On February 15, 2017, we filed a shelf registration statement on Form S-3 with the SEC. This shelf registration statement, when declared effective by the SEC, will give us the ability to offer and sell, from time to time, in one or more offerings, up to $75,000,000 of our common stock, preferred stock, warrants, debt securities, subscription rights, and units. These securities may not be sold nor may offers to buy be accepted prior to the time the registration statement becomes effective.</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These registration statements are intended to provide us with flexibility to access the public capital markets in order to pursue our growth strategies.</w:t>
      </w:r>
    </w:p>
    <w:p>
      <w:pPr>
        <w:spacing w:after="0" w:line="27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Credit Agreement</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March 2014, we entered into a credit agreement (the “Credit Agreement”) with Wells Fargo Bank, N.A., as administrative agent, and the lenders that are party thereto. The Credit Agreement contains customary events of default, including, among others, payment defaults, covenant defaults, judgment defaults, bankruptcy and insolvency events, cross defaults to certain indebtedness, incorrect representations or warranties, and change of control. In some cases, the defaults are subject to customary notice and grace period provisions. In March 2014 and in connection with the Credit Agreement, we and our wholly-owned active subsidiaries entered into a Guaranty and Security Agreement with Wells Fargo Bank. Under the Guaranty and Security Agreement, we and each of our wholly-owned active subsidiaries have guaranteed all obligations under the Credit Agreement and granted a security interest in substantially all of our and our subsidiaries’ assets.</w:t>
      </w:r>
    </w:p>
    <w:p>
      <w:pPr>
        <w:spacing w:after="0" w:line="21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Credit Agreement provided for a term loan in the amount of $15.0 million maturing in March 2019. We used the proceeds of the term loan to finance the repayment of all amounts outstanding under our loan agreement with Deerpath and the payment of certain fees, cost and expenses related to the Credit Agreement.</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Credit Agreement also provided for a revolving loan commitment in the aggregate amount of up to $3.0 million. The outstanding principal amount of the revolving loan is due and payable in March 2019. As of December 31, 2016, $0 was outstanding and $3.0 million was available for borrowing under the revolver.</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Additionally, the Credit Agreement provided for a $10.0 million uncommitted incremental term loan facility to support permitted acquisitions.</w:t>
      </w:r>
    </w:p>
    <w:p>
      <w:pPr>
        <w:spacing w:after="0" w:line="26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Under the Credit Agreement, we were required to maintain a fixed charge coverage ratio of not less than 1.5 to 1.0 beginning with the quarter ended June 30, 2014 and each calendar quarter thereafter, and a leverage ratio of not greater than 3.5 to 1.0 beginning with the quarter ended June 30, 2014 with the levels stepping down thereafter. We amended the Credit Agreement in August 2014, March 2015 and November 2015. The August 2014 amendment revised the leverage ratio beginning with the quarter ended September 30, 2014 to a leverage ratio of not greater than 3.6 to 1.0 with the levels stepping down thereafter. The March 2015 amendment authorized us to optionally prepay, subject to specified conditions, the Subordinated Note Payable to Roomtag and revised the leverage ratio beginning with the quarter ended March 31, 2015 to a leverage ratio of not greater than 3.5 to 1.0 with the levels stepping down thereafter. The November 2015 amendment increased the applicable margin relative to the LIBOR rate upon which we compute the interest payable. We agreed that if our leverage ratio is (a) less than or equal to 2.25:1, (b) greater than 2.25:1 but less than or equal to 2.75:1, (c) greater than 2.75:1 but less than or equal to 3.25:1 or (d) greater than 3.25:1, the applicable margin relative to the LIBOR rate would be 3.00, 3.50, 4.00 or 4.50 percentage points, respectively. We further agreed that until the leverage ratio testing period ending September 30, 2016, we will pay interest based on the 4.50 percentage point margin level.</w:t>
      </w:r>
    </w:p>
    <w:p>
      <w:pPr>
        <w:sectPr>
          <w:pgSz w:w="11900" w:h="16838" w:orient="portrait"/>
          <w:cols w:equalWidth="0" w:num="1">
            <w:col w:w="11420"/>
          </w:cols>
          <w:pgMar w:left="240" w:top="125" w:right="239" w:bottom="1440" w:gutter="0" w:footer="0" w:header="0"/>
        </w:sectPr>
      </w:pP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March 2016, we amended the Credit Agreement. Under this amendment, we expanded the Credit Agreement by $12.5 million to $29.2 million. The amendment changes the applicable margin rates for determining the interest rate payable on the loan as follows:</w:t>
      </w:r>
    </w:p>
    <w:p>
      <w:pPr>
        <w:spacing w:after="0" w:line="193" w:lineRule="exact"/>
        <w:rPr>
          <w:sz w:val="20"/>
          <w:szCs w:val="20"/>
          <w:color w:val="auto"/>
        </w:rPr>
      </w:pPr>
    </w:p>
    <w:tbl>
      <w:tblPr>
        <w:tblLayout w:type="fixed"/>
        <w:tblInd w:w="1440" w:type="dxa"/>
        <w:tblCellMar>
          <w:top w:w="0" w:type="dxa"/>
          <w:left w:w="0" w:type="dxa"/>
          <w:bottom w:w="0" w:type="dxa"/>
          <w:right w:w="0" w:type="dxa"/>
        </w:tblCellMar>
      </w:tblPr>
      <w:tr>
        <w:trPr>
          <w:trHeight w:val="241"/>
        </w:trPr>
        <w:tc>
          <w:tcPr>
            <w:tcW w:w="4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Total Leverage Ratio</w:t>
            </w:r>
          </w:p>
        </w:tc>
        <w:tc>
          <w:tcPr>
            <w:tcW w:w="120" w:type="dxa"/>
            <w:vAlign w:val="bottom"/>
          </w:tcPr>
          <w:p>
            <w:pPr>
              <w:spacing w:after="0"/>
              <w:rPr>
                <w:sz w:val="20"/>
                <w:szCs w:val="20"/>
                <w:color w:val="auto"/>
              </w:rPr>
            </w:pPr>
          </w:p>
        </w:tc>
        <w:tc>
          <w:tcPr>
            <w:tcW w:w="16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99"/>
              </w:rPr>
              <w:t>Base Rate Margin</w:t>
            </w:r>
          </w:p>
        </w:tc>
        <w:tc>
          <w:tcPr>
            <w:tcW w:w="300" w:type="dxa"/>
            <w:vAlign w:val="bottom"/>
          </w:tcPr>
          <w:p>
            <w:pPr>
              <w:spacing w:after="0"/>
              <w:rPr>
                <w:sz w:val="20"/>
                <w:szCs w:val="20"/>
                <w:color w:val="auto"/>
              </w:rPr>
            </w:pPr>
          </w:p>
        </w:tc>
        <w:tc>
          <w:tcPr>
            <w:tcW w:w="16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w w:val="98"/>
              </w:rPr>
              <w:t>LIBOR Rate Margin</w:t>
            </w:r>
          </w:p>
        </w:tc>
        <w:tc>
          <w:tcPr>
            <w:tcW w:w="180" w:type="dxa"/>
            <w:vAlign w:val="bottom"/>
          </w:tcPr>
          <w:p>
            <w:pPr>
              <w:spacing w:after="0"/>
              <w:rPr>
                <w:sz w:val="20"/>
                <w:szCs w:val="20"/>
                <w:color w:val="auto"/>
              </w:rPr>
            </w:pPr>
          </w:p>
        </w:tc>
      </w:tr>
      <w:tr>
        <w:trPr>
          <w:trHeight w:val="216"/>
        </w:trPr>
        <w:tc>
          <w:tcPr>
            <w:tcW w:w="4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 2.75:1</w:t>
            </w:r>
          </w:p>
        </w:tc>
        <w:tc>
          <w:tcPr>
            <w:tcW w:w="1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3.50%</w:t>
            </w:r>
          </w:p>
        </w:tc>
        <w:tc>
          <w:tcPr>
            <w:tcW w:w="1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4.50%</w:t>
            </w:r>
          </w:p>
        </w:tc>
      </w:tr>
      <w:tr>
        <w:trPr>
          <w:trHeight w:val="216"/>
        </w:trPr>
        <w:tc>
          <w:tcPr>
            <w:tcW w:w="4600" w:type="dxa"/>
            <w:vAlign w:val="bottom"/>
          </w:tcPr>
          <w:p>
            <w:pPr>
              <w:jc w:val="center"/>
              <w:spacing w:after="0"/>
              <w:rPr>
                <w:sz w:val="20"/>
                <w:szCs w:val="20"/>
                <w:color w:val="auto"/>
              </w:rPr>
            </w:pPr>
            <w:r>
              <w:rPr>
                <w:rFonts w:ascii="Arial" w:cs="Arial" w:eastAsia="Arial" w:hAnsi="Arial"/>
                <w:sz w:val="18"/>
                <w:szCs w:val="18"/>
                <w:color w:val="auto"/>
                <w:w w:val="91"/>
              </w:rPr>
              <w:t>&gt; 2.75:1 but ≤ 3.25:1</w:t>
            </w:r>
          </w:p>
        </w:tc>
        <w:tc>
          <w:tcPr>
            <w:tcW w:w="2080" w:type="dxa"/>
            <w:vAlign w:val="bottom"/>
            <w:gridSpan w:val="3"/>
          </w:tcPr>
          <w:p>
            <w:pPr>
              <w:jc w:val="right"/>
              <w:ind w:right="140"/>
              <w:spacing w:after="0"/>
              <w:rPr>
                <w:sz w:val="20"/>
                <w:szCs w:val="20"/>
                <w:color w:val="auto"/>
              </w:rPr>
            </w:pPr>
            <w:r>
              <w:rPr>
                <w:rFonts w:ascii="Arial" w:cs="Arial" w:eastAsia="Arial" w:hAnsi="Arial"/>
                <w:sz w:val="18"/>
                <w:szCs w:val="18"/>
                <w:color w:val="auto"/>
              </w:rPr>
              <w:t>4.00%</w:t>
            </w:r>
          </w:p>
        </w:tc>
        <w:tc>
          <w:tcPr>
            <w:tcW w:w="1860" w:type="dxa"/>
            <w:vAlign w:val="bottom"/>
            <w:gridSpan w:val="2"/>
          </w:tcPr>
          <w:p>
            <w:pPr>
              <w:jc w:val="right"/>
              <w:ind w:right="40"/>
              <w:spacing w:after="0"/>
              <w:rPr>
                <w:sz w:val="20"/>
                <w:szCs w:val="20"/>
                <w:color w:val="auto"/>
              </w:rPr>
            </w:pPr>
            <w:r>
              <w:rPr>
                <w:rFonts w:ascii="Arial" w:cs="Arial" w:eastAsia="Arial" w:hAnsi="Arial"/>
                <w:sz w:val="18"/>
                <w:szCs w:val="18"/>
                <w:color w:val="auto"/>
              </w:rPr>
              <w:t>5.00%</w:t>
            </w:r>
          </w:p>
        </w:tc>
      </w:tr>
      <w:tr>
        <w:trPr>
          <w:trHeight w:val="216"/>
        </w:trPr>
        <w:tc>
          <w:tcPr>
            <w:tcW w:w="4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 3.25:1</w:t>
            </w:r>
          </w:p>
        </w:tc>
        <w:tc>
          <w:tcPr>
            <w:tcW w:w="20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4.50%</w:t>
            </w:r>
          </w:p>
        </w:tc>
        <w:tc>
          <w:tcPr>
            <w:tcW w:w="1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5.50%</w:t>
            </w:r>
          </w:p>
        </w:tc>
      </w:tr>
    </w:tbl>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March 2016 amendment also amended our leverage ratio requirement to a leverage ratio not to exceed 5.00:1 at March 31, 2016, stepping down to 2.25:1 at December 31, 2018.</w:t>
      </w:r>
    </w:p>
    <w:p>
      <w:pPr>
        <w:spacing w:after="0" w:line="170" w:lineRule="exact"/>
        <w:rPr>
          <w:sz w:val="20"/>
          <w:szCs w:val="20"/>
          <w:color w:val="auto"/>
        </w:rPr>
      </w:pPr>
    </w:p>
    <w:p>
      <w:pPr>
        <w:jc w:val="both"/>
        <w:ind w:left="20" w:firstLine="648"/>
        <w:spacing w:after="0" w:line="264" w:lineRule="auto"/>
        <w:rPr>
          <w:sz w:val="20"/>
          <w:szCs w:val="20"/>
          <w:color w:val="auto"/>
        </w:rPr>
      </w:pPr>
      <w:r>
        <w:rPr>
          <w:rFonts w:ascii="Arial" w:cs="Arial" w:eastAsia="Arial" w:hAnsi="Arial"/>
          <w:sz w:val="18"/>
          <w:szCs w:val="18"/>
          <w:color w:val="auto"/>
        </w:rPr>
        <w:t>In March 2017, we amended the Credit Agreement to, among other things, obtain an additional term loan in the amount of $5,000,000. Upon disbursement of the additional term loan, the aggregate principal amount outstanding under our terms loans will be approximately $29,714,453. The aggregate outstanding principal amount of the term loans is payable as follows: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$742,861.33 on June 30, 2017 and the last day of each fiscal quarter thereafter.</w:t>
      </w:r>
    </w:p>
    <w:p>
      <w:pPr>
        <w:spacing w:after="0" w:line="25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will use the proceeds of the additional term loan to repay a portion of all amounts outstanding under the secured subsordinated note we issued in connection with the Mangrove acquisition. In the March 2017 amendment, in accordance with the terms of the Credit Agreement, Wells Fargo has consented to such early repayment of the Mangrove note, subject to the condition, among others, that the repayment of the Mangrove note will not exceed $5,879,000.</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March 2017 amendment also amends our fixed charge coverage ratio and leverage ratio. We have now agreed to:</w:t>
      </w:r>
    </w:p>
    <w:p>
      <w:pPr>
        <w:spacing w:after="0" w:line="252" w:lineRule="exact"/>
        <w:rPr>
          <w:sz w:val="20"/>
          <w:szCs w:val="20"/>
          <w:color w:val="auto"/>
        </w:rPr>
      </w:pPr>
    </w:p>
    <w:p>
      <w:pPr>
        <w:jc w:val="both"/>
        <w:ind w:firstLine="658"/>
        <w:spacing w:after="0" w:line="264" w:lineRule="auto"/>
        <w:tabs>
          <w:tab w:leader="none" w:pos="846" w:val="left"/>
        </w:tabs>
        <w:numPr>
          <w:ilvl w:val="0"/>
          <w:numId w:val="6"/>
        </w:numPr>
        <w:rPr>
          <w:rFonts w:ascii="Arial" w:cs="Arial" w:eastAsia="Arial" w:hAnsi="Arial"/>
          <w:sz w:val="18"/>
          <w:szCs w:val="18"/>
          <w:color w:val="auto"/>
        </w:rPr>
      </w:pPr>
      <w:r>
        <w:rPr>
          <w:rFonts w:ascii="Arial" w:cs="Arial" w:eastAsia="Arial" w:hAnsi="Arial"/>
          <w:sz w:val="18"/>
          <w:szCs w:val="18"/>
          <w:color w:val="auto"/>
        </w:rPr>
        <w:t>a fixed charge coverage ratio of not less than 1.25 to 1.0 beginning with the quarter ending March 31, 2017 and each calendar quarter thereafter up to December 31, 2017, and not less than 1.5 to :1.0 beginning with the quarter ending March 31, 2018 and each calendar quarter thereafter up to December 31, 2018, and</w:t>
      </w:r>
    </w:p>
    <w:p>
      <w:pPr>
        <w:spacing w:after="0" w:line="208" w:lineRule="exact"/>
        <w:rPr>
          <w:rFonts w:ascii="Arial" w:cs="Arial" w:eastAsia="Arial" w:hAnsi="Arial"/>
          <w:sz w:val="18"/>
          <w:szCs w:val="18"/>
          <w:color w:val="auto"/>
        </w:rPr>
      </w:pPr>
    </w:p>
    <w:p>
      <w:pPr>
        <w:ind w:left="860" w:hanging="204"/>
        <w:spacing w:after="0"/>
        <w:tabs>
          <w:tab w:leader="none" w:pos="860" w:val="left"/>
        </w:tabs>
        <w:numPr>
          <w:ilvl w:val="0"/>
          <w:numId w:val="6"/>
        </w:numPr>
        <w:rPr>
          <w:rFonts w:ascii="Arial" w:cs="Arial" w:eastAsia="Arial" w:hAnsi="Arial"/>
          <w:sz w:val="16"/>
          <w:szCs w:val="16"/>
          <w:color w:val="auto"/>
        </w:rPr>
      </w:pPr>
      <w:r>
        <w:rPr>
          <w:rFonts w:ascii="Arial" w:cs="Arial" w:eastAsia="Arial" w:hAnsi="Arial"/>
          <w:sz w:val="16"/>
          <w:szCs w:val="16"/>
          <w:color w:val="auto"/>
        </w:rPr>
        <w:t>a leverage ratio of not greater than 4.25 to 1.0 beginning with the quarter ending March 31, 2017, stepping down to 3.0 to 1.0 at March 31, 2018.</w:t>
      </w:r>
    </w:p>
    <w:p>
      <w:pPr>
        <w:spacing w:after="0" w:line="27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Credit Agreement contains customary affirmative and negative covenants, including, among others, limitations with respect to debt, liens, fundamental changes, sale of assets, prepayment of debt, investments, dividends and transactions with affiliates.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December 31, 2016, we were in compliance with all covenants and all payments remain current. We expect to be in compliance or be able to obtain compliance through debt repayments with available cash on hand or as we expect to generate from the ordinary course of operations over the next twelve months.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See Note 6 - Notes Payable in the accompanying financial statements for more information about the Credit Agreement and Guaranty and Security Agreement.</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cannot assure that we can grow our cash balances or limit our cash consumption and thus maintain sufficient cash balances for our planned operations or future acquisitions. Future business demands may lead to cash utilization at levels greater than recently experienced. We may need to raise additional capital in the future. However, we cannot assure that we will be able to raise additional capital on acceptable terms, or at all. Subject to the foregoing, management believes that we have sufficient capital and liquidity to fund and cultivate the growth of our current and future operations for at least the next twelve months and to maintain compliance with the terms of our debt agreements and related covenants or to obtain compliance through debt repayments made with our available cash on hand or anticipated for receipt in the ordinary course of operations.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CRITICAL ACCOUNTING POLICIES</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have prepared our consolidated financial statements in accordance with U.S. generally accepted accounting principles and included the accounts of Asure’s wholly owned subsidiaries. We have eliminated all significant intercompany transactions and balances in the consolidation. Preparation of the consolidated financial statements in conformity with U.S. generally accepted accounting principles requires management to make estimates and assumptions that affect the reported amounts of the assets and liabilities, the disclosure of contingent assets and liabilities at the date of the financial statements and the reported amounts of revenues and expenses during the reporting period. These estimates are subjective in nature and involve judgments that affect the reported amounts of assets and liabilities, the disclosure of contingent assets and liabilities at fiscal year end and the reported amounts of revenues and expenses during the fiscal year. The more significant estimates made by management include the valuation allowance for our gross deferred tax asset, lease impairment, useful lives of fixed assets, the determination of the fair value of our long-lived assets and the fair value of assets acquired and liabilities assumed during acquisitions. We base our estimates on historical experience and on various other assumptions that management believes are reasonable under the given circumstances. These estimates could be materially different under different conditions and assumptions. Additionally, the actual amounts could differ from the estimates made. Management periodically evaluates estimates used in the preparation of our financial statements for continued reasonableness. We prospectively apply appropriate adjustments, if any, to our estimates based upon our periodic evaluation.</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the following are our critical accounting policies:</w:t>
      </w:r>
    </w:p>
    <w:p>
      <w:pPr>
        <w:sectPr>
          <w:pgSz w:w="11900" w:h="16838" w:orient="portrait"/>
          <w:cols w:equalWidth="0" w:num="1">
            <w:col w:w="11420"/>
          </w:cols>
          <w:pgMar w:left="240" w:top="125" w:right="239"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Our revenues consist of software-as-a-service (“SaaS”) offerings, time-based software subscriptions, and perpetual software license sale arrangements that also, typically, include hardware, maintenance/support and professional services elements. We recognize revenue when persuasive evidence of an arrangement exists, delivery has occurred, the fee is fixed or determinable and collectability is probable. Software and software-related elements are recognized in accordance with Accounting Standards Codification (“ASC”) 985-605 </w:t>
      </w:r>
      <w:r>
        <w:rPr>
          <w:rFonts w:ascii="Arial" w:cs="Arial" w:eastAsia="Arial" w:hAnsi="Arial"/>
          <w:sz w:val="18"/>
          <w:szCs w:val="18"/>
          <w:i w:val="1"/>
          <w:iCs w:val="1"/>
          <w:color w:val="auto"/>
        </w:rPr>
        <w:t>Software Revenue Recognition</w:t>
      </w:r>
      <w:r>
        <w:rPr>
          <w:rFonts w:ascii="Arial" w:cs="Arial" w:eastAsia="Arial" w:hAnsi="Arial"/>
          <w:sz w:val="18"/>
          <w:szCs w:val="18"/>
          <w:color w:val="auto"/>
        </w:rPr>
        <w:t xml:space="preserve">. Non-software revenue elements are recognized in accordance with ASC 605-25 </w:t>
      </w:r>
      <w:r>
        <w:rPr>
          <w:rFonts w:ascii="Arial" w:cs="Arial" w:eastAsia="Arial" w:hAnsi="Arial"/>
          <w:sz w:val="18"/>
          <w:szCs w:val="18"/>
          <w:i w:val="1"/>
          <w:iCs w:val="1"/>
          <w:color w:val="auto"/>
        </w:rPr>
        <w:t>Revenue Recognition Multiple-Element Arrangements.</w:t>
      </w:r>
      <w:r>
        <w:rPr>
          <w:rFonts w:ascii="Arial" w:cs="Arial" w:eastAsia="Arial" w:hAnsi="Arial"/>
          <w:sz w:val="18"/>
          <w:szCs w:val="18"/>
          <w:color w:val="auto"/>
        </w:rPr>
        <w:t xml:space="preserve"> Since we currently offer our software solutions under either a perpetual license, time-based subscription or SaaS model, revenue recognition timing varies based on which form of software rights the customer purchases.</w:t>
      </w:r>
    </w:p>
    <w:p>
      <w:pPr>
        <w:spacing w:after="0" w:line="18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SaaS arrangements and time-based software subscriptions typically have an initial term ranging from one to three years and are renewable on an annual basis. A typical SaaS arrangement will also include hardware, setup and implementation services. We allocate the value of the SaaS arrangement to each separate unit of accounting based on vendor-specific objective evidence (“VSOE”) of selling price, when it exists, third-party evidence of selling price for like services or best estimated selling price. Revenue allocated to the SaaS/software subscription element is recognized ratably over the non-cancellable term of the SaaS/subscription service. Revenue allocated to other units of accounting included in the arrangement is recognized as outlined in the paragraphs below.</w:t>
      </w:r>
    </w:p>
    <w:p>
      <w:pPr>
        <w:spacing w:after="0" w:line="19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typically sell perpetual software licenses in multiple-element arrangements that include hardware, maintenance/support and professional services. Software license revenues, determined under the residual method, are generally recognized on the date we deliver the product to the customer if VSOE of fair value exists for all undelivered elements of the software arrangement. If VSOE of fair value does not exist for an undelivered element, we defer the entire software arrangement and recognize it ratably, over the remaining non-cancellable maintenance term, after we have delivered all other undelivered elements. We base VSOE of fair value for our maintenance, training and installation services on the prices charged for these services when sold separately. We recognize revenue allocated to hardware, maintenance and services elements included in the arrangement as outlined below.</w:t>
      </w:r>
    </w:p>
    <w:p>
      <w:pPr>
        <w:spacing w:after="0" w:line="16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Hardware devices sold to customers (typically time clock, LCD panel and other peripheral devices) are not essential to the functionality of the software and as such are treated as non-software elements for revenue recognition purposes. WE recognize hardware revenue when title passes to the customer, typically the date we ship the hardware. If we sell hardware under a hardware-as-a-service (“HaaS”) arrangement, title to the hardware remains with Asure and we recognize hardware usage revenue ratably over the non-cancellable term of the hardware service delivery, typically one year.</w:t>
      </w:r>
    </w:p>
    <w:p>
      <w:pPr>
        <w:spacing w:after="0" w:line="15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professional services offerings which typically include data migration, set up, training, and implementation services are also not essential to the functionality of our products, as third parties or customers themselves can perform these services. Set up and implementation services typically occur at the start of the software arrangement while certain other professional services, depending on the nature of the services and customer requirements, may occur several months later. We can reasonably estimate professional services performed for a fixed fee and recognize them on a proportional performance basis. We recognize revenue for professional services engagements billed on a time and materials basis as we deliver the services. We recognize revenues on all other professional services engagements upon the earlier of the completion of the services deliverable or the expiration of the customer’s right to receive the service.</w:t>
      </w:r>
    </w:p>
    <w:p>
      <w:pPr>
        <w:spacing w:after="0" w:line="18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recognize maintenance/support revenues ratably over the non-cancellable term of the support agreement. Initial maintenance/support terms are typically one to three years and are renewable on an annual basis.</w:t>
      </w:r>
    </w:p>
    <w:p>
      <w:pPr>
        <w:spacing w:after="0" w:line="17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We do not recognize revenue for agreements with rights of return, refundable fees, cancellation rights or substantive acceptance clauses until these return, refund or cancellation rights have expired or acceptance has occurred. Our arrangements with resellers do not allow for any rights of return.</w:t>
      </w:r>
    </w:p>
    <w:p>
      <w:pPr>
        <w:spacing w:after="0" w:line="1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Deferred revenue includes amounts received from customers in excess of revenue we recognize, and is comprised of deferred maintenance, service and other revenue. We recognize deferred revenues when we complete the service and over the terms of the arrangements, primarily ranging from one to three years.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and Goodwill</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record the assets acquired and liabilities assumed in business combinations at their respective fair values at the date of acquisition, with any excess purchase price recorded as goodwill. Valuation of intangible assets and in-process research and development entails significant estimates and assumptions including, but not limited to, estimating future cash flows from product sales, developing appropriate discount rates, estimating probability rates for the continuation of customer relationships and renewal of customer contracts and approximating the useful lives of the intangible assets acquired. U.S. generally accepted accounting principles (“GAAP”) require that we not amortize intangible assets other than goodwill with an indefinite life until we determine their life as finite. We must amortize all other intangible assets over their useful lives. We currently amortize our acquired intangible assets with definite lives over periods ranging from one to nine years.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Intangible Assets and Long-Lived Assets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accordance with Financial Accounting Standards Board (“FASB”) ASC 350, we review and evaluate our long-lived assets for impairment whenever events or changes in circumstances indicate that we may not recover their net book value. When such factors and circumstances exist, including those noted above, we compare the assets’ carrying amounts against the estimated undiscounted cash flows we expect to generate with those assets over their estimated useful lives. If the carrying amounts are greater than the undiscounted cash flows, we estimate the fair values of those assets by discounting the projected cash flows. We record any excess of the carrying amounts over the fair values as impairments in that fiscal period. There has been no impairment of intangible assets and long-lived assets for the periods presented.</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Goodwill represents the excess of the purchase price in a business combination over the fair value of net tangible and intangible assets acquired in a business combination. We test goodwill for impairment on an annual basis in the fourth fiscal quarter of each year, and between annual tests if indicators of potential impairment exist, using a fair-value-based approach. There has been no impairment of goodwill for the periods presented. See Notes 4 and 5 in the accompanying financial statements for additional information regarding goodwill.</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See Note 2 – Significant Account Policies in the accompanying financial statements for more information about Recent Accounting Pronouncements.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a smaller reporting company as defined by Rule 12b-2 under the Exchange Act and are not required to provide the information required under this Item.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5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financial statements and supplementary data required by this Item 8 are listed in Items 15(a)(1) and (2) of Part III of this Report (</w:t>
      </w:r>
      <w:r>
        <w:rPr>
          <w:rFonts w:ascii="Arial" w:cs="Arial" w:eastAsia="Arial" w:hAnsi="Arial"/>
          <w:sz w:val="18"/>
          <w:szCs w:val="18"/>
          <w:i w:val="1"/>
          <w:iCs w:val="1"/>
          <w:color w:val="auto"/>
        </w:rPr>
        <w:t>Exhibits,</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Statement Schedules</w:t>
      </w:r>
      <w:r>
        <w:rPr>
          <w:rFonts w:ascii="Arial" w:cs="Arial" w:eastAsia="Arial" w:hAnsi="Arial"/>
          <w:sz w:val="18"/>
          <w:szCs w:val="18"/>
          <w:color w:val="auto"/>
        </w:rPr>
        <w:t>).</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 and Procedures</w:t>
      </w:r>
    </w:p>
    <w:p>
      <w:pPr>
        <w:spacing w:after="0" w:line="22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Based on an evaluation under the supervision and with the participation of our management, our principal executive officer and principal financial officer have concluded that our disclosure controls and procedures as defined in Rules 13a-15(e) and 15d-15(e) under the Exchange Act were effective as of December 31, 2016 to provide reasonable assurance that information required to be disclosed by us in reports that we file or submit under the Exchange Act is</w:t>
      </w:r>
    </w:p>
    <w:p>
      <w:pPr>
        <w:ind w:left="260" w:hanging="252"/>
        <w:spacing w:after="0"/>
        <w:tabs>
          <w:tab w:leader="none" w:pos="26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recorded, processed, summarized and reported within the time periods specified in the Securities and Exchange Commission rules and forms and</w:t>
      </w:r>
    </w:p>
    <w:p>
      <w:pPr>
        <w:spacing w:after="0" w:line="20" w:lineRule="exact"/>
        <w:rPr>
          <w:rFonts w:ascii="Arial" w:cs="Arial" w:eastAsia="Arial" w:hAnsi="Arial"/>
          <w:sz w:val="17"/>
          <w:szCs w:val="17"/>
          <w:color w:val="auto"/>
        </w:rPr>
      </w:pPr>
    </w:p>
    <w:p>
      <w:pPr>
        <w:ind w:right="20" w:firstLine="8"/>
        <w:spacing w:after="0" w:line="261" w:lineRule="auto"/>
        <w:tabs>
          <w:tab w:leader="none" w:pos="29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accumulated and communicated to our management, including our principal executive officer and principal financial officer, as appropriate to allow timely decisions regarding required disclosure.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 13a-15(f) under the Exchange Act). Management conducted an evaluation of the effectiveness of our internal control over financial reporting based on the criteria set forth in Internal Control – Integrated Framework issued by the Committee of Sponsoring Organizations of the Treadway Commission (2013 Framework) (“COSO”). Based on our assessment, management has concluded that our internal control over financial reporting was effective as of December 31, 2016 to provide reasonable assurance regarding the reliability of financial reporting and the preparation of financial statements in accordance with U.S. generally accepted accounting principles.</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Management has excluded our wholly owned subsidiaries, Asure COBRASource, LLC and Mangrove Employer Services (collectively referred to as “Mangrove”), from its assessment of internal control over financial reporting as of December 31, 2016 because Mangrove was acquired by us in a business combination on March 18, 2016 which did not allow management enough time to make a proper assessment. The total assets and total revenues of Mangrove represent approximately 49.2% and 19.5 %, respectively, of the related consolidated financial statement amounts as of and for the year ended December 31, 2016.</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annual report does not include an attestation report of our independent registered public accounting firm regarding our internal control over financial reporting. Management’s report was not subject to attestation by our independent registered public accounting firm pursuant to the rules of the Securities and Exchange Commission that permit us to provide only management’s reporting in this annual report.</w:t>
      </w:r>
    </w:p>
    <w:p>
      <w:pPr>
        <w:spacing w:after="0" w:line="20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year ended December 31, 2016 that have materially affected, or are reasonably likely to materially affect, our internal control over financial reporting.</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AND EXECUTIVE OFFICERS OF THE REGISTRANT</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information required under this Item is incorporated by reference from our definitive proxy statement to be filed relating to our 2017 annual meeting of shareholders.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information required under this Item is incorporated by reference from our definitive proxy statement to be filed relating to our 2017 annual meeting of shareholders.</w:t>
      </w:r>
    </w:p>
    <w:p>
      <w:pPr>
        <w:spacing w:after="0" w:line="166"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9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information required under this Item is incorporated by reference from our definitive proxy statement to be filed relating to our 2017 annual meeting of shareholders.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information required under this Item is incorporated by reference from our definitive proxy statement to be filed relating to our 2017 annual meeting of shareholders.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information required under this Item is incorporated by reference from our definitive proxy statement to be filed relating to our 2017 annual meeting of shareholders.</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52" w:lineRule="exact"/>
        <w:rPr>
          <w:sz w:val="20"/>
          <w:szCs w:val="20"/>
          <w:color w:val="auto"/>
        </w:rPr>
      </w:pPr>
    </w:p>
    <w:p>
      <w:pPr>
        <w:ind w:left="1100" w:hanging="1092"/>
        <w:spacing w:after="0"/>
        <w:tabs>
          <w:tab w:leader="none" w:pos="11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Statements and Financial Statements Schedules</w:t>
      </w:r>
    </w:p>
    <w:p>
      <w:pPr>
        <w:spacing w:after="0" w:line="252" w:lineRule="exact"/>
        <w:rPr>
          <w:rFonts w:ascii="Arial" w:cs="Arial" w:eastAsia="Arial" w:hAnsi="Arial"/>
          <w:sz w:val="18"/>
          <w:szCs w:val="18"/>
          <w:b w:val="1"/>
          <w:bCs w:val="1"/>
          <w:color w:val="auto"/>
        </w:rPr>
      </w:pPr>
    </w:p>
    <w:p>
      <w:pPr>
        <w:ind w:left="1620" w:right="3880" w:hanging="802"/>
        <w:spacing w:after="0" w:line="532" w:lineRule="auto"/>
        <w:tabs>
          <w:tab w:leader="none" w:pos="1065" w:val="left"/>
        </w:tabs>
        <w:numPr>
          <w:ilvl w:val="1"/>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The following financial statements of the Company are filed as a part of this Report: Report of Independent Registered Public Accounting Firm</w:t>
      </w:r>
    </w:p>
    <w:p>
      <w:pPr>
        <w:ind w:left="16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Consolidated Financial Statements</w:t>
      </w:r>
    </w:p>
    <w:p>
      <w:pPr>
        <w:spacing w:after="0" w:line="229" w:lineRule="exact"/>
        <w:rPr>
          <w:rFonts w:ascii="Arial" w:cs="Arial" w:eastAsia="Arial" w:hAnsi="Arial"/>
          <w:sz w:val="18"/>
          <w:szCs w:val="18"/>
          <w:b w:val="1"/>
          <w:bCs w:val="1"/>
          <w:color w:val="auto"/>
        </w:rPr>
      </w:pPr>
    </w:p>
    <w:p>
      <w:pPr>
        <w:ind w:left="2120"/>
        <w:spacing w:after="0"/>
        <w:rPr>
          <w:rFonts w:ascii="Arial" w:cs="Arial" w:eastAsia="Arial" w:hAnsi="Arial"/>
          <w:sz w:val="18"/>
          <w:szCs w:val="18"/>
          <w:b w:val="1"/>
          <w:bCs w:val="1"/>
          <w:color w:val="auto"/>
        </w:rPr>
      </w:pPr>
      <w:r>
        <w:rPr>
          <w:rFonts w:ascii="Arial" w:cs="Arial" w:eastAsia="Arial" w:hAnsi="Arial"/>
          <w:sz w:val="18"/>
          <w:szCs w:val="18"/>
          <w:color w:val="auto"/>
        </w:rPr>
        <w:t>Consolidated Balance Sheets as of December 31, 2016 and 2015</w:t>
      </w:r>
    </w:p>
    <w:p>
      <w:pPr>
        <w:spacing w:after="0" w:line="225" w:lineRule="exact"/>
        <w:rPr>
          <w:rFonts w:ascii="Arial" w:cs="Arial" w:eastAsia="Arial" w:hAnsi="Arial"/>
          <w:sz w:val="18"/>
          <w:szCs w:val="18"/>
          <w:b w:val="1"/>
          <w:bCs w:val="1"/>
          <w:color w:val="auto"/>
        </w:rPr>
      </w:pPr>
    </w:p>
    <w:p>
      <w:pPr>
        <w:ind w:left="2120" w:right="1260"/>
        <w:spacing w:after="0" w:line="528" w:lineRule="auto"/>
        <w:rPr>
          <w:rFonts w:ascii="Arial" w:cs="Arial" w:eastAsia="Arial" w:hAnsi="Arial"/>
          <w:sz w:val="18"/>
          <w:szCs w:val="18"/>
          <w:b w:val="1"/>
          <w:bCs w:val="1"/>
          <w:color w:val="auto"/>
        </w:rPr>
      </w:pPr>
      <w:r>
        <w:rPr>
          <w:rFonts w:ascii="Arial" w:cs="Arial" w:eastAsia="Arial" w:hAnsi="Arial"/>
          <w:sz w:val="17"/>
          <w:szCs w:val="17"/>
          <w:color w:val="auto"/>
        </w:rPr>
        <w:t>Consolidated Statements of Comprehensive Loss for the Years Ended December 31, 2016 and 2015 Consolidated Statements of Changes in Stockholders’ Equity for the Years Ended December 31, 2016 and 2015 Consolidated Statements of Cash Flows for the Years Ended December 31, 2016 and 2015</w:t>
      </w:r>
    </w:p>
    <w:p>
      <w:pPr>
        <w:spacing w:after="0" w:line="2" w:lineRule="exact"/>
        <w:rPr>
          <w:rFonts w:ascii="Arial" w:cs="Arial" w:eastAsia="Arial" w:hAnsi="Arial"/>
          <w:sz w:val="18"/>
          <w:szCs w:val="18"/>
          <w:b w:val="1"/>
          <w:bCs w:val="1"/>
          <w:color w:val="auto"/>
        </w:rPr>
      </w:pPr>
    </w:p>
    <w:p>
      <w:pPr>
        <w:ind w:left="16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Notes to Consolidated Financial Statements</w:t>
      </w:r>
    </w:p>
    <w:p>
      <w:pPr>
        <w:spacing w:after="0" w:line="225" w:lineRule="exact"/>
        <w:rPr>
          <w:rFonts w:ascii="Arial" w:cs="Arial" w:eastAsia="Arial" w:hAnsi="Arial"/>
          <w:sz w:val="18"/>
          <w:szCs w:val="18"/>
          <w:b w:val="1"/>
          <w:bCs w:val="1"/>
          <w:color w:val="auto"/>
        </w:rPr>
      </w:pPr>
    </w:p>
    <w:p>
      <w:pPr>
        <w:ind w:left="1080" w:hanging="262"/>
        <w:spacing w:after="0"/>
        <w:tabs>
          <w:tab w:leader="none" w:pos="1080" w:val="left"/>
        </w:tabs>
        <w:numPr>
          <w:ilvl w:val="1"/>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 Schedules:</w:t>
      </w:r>
    </w:p>
    <w:p>
      <w:pPr>
        <w:spacing w:after="0" w:line="229" w:lineRule="exact"/>
        <w:rPr>
          <w:sz w:val="20"/>
          <w:szCs w:val="20"/>
          <w:color w:val="auto"/>
        </w:rPr>
      </w:pPr>
    </w:p>
    <w:p>
      <w:pPr>
        <w:jc w:val="both"/>
        <w:ind w:firstLine="1621"/>
        <w:spacing w:after="0" w:line="264" w:lineRule="auto"/>
        <w:rPr>
          <w:sz w:val="20"/>
          <w:szCs w:val="20"/>
          <w:color w:val="auto"/>
        </w:rPr>
      </w:pPr>
      <w:r>
        <w:rPr>
          <w:rFonts w:ascii="Arial" w:cs="Arial" w:eastAsia="Arial" w:hAnsi="Arial"/>
          <w:sz w:val="18"/>
          <w:szCs w:val="18"/>
          <w:color w:val="auto"/>
        </w:rPr>
        <w:t>All schedules for which provision is made in the applicable account regulation of the Securities and Exchange Commission are either not required under the related instructions, are inapplicable or the required information is included elsewhere in the Consolidated Financial Statements and incorporated herein by reference.</w:t>
      </w:r>
    </w:p>
    <w:p>
      <w:pPr>
        <w:spacing w:after="0" w:line="204" w:lineRule="exact"/>
        <w:rPr>
          <w:sz w:val="20"/>
          <w:szCs w:val="20"/>
          <w:color w:val="auto"/>
        </w:rPr>
      </w:pPr>
    </w:p>
    <w:p>
      <w:pPr>
        <w:ind w:left="1100" w:hanging="1092"/>
        <w:spacing w:after="0"/>
        <w:tabs>
          <w:tab w:leader="none" w:pos="11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52"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The exhibits filed in response to Item 601 of Regulations S-K are listed in the Index to the Exhibits.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07"/>
        </w:trPr>
        <w:tc>
          <w:tcPr>
            <w:tcW w:w="10400" w:type="dxa"/>
            <w:vAlign w:val="bottom"/>
            <w:gridSpan w:val="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1020" w:type="dxa"/>
            <w:vAlign w:val="bottom"/>
          </w:tcPr>
          <w:p>
            <w:pPr>
              <w:spacing w:after="0"/>
              <w:rPr>
                <w:sz w:val="17"/>
                <w:szCs w:val="17"/>
                <w:color w:val="auto"/>
              </w:rPr>
            </w:pPr>
          </w:p>
        </w:tc>
      </w:tr>
      <w:tr>
        <w:trPr>
          <w:trHeight w:val="628"/>
        </w:trPr>
        <w:tc>
          <w:tcPr>
            <w:tcW w:w="180" w:type="dxa"/>
            <w:vAlign w:val="bottom"/>
            <w:tcBorders>
              <w:top w:val="single" w:sz="8" w:color="0000EE"/>
            </w:tcBorders>
          </w:tcPr>
          <w:p>
            <w:pPr>
              <w:spacing w:after="0"/>
              <w:rPr>
                <w:sz w:val="24"/>
                <w:szCs w:val="24"/>
                <w:color w:val="auto"/>
              </w:rPr>
            </w:pPr>
          </w:p>
        </w:tc>
        <w:tc>
          <w:tcPr>
            <w:tcW w:w="1100" w:type="dxa"/>
            <w:vAlign w:val="bottom"/>
            <w:tcBorders>
              <w:top w:val="single" w:sz="8" w:color="0000EE"/>
            </w:tcBorders>
          </w:tcPr>
          <w:p>
            <w:pPr>
              <w:spacing w:after="0"/>
              <w:rPr>
                <w:sz w:val="24"/>
                <w:szCs w:val="24"/>
                <w:color w:val="auto"/>
              </w:rPr>
            </w:pPr>
          </w:p>
        </w:tc>
        <w:tc>
          <w:tcPr>
            <w:tcW w:w="9120" w:type="dxa"/>
            <w:vAlign w:val="bottom"/>
            <w:gridSpan w:val="7"/>
          </w:tcPr>
          <w:p>
            <w:pPr>
              <w:ind w:left="900"/>
              <w:spacing w:after="0"/>
              <w:rPr>
                <w:sz w:val="20"/>
                <w:szCs w:val="20"/>
                <w:color w:val="auto"/>
              </w:rPr>
            </w:pPr>
            <w:r>
              <w:rPr>
                <w:rFonts w:ascii="Arial" w:cs="Arial" w:eastAsia="Arial" w:hAnsi="Arial"/>
                <w:sz w:val="18"/>
                <w:szCs w:val="18"/>
                <w:b w:val="1"/>
                <w:bCs w:val="1"/>
                <w:color w:val="auto"/>
              </w:rPr>
              <w:t>Index To Financial Statements and Financial Statement Schedules (Item 15(a)(1) of Part IV)</w:t>
            </w:r>
          </w:p>
        </w:tc>
        <w:tc>
          <w:tcPr>
            <w:tcW w:w="1020" w:type="dxa"/>
            <w:vAlign w:val="bottom"/>
          </w:tcPr>
          <w:p>
            <w:pPr>
              <w:spacing w:after="0"/>
              <w:rPr>
                <w:sz w:val="24"/>
                <w:szCs w:val="24"/>
                <w:color w:val="auto"/>
              </w:rPr>
            </w:pPr>
          </w:p>
        </w:tc>
      </w:tr>
      <w:tr>
        <w:trPr>
          <w:trHeight w:val="439"/>
        </w:trPr>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02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PAGE</w:t>
            </w:r>
          </w:p>
        </w:tc>
      </w:tr>
      <w:tr>
        <w:trPr>
          <w:trHeight w:val="392"/>
        </w:trPr>
        <w:tc>
          <w:tcPr>
            <w:tcW w:w="10400" w:type="dxa"/>
            <w:vAlign w:val="bottom"/>
            <w:gridSpan w:val="9"/>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Report of Independent Registered Public Accounting Firm</w:t>
              </w:r>
            </w:hyperlink>
          </w:p>
        </w:tc>
        <w:tc>
          <w:tcPr>
            <w:tcW w:w="1020" w:type="dxa"/>
            <w:vAlign w:val="bottom"/>
          </w:tcPr>
          <w:p>
            <w:pPr>
              <w:ind w:left="660"/>
              <w:spacing w:after="0"/>
              <w:rPr>
                <w:sz w:val="20"/>
                <w:szCs w:val="20"/>
                <w:color w:val="auto"/>
              </w:rPr>
            </w:pPr>
            <w:r>
              <w:rPr>
                <w:rFonts w:ascii="Arial" w:cs="Arial" w:eastAsia="Arial" w:hAnsi="Arial"/>
                <w:sz w:val="18"/>
                <w:szCs w:val="18"/>
                <w:color w:val="auto"/>
                <w:w w:val="91"/>
              </w:rPr>
              <w:t>F - 1</w:t>
            </w:r>
          </w:p>
        </w:tc>
      </w:tr>
      <w:tr>
        <w:trPr>
          <w:trHeight w:val="222"/>
        </w:trPr>
        <w:tc>
          <w:tcPr>
            <w:tcW w:w="4220" w:type="dxa"/>
            <w:vAlign w:val="bottom"/>
            <w:tcBorders>
              <w:top w:val="single" w:sz="8" w:color="0000EE"/>
            </w:tcBorders>
            <w:gridSpan w:val="4"/>
          </w:tcPr>
          <w:p>
            <w:pPr>
              <w:spacing w:after="0"/>
              <w:rPr>
                <w:sz w:val="20"/>
                <w:szCs w:val="20"/>
                <w:color w:val="auto"/>
              </w:rPr>
            </w:pPr>
            <w:r>
              <w:rPr>
                <w:rFonts w:ascii="Arial" w:cs="Arial" w:eastAsia="Arial" w:hAnsi="Arial"/>
                <w:sz w:val="18"/>
                <w:szCs w:val="18"/>
                <w:color w:val="auto"/>
              </w:rPr>
              <w:t>Financial Statements:</w:t>
            </w:r>
          </w:p>
        </w:tc>
        <w:tc>
          <w:tcPr>
            <w:tcW w:w="6180" w:type="dxa"/>
            <w:vAlign w:val="bottom"/>
            <w:gridSpan w:val="5"/>
          </w:tcPr>
          <w:p>
            <w:pPr>
              <w:spacing w:after="0"/>
              <w:rPr>
                <w:sz w:val="19"/>
                <w:szCs w:val="19"/>
                <w:color w:val="auto"/>
              </w:rPr>
            </w:pPr>
          </w:p>
        </w:tc>
        <w:tc>
          <w:tcPr>
            <w:tcW w:w="1020" w:type="dxa"/>
            <w:vAlign w:val="bottom"/>
          </w:tcPr>
          <w:p>
            <w:pPr>
              <w:spacing w:after="0"/>
              <w:rPr>
                <w:sz w:val="19"/>
                <w:szCs w:val="19"/>
                <w:color w:val="auto"/>
              </w:rPr>
            </w:pPr>
          </w:p>
        </w:tc>
      </w:tr>
      <w:tr>
        <w:trPr>
          <w:trHeight w:val="190"/>
        </w:trPr>
        <w:tc>
          <w:tcPr>
            <w:tcW w:w="180" w:type="dxa"/>
            <w:vAlign w:val="bottom"/>
          </w:tcPr>
          <w:p>
            <w:pPr>
              <w:spacing w:after="0"/>
              <w:rPr>
                <w:sz w:val="16"/>
                <w:szCs w:val="16"/>
                <w:color w:val="auto"/>
              </w:rPr>
            </w:pPr>
          </w:p>
        </w:tc>
        <w:tc>
          <w:tcPr>
            <w:tcW w:w="4640" w:type="dxa"/>
            <w:vAlign w:val="bottom"/>
            <w:tcBorders>
              <w:bottom w:val="single" w:sz="8" w:color="0000EE"/>
            </w:tcBorders>
            <w:gridSpan w:val="4"/>
          </w:tcPr>
          <w:p>
            <w:pPr>
              <w:spacing w:after="0" w:line="190" w:lineRule="exact"/>
              <w:rPr>
                <w:rFonts w:ascii="Arial" w:cs="Arial" w:eastAsia="Arial" w:hAnsi="Arial"/>
                <w:sz w:val="18"/>
                <w:szCs w:val="18"/>
                <w:color w:val="0000EE"/>
                <w:w w:val="88"/>
              </w:rPr>
            </w:pPr>
            <w:hyperlink w:anchor="page28">
              <w:r>
                <w:rPr>
                  <w:rFonts w:ascii="Arial" w:cs="Arial" w:eastAsia="Arial" w:hAnsi="Arial"/>
                  <w:sz w:val="18"/>
                  <w:szCs w:val="18"/>
                  <w:color w:val="0000EE"/>
                  <w:w w:val="88"/>
                </w:rPr>
                <w:t>Consolidated Balance Sheets as of December 31, 2016 and 2015</w:t>
              </w:r>
            </w:hyperlink>
          </w:p>
        </w:tc>
        <w:tc>
          <w:tcPr>
            <w:tcW w:w="5580" w:type="dxa"/>
            <w:vAlign w:val="bottom"/>
            <w:gridSpan w:val="4"/>
          </w:tcPr>
          <w:p>
            <w:pPr>
              <w:spacing w:after="0"/>
              <w:rPr>
                <w:sz w:val="16"/>
                <w:szCs w:val="16"/>
                <w:color w:val="auto"/>
              </w:rPr>
            </w:pPr>
          </w:p>
        </w:tc>
        <w:tc>
          <w:tcPr>
            <w:tcW w:w="1020" w:type="dxa"/>
            <w:vAlign w:val="bottom"/>
          </w:tcPr>
          <w:p>
            <w:pPr>
              <w:ind w:left="660"/>
              <w:spacing w:after="0" w:line="190" w:lineRule="exact"/>
              <w:rPr>
                <w:sz w:val="20"/>
                <w:szCs w:val="20"/>
                <w:color w:val="auto"/>
              </w:rPr>
            </w:pPr>
            <w:r>
              <w:rPr>
                <w:rFonts w:ascii="Arial" w:cs="Arial" w:eastAsia="Arial" w:hAnsi="Arial"/>
                <w:sz w:val="18"/>
                <w:szCs w:val="18"/>
                <w:color w:val="auto"/>
                <w:w w:val="91"/>
              </w:rPr>
              <w:t>F - 3</w:t>
            </w:r>
          </w:p>
        </w:tc>
      </w:tr>
      <w:tr>
        <w:trPr>
          <w:trHeight w:val="196"/>
        </w:trPr>
        <w:tc>
          <w:tcPr>
            <w:tcW w:w="180" w:type="dxa"/>
            <w:vAlign w:val="bottom"/>
          </w:tcPr>
          <w:p>
            <w:pPr>
              <w:spacing w:after="0"/>
              <w:rPr>
                <w:sz w:val="17"/>
                <w:szCs w:val="17"/>
                <w:color w:val="auto"/>
              </w:rPr>
            </w:pPr>
          </w:p>
        </w:tc>
        <w:tc>
          <w:tcPr>
            <w:tcW w:w="718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29">
              <w:r>
                <w:rPr>
                  <w:rFonts w:ascii="Arial" w:cs="Arial" w:eastAsia="Arial" w:hAnsi="Arial"/>
                  <w:sz w:val="18"/>
                  <w:szCs w:val="18"/>
                  <w:color w:val="0000EE"/>
                  <w:w w:val="89"/>
                </w:rPr>
                <w:t>Consolidated Statements of Comprehensive Loss for the Years Ended December 31, 2016 and 2015</w:t>
              </w:r>
            </w:hyperlink>
          </w:p>
        </w:tc>
        <w:tc>
          <w:tcPr>
            <w:tcW w:w="3040" w:type="dxa"/>
            <w:vAlign w:val="bottom"/>
            <w:gridSpan w:val="2"/>
          </w:tcPr>
          <w:p>
            <w:pPr>
              <w:spacing w:after="0"/>
              <w:rPr>
                <w:sz w:val="17"/>
                <w:szCs w:val="17"/>
                <w:color w:val="auto"/>
              </w:rPr>
            </w:pPr>
          </w:p>
        </w:tc>
        <w:tc>
          <w:tcPr>
            <w:tcW w:w="1020" w:type="dxa"/>
            <w:vAlign w:val="bottom"/>
          </w:tcPr>
          <w:p>
            <w:pPr>
              <w:ind w:left="660"/>
              <w:spacing w:after="0" w:line="196" w:lineRule="exact"/>
              <w:rPr>
                <w:sz w:val="20"/>
                <w:szCs w:val="20"/>
                <w:color w:val="auto"/>
              </w:rPr>
            </w:pPr>
            <w:r>
              <w:rPr>
                <w:rFonts w:ascii="Arial" w:cs="Arial" w:eastAsia="Arial" w:hAnsi="Arial"/>
                <w:sz w:val="18"/>
                <w:szCs w:val="18"/>
                <w:color w:val="auto"/>
                <w:w w:val="91"/>
              </w:rPr>
              <w:t>F - 4</w:t>
            </w:r>
          </w:p>
        </w:tc>
      </w:tr>
      <w:tr>
        <w:trPr>
          <w:trHeight w:val="196"/>
        </w:trPr>
        <w:tc>
          <w:tcPr>
            <w:tcW w:w="180" w:type="dxa"/>
            <w:vAlign w:val="bottom"/>
          </w:tcPr>
          <w:p>
            <w:pPr>
              <w:spacing w:after="0"/>
              <w:rPr>
                <w:sz w:val="17"/>
                <w:szCs w:val="17"/>
                <w:color w:val="auto"/>
              </w:rPr>
            </w:pPr>
          </w:p>
        </w:tc>
        <w:tc>
          <w:tcPr>
            <w:tcW w:w="808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30">
              <w:r>
                <w:rPr>
                  <w:rFonts w:ascii="Arial" w:cs="Arial" w:eastAsia="Arial" w:hAnsi="Arial"/>
                  <w:sz w:val="18"/>
                  <w:szCs w:val="18"/>
                  <w:color w:val="0000EE"/>
                  <w:w w:val="90"/>
                </w:rPr>
                <w:t>Consolidated Statements of Changes in Stockholders’ Equity for the Years Ended December 31, 2016 and 2015</w:t>
              </w:r>
            </w:hyperlink>
          </w:p>
        </w:tc>
        <w:tc>
          <w:tcPr>
            <w:tcW w:w="2140" w:type="dxa"/>
            <w:vAlign w:val="bottom"/>
          </w:tcPr>
          <w:p>
            <w:pPr>
              <w:spacing w:after="0"/>
              <w:rPr>
                <w:sz w:val="17"/>
                <w:szCs w:val="17"/>
                <w:color w:val="auto"/>
              </w:rPr>
            </w:pPr>
          </w:p>
        </w:tc>
        <w:tc>
          <w:tcPr>
            <w:tcW w:w="1020" w:type="dxa"/>
            <w:vAlign w:val="bottom"/>
          </w:tcPr>
          <w:p>
            <w:pPr>
              <w:ind w:left="660"/>
              <w:spacing w:after="0" w:line="196" w:lineRule="exact"/>
              <w:rPr>
                <w:sz w:val="20"/>
                <w:szCs w:val="20"/>
                <w:color w:val="auto"/>
              </w:rPr>
            </w:pPr>
            <w:r>
              <w:rPr>
                <w:rFonts w:ascii="Arial" w:cs="Arial" w:eastAsia="Arial" w:hAnsi="Arial"/>
                <w:sz w:val="18"/>
                <w:szCs w:val="18"/>
                <w:color w:val="auto"/>
                <w:w w:val="91"/>
              </w:rPr>
              <w:t>F - 5</w:t>
            </w:r>
          </w:p>
        </w:tc>
      </w:tr>
      <w:tr>
        <w:trPr>
          <w:trHeight w:val="196"/>
        </w:trPr>
        <w:tc>
          <w:tcPr>
            <w:tcW w:w="180" w:type="dxa"/>
            <w:vAlign w:val="bottom"/>
          </w:tcPr>
          <w:p>
            <w:pPr>
              <w:spacing w:after="0"/>
              <w:rPr>
                <w:sz w:val="17"/>
                <w:szCs w:val="17"/>
                <w:color w:val="auto"/>
              </w:rPr>
            </w:pPr>
          </w:p>
        </w:tc>
        <w:tc>
          <w:tcPr>
            <w:tcW w:w="10220" w:type="dxa"/>
            <w:vAlign w:val="bottom"/>
            <w:gridSpan w:val="8"/>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Consolidated Statements of Cash Flows for the Years Ended December 31, 2016 and 2015</w:t>
              </w:r>
            </w:hyperlink>
          </w:p>
        </w:tc>
        <w:tc>
          <w:tcPr>
            <w:tcW w:w="1020" w:type="dxa"/>
            <w:vAlign w:val="bottom"/>
          </w:tcPr>
          <w:p>
            <w:pPr>
              <w:ind w:left="660"/>
              <w:spacing w:after="0" w:line="196" w:lineRule="exact"/>
              <w:rPr>
                <w:sz w:val="20"/>
                <w:szCs w:val="20"/>
                <w:color w:val="auto"/>
              </w:rPr>
            </w:pPr>
            <w:r>
              <w:rPr>
                <w:rFonts w:ascii="Arial" w:cs="Arial" w:eastAsia="Arial" w:hAnsi="Arial"/>
                <w:sz w:val="18"/>
                <w:szCs w:val="18"/>
                <w:color w:val="auto"/>
                <w:w w:val="91"/>
              </w:rPr>
              <w:t>F - 6</w:t>
            </w:r>
          </w:p>
        </w:tc>
      </w:tr>
      <w:tr>
        <w:trPr>
          <w:trHeight w:val="196"/>
        </w:trPr>
        <w:tc>
          <w:tcPr>
            <w:tcW w:w="180" w:type="dxa"/>
            <w:vAlign w:val="bottom"/>
          </w:tcPr>
          <w:p>
            <w:pPr>
              <w:spacing w:after="0"/>
              <w:rPr>
                <w:sz w:val="17"/>
                <w:szCs w:val="17"/>
                <w:color w:val="auto"/>
              </w:rPr>
            </w:pPr>
          </w:p>
        </w:tc>
        <w:tc>
          <w:tcPr>
            <w:tcW w:w="65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Notes to the Consolidated Financial Statements</w:t>
              </w:r>
            </w:hyperlink>
          </w:p>
        </w:tc>
        <w:tc>
          <w:tcPr>
            <w:tcW w:w="3720" w:type="dxa"/>
            <w:vAlign w:val="bottom"/>
            <w:gridSpan w:val="3"/>
          </w:tcPr>
          <w:p>
            <w:pPr>
              <w:spacing w:after="0"/>
              <w:rPr>
                <w:sz w:val="17"/>
                <w:szCs w:val="17"/>
                <w:color w:val="auto"/>
              </w:rPr>
            </w:pPr>
          </w:p>
        </w:tc>
        <w:tc>
          <w:tcPr>
            <w:tcW w:w="1020" w:type="dxa"/>
            <w:vAlign w:val="bottom"/>
          </w:tcPr>
          <w:p>
            <w:pPr>
              <w:ind w:left="660"/>
              <w:spacing w:after="0" w:line="196" w:lineRule="exact"/>
              <w:rPr>
                <w:sz w:val="20"/>
                <w:szCs w:val="20"/>
                <w:color w:val="auto"/>
              </w:rPr>
            </w:pPr>
            <w:r>
              <w:rPr>
                <w:rFonts w:ascii="Arial" w:cs="Arial" w:eastAsia="Arial" w:hAnsi="Arial"/>
                <w:sz w:val="18"/>
                <w:szCs w:val="18"/>
                <w:color w:val="auto"/>
                <w:w w:val="91"/>
              </w:rPr>
              <w:t>F - 7</w:t>
            </w:r>
          </w:p>
        </w:tc>
      </w:tr>
      <w:tr>
        <w:trPr>
          <w:trHeight w:val="20"/>
        </w:trPr>
        <w:tc>
          <w:tcPr>
            <w:tcW w:w="18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Audit Committee of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Shareholders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Asure Software, Inc.</w:t>
      </w:r>
    </w:p>
    <w:p>
      <w:pPr>
        <w:spacing w:after="0" w:line="2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audited the accompanying consolidated balance sheet of Asure Software, Inc. (the “Company”) as of December 31, 2016, and the related consolidated statements of comprehensive loss, changes in stockholders’ equity and cash flows for the year then ended. These financial statements are the responsibility of the Company’s management. Our responsibility is to express an opinion on these financial statements based on our audit.</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2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Asure Software, Inc., as of December 31, 2016, and the consolidated results of its operations and its cash flows for the year then ended in conformity with accounting principles generally accepted in the United States of America.</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Marcum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Irvine,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20, 2017</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 of Asure Software, Inc.</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audited the accompanying consolidated balance sheet of Asure Software, Inc. as of December 31, 2015, and the related consolidated statements of comprehensive loss, changes in stockholders’ equity, and cash flows for each of the year then ended. These financial statements are the responsibility of the Company’s management. Our responsibility is to express an opinion on these financial statements based on our audit.</w:t>
      </w:r>
    </w:p>
    <w:p>
      <w:pPr>
        <w:spacing w:after="0" w:line="16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 provides a reasonable basis for our opinion.</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Asure Software, Inc. at December 31, 2015, and the consolidated results of its operations and its cash flows for the year then ended, in conformity with U.S. generally accepted accounting principles.</w:t>
      </w:r>
    </w:p>
    <w:p>
      <w:pPr>
        <w:spacing w:after="0" w:line="397"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/s/ Ernst &amp; Young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30, 2016</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07"/>
        </w:trPr>
        <w:tc>
          <w:tcPr>
            <w:tcW w:w="8360" w:type="dxa"/>
            <w:vAlign w:val="bottom"/>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0"/>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7080" w:type="dxa"/>
            <w:vAlign w:val="bottom"/>
          </w:tcPr>
          <w:p>
            <w:pPr>
              <w:jc w:val="center"/>
              <w:ind w:left="1690"/>
              <w:spacing w:after="0"/>
              <w:rPr>
                <w:sz w:val="20"/>
                <w:szCs w:val="20"/>
                <w:color w:val="auto"/>
              </w:rPr>
            </w:pPr>
            <w:r>
              <w:rPr>
                <w:rFonts w:ascii="Arial" w:cs="Arial" w:eastAsia="Arial" w:hAnsi="Arial"/>
                <w:sz w:val="18"/>
                <w:szCs w:val="18"/>
                <w:b w:val="1"/>
                <w:bCs w:val="1"/>
                <w:color w:val="auto"/>
                <w:w w:val="98"/>
              </w:rPr>
              <w:t>ASURE SOFTWARE, INC.</w:t>
            </w: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080" w:type="dxa"/>
            <w:vAlign w:val="bottom"/>
          </w:tcPr>
          <w:p>
            <w:pPr>
              <w:jc w:val="center"/>
              <w:ind w:left="1710"/>
              <w:spacing w:after="0"/>
              <w:rPr>
                <w:sz w:val="20"/>
                <w:szCs w:val="20"/>
                <w:color w:val="auto"/>
              </w:rPr>
            </w:pPr>
            <w:r>
              <w:rPr>
                <w:rFonts w:ascii="Arial" w:cs="Arial" w:eastAsia="Arial" w:hAnsi="Arial"/>
                <w:sz w:val="18"/>
                <w:szCs w:val="18"/>
                <w:b w:val="1"/>
                <w:bCs w:val="1"/>
                <w:color w:val="auto"/>
                <w:w w:val="99"/>
              </w:rPr>
              <w:t>CONSOLIDATED BALANCE SHEETS</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080" w:type="dxa"/>
            <w:vAlign w:val="bottom"/>
          </w:tcPr>
          <w:p>
            <w:pPr>
              <w:jc w:val="center"/>
              <w:ind w:left="1690"/>
              <w:spacing w:after="0"/>
              <w:rPr>
                <w:sz w:val="20"/>
                <w:szCs w:val="20"/>
                <w:color w:val="auto"/>
              </w:rPr>
            </w:pPr>
            <w:r>
              <w:rPr>
                <w:rFonts w:ascii="Arial" w:cs="Arial" w:eastAsia="Arial" w:hAnsi="Arial"/>
                <w:sz w:val="18"/>
                <w:szCs w:val="18"/>
                <w:color w:val="auto"/>
                <w:w w:val="91"/>
              </w:rPr>
              <w:t>(Amounts in thousands)</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0"/>
              </w:rPr>
              <w:t>December 31,</w:t>
            </w:r>
          </w:p>
        </w:tc>
        <w:tc>
          <w:tcPr>
            <w:tcW w:w="120" w:type="dxa"/>
            <w:vAlign w:val="bottom"/>
          </w:tcPr>
          <w:p>
            <w:pPr>
              <w:spacing w:after="0"/>
              <w:rPr>
                <w:sz w:val="24"/>
                <w:szCs w:val="24"/>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0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360" w:type="dxa"/>
            <w:vAlign w:val="bottom"/>
            <w:gridSpan w:val="3"/>
          </w:tcPr>
          <w:p>
            <w:pPr>
              <w:spacing w:after="0" w:line="201" w:lineRule="exact"/>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6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40" w:type="dxa"/>
            <w:vAlign w:val="bottom"/>
            <w:gridSpan w:val="2"/>
          </w:tcPr>
          <w:p>
            <w:pPr>
              <w:ind w:left="640"/>
              <w:spacing w:after="0" w:line="201" w:lineRule="exact"/>
              <w:rPr>
                <w:sz w:val="20"/>
                <w:szCs w:val="20"/>
                <w:color w:val="auto"/>
              </w:rPr>
            </w:pPr>
            <w:r>
              <w:rPr>
                <w:rFonts w:ascii="Arial" w:cs="Arial" w:eastAsia="Arial" w:hAnsi="Arial"/>
                <w:sz w:val="18"/>
                <w:szCs w:val="18"/>
                <w:color w:val="auto"/>
                <w:w w:val="92"/>
              </w:rPr>
              <w:t>Accounts and note receivable, net of allowance for doubtful accounts of $338 and $145 at December 31,</w:t>
            </w: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40" w:type="dxa"/>
            <w:vAlign w:val="bottom"/>
            <w:gridSpan w:val="2"/>
          </w:tcPr>
          <w:p>
            <w:pPr>
              <w:ind w:left="640"/>
              <w:spacing w:after="0"/>
              <w:rPr>
                <w:sz w:val="20"/>
                <w:szCs w:val="20"/>
                <w:color w:val="auto"/>
              </w:rPr>
            </w:pPr>
            <w:r>
              <w:rPr>
                <w:rFonts w:ascii="Arial" w:cs="Arial" w:eastAsia="Arial" w:hAnsi="Arial"/>
                <w:sz w:val="18"/>
                <w:szCs w:val="18"/>
                <w:color w:val="auto"/>
              </w:rPr>
              <w:t>2016 and December 31, 2015, respectively</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8,108</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Inventory</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gridSpan w:val="2"/>
          </w:tcPr>
          <w:p>
            <w:pPr>
              <w:ind w:left="64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1,256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rPr>
              <w:t>Total current assets before funds held for clients</w:t>
            </w:r>
          </w:p>
        </w:tc>
        <w:tc>
          <w:tcPr>
            <w:tcW w:w="1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22,618</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gridSpan w:val="2"/>
          </w:tcPr>
          <w:p>
            <w:pPr>
              <w:ind w:left="640"/>
              <w:spacing w:after="0"/>
              <w:rPr>
                <w:sz w:val="20"/>
                <w:szCs w:val="20"/>
                <w:color w:val="auto"/>
              </w:rPr>
            </w:pPr>
            <w:r>
              <w:rPr>
                <w:rFonts w:ascii="Arial" w:cs="Arial" w:eastAsia="Arial" w:hAnsi="Arial"/>
                <w:sz w:val="18"/>
                <w:szCs w:val="18"/>
                <w:color w:val="auto"/>
              </w:rPr>
              <w:t>Funds held for clients</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22,981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rPr>
              <w:t>Total current assets</w:t>
            </w:r>
          </w:p>
        </w:tc>
        <w:tc>
          <w:tcPr>
            <w:tcW w:w="1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45,599</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1,878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26,259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Intangible assets, net</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12,048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6,026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85,823</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33,817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Current portion of notes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ind w:left="64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1,576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Accrued compensation and benefits</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ind w:left="640"/>
              <w:spacing w:after="0"/>
              <w:rPr>
                <w:sz w:val="20"/>
                <w:szCs w:val="20"/>
                <w:color w:val="auto"/>
              </w:rPr>
            </w:pPr>
            <w:r>
              <w:rPr>
                <w:rFonts w:ascii="Arial" w:cs="Arial" w:eastAsia="Arial" w:hAnsi="Arial"/>
                <w:sz w:val="18"/>
                <w:szCs w:val="18"/>
                <w:color w:val="auto"/>
              </w:rPr>
              <w:t>Other accrued liabilities</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936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Deferred revenue</w:t>
            </w: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9,252</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ind w:left="240"/>
              <w:spacing w:after="0"/>
              <w:rPr>
                <w:sz w:val="20"/>
                <w:szCs w:val="20"/>
                <w:color w:val="auto"/>
              </w:rPr>
            </w:pPr>
            <w:r>
              <w:rPr>
                <w:rFonts w:ascii="Arial" w:cs="Arial" w:eastAsia="Arial" w:hAnsi="Arial"/>
                <w:sz w:val="18"/>
                <w:szCs w:val="18"/>
                <w:b w:val="1"/>
                <w:bCs w:val="1"/>
                <w:color w:val="auto"/>
              </w:rPr>
              <w:t>Total current liabilities before client fund obligations</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18,411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15,932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Client fund obligations</w:t>
            </w: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22,981</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gridSpan w:val="2"/>
          </w:tcPr>
          <w:p>
            <w:pPr>
              <w:ind w:left="320"/>
              <w:spacing w:after="0"/>
              <w:rPr>
                <w:sz w:val="20"/>
                <w:szCs w:val="20"/>
                <w:color w:val="auto"/>
              </w:rPr>
            </w:pPr>
            <w:r>
              <w:rPr>
                <w:rFonts w:ascii="Arial" w:cs="Arial" w:eastAsia="Arial" w:hAnsi="Arial"/>
                <w:sz w:val="18"/>
                <w:szCs w:val="18"/>
                <w:b w:val="1"/>
                <w:bCs w:val="1"/>
                <w:color w:val="auto"/>
              </w:rPr>
              <w:t>Total current liabilities</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41,392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15,932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1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ind w:left="640"/>
              <w:spacing w:after="0"/>
              <w:rPr>
                <w:sz w:val="20"/>
                <w:szCs w:val="20"/>
                <w:color w:val="auto"/>
              </w:rPr>
            </w:pPr>
            <w:r>
              <w:rPr>
                <w:rFonts w:ascii="Arial" w:cs="Arial" w:eastAsia="Arial" w:hAnsi="Arial"/>
                <w:sz w:val="18"/>
                <w:szCs w:val="18"/>
                <w:color w:val="auto"/>
              </w:rPr>
              <w:t>Deferred revenue</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769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Notes payable, net of current portion and debt issuance cost</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24,581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gridSpan w:val="2"/>
          </w:tcPr>
          <w:p>
            <w:pPr>
              <w:ind w:left="640"/>
              <w:spacing w:after="0"/>
              <w:rPr>
                <w:sz w:val="20"/>
                <w:szCs w:val="20"/>
                <w:color w:val="auto"/>
              </w:rPr>
            </w:pPr>
            <w:r>
              <w:rPr>
                <w:rFonts w:ascii="Arial" w:cs="Arial" w:eastAsia="Arial" w:hAnsi="Arial"/>
                <w:sz w:val="18"/>
                <w:szCs w:val="18"/>
                <w:color w:val="auto"/>
              </w:rPr>
              <w:t>Other liabilities</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835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958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rPr>
              <w:t>Total long-term liabilities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26,185</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14,167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67,577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30,099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Commitments (Note 13)</w:t>
            </w:r>
          </w:p>
        </w:tc>
        <w:tc>
          <w:tcPr>
            <w:tcW w:w="1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Preferred stock, $.01 par value; 1,500 shares authorized; none issued or outstanding</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40" w:type="dxa"/>
            <w:vAlign w:val="bottom"/>
            <w:gridSpan w:val="2"/>
          </w:tcPr>
          <w:p>
            <w:pPr>
              <w:ind w:left="640"/>
              <w:spacing w:after="0" w:line="201" w:lineRule="exact"/>
              <w:rPr>
                <w:sz w:val="20"/>
                <w:szCs w:val="20"/>
                <w:color w:val="auto"/>
              </w:rPr>
            </w:pPr>
            <w:r>
              <w:rPr>
                <w:rFonts w:ascii="Arial" w:cs="Arial" w:eastAsia="Arial" w:hAnsi="Arial"/>
                <w:sz w:val="18"/>
                <w:szCs w:val="18"/>
                <w:color w:val="auto"/>
                <w:w w:val="95"/>
              </w:rPr>
              <w:t>Common stock, $.01 par value; 11,000 shares authorized; 8,901 and 6,674 shares issued, 8,517 and</w:t>
            </w: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40" w:type="dxa"/>
            <w:vAlign w:val="bottom"/>
            <w:gridSpan w:val="2"/>
          </w:tcPr>
          <w:p>
            <w:pPr>
              <w:ind w:left="640"/>
              <w:spacing w:after="0"/>
              <w:rPr>
                <w:sz w:val="20"/>
                <w:szCs w:val="20"/>
                <w:color w:val="auto"/>
              </w:rPr>
            </w:pPr>
            <w:r>
              <w:rPr>
                <w:rFonts w:ascii="Arial" w:cs="Arial" w:eastAsia="Arial" w:hAnsi="Arial"/>
                <w:sz w:val="18"/>
                <w:szCs w:val="18"/>
                <w:color w:val="auto"/>
              </w:rPr>
              <w:t>6,290 shares outstanding at December 31, 2016 and December 31, 2015, respectively</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89</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Treasury stock at cost, 384 shares at December 31, 2016 and December 31, 2015</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(5,017)</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ind w:left="64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295,044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279,649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(271,875)</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(270,903)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gridSpan w:val="2"/>
          </w:tcPr>
          <w:p>
            <w:pPr>
              <w:ind w:left="640"/>
              <w:spacing w:after="0"/>
              <w:rPr>
                <w:sz w:val="20"/>
                <w:szCs w:val="20"/>
                <w:color w:val="auto"/>
              </w:rPr>
            </w:pPr>
            <w:r>
              <w:rPr>
                <w:rFonts w:ascii="Arial" w:cs="Arial" w:eastAsia="Arial" w:hAnsi="Arial"/>
                <w:sz w:val="18"/>
                <w:szCs w:val="18"/>
                <w:color w:val="auto"/>
              </w:rPr>
              <w:t>Accumulated other comprehensive income (loss)</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rPr>
              <w:t>Total stockholders’ equity</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18,246</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3,718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ind w:left="320"/>
              <w:spacing w:after="0"/>
              <w:rPr>
                <w:sz w:val="20"/>
                <w:szCs w:val="20"/>
                <w:color w:val="auto"/>
              </w:rPr>
            </w:pPr>
            <w:r>
              <w:rPr>
                <w:rFonts w:ascii="Arial" w:cs="Arial" w:eastAsia="Arial" w:hAnsi="Arial"/>
                <w:sz w:val="18"/>
                <w:szCs w:val="18"/>
                <w:b w:val="1"/>
                <w:bCs w:val="1"/>
                <w:color w:val="auto"/>
              </w:rPr>
              <w:t>Total liabilities and stockholders’ equity</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85,823</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33,817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07"/>
        </w:trPr>
        <w:tc>
          <w:tcPr>
            <w:tcW w:w="8360" w:type="dxa"/>
            <w:vAlign w:val="bottom"/>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0"/>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7080" w:type="dxa"/>
            <w:vAlign w:val="bottom"/>
          </w:tcPr>
          <w:p>
            <w:pPr>
              <w:jc w:val="center"/>
              <w:ind w:left="1690"/>
              <w:spacing w:after="0"/>
              <w:rPr>
                <w:sz w:val="20"/>
                <w:szCs w:val="20"/>
                <w:color w:val="auto"/>
              </w:rPr>
            </w:pPr>
            <w:r>
              <w:rPr>
                <w:rFonts w:ascii="Arial" w:cs="Arial" w:eastAsia="Arial" w:hAnsi="Arial"/>
                <w:sz w:val="18"/>
                <w:szCs w:val="18"/>
                <w:b w:val="1"/>
                <w:bCs w:val="1"/>
                <w:color w:val="auto"/>
                <w:w w:val="98"/>
              </w:rPr>
              <w:t>ASURE SOFTWARE, INC.</w:t>
            </w: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080" w:type="dxa"/>
            <w:vAlign w:val="bottom"/>
          </w:tcPr>
          <w:p>
            <w:pPr>
              <w:jc w:val="center"/>
              <w:ind w:left="1690"/>
              <w:spacing w:after="0"/>
              <w:rPr>
                <w:sz w:val="20"/>
                <w:szCs w:val="20"/>
                <w:color w:val="auto"/>
              </w:rPr>
            </w:pPr>
            <w:r>
              <w:rPr>
                <w:rFonts w:ascii="Arial" w:cs="Arial" w:eastAsia="Arial" w:hAnsi="Arial"/>
                <w:sz w:val="18"/>
                <w:szCs w:val="18"/>
                <w:b w:val="1"/>
                <w:bCs w:val="1"/>
                <w:color w:val="auto"/>
                <w:w w:val="99"/>
              </w:rPr>
              <w:t>CONSOLIDATED STATEMENTS OF COMPREHENSIVE LOSS</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080" w:type="dxa"/>
            <w:vAlign w:val="bottom"/>
          </w:tcPr>
          <w:p>
            <w:pPr>
              <w:jc w:val="center"/>
              <w:ind w:left="1690"/>
              <w:spacing w:after="0"/>
              <w:rPr>
                <w:sz w:val="20"/>
                <w:szCs w:val="20"/>
                <w:color w:val="auto"/>
              </w:rPr>
            </w:pPr>
            <w:r>
              <w:rPr>
                <w:rFonts w:ascii="Arial" w:cs="Arial" w:eastAsia="Arial" w:hAnsi="Arial"/>
                <w:sz w:val="18"/>
                <w:szCs w:val="18"/>
                <w:color w:val="auto"/>
                <w:w w:val="88"/>
              </w:rPr>
              <w:t>(Amounts in thousands, except share and per share data)</w:t>
            </w: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gridSpan w:val="3"/>
          </w:tcPr>
          <w:p>
            <w:pPr>
              <w:jc w:val="center"/>
              <w:ind w:left="690"/>
              <w:spacing w:after="0"/>
              <w:rPr>
                <w:sz w:val="20"/>
                <w:szCs w:val="20"/>
                <w:color w:val="auto"/>
              </w:rPr>
            </w:pPr>
            <w:r>
              <w:rPr>
                <w:rFonts w:ascii="Arial" w:cs="Arial" w:eastAsia="Arial" w:hAnsi="Arial"/>
                <w:sz w:val="18"/>
                <w:szCs w:val="18"/>
                <w:b w:val="1"/>
                <w:bCs w:val="1"/>
                <w:color w:val="auto"/>
              </w:rPr>
              <w:t>FOR THE</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6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rPr>
              <w:t>TWELVE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6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7"/>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0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60" w:type="dxa"/>
            <w:vAlign w:val="bottom"/>
            <w:gridSpan w:val="3"/>
          </w:tcPr>
          <w:p>
            <w:pPr>
              <w:spacing w:after="0"/>
              <w:rPr>
                <w:sz w:val="20"/>
                <w:szCs w:val="20"/>
                <w:color w:val="auto"/>
              </w:rPr>
            </w:pPr>
            <w:r>
              <w:rPr>
                <w:rFonts w:ascii="Arial" w:cs="Arial" w:eastAsia="Arial" w:hAnsi="Arial"/>
                <w:sz w:val="18"/>
                <w:szCs w:val="18"/>
                <w:b w:val="1"/>
                <w:bCs w:val="1"/>
                <w:color w:val="auto"/>
              </w:rPr>
              <w:t>Revenues:</w:t>
            </w: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Borders>
              <w:right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Cloud revenue</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20,606</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ind w:left="640"/>
              <w:spacing w:after="0"/>
              <w:rPr>
                <w:sz w:val="20"/>
                <w:szCs w:val="20"/>
                <w:color w:val="auto"/>
              </w:rPr>
            </w:pPr>
            <w:r>
              <w:rPr>
                <w:rFonts w:ascii="Arial" w:cs="Arial" w:eastAsia="Arial" w:hAnsi="Arial"/>
                <w:sz w:val="18"/>
                <w:szCs w:val="18"/>
                <w:color w:val="auto"/>
              </w:rPr>
              <w:t>Hardware revenue</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3,795</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Borders>
              <w:right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Maintenance and support revenue</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4,566</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ind w:left="640"/>
              <w:spacing w:after="0"/>
              <w:rPr>
                <w:sz w:val="20"/>
                <w:szCs w:val="20"/>
                <w:color w:val="auto"/>
              </w:rPr>
            </w:pPr>
            <w:r>
              <w:rPr>
                <w:rFonts w:ascii="Arial" w:cs="Arial" w:eastAsia="Arial" w:hAnsi="Arial"/>
                <w:sz w:val="18"/>
                <w:szCs w:val="18"/>
                <w:color w:val="auto"/>
              </w:rPr>
              <w:t>On premise software license revenue</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2,218</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Borders>
              <w:bottom w:val="single" w:sz="8" w:color="CCEEFF"/>
              <w:right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Professional services revenue</w:t>
            </w: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4,357</w:t>
            </w:r>
          </w:p>
        </w:tc>
        <w:tc>
          <w:tcPr>
            <w:tcW w:w="2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ind w:left="320"/>
              <w:spacing w:after="0"/>
              <w:rPr>
                <w:sz w:val="20"/>
                <w:szCs w:val="20"/>
                <w:color w:val="auto"/>
              </w:rPr>
            </w:pPr>
            <w:r>
              <w:rPr>
                <w:rFonts w:ascii="Arial" w:cs="Arial" w:eastAsia="Arial" w:hAnsi="Arial"/>
                <w:sz w:val="18"/>
                <w:szCs w:val="18"/>
                <w:b w:val="1"/>
                <w:bCs w:val="1"/>
                <w:color w:val="auto"/>
              </w:rPr>
              <w:t>Total revenues</w:t>
            </w:r>
          </w:p>
        </w:tc>
        <w:tc>
          <w:tcPr>
            <w:tcW w:w="20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35,542</w:t>
            </w:r>
          </w:p>
        </w:tc>
        <w:tc>
          <w:tcPr>
            <w:tcW w:w="3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26,906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Cost of Sales</w:t>
            </w: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8,117</w:t>
            </w:r>
          </w:p>
        </w:tc>
        <w:tc>
          <w:tcPr>
            <w:tcW w:w="2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7,340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ind w:left="160"/>
              <w:spacing w:after="0"/>
              <w:rPr>
                <w:sz w:val="20"/>
                <w:szCs w:val="20"/>
                <w:color w:val="auto"/>
              </w:rPr>
            </w:pPr>
            <w:r>
              <w:rPr>
                <w:rFonts w:ascii="Arial" w:cs="Arial" w:eastAsia="Arial" w:hAnsi="Arial"/>
                <w:sz w:val="18"/>
                <w:szCs w:val="18"/>
                <w:b w:val="1"/>
                <w:bCs w:val="1"/>
                <w:color w:val="auto"/>
              </w:rPr>
              <w:t>Gross margin</w:t>
            </w:r>
          </w:p>
        </w:tc>
        <w:tc>
          <w:tcPr>
            <w:tcW w:w="20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27,425</w:t>
            </w:r>
          </w:p>
        </w:tc>
        <w:tc>
          <w:tcPr>
            <w:tcW w:w="3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19,566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0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Borders>
              <w:right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21,048</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ind w:left="64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2,897</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3,053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Borders>
              <w:bottom w:val="single" w:sz="8" w:color="CCEEFF"/>
              <w:right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Amortization of intangible assets</w:t>
            </w: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2,253</w:t>
            </w:r>
          </w:p>
        </w:tc>
        <w:tc>
          <w:tcPr>
            <w:tcW w:w="2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ind w:left="320"/>
              <w:spacing w:after="0"/>
              <w:rPr>
                <w:sz w:val="20"/>
                <w:szCs w:val="20"/>
                <w:color w:val="auto"/>
              </w:rPr>
            </w:pPr>
            <w:r>
              <w:rPr>
                <w:rFonts w:ascii="Arial" w:cs="Arial" w:eastAsia="Arial" w:hAnsi="Arial"/>
                <w:sz w:val="18"/>
                <w:szCs w:val="18"/>
                <w:b w:val="1"/>
                <w:bCs w:val="1"/>
                <w:color w:val="auto"/>
              </w:rPr>
              <w:t>Total operating expenses</w:t>
            </w:r>
          </w:p>
        </w:tc>
        <w:tc>
          <w:tcPr>
            <w:tcW w:w="20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26,198</w:t>
            </w:r>
          </w:p>
        </w:tc>
        <w:tc>
          <w:tcPr>
            <w:tcW w:w="3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19,883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0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gridSpan w:val="2"/>
          </w:tcPr>
          <w:p>
            <w:pPr>
              <w:spacing w:after="0"/>
              <w:rPr>
                <w:sz w:val="20"/>
                <w:szCs w:val="20"/>
                <w:color w:val="auto"/>
              </w:rPr>
            </w:pPr>
            <w:r>
              <w:rPr>
                <w:rFonts w:ascii="Arial" w:cs="Arial" w:eastAsia="Arial" w:hAnsi="Arial"/>
                <w:sz w:val="18"/>
                <w:szCs w:val="18"/>
                <w:b w:val="1"/>
                <w:bCs w:val="1"/>
                <w:color w:val="auto"/>
              </w:rPr>
              <w:t>Income (loss) from operations</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1,227</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(317</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0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gridSpan w:val="2"/>
          </w:tcPr>
          <w:p>
            <w:pPr>
              <w:spacing w:after="0"/>
              <w:rPr>
                <w:sz w:val="20"/>
                <w:szCs w:val="20"/>
                <w:color w:val="auto"/>
              </w:rPr>
            </w:pPr>
            <w:r>
              <w:rPr>
                <w:rFonts w:ascii="Arial" w:cs="Arial" w:eastAsia="Arial" w:hAnsi="Arial"/>
                <w:sz w:val="18"/>
                <w:szCs w:val="18"/>
                <w:b w:val="1"/>
                <w:bCs w:val="1"/>
                <w:color w:val="auto"/>
              </w:rPr>
              <w:t>Other income (loss)</w:t>
            </w: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Borders>
              <w:right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Interest income</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ind w:left="640"/>
              <w:spacing w:after="0"/>
              <w:rPr>
                <w:sz w:val="20"/>
                <w:szCs w:val="20"/>
                <w:color w:val="auto"/>
              </w:rPr>
            </w:pPr>
            <w:r>
              <w:rPr>
                <w:rFonts w:ascii="Arial" w:cs="Arial" w:eastAsia="Arial" w:hAnsi="Arial"/>
                <w:sz w:val="18"/>
                <w:szCs w:val="18"/>
                <w:color w:val="auto"/>
              </w:rPr>
              <w:t>Loss on lease termination</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Borders>
              <w:right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Loss on debt refinancing</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ind w:left="640"/>
              <w:spacing w:after="0"/>
              <w:rPr>
                <w:sz w:val="20"/>
                <w:szCs w:val="20"/>
                <w:color w:val="auto"/>
              </w:rPr>
            </w:pPr>
            <w:r>
              <w:rPr>
                <w:rFonts w:ascii="Arial" w:cs="Arial" w:eastAsia="Arial" w:hAnsi="Arial"/>
                <w:sz w:val="18"/>
                <w:szCs w:val="18"/>
                <w:color w:val="auto"/>
              </w:rPr>
              <w:t>Foreign currency gain (loss)</w:t>
            </w:r>
          </w:p>
        </w:tc>
        <w:tc>
          <w:tcPr>
            <w:tcW w:w="20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3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Borders>
              <w:right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Interest expense and other</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(2,012)</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ind w:left="640"/>
              <w:spacing w:after="0"/>
              <w:rPr>
                <w:sz w:val="20"/>
                <w:szCs w:val="20"/>
                <w:color w:val="auto"/>
              </w:rPr>
            </w:pPr>
            <w:r>
              <w:rPr>
                <w:rFonts w:ascii="Arial" w:cs="Arial" w:eastAsia="Arial" w:hAnsi="Arial"/>
                <w:sz w:val="18"/>
                <w:szCs w:val="18"/>
                <w:color w:val="auto"/>
              </w:rPr>
              <w:t>Interest expense - amortization of original issue discount (OID)</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7080" w:type="dxa"/>
            <w:vAlign w:val="bottom"/>
            <w:tcBorders>
              <w:bottom w:val="single" w:sz="8" w:color="CCEEFF"/>
              <w:right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ind w:left="320"/>
              <w:spacing w:after="0"/>
              <w:rPr>
                <w:sz w:val="20"/>
                <w:szCs w:val="20"/>
                <w:color w:val="auto"/>
              </w:rPr>
            </w:pPr>
            <w:r>
              <w:rPr>
                <w:rFonts w:ascii="Arial" w:cs="Arial" w:eastAsia="Arial" w:hAnsi="Arial"/>
                <w:sz w:val="18"/>
                <w:szCs w:val="18"/>
                <w:b w:val="1"/>
                <w:bCs w:val="1"/>
                <w:color w:val="auto"/>
              </w:rPr>
              <w:t>Total other loss, net</w:t>
            </w:r>
          </w:p>
        </w:tc>
        <w:tc>
          <w:tcPr>
            <w:tcW w:w="20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(2,010)</w:t>
            </w:r>
          </w:p>
        </w:tc>
        <w:tc>
          <w:tcPr>
            <w:tcW w:w="3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(1,221)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0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gridSpan w:val="2"/>
          </w:tcPr>
          <w:p>
            <w:pPr>
              <w:spacing w:after="0"/>
              <w:rPr>
                <w:sz w:val="20"/>
                <w:szCs w:val="20"/>
                <w:color w:val="auto"/>
              </w:rPr>
            </w:pPr>
            <w:r>
              <w:rPr>
                <w:rFonts w:ascii="Arial" w:cs="Arial" w:eastAsia="Arial" w:hAnsi="Arial"/>
                <w:sz w:val="18"/>
                <w:szCs w:val="18"/>
                <w:b w:val="1"/>
                <w:bCs w:val="1"/>
                <w:color w:val="auto"/>
              </w:rPr>
              <w:t>Loss from operations before income taxes</w:t>
            </w:r>
          </w:p>
        </w:tc>
        <w:tc>
          <w:tcPr>
            <w:tcW w:w="20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(783)</w:t>
            </w:r>
          </w:p>
        </w:tc>
        <w:tc>
          <w:tcPr>
            <w:tcW w:w="3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Borders>
              <w:right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Income tax provision</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(189)</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708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gridSpan w:val="2"/>
          </w:tcPr>
          <w:p>
            <w:pPr>
              <w:spacing w:after="0"/>
              <w:rPr>
                <w:sz w:val="20"/>
                <w:szCs w:val="20"/>
                <w:color w:val="auto"/>
              </w:rPr>
            </w:pPr>
            <w:r>
              <w:rPr>
                <w:rFonts w:ascii="Arial" w:cs="Arial" w:eastAsia="Arial" w:hAnsi="Arial"/>
                <w:sz w:val="18"/>
                <w:szCs w:val="18"/>
                <w:b w:val="1"/>
                <w:bCs w:val="1"/>
                <w:color w:val="auto"/>
              </w:rPr>
              <w:t>Net loss</w:t>
            </w:r>
          </w:p>
        </w:tc>
        <w:tc>
          <w:tcPr>
            <w:tcW w:w="200" w:type="dxa"/>
            <w:vAlign w:val="bottom"/>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(972)</w:t>
            </w:r>
          </w:p>
        </w:tc>
        <w:tc>
          <w:tcPr>
            <w:tcW w:w="380" w:type="dxa"/>
            <w:vAlign w:val="bottom"/>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(1,757)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83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 (loss):</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gridSpan w:val="2"/>
          </w:tcPr>
          <w:p>
            <w:pPr>
              <w:ind w:left="640"/>
              <w:spacing w:after="0"/>
              <w:rPr>
                <w:sz w:val="20"/>
                <w:szCs w:val="20"/>
                <w:color w:val="auto"/>
              </w:rPr>
            </w:pPr>
            <w:r>
              <w:rPr>
                <w:rFonts w:ascii="Arial" w:cs="Arial" w:eastAsia="Arial" w:hAnsi="Arial"/>
                <w:sz w:val="18"/>
                <w:szCs w:val="18"/>
                <w:color w:val="auto"/>
              </w:rPr>
              <w:t>Foreign currency translation gain</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83</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34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Other comprehensive loss</w:t>
            </w: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(889)</w:t>
            </w: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(1,749)</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7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Basic and diluted net loss per share</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Basic</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(0.15)</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(0.15)</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spacing w:after="0"/>
              <w:rPr>
                <w:sz w:val="20"/>
                <w:szCs w:val="20"/>
                <w:color w:val="auto"/>
              </w:rPr>
            </w:pPr>
            <w:r>
              <w:rPr>
                <w:rFonts w:ascii="Arial" w:cs="Arial" w:eastAsia="Arial" w:hAnsi="Arial"/>
                <w:sz w:val="18"/>
                <w:szCs w:val="18"/>
                <w:b w:val="1"/>
                <w:bCs w:val="1"/>
                <w:color w:val="auto"/>
              </w:rPr>
              <w:t>Weighted average basic and diluted shares</w:t>
            </w: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6,533,000</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6,176,000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Diluted</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6,533,000</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6,176,000</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07"/>
        </w:trPr>
        <w:tc>
          <w:tcPr>
            <w:tcW w:w="1960" w:type="dxa"/>
            <w:vAlign w:val="bottom"/>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0"/>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6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40" w:type="dxa"/>
            <w:vAlign w:val="bottom"/>
            <w:gridSpan w:val="8"/>
          </w:tcPr>
          <w:p>
            <w:pPr>
              <w:jc w:val="center"/>
              <w:ind w:right="480"/>
              <w:spacing w:after="0"/>
              <w:rPr>
                <w:sz w:val="20"/>
                <w:szCs w:val="20"/>
                <w:color w:val="auto"/>
              </w:rPr>
            </w:pPr>
            <w:r>
              <w:rPr>
                <w:rFonts w:ascii="Arial" w:cs="Arial" w:eastAsia="Arial" w:hAnsi="Arial"/>
                <w:sz w:val="18"/>
                <w:szCs w:val="18"/>
                <w:b w:val="1"/>
                <w:bCs w:val="1"/>
                <w:color w:val="auto"/>
                <w:w w:val="98"/>
              </w:rPr>
              <w:t>ASURE SOFTWARE, INC.</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100" w:type="dxa"/>
            <w:vAlign w:val="bottom"/>
            <w:gridSpan w:val="18"/>
          </w:tcPr>
          <w:p>
            <w:pPr>
              <w:jc w:val="center"/>
              <w:ind w:left="310"/>
              <w:spacing w:after="0"/>
              <w:rPr>
                <w:sz w:val="20"/>
                <w:szCs w:val="20"/>
                <w:color w:val="auto"/>
              </w:rPr>
            </w:pPr>
            <w:r>
              <w:rPr>
                <w:rFonts w:ascii="Arial" w:cs="Arial" w:eastAsia="Arial" w:hAnsi="Arial"/>
                <w:sz w:val="18"/>
                <w:szCs w:val="18"/>
                <w:b w:val="1"/>
                <w:bCs w:val="1"/>
                <w:color w:val="auto"/>
              </w:rPr>
              <w:t>CONSOLIDATED STATEMENTS OF CHANGES IN STOCKHOLDERS’ EQUITY</w:t>
            </w: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gridSpan w:val="6"/>
          </w:tcPr>
          <w:p>
            <w:pPr>
              <w:jc w:val="center"/>
              <w:ind w:right="740"/>
              <w:spacing w:after="0"/>
              <w:rPr>
                <w:sz w:val="20"/>
                <w:szCs w:val="20"/>
                <w:color w:val="auto"/>
              </w:rPr>
            </w:pPr>
            <w:r>
              <w:rPr>
                <w:rFonts w:ascii="Arial" w:cs="Arial" w:eastAsia="Arial" w:hAnsi="Arial"/>
                <w:sz w:val="18"/>
                <w:szCs w:val="18"/>
                <w:color w:val="auto"/>
                <w:w w:val="91"/>
              </w:rPr>
              <w:t>(Amounts in thousands)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9"/>
              </w:rPr>
              <w:t>Common</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Common</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3"/>
              </w:rPr>
              <w:t>Additional</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Other</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5"/>
              </w:rPr>
              <w:t>Stock</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Stock</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Treasury</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Paid-in</w:t>
            </w:r>
          </w:p>
        </w:tc>
        <w:tc>
          <w:tcPr>
            <w:tcW w:w="100" w:type="dxa"/>
            <w:vAlign w:val="bottom"/>
          </w:tcPr>
          <w:p>
            <w:pPr>
              <w:spacing w:after="0"/>
              <w:rPr>
                <w:sz w:val="18"/>
                <w:szCs w:val="18"/>
                <w:color w:val="auto"/>
              </w:rPr>
            </w:pPr>
          </w:p>
        </w:tc>
        <w:tc>
          <w:tcPr>
            <w:tcW w:w="136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3"/>
              </w:rPr>
              <w:t>Accumulated</w:t>
            </w: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w w:val="96"/>
              </w:rPr>
              <w:t>Comprehensive</w:t>
            </w:r>
          </w:p>
        </w:tc>
        <w:tc>
          <w:tcPr>
            <w:tcW w:w="8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Stockholders’</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Amount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Stock</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Capital</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Deficit</w:t>
            </w:r>
          </w:p>
        </w:tc>
        <w:tc>
          <w:tcPr>
            <w:tcW w:w="13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0"/>
              </w:rPr>
              <w:t>Income (Loss)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94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BALANCE AT</w:t>
            </w:r>
          </w:p>
        </w:tc>
        <w:tc>
          <w:tcPr>
            <w:tcW w:w="116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DECEMBER 31, 2014</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6,050</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w:t>
            </w:r>
          </w:p>
        </w:tc>
        <w:tc>
          <w:tcPr>
            <w:tcW w:w="8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(5,017)</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278,656</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(269,146)</w:t>
            </w:r>
          </w:p>
        </w:tc>
        <w:tc>
          <w:tcPr>
            <w:tcW w:w="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(86)</w:t>
            </w:r>
          </w:p>
        </w:tc>
        <w:tc>
          <w:tcPr>
            <w:tcW w:w="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4,471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gridSpan w:val="2"/>
          </w:tcPr>
          <w:p>
            <w:pPr>
              <w:spacing w:after="0" w:line="201" w:lineRule="exact"/>
              <w:rPr>
                <w:sz w:val="20"/>
                <w:szCs w:val="20"/>
                <w:color w:val="auto"/>
              </w:rPr>
            </w:pPr>
            <w:r>
              <w:rPr>
                <w:rFonts w:ascii="Arial" w:cs="Arial" w:eastAsia="Arial" w:hAnsi="Arial"/>
                <w:sz w:val="18"/>
                <w:szCs w:val="18"/>
                <w:color w:val="auto"/>
              </w:rPr>
              <w:t>Share based</w:t>
            </w: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60" w:type="dxa"/>
            <w:vAlign w:val="bottom"/>
            <w:gridSpan w:val="3"/>
          </w:tcPr>
          <w:p>
            <w:pPr>
              <w:spacing w:after="0"/>
              <w:rPr>
                <w:sz w:val="20"/>
                <w:szCs w:val="20"/>
                <w:color w:val="auto"/>
              </w:rPr>
            </w:pPr>
            <w:r>
              <w:rPr>
                <w:rFonts w:ascii="Arial" w:cs="Arial" w:eastAsia="Arial" w:hAnsi="Arial"/>
                <w:sz w:val="18"/>
                <w:szCs w:val="18"/>
                <w:color w:val="auto"/>
              </w:rPr>
              <w:t>compensation</w:t>
            </w: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Stock issued upon option</w:t>
            </w: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(1,757)</w:t>
            </w: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(1,757)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Other comprehensive</w:t>
            </w: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w:t>
            </w:r>
          </w:p>
        </w:tc>
        <w:tc>
          <w:tcPr>
            <w:tcW w:w="1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940" w:type="dxa"/>
            <w:vAlign w:val="bottom"/>
            <w:tcBorders>
              <w:top w:val="single" w:sz="8" w:color="CCEEFF"/>
            </w:tcBorders>
            <w:gridSpan w:val="2"/>
          </w:tcPr>
          <w:p>
            <w:pPr>
              <w:spacing w:after="0" w:line="198" w:lineRule="exact"/>
              <w:rPr>
                <w:sz w:val="20"/>
                <w:szCs w:val="20"/>
                <w:color w:val="auto"/>
              </w:rPr>
            </w:pPr>
            <w:r>
              <w:rPr>
                <w:rFonts w:ascii="Arial" w:cs="Arial" w:eastAsia="Arial" w:hAnsi="Arial"/>
                <w:sz w:val="18"/>
                <w:szCs w:val="18"/>
                <w:b w:val="1"/>
                <w:bCs w:val="1"/>
                <w:color w:val="auto"/>
              </w:rPr>
              <w:t>BALANCE AT</w:t>
            </w:r>
          </w:p>
        </w:tc>
        <w:tc>
          <w:tcPr>
            <w:tcW w:w="116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60" w:type="dxa"/>
            <w:vAlign w:val="bottom"/>
            <w:gridSpan w:val="3"/>
          </w:tcPr>
          <w:p>
            <w:pPr>
              <w:spacing w:after="0"/>
              <w:rPr>
                <w:sz w:val="20"/>
                <w:szCs w:val="20"/>
                <w:color w:val="auto"/>
              </w:rPr>
            </w:pPr>
            <w:r>
              <w:rPr>
                <w:rFonts w:ascii="Arial" w:cs="Arial" w:eastAsia="Arial" w:hAnsi="Arial"/>
                <w:sz w:val="18"/>
                <w:szCs w:val="18"/>
                <w:b w:val="1"/>
                <w:bCs w:val="1"/>
                <w:color w:val="auto"/>
              </w:rPr>
              <w:t>DECEMBER 31, 2015</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6,290</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67</w:t>
            </w:r>
          </w:p>
        </w:tc>
        <w:tc>
          <w:tcPr>
            <w:tcW w:w="80" w:type="dxa"/>
            <w:vAlign w:val="bottom"/>
          </w:tcPr>
          <w:p>
            <w:pPr>
              <w:spacing w:after="0"/>
              <w:rPr>
                <w:sz w:val="20"/>
                <w:szCs w:val="20"/>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(5,017)</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279,649</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(270,903)</w:t>
            </w:r>
          </w:p>
        </w:tc>
        <w:tc>
          <w:tcPr>
            <w:tcW w:w="280" w:type="dxa"/>
            <w:vAlign w:val="bottom"/>
          </w:tcPr>
          <w:p>
            <w:pPr>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(78)</w:t>
            </w:r>
          </w:p>
        </w:tc>
        <w:tc>
          <w:tcPr>
            <w:tcW w:w="28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3,718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194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rPr>
              <w:t>Share based</w:t>
            </w:r>
          </w:p>
        </w:tc>
        <w:tc>
          <w:tcPr>
            <w:tcW w:w="1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w:t>
            </w:r>
          </w:p>
        </w:tc>
        <w:tc>
          <w:tcPr>
            <w:tcW w:w="1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gridSpan w:val="2"/>
          </w:tcPr>
          <w:p>
            <w:pPr>
              <w:spacing w:after="0" w:line="201" w:lineRule="exact"/>
              <w:rPr>
                <w:sz w:val="20"/>
                <w:szCs w:val="20"/>
                <w:color w:val="auto"/>
              </w:rPr>
            </w:pPr>
            <w:r>
              <w:rPr>
                <w:rFonts w:ascii="Arial" w:cs="Arial" w:eastAsia="Arial" w:hAnsi="Arial"/>
                <w:sz w:val="18"/>
                <w:szCs w:val="18"/>
                <w:color w:val="auto"/>
                <w:w w:val="95"/>
              </w:rPr>
              <w:t>Stock issued upon option</w:t>
            </w: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60" w:type="dxa"/>
            <w:vAlign w:val="bottom"/>
            <w:gridSpan w:val="3"/>
          </w:tcPr>
          <w:p>
            <w:pPr>
              <w:spacing w:after="0"/>
              <w:rPr>
                <w:sz w:val="20"/>
                <w:szCs w:val="20"/>
                <w:color w:val="auto"/>
              </w:rPr>
            </w:pPr>
            <w:r>
              <w:rPr>
                <w:rFonts w:ascii="Arial" w:cs="Arial" w:eastAsia="Arial" w:hAnsi="Arial"/>
                <w:sz w:val="18"/>
                <w:szCs w:val="18"/>
                <w:color w:val="auto"/>
              </w:rPr>
              <w:t>exercise</w:t>
            </w:r>
          </w:p>
        </w:tc>
        <w:tc>
          <w:tcPr>
            <w:tcW w:w="1160" w:type="dxa"/>
            <w:vAlign w:val="bottom"/>
          </w:tcPr>
          <w:p>
            <w:pPr>
              <w:jc w:val="right"/>
              <w:spacing w:after="0"/>
              <w:rPr>
                <w:sz w:val="20"/>
                <w:szCs w:val="20"/>
                <w:color w:val="auto"/>
              </w:rPr>
            </w:pPr>
            <w:r>
              <w:rPr>
                <w:rFonts w:ascii="Arial" w:cs="Arial" w:eastAsia="Arial" w:hAnsi="Arial"/>
                <w:sz w:val="18"/>
                <w:szCs w:val="18"/>
                <w:color w:val="auto"/>
              </w:rPr>
              <w:t>278</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741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Stock issued, net of</w:t>
            </w: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issuance cost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1,949</w:t>
            </w: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14,428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(972)</w:t>
            </w: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(972)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Other comprehensive</w:t>
            </w: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w:t>
            </w:r>
          </w:p>
        </w:tc>
        <w:tc>
          <w:tcPr>
            <w:tcW w:w="1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940" w:type="dxa"/>
            <w:vAlign w:val="bottom"/>
            <w:tcBorders>
              <w:top w:val="single" w:sz="8" w:color="CCEEFF"/>
            </w:tcBorders>
            <w:gridSpan w:val="2"/>
          </w:tcPr>
          <w:p>
            <w:pPr>
              <w:spacing w:after="0" w:line="198" w:lineRule="exact"/>
              <w:rPr>
                <w:sz w:val="20"/>
                <w:szCs w:val="20"/>
                <w:color w:val="auto"/>
              </w:rPr>
            </w:pPr>
            <w:r>
              <w:rPr>
                <w:rFonts w:ascii="Arial" w:cs="Arial" w:eastAsia="Arial" w:hAnsi="Arial"/>
                <w:sz w:val="18"/>
                <w:szCs w:val="18"/>
                <w:b w:val="1"/>
                <w:bCs w:val="1"/>
                <w:color w:val="auto"/>
              </w:rPr>
              <w:t>BALANCE AT</w:t>
            </w:r>
          </w:p>
        </w:tc>
        <w:tc>
          <w:tcPr>
            <w:tcW w:w="116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60" w:type="dxa"/>
            <w:vAlign w:val="bottom"/>
            <w:gridSpan w:val="3"/>
          </w:tcPr>
          <w:p>
            <w:pPr>
              <w:spacing w:after="0"/>
              <w:rPr>
                <w:sz w:val="20"/>
                <w:szCs w:val="20"/>
                <w:color w:val="auto"/>
              </w:rPr>
            </w:pPr>
            <w:r>
              <w:rPr>
                <w:rFonts w:ascii="Arial" w:cs="Arial" w:eastAsia="Arial" w:hAnsi="Arial"/>
                <w:sz w:val="18"/>
                <w:szCs w:val="18"/>
                <w:b w:val="1"/>
                <w:bCs w:val="1"/>
                <w:color w:val="auto"/>
              </w:rPr>
              <w:t>DECEMBER 31, 2016</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8,517</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89</w:t>
            </w:r>
          </w:p>
        </w:tc>
        <w:tc>
          <w:tcPr>
            <w:tcW w:w="80" w:type="dxa"/>
            <w:vAlign w:val="bottom"/>
          </w:tcPr>
          <w:p>
            <w:pPr>
              <w:spacing w:after="0"/>
              <w:rPr>
                <w:sz w:val="20"/>
                <w:szCs w:val="20"/>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(5,017)</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295,044</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(271,875)</w:t>
            </w:r>
          </w:p>
        </w:tc>
        <w:tc>
          <w:tcPr>
            <w:tcW w:w="280" w:type="dxa"/>
            <w:vAlign w:val="bottom"/>
          </w:tcPr>
          <w:p>
            <w:pPr>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w:t>
            </w:r>
          </w:p>
        </w:tc>
        <w:tc>
          <w:tcPr>
            <w:tcW w:w="28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18,246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07"/>
        </w:trPr>
        <w:tc>
          <w:tcPr>
            <w:tcW w:w="8100" w:type="dxa"/>
            <w:vAlign w:val="bottom"/>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0"/>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6820" w:type="dxa"/>
            <w:vAlign w:val="bottom"/>
          </w:tcPr>
          <w:p>
            <w:pPr>
              <w:jc w:val="center"/>
              <w:ind w:left="1950"/>
              <w:spacing w:after="0"/>
              <w:rPr>
                <w:sz w:val="20"/>
                <w:szCs w:val="20"/>
                <w:color w:val="auto"/>
              </w:rPr>
            </w:pPr>
            <w:r>
              <w:rPr>
                <w:rFonts w:ascii="Arial" w:cs="Arial" w:eastAsia="Arial" w:hAnsi="Arial"/>
                <w:sz w:val="18"/>
                <w:szCs w:val="18"/>
                <w:b w:val="1"/>
                <w:bCs w:val="1"/>
                <w:color w:val="auto"/>
                <w:w w:val="98"/>
              </w:rPr>
              <w:t>ASURE SOFTWARE, INC.</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820" w:type="dxa"/>
            <w:vAlign w:val="bottom"/>
          </w:tcPr>
          <w:p>
            <w:pPr>
              <w:jc w:val="center"/>
              <w:ind w:left="1950"/>
              <w:spacing w:after="0"/>
              <w:rPr>
                <w:sz w:val="20"/>
                <w:szCs w:val="20"/>
                <w:color w:val="auto"/>
              </w:rPr>
            </w:pPr>
            <w:r>
              <w:rPr>
                <w:rFonts w:ascii="Arial" w:cs="Arial" w:eastAsia="Arial" w:hAnsi="Arial"/>
                <w:sz w:val="18"/>
                <w:szCs w:val="18"/>
                <w:b w:val="1"/>
                <w:bCs w:val="1"/>
                <w:color w:val="auto"/>
                <w:w w:val="98"/>
              </w:rPr>
              <w:t>CONSOLIDATED STATEMENTS OF CASH FLOWS</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820" w:type="dxa"/>
            <w:vAlign w:val="bottom"/>
          </w:tcPr>
          <w:p>
            <w:pPr>
              <w:jc w:val="center"/>
              <w:ind w:left="1950"/>
              <w:spacing w:after="0"/>
              <w:rPr>
                <w:sz w:val="20"/>
                <w:szCs w:val="20"/>
                <w:color w:val="auto"/>
              </w:rPr>
            </w:pPr>
            <w:r>
              <w:rPr>
                <w:rFonts w:ascii="Arial" w:cs="Arial" w:eastAsia="Arial" w:hAnsi="Arial"/>
                <w:sz w:val="18"/>
                <w:szCs w:val="18"/>
                <w:color w:val="auto"/>
                <w:w w:val="91"/>
              </w:rPr>
              <w:t>(Amounts in thousands)</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gridSpan w:val="4"/>
          </w:tcPr>
          <w:p>
            <w:pPr>
              <w:jc w:val="center"/>
              <w:ind w:left="690"/>
              <w:spacing w:after="0"/>
              <w:rPr>
                <w:sz w:val="20"/>
                <w:szCs w:val="20"/>
                <w:color w:val="auto"/>
              </w:rPr>
            </w:pPr>
            <w:r>
              <w:rPr>
                <w:rFonts w:ascii="Arial" w:cs="Arial" w:eastAsia="Arial" w:hAnsi="Arial"/>
                <w:sz w:val="18"/>
                <w:szCs w:val="18"/>
                <w:b w:val="1"/>
                <w:bCs w:val="1"/>
                <w:color w:val="auto"/>
              </w:rPr>
              <w:t>FOR THE</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60" w:type="dxa"/>
            <w:vAlign w:val="bottom"/>
            <w:gridSpan w:val="6"/>
          </w:tcPr>
          <w:p>
            <w:pPr>
              <w:jc w:val="center"/>
              <w:ind w:right="320"/>
              <w:spacing w:after="0"/>
              <w:rPr>
                <w:sz w:val="20"/>
                <w:szCs w:val="20"/>
                <w:color w:val="auto"/>
              </w:rPr>
            </w:pPr>
            <w:r>
              <w:rPr>
                <w:rFonts w:ascii="Arial" w:cs="Arial" w:eastAsia="Arial" w:hAnsi="Arial"/>
                <w:sz w:val="18"/>
                <w:szCs w:val="18"/>
                <w:b w:val="1"/>
                <w:bCs w:val="1"/>
                <w:color w:val="auto"/>
              </w:rPr>
              <w:t>TWELVE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60" w:type="dxa"/>
            <w:vAlign w:val="bottom"/>
            <w:gridSpan w:val="6"/>
          </w:tcPr>
          <w:p>
            <w:pPr>
              <w:jc w:val="center"/>
              <w:ind w:right="320"/>
              <w:spacing w:after="0"/>
              <w:rPr>
                <w:sz w:val="20"/>
                <w:szCs w:val="20"/>
                <w:color w:val="auto"/>
              </w:rPr>
            </w:pPr>
            <w:r>
              <w:rPr>
                <w:rFonts w:ascii="Arial" w:cs="Arial" w:eastAsia="Arial" w:hAnsi="Arial"/>
                <w:sz w:val="18"/>
                <w:szCs w:val="18"/>
                <w:b w:val="1"/>
                <w:bCs w:val="1"/>
                <w:color w:val="auto"/>
                <w:w w:val="97"/>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100" w:type="dxa"/>
            <w:vAlign w:val="bottom"/>
            <w:gridSpan w:val="3"/>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Net loss</w:t>
            </w:r>
          </w:p>
        </w:tc>
        <w:tc>
          <w:tcPr>
            <w:tcW w:w="46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(972)</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tcPr>
          <w:p>
            <w:pPr>
              <w:ind w:left="640"/>
              <w:spacing w:after="0"/>
              <w:rPr>
                <w:sz w:val="20"/>
                <w:szCs w:val="20"/>
                <w:color w:val="auto"/>
              </w:rPr>
            </w:pPr>
            <w:r>
              <w:rPr>
                <w:rFonts w:ascii="Arial" w:cs="Arial" w:eastAsia="Arial" w:hAnsi="Arial"/>
                <w:sz w:val="18"/>
                <w:szCs w:val="18"/>
                <w:color w:val="auto"/>
              </w:rPr>
              <w:t>Adjustments to reconcile net loss to net cash provided by operations:</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3,613</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tcPr>
          <w:p>
            <w:pPr>
              <w:ind w:left="640"/>
              <w:spacing w:after="0"/>
              <w:rPr>
                <w:sz w:val="20"/>
                <w:szCs w:val="20"/>
                <w:color w:val="auto"/>
              </w:rPr>
            </w:pPr>
            <w:r>
              <w:rPr>
                <w:rFonts w:ascii="Arial" w:cs="Arial" w:eastAsia="Arial" w:hAnsi="Arial"/>
                <w:sz w:val="18"/>
                <w:szCs w:val="18"/>
                <w:color w:val="auto"/>
              </w:rPr>
              <w:t>Provision for doubtful accounts</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3"/>
          </w:tcPr>
          <w:p>
            <w:pPr>
              <w:jc w:val="right"/>
              <w:ind w:right="220"/>
              <w:spacing w:after="0"/>
              <w:rPr>
                <w:sz w:val="20"/>
                <w:szCs w:val="20"/>
                <w:color w:val="auto"/>
              </w:rPr>
            </w:pPr>
            <w:r>
              <w:rPr>
                <w:rFonts w:ascii="Arial" w:cs="Arial" w:eastAsia="Arial" w:hAnsi="Arial"/>
                <w:sz w:val="18"/>
                <w:szCs w:val="18"/>
                <w:color w:val="auto"/>
              </w:rPr>
              <w:t>265</w:t>
            </w:r>
          </w:p>
        </w:tc>
        <w:tc>
          <w:tcPr>
            <w:tcW w:w="3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Share-based compensation</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226</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tcPr>
          <w:p>
            <w:pPr>
              <w:ind w:left="640"/>
              <w:spacing w:after="0"/>
              <w:rPr>
                <w:sz w:val="20"/>
                <w:szCs w:val="20"/>
                <w:color w:val="auto"/>
              </w:rPr>
            </w:pPr>
            <w:r>
              <w:rPr>
                <w:rFonts w:ascii="Arial" w:cs="Arial" w:eastAsia="Arial" w:hAnsi="Arial"/>
                <w:sz w:val="18"/>
                <w:szCs w:val="18"/>
                <w:color w:val="auto"/>
              </w:rPr>
              <w:t>Loss on debt refinancing</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tcPr>
          <w:p>
            <w:pPr>
              <w:ind w:left="640"/>
              <w:spacing w:after="0"/>
              <w:rPr>
                <w:sz w:val="20"/>
                <w:szCs w:val="20"/>
                <w:color w:val="auto"/>
              </w:rPr>
            </w:pPr>
            <w:r>
              <w:rPr>
                <w:rFonts w:ascii="Arial" w:cs="Arial" w:eastAsia="Arial" w:hAnsi="Arial"/>
                <w:sz w:val="18"/>
                <w:szCs w:val="18"/>
                <w:color w:val="auto"/>
              </w:rPr>
              <w:t>Changes in operating assets and liabilities:</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Accounts and note receivable</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(3,401)</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tcPr>
          <w:p>
            <w:pPr>
              <w:ind w:left="640"/>
              <w:spacing w:after="0"/>
              <w:rPr>
                <w:sz w:val="20"/>
                <w:szCs w:val="20"/>
                <w:color w:val="auto"/>
              </w:rPr>
            </w:pPr>
            <w:r>
              <w:rPr>
                <w:rFonts w:ascii="Arial" w:cs="Arial" w:eastAsia="Arial" w:hAnsi="Arial"/>
                <w:sz w:val="18"/>
                <w:szCs w:val="18"/>
                <w:color w:val="auto"/>
              </w:rPr>
              <w:t>Inventory</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3"/>
          </w:tcPr>
          <w:p>
            <w:pPr>
              <w:jc w:val="right"/>
              <w:ind w:right="220"/>
              <w:spacing w:after="0"/>
              <w:rPr>
                <w:sz w:val="20"/>
                <w:szCs w:val="20"/>
                <w:color w:val="auto"/>
              </w:rPr>
            </w:pPr>
            <w:r>
              <w:rPr>
                <w:rFonts w:ascii="Arial" w:cs="Arial" w:eastAsia="Arial" w:hAnsi="Arial"/>
                <w:sz w:val="18"/>
                <w:szCs w:val="18"/>
                <w:color w:val="auto"/>
              </w:rPr>
              <w:t>297</w:t>
            </w:r>
          </w:p>
        </w:tc>
        <w:tc>
          <w:tcPr>
            <w:tcW w:w="3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Prepaid expenses and other assets</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233</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tcPr>
          <w:p>
            <w:pPr>
              <w:ind w:left="64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3"/>
          </w:tcPr>
          <w:p>
            <w:pPr>
              <w:jc w:val="right"/>
              <w:ind w:right="160"/>
              <w:spacing w:after="0"/>
              <w:rPr>
                <w:sz w:val="20"/>
                <w:szCs w:val="20"/>
                <w:color w:val="auto"/>
              </w:rPr>
            </w:pPr>
            <w:r>
              <w:rPr>
                <w:rFonts w:ascii="Arial" w:cs="Arial" w:eastAsia="Arial" w:hAnsi="Arial"/>
                <w:sz w:val="18"/>
                <w:szCs w:val="18"/>
                <w:color w:val="auto"/>
              </w:rPr>
              <w:t>(1,104)</w:t>
            </w:r>
          </w:p>
        </w:tc>
        <w:tc>
          <w:tcPr>
            <w:tcW w:w="3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Accrued expenses and other long-term obligations</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466</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80" w:type="dxa"/>
            <w:vAlign w:val="bottom"/>
            <w:gridSpan w:val="2"/>
          </w:tcPr>
          <w:p>
            <w:pPr>
              <w:ind w:left="640"/>
              <w:spacing w:after="0"/>
              <w:rPr>
                <w:sz w:val="20"/>
                <w:szCs w:val="20"/>
                <w:color w:val="auto"/>
              </w:rPr>
            </w:pPr>
            <w:r>
              <w:rPr>
                <w:rFonts w:ascii="Arial" w:cs="Arial" w:eastAsia="Arial" w:hAnsi="Arial"/>
                <w:sz w:val="18"/>
                <w:szCs w:val="18"/>
                <w:color w:val="auto"/>
              </w:rPr>
              <w:t>Deferred revenue</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3"/>
          </w:tcPr>
          <w:p>
            <w:pPr>
              <w:jc w:val="right"/>
              <w:ind w:right="160"/>
              <w:spacing w:after="0"/>
              <w:rPr>
                <w:sz w:val="20"/>
                <w:szCs w:val="20"/>
                <w:color w:val="auto"/>
              </w:rPr>
            </w:pPr>
            <w:r>
              <w:rPr>
                <w:rFonts w:ascii="Arial" w:cs="Arial" w:eastAsia="Arial" w:hAnsi="Arial"/>
                <w:sz w:val="18"/>
                <w:szCs w:val="18"/>
                <w:color w:val="auto"/>
              </w:rPr>
              <w:t>(1,729)</w:t>
            </w:r>
          </w:p>
        </w:tc>
        <w:tc>
          <w:tcPr>
            <w:tcW w:w="3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shd w:val="clear" w:color="auto" w:fill="CCEEFF"/>
          </w:tcPr>
          <w:p>
            <w:pPr>
              <w:ind w:left="400"/>
              <w:spacing w:after="0"/>
              <w:rPr>
                <w:sz w:val="20"/>
                <w:szCs w:val="20"/>
                <w:color w:val="auto"/>
              </w:rPr>
            </w:pPr>
            <w:r>
              <w:rPr>
                <w:rFonts w:ascii="Arial" w:cs="Arial" w:eastAsia="Arial" w:hAnsi="Arial"/>
                <w:sz w:val="18"/>
                <w:szCs w:val="18"/>
                <w:b w:val="1"/>
                <w:bCs w:val="1"/>
                <w:color w:val="auto"/>
              </w:rPr>
              <w:t>Net cash provided by operating activities</w:t>
            </w:r>
          </w:p>
        </w:tc>
        <w:tc>
          <w:tcPr>
            <w:tcW w:w="2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(2,012</w:t>
            </w:r>
          </w:p>
        </w:tc>
        <w:tc>
          <w:tcPr>
            <w:tcW w:w="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3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tcPr>
          <w:p>
            <w:pPr>
              <w:ind w:left="640"/>
              <w:spacing w:after="0"/>
              <w:rPr>
                <w:sz w:val="20"/>
                <w:szCs w:val="20"/>
                <w:color w:val="auto"/>
              </w:rPr>
            </w:pPr>
            <w:r>
              <w:rPr>
                <w:rFonts w:ascii="Arial" w:cs="Arial" w:eastAsia="Arial" w:hAnsi="Arial"/>
                <w:sz w:val="18"/>
                <w:szCs w:val="18"/>
                <w:color w:val="auto"/>
              </w:rPr>
              <w:t>Acquisitions net of cash acquired</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3"/>
          </w:tcPr>
          <w:p>
            <w:pPr>
              <w:jc w:val="right"/>
              <w:ind w:right="160"/>
              <w:spacing w:after="0"/>
              <w:rPr>
                <w:sz w:val="20"/>
                <w:szCs w:val="20"/>
                <w:color w:val="auto"/>
              </w:rPr>
            </w:pPr>
            <w:r>
              <w:rPr>
                <w:rFonts w:ascii="Arial" w:cs="Arial" w:eastAsia="Arial" w:hAnsi="Arial"/>
                <w:sz w:val="18"/>
                <w:szCs w:val="18"/>
                <w:color w:val="auto"/>
              </w:rPr>
              <w:t>(12,000)</w:t>
            </w:r>
          </w:p>
        </w:tc>
        <w:tc>
          <w:tcPr>
            <w:tcW w:w="3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Purchases of property and equipment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(436)</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tcPr>
          <w:p>
            <w:pPr>
              <w:ind w:left="640"/>
              <w:spacing w:after="0"/>
              <w:rPr>
                <w:sz w:val="20"/>
                <w:szCs w:val="20"/>
                <w:color w:val="auto"/>
              </w:rPr>
            </w:pPr>
            <w:r>
              <w:rPr>
                <w:rFonts w:ascii="Arial" w:cs="Arial" w:eastAsia="Arial" w:hAnsi="Arial"/>
                <w:sz w:val="18"/>
                <w:szCs w:val="18"/>
                <w:color w:val="auto"/>
              </w:rPr>
              <w:t>Disposals of property and equipment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Collection of note receivable</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223</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80" w:type="dxa"/>
            <w:vAlign w:val="bottom"/>
            <w:gridSpan w:val="2"/>
          </w:tcPr>
          <w:p>
            <w:pPr>
              <w:ind w:left="640"/>
              <w:spacing w:after="0"/>
              <w:rPr>
                <w:sz w:val="20"/>
                <w:szCs w:val="20"/>
                <w:color w:val="auto"/>
              </w:rPr>
            </w:pPr>
            <w:r>
              <w:rPr>
                <w:rFonts w:ascii="Arial" w:cs="Arial" w:eastAsia="Arial" w:hAnsi="Arial"/>
                <w:sz w:val="18"/>
                <w:szCs w:val="18"/>
                <w:color w:val="auto"/>
              </w:rPr>
              <w:t>Net change in funds held for clients</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3"/>
          </w:tcPr>
          <w:p>
            <w:pPr>
              <w:jc w:val="right"/>
              <w:ind w:right="160"/>
              <w:spacing w:after="0"/>
              <w:rPr>
                <w:sz w:val="20"/>
                <w:szCs w:val="20"/>
                <w:color w:val="auto"/>
              </w:rPr>
            </w:pPr>
            <w:r>
              <w:rPr>
                <w:rFonts w:ascii="Arial" w:cs="Arial" w:eastAsia="Arial" w:hAnsi="Arial"/>
                <w:sz w:val="18"/>
                <w:szCs w:val="18"/>
                <w:color w:val="auto"/>
              </w:rPr>
              <w:t>(6,562)</w:t>
            </w:r>
          </w:p>
        </w:tc>
        <w:tc>
          <w:tcPr>
            <w:tcW w:w="3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shd w:val="clear" w:color="auto" w:fill="CCEEFF"/>
          </w:tcPr>
          <w:p>
            <w:pPr>
              <w:ind w:left="400"/>
              <w:spacing w:after="0"/>
              <w:rPr>
                <w:sz w:val="20"/>
                <w:szCs w:val="20"/>
                <w:color w:val="auto"/>
              </w:rPr>
            </w:pPr>
            <w:r>
              <w:rPr>
                <w:rFonts w:ascii="Arial" w:cs="Arial" w:eastAsia="Arial" w:hAnsi="Arial"/>
                <w:sz w:val="18"/>
                <w:szCs w:val="18"/>
                <w:b w:val="1"/>
                <w:bCs w:val="1"/>
                <w:color w:val="auto"/>
              </w:rPr>
              <w:t>Net cash used in investing activities</w:t>
            </w:r>
          </w:p>
        </w:tc>
        <w:tc>
          <w:tcPr>
            <w:tcW w:w="2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(18,775)</w:t>
            </w:r>
          </w:p>
        </w:tc>
        <w:tc>
          <w:tcPr>
            <w:tcW w:w="20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tcPr>
          <w:p>
            <w:pPr>
              <w:ind w:left="640"/>
              <w:spacing w:after="0"/>
              <w:rPr>
                <w:sz w:val="20"/>
                <w:szCs w:val="20"/>
                <w:color w:val="auto"/>
              </w:rPr>
            </w:pPr>
            <w:r>
              <w:rPr>
                <w:rFonts w:ascii="Arial" w:cs="Arial" w:eastAsia="Arial" w:hAnsi="Arial"/>
                <w:sz w:val="18"/>
                <w:szCs w:val="18"/>
                <w:color w:val="auto"/>
              </w:rPr>
              <w:t>Proceeds from notes payable</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3"/>
          </w:tcPr>
          <w:p>
            <w:pPr>
              <w:jc w:val="right"/>
              <w:ind w:right="220"/>
              <w:spacing w:after="0"/>
              <w:rPr>
                <w:sz w:val="20"/>
                <w:szCs w:val="20"/>
                <w:color w:val="auto"/>
              </w:rPr>
            </w:pPr>
            <w:r>
              <w:rPr>
                <w:rFonts w:ascii="Arial" w:cs="Arial" w:eastAsia="Arial" w:hAnsi="Arial"/>
                <w:sz w:val="18"/>
                <w:szCs w:val="18"/>
                <w:color w:val="auto"/>
              </w:rPr>
              <w:t>18,413</w:t>
            </w:r>
          </w:p>
        </w:tc>
        <w:tc>
          <w:tcPr>
            <w:tcW w:w="3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Payments on notes payable</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(7,233)</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tcPr>
          <w:p>
            <w:pPr>
              <w:ind w:left="640"/>
              <w:spacing w:after="0"/>
              <w:rPr>
                <w:sz w:val="20"/>
                <w:szCs w:val="20"/>
                <w:color w:val="auto"/>
              </w:rPr>
            </w:pPr>
            <w:r>
              <w:rPr>
                <w:rFonts w:ascii="Arial" w:cs="Arial" w:eastAsia="Arial" w:hAnsi="Arial"/>
                <w:sz w:val="18"/>
                <w:szCs w:val="18"/>
                <w:color w:val="auto"/>
              </w:rPr>
              <w:t>Payments on amendment of senior notes payable</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Debt financing fees</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(438)</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tcPr>
          <w:p>
            <w:pPr>
              <w:ind w:left="640"/>
              <w:spacing w:after="0"/>
              <w:rPr>
                <w:sz w:val="20"/>
                <w:szCs w:val="20"/>
                <w:color w:val="auto"/>
              </w:rPr>
            </w:pPr>
            <w:r>
              <w:rPr>
                <w:rFonts w:ascii="Arial" w:cs="Arial" w:eastAsia="Arial" w:hAnsi="Arial"/>
                <w:sz w:val="18"/>
                <w:szCs w:val="18"/>
                <w:color w:val="auto"/>
              </w:rPr>
              <w:t>Payments on capital leases</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3"/>
          </w:tcPr>
          <w:p>
            <w:pPr>
              <w:jc w:val="right"/>
              <w:ind w:right="160"/>
              <w:spacing w:after="0"/>
              <w:rPr>
                <w:sz w:val="20"/>
                <w:szCs w:val="20"/>
                <w:color w:val="auto"/>
              </w:rPr>
            </w:pPr>
            <w:r>
              <w:rPr>
                <w:rFonts w:ascii="Arial" w:cs="Arial" w:eastAsia="Arial" w:hAnsi="Arial"/>
                <w:sz w:val="18"/>
                <w:szCs w:val="18"/>
                <w:color w:val="auto"/>
              </w:rPr>
              <w:t>(197)</w:t>
            </w:r>
          </w:p>
        </w:tc>
        <w:tc>
          <w:tcPr>
            <w:tcW w:w="3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Net proceeds from issuance of stock</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15,192</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80" w:type="dxa"/>
            <w:vAlign w:val="bottom"/>
            <w:gridSpan w:val="2"/>
          </w:tcPr>
          <w:p>
            <w:pPr>
              <w:ind w:left="640"/>
              <w:spacing w:after="0"/>
              <w:rPr>
                <w:sz w:val="20"/>
                <w:szCs w:val="20"/>
                <w:color w:val="auto"/>
              </w:rPr>
            </w:pPr>
            <w:r>
              <w:rPr>
                <w:rFonts w:ascii="Arial" w:cs="Arial" w:eastAsia="Arial" w:hAnsi="Arial"/>
                <w:sz w:val="18"/>
                <w:szCs w:val="18"/>
                <w:color w:val="auto"/>
              </w:rPr>
              <w:t>Net change in client fund obligations</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6,562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Net cash used in financing activities</w:t>
            </w:r>
          </w:p>
        </w:tc>
        <w:tc>
          <w:tcPr>
            <w:tcW w:w="2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32,299</w:t>
            </w:r>
          </w:p>
        </w:tc>
        <w:tc>
          <w:tcPr>
            <w:tcW w:w="20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80" w:type="dxa"/>
            <w:vAlign w:val="bottom"/>
            <w:gridSpan w:val="2"/>
          </w:tcPr>
          <w:p>
            <w:pPr>
              <w:spacing w:after="0"/>
              <w:rPr>
                <w:sz w:val="19"/>
                <w:szCs w:val="19"/>
                <w:color w:val="auto"/>
              </w:rPr>
            </w:pPr>
          </w:p>
        </w:tc>
        <w:tc>
          <w:tcPr>
            <w:tcW w:w="6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Effect of foreign exchange rates</w:t>
            </w:r>
          </w:p>
        </w:tc>
        <w:tc>
          <w:tcPr>
            <w:tcW w:w="2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97</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3"/>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11,609</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8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1,158</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320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2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12,767</w:t>
            </w:r>
          </w:p>
        </w:tc>
        <w:tc>
          <w:tcPr>
            <w:tcW w:w="2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1,158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SUPPLEMENTAL INFORMATION:</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tcPr>
          <w:p>
            <w:pPr>
              <w:spacing w:after="0"/>
              <w:rPr>
                <w:sz w:val="20"/>
                <w:szCs w:val="20"/>
                <w:color w:val="auto"/>
              </w:rPr>
            </w:pPr>
            <w:r>
              <w:rPr>
                <w:rFonts w:ascii="Arial" w:cs="Arial" w:eastAsia="Arial" w:hAnsi="Arial"/>
                <w:sz w:val="18"/>
                <w:szCs w:val="18"/>
                <w:color w:val="auto"/>
              </w:rPr>
              <w:t>Cash paid for:</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w:t>
            </w:r>
          </w:p>
        </w:tc>
        <w:tc>
          <w:tcPr>
            <w:tcW w:w="46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Non-cash Investing and Financing Activities:</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tcPr>
          <w:p>
            <w:pPr>
              <w:spacing w:after="0"/>
              <w:rPr>
                <w:sz w:val="20"/>
                <w:szCs w:val="20"/>
                <w:color w:val="auto"/>
              </w:rPr>
            </w:pPr>
            <w:r>
              <w:rPr>
                <w:rFonts w:ascii="Arial" w:cs="Arial" w:eastAsia="Arial" w:hAnsi="Arial"/>
                <w:sz w:val="18"/>
                <w:szCs w:val="18"/>
                <w:color w:val="auto"/>
              </w:rPr>
              <w:t>Note receivable from customer</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notes payable- Mangrove acquisition</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80" w:type="dxa"/>
            <w:vAlign w:val="bottom"/>
            <w:gridSpan w:val="2"/>
          </w:tcPr>
          <w:p>
            <w:pPr>
              <w:spacing w:after="0"/>
              <w:rPr>
                <w:sz w:val="20"/>
                <w:szCs w:val="20"/>
                <w:color w:val="auto"/>
              </w:rPr>
            </w:pPr>
            <w:r>
              <w:rPr>
                <w:rFonts w:ascii="Arial" w:cs="Arial" w:eastAsia="Arial" w:hAnsi="Arial"/>
                <w:sz w:val="18"/>
                <w:szCs w:val="18"/>
                <w:color w:val="auto"/>
              </w:rPr>
              <w:t>Accrued purchases of property and equipment</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108" w:right="2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 or otherwise noted)</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 THE COMPANY</w:t>
      </w:r>
    </w:p>
    <w:p>
      <w:pPr>
        <w:spacing w:after="0" w:line="24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Asure Software, Inc., a Delaware corporation incorporated in 1985, is a provider of cloud-based software-as-a-service (“SaaS”) time and labor management and Agile Workplace management solutions that enable organizations to manage their office environments as well as their human resource and payroll processes effectively and efficiently. Asure develops, markets, sells and supports its offerings worldwide through its principal office in Austin, Texas and through additional offices in Dedham, Massachusetts; Tampa, Florida; Traverse City, Michigan and London, United Kingdom.</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SIGNIFICANT ACCOUNTING POLICIES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BASIS OF PRESENTATION</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Asure has prepared its consolidated financial statements in accordance with U.S. generally accepted accounting principles and has included the accounts of its wholly owned subsidiaries. We have eliminated all significant intercompany transactions and balances in consolidation. Asure has made certain reclassifications to the prior year’s financial statements to conform to the current year presentation.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SEGMENTS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chief operating decision maker is Asure’s Chief Executive Officer who reviews financial information presented on a company-wide basis. Accordingly, in accordance with Financial Accounting Standards Board (“FASB”) Accounting Standards Codification (“ASC”) 280, Asure determined that it has a single reporting segment and operating unit structure.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USE OF ESTIMATES</w:t>
      </w:r>
    </w:p>
    <w:p>
      <w:pPr>
        <w:spacing w:after="0" w:line="25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Preparation of the consolidated financial statements in conformity with U.S. generally accepted accounting principles requires management to make estimates and assumptions that affect the reported amounts of the assets and liabilities, the disclosure of contingent assets and liabilities at the date of the financial statements and the reported amounts of revenues and expenses during the reporting period. These estimates are subjective in nature and involve judgments that affect the reported amounts of assets and liabilities, the disclosure of contingent assets and liabilities at fiscal year end and the reported amounts of revenues and expenses during the fiscal year. The more significant estimates made by management include the valuation allowance for the gross deferred tax assets, useful lives of fixed assets, the determination of the fair value of its long-lived assets, and the fair value of assets acquired and liabilities assumed during acquisitions. Asure bases its estimates on historical experience and on various other assumptions its management believes reasonable under the given circumstances. These estimates could be materially different under different conditions and assumptions. Additionally, the actual amounts could differ from the estimates made. Management periodically evaluates estimates used in the preparation of the financial statements for continued reasonableness. Asure makes appropriate adjustments, if any, to the estimates used prospectively based upon such periodic evaluation.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CONTINGENCIES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Although Asure has been, and in the future may be, the defendant or plaintiff in various actions arising in the normal course of business, as of December 31, 2016, we were not party to any pending legal proceedings.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December 31, 2016, Asure’s principal sources of liquidity consisted of approximately $12,767 of cash and cash equivalents, future cash generated from operations and $3,000 available for borrowing under our Wells Fargo revolver discussed in Note 6 – Notes Payable. Cash and cash equivalents were $1,158 at December 31, 2015.</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 or otherwise noted)</w:t>
      </w:r>
    </w:p>
    <w:p>
      <w:pPr>
        <w:spacing w:after="0" w:line="23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December 2016, we completed an underwritten public offering of 1,949,250 shares of common stock at the public offering price of $8.00 per share, which includes 254,250 shares sold pursuant to the underwriters’ full exercise of their over-allotment option. Our net proceeds, after deducting the underwriting discounts and commissions and other estimated offering expenses, were approximately $14,400. We intend to use the net proceeds received from the offering for general corporate purposes. We may also use a portion of the net proceeds to acquire or invest in complementary businesses, assets or technologies. We subsequently used a portion of the proceeds to reduce approximately $3.0 million of our secured subordinated indebtedness payable in connection with the 2016 acquisition of Mangrove and for the three acquisitions we closed in January 2017, as discussed in Note 14- Subsequent Events.</w:t>
      </w:r>
    </w:p>
    <w:p>
      <w:pPr>
        <w:spacing w:after="0" w:line="19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Wells Fargo Credit Agreement was amended in March 2015 to authorize us to optionally prepay, subject to specified conditions, the Subordinated Note Payable to Roomtag and to revise the leverage ratio beginning with the quarter ended March 31, 2015 to a leverage ratio of not greater than 3.5 to 1.0 with the levels stepping down thereafter. We also amended the Credit Agreement in November 2015. The November 2015 amendment increased the applicable margin relative to the LIBOR rate upon which we compute the interest payable. We agreed that if our leverage ratio is (a) less than or equal to 2.25:1, (b) greater than 2.25:1 but less than or equal to 2.75:1, (c) greater than 2.75:1 but less than or equal to 3.25:1 or (d) greater than 3.25:1, the applicable margin relative to the LIBOR rate would be 3.00, 3.50, 4.00 or 4.50 percentage points, respectively. We further agreed that until the leverage ratio testing period ended September 30, 2016, we will pay interest based on the 4.50 percentage point margin level.</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amended our Credit Agreement in March 2016. Under this amendment, we expanded our overall credit facility by $12,500 to $29,188. This includes a $26,188 term facility which is due on March 21, 2019 and a $3,000 revolving credit facility. The amendment also changed the applicable margin rates for determining the interest rate payable on the loan as follows:</w:t>
      </w:r>
    </w:p>
    <w:p>
      <w:pPr>
        <w:spacing w:after="0" w:line="204" w:lineRule="exact"/>
        <w:rPr>
          <w:sz w:val="20"/>
          <w:szCs w:val="20"/>
          <w:color w:val="auto"/>
        </w:rPr>
      </w:pPr>
    </w:p>
    <w:tbl>
      <w:tblPr>
        <w:tblLayout w:type="fixed"/>
        <w:tblInd w:w="1440" w:type="dxa"/>
        <w:tblCellMar>
          <w:top w:w="0" w:type="dxa"/>
          <w:left w:w="0" w:type="dxa"/>
          <w:bottom w:w="0" w:type="dxa"/>
          <w:right w:w="0" w:type="dxa"/>
        </w:tblCellMar>
      </w:tblPr>
      <w:tr>
        <w:trPr>
          <w:trHeight w:val="241"/>
        </w:trPr>
        <w:tc>
          <w:tcPr>
            <w:tcW w:w="4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Total Leverage Ratio</w:t>
            </w:r>
          </w:p>
        </w:tc>
        <w:tc>
          <w:tcPr>
            <w:tcW w:w="120" w:type="dxa"/>
            <w:vAlign w:val="bottom"/>
          </w:tcPr>
          <w:p>
            <w:pPr>
              <w:spacing w:after="0"/>
              <w:rPr>
                <w:sz w:val="20"/>
                <w:szCs w:val="20"/>
                <w:color w:val="auto"/>
              </w:rPr>
            </w:pPr>
          </w:p>
        </w:tc>
        <w:tc>
          <w:tcPr>
            <w:tcW w:w="16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99"/>
              </w:rPr>
              <w:t>Base Rate Margin</w:t>
            </w:r>
          </w:p>
        </w:tc>
        <w:tc>
          <w:tcPr>
            <w:tcW w:w="300" w:type="dxa"/>
            <w:vAlign w:val="bottom"/>
          </w:tcPr>
          <w:p>
            <w:pPr>
              <w:spacing w:after="0"/>
              <w:rPr>
                <w:sz w:val="20"/>
                <w:szCs w:val="20"/>
                <w:color w:val="auto"/>
              </w:rPr>
            </w:pPr>
          </w:p>
        </w:tc>
        <w:tc>
          <w:tcPr>
            <w:tcW w:w="16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w w:val="98"/>
              </w:rPr>
              <w:t>LIBOR Rate Margin</w:t>
            </w:r>
          </w:p>
        </w:tc>
        <w:tc>
          <w:tcPr>
            <w:tcW w:w="180" w:type="dxa"/>
            <w:vAlign w:val="bottom"/>
          </w:tcPr>
          <w:p>
            <w:pPr>
              <w:spacing w:after="0"/>
              <w:rPr>
                <w:sz w:val="20"/>
                <w:szCs w:val="20"/>
                <w:color w:val="auto"/>
              </w:rPr>
            </w:pPr>
          </w:p>
        </w:tc>
      </w:tr>
      <w:tr>
        <w:trPr>
          <w:trHeight w:val="216"/>
        </w:trPr>
        <w:tc>
          <w:tcPr>
            <w:tcW w:w="4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 2.75:1</w:t>
            </w:r>
          </w:p>
        </w:tc>
        <w:tc>
          <w:tcPr>
            <w:tcW w:w="1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3.50%</w:t>
            </w:r>
          </w:p>
        </w:tc>
        <w:tc>
          <w:tcPr>
            <w:tcW w:w="1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4.50%</w:t>
            </w:r>
          </w:p>
        </w:tc>
      </w:tr>
      <w:tr>
        <w:trPr>
          <w:trHeight w:val="216"/>
        </w:trPr>
        <w:tc>
          <w:tcPr>
            <w:tcW w:w="4600" w:type="dxa"/>
            <w:vAlign w:val="bottom"/>
          </w:tcPr>
          <w:p>
            <w:pPr>
              <w:jc w:val="center"/>
              <w:spacing w:after="0"/>
              <w:rPr>
                <w:sz w:val="20"/>
                <w:szCs w:val="20"/>
                <w:color w:val="auto"/>
              </w:rPr>
            </w:pPr>
            <w:r>
              <w:rPr>
                <w:rFonts w:ascii="Arial" w:cs="Arial" w:eastAsia="Arial" w:hAnsi="Arial"/>
                <w:sz w:val="18"/>
                <w:szCs w:val="18"/>
                <w:color w:val="auto"/>
                <w:w w:val="91"/>
              </w:rPr>
              <w:t>&gt; 2.75:1 but ≤ 3.25:1</w:t>
            </w:r>
          </w:p>
        </w:tc>
        <w:tc>
          <w:tcPr>
            <w:tcW w:w="2080" w:type="dxa"/>
            <w:vAlign w:val="bottom"/>
            <w:gridSpan w:val="3"/>
          </w:tcPr>
          <w:p>
            <w:pPr>
              <w:jc w:val="right"/>
              <w:ind w:right="140"/>
              <w:spacing w:after="0"/>
              <w:rPr>
                <w:sz w:val="20"/>
                <w:szCs w:val="20"/>
                <w:color w:val="auto"/>
              </w:rPr>
            </w:pPr>
            <w:r>
              <w:rPr>
                <w:rFonts w:ascii="Arial" w:cs="Arial" w:eastAsia="Arial" w:hAnsi="Arial"/>
                <w:sz w:val="18"/>
                <w:szCs w:val="18"/>
                <w:color w:val="auto"/>
              </w:rPr>
              <w:t>4.00%</w:t>
            </w:r>
          </w:p>
        </w:tc>
        <w:tc>
          <w:tcPr>
            <w:tcW w:w="1860" w:type="dxa"/>
            <w:vAlign w:val="bottom"/>
            <w:gridSpan w:val="2"/>
          </w:tcPr>
          <w:p>
            <w:pPr>
              <w:jc w:val="right"/>
              <w:ind w:right="40"/>
              <w:spacing w:after="0"/>
              <w:rPr>
                <w:sz w:val="20"/>
                <w:szCs w:val="20"/>
                <w:color w:val="auto"/>
              </w:rPr>
            </w:pPr>
            <w:r>
              <w:rPr>
                <w:rFonts w:ascii="Arial" w:cs="Arial" w:eastAsia="Arial" w:hAnsi="Arial"/>
                <w:sz w:val="18"/>
                <w:szCs w:val="18"/>
                <w:color w:val="auto"/>
              </w:rPr>
              <w:t>5.00%</w:t>
            </w:r>
          </w:p>
        </w:tc>
      </w:tr>
      <w:tr>
        <w:trPr>
          <w:trHeight w:val="216"/>
        </w:trPr>
        <w:tc>
          <w:tcPr>
            <w:tcW w:w="4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 3.25:1</w:t>
            </w:r>
          </w:p>
        </w:tc>
        <w:tc>
          <w:tcPr>
            <w:tcW w:w="20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4.50%</w:t>
            </w:r>
          </w:p>
        </w:tc>
        <w:tc>
          <w:tcPr>
            <w:tcW w:w="1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5.50%</w:t>
            </w: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outstanding principal amount of the term loan is payable as follows:</w:t>
      </w:r>
    </w:p>
    <w:p>
      <w:pPr>
        <w:spacing w:after="0" w:line="225" w:lineRule="exact"/>
        <w:rPr>
          <w:sz w:val="20"/>
          <w:szCs w:val="20"/>
          <w:color w:val="auto"/>
        </w:rPr>
      </w:pPr>
    </w:p>
    <w:p>
      <w:pPr>
        <w:ind w:left="1280" w:hanging="138"/>
        <w:spacing w:after="0"/>
        <w:tabs>
          <w:tab w:leader="none" w:pos="1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$491 on June 30, 2016 and the last day of each fiscal quarter thereafter up to March 31, 2017; and</w:t>
      </w:r>
    </w:p>
    <w:p>
      <w:pPr>
        <w:spacing w:after="0" w:line="23" w:lineRule="exact"/>
        <w:rPr>
          <w:rFonts w:ascii="Arial" w:cs="Arial" w:eastAsia="Arial" w:hAnsi="Arial"/>
          <w:sz w:val="18"/>
          <w:szCs w:val="18"/>
          <w:color w:val="auto"/>
        </w:rPr>
      </w:pPr>
    </w:p>
    <w:p>
      <w:pPr>
        <w:ind w:left="1280" w:hanging="138"/>
        <w:spacing w:after="0"/>
        <w:tabs>
          <w:tab w:leader="none" w:pos="1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$655 on June 30, 2017 and the last day of each fiscal quarter thereafter.</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amendment also changed our leverage ratio requirements under the Credit Agreement. We have now agreed to a leverage ratio not to exceed 5.00:1 at March 31, 2016, stepping down to 2.25:1 at December 31, 2018.</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December 31, 2016, we were in compliance with all covenants and all payments remain current. We expect to be in compliance or be able to obtain compliance through debt repayments with the available cash on hand or as we expect to be generated from the ordinary course of operations over the next twelve months from the issuance of the consolidated financial statements.</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Management is focused on growing our existing product offering, as well as our customer base, to increase our recurring revenues. We have made and will continue to explore additional strategic acquisitions. We expect to fund any future acquisitions with equity, available cash, future cash from operations, or debt from outside sources.</w:t>
      </w:r>
    </w:p>
    <w:p>
      <w:pPr>
        <w:spacing w:after="0" w:line="20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cannot assure that we can grow our cash balances or limit our cash consumption and thus maintain sufficient cash balances for our planned operations or future acquisitions. Future business demands may lead to cash utilization at levels greater than recently experienced. We may need to raise additional capital in the future. However, we cannot assure that we will be able to raise additional capital on acceptable terms, or at all. Subject to the foregoing, management believes that we have sufficient capital and liquidity to fund and cultivate the growth of our current and future operations for at least the next twelve months from the issuance of the consolidated financial statements and to maintain compliance with the terms of our debt agreements and related covenants or to obtain compliance through debt repayments made with the available cash on hand or anticipated for receipt in the ordinary course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AND CASH EQUIVALENTS</w:t>
      </w:r>
    </w:p>
    <w:p>
      <w:pPr>
        <w:spacing w:after="0" w:line="256" w:lineRule="exact"/>
        <w:rPr>
          <w:sz w:val="20"/>
          <w:szCs w:val="20"/>
          <w:color w:val="auto"/>
        </w:rPr>
      </w:pPr>
    </w:p>
    <w:p>
      <w:pPr>
        <w:jc w:val="center"/>
        <w:ind w:left="320"/>
        <w:spacing w:after="0"/>
        <w:rPr>
          <w:sz w:val="20"/>
          <w:szCs w:val="20"/>
          <w:color w:val="auto"/>
        </w:rPr>
      </w:pPr>
      <w:r>
        <w:rPr>
          <w:rFonts w:ascii="Arial" w:cs="Arial" w:eastAsia="Arial" w:hAnsi="Arial"/>
          <w:sz w:val="17"/>
          <w:szCs w:val="17"/>
          <w:color w:val="auto"/>
        </w:rPr>
        <w:t>Cash and cash equivalents include cash deposits and highly liquid investments with an original maturity of three months or less when purchased.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 or otherwise noted)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FUNDS HELD FOR CLIENTS</w:t>
      </w:r>
    </w:p>
    <w:p>
      <w:pPr>
        <w:spacing w:after="0" w:line="25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Funds held for clients represent assets that, based upon the Company’s intent, are restricted for use solely for the purposes of satisfying the obligations to remit funds relating to the Company’s payroll and payroll tax filing services, which are classified as client fund obligations on our Consolidated Balance Sheets. Funds held for clients are held in demand deposit accounts at major financial institutions and are classified as a current asset on our Consolidated Balance Sheets since these funds are held solely for the purposes of satisfying the client fund obligations.</w:t>
      </w:r>
    </w:p>
    <w:p>
      <w:pPr>
        <w:spacing w:after="0" w:line="19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Client fund obligations represent the Company’s contractual obligations to remit funds to satisfy clients’ payroll and tax payment obligations and are recorded on the Consolidated Balance Sheets at the time that the Company impounds funds from clients. The client fund obligations represent liabilities that will be repaid within one year of the balance sheet date. The Company has reported client fund obligations as a current liability on the Consolidated Balance Sheets totaling $22,981 and $0 as of December 31, 2016 and December 31, 2015, respectively. The Company has classified funds held for clients as a current asset since these funds are held solely for the purposes of satisfying client funds obligations. The Company has reported cash flows related to purchases, sales and maturities of corporate and client funds marketable securities on a gross basis in the investing section of the Statements of Consolidated Cash Flows. The Company has reported cash flows related to client fund investments with original maturities of ninety days or less on a net basis within the net increase in restricted cash and cash equivalents and other restricted assets held to satisfy client fund obligations in the investing section of the Statements of Consolidated Cash Flows. The Company has reported cash flows related to cash received from and paid on behalf of clients on a net basis within the net increase in client fund obligations in the financing activities section of the Statements of Consolidated Cash Flows.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FAIR VALUE OF FINANCIAL INSTRUMENTS</w:t>
      </w:r>
    </w:p>
    <w:p>
      <w:pPr>
        <w:spacing w:after="0" w:line="256"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We apply the authoritative guidance on fair value measurements for financial assets and liabilities that are measured at fair value on a recurring basis, and non-financial assets and liabilities such as goodwill, intangible assets and property and equipment that are measured at fair value on a non-recurring basis.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CONCENTRATION OF CREDIT RISK</w:t>
      </w:r>
    </w:p>
    <w:p>
      <w:pPr>
        <w:spacing w:after="0" w:line="25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grant credit to customers in the ordinary course of business. We limit concentrations of credit risk related to our trade accounts receivable due to our large number of customers, including third-party resellers, and their dispersion across several industries and geographic areas. We perform ongoing credit evaluations of our customers and maintain reserves for potential credit losses. We require advanced payments or secured transactions when deemed necessary.</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Asure reviews potential customers’ credit ratings to evaluate customers’ ability to pay an obligation within the payment term, which is usually net thirty days. If we receive reasonable assurance of payment and know of no barriers to legally enforce the payment obligation, we may extend credit to customers. We place accounts on “Credit Hold” if a placed order exceeds the credit limit or sooner if circumstances warrant. We follow our credit policy consistently and routinely monitor our delinquent accounts for indications of uncollectability.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ALLOWANCE FOR DOUBTFUL ACCOUNTS</w:t>
      </w:r>
    </w:p>
    <w:p>
      <w:pPr>
        <w:spacing w:after="0" w:line="25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Asure maintains an allowance for doubtful accounts at an amount we estimate to be sufficient to provide adequate protection against losses resulting from extending credit to our customers. We base this allowance, in the aggregate, on historical collection experience, age of receivables and general economic conditions. The allowance for doubtful accounts also considers the need for specific customer reserves based on the customer’s payment experience, credit-worthiness and age of receivable balances. Asure’s bad debts have not been material and have been within management expectations.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annual changes in our allowance for doubtful accounts: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4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2014</w:t>
            </w:r>
          </w:p>
        </w:tc>
        <w:tc>
          <w:tcPr>
            <w:tcW w:w="3920" w:type="dxa"/>
            <w:vAlign w:val="bottom"/>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CCEEFF"/>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Provision for doubtful accounts receivable</w:t>
            </w:r>
          </w:p>
        </w:tc>
        <w:tc>
          <w:tcPr>
            <w:tcW w:w="3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23"/>
        </w:trPr>
        <w:tc>
          <w:tcPr>
            <w:tcW w:w="1440" w:type="dxa"/>
            <w:vAlign w:val="bottom"/>
          </w:tcPr>
          <w:p>
            <w:pPr>
              <w:spacing w:after="0"/>
              <w:rPr>
                <w:sz w:val="19"/>
                <w:szCs w:val="19"/>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Write-off of uncollectible accounts receivable</w:t>
            </w:r>
          </w:p>
        </w:tc>
        <w:tc>
          <w:tcPr>
            <w:tcW w:w="33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w:t>
            </w:r>
          </w:p>
        </w:tc>
        <w:tc>
          <w:tcPr>
            <w:tcW w:w="1440" w:type="dxa"/>
            <w:vAlign w:val="bottom"/>
          </w:tcPr>
          <w:p>
            <w:pPr>
              <w:spacing w:after="0"/>
              <w:rPr>
                <w:sz w:val="19"/>
                <w:szCs w:val="19"/>
                <w:color w:val="auto"/>
              </w:rPr>
            </w:pPr>
          </w:p>
        </w:tc>
      </w:tr>
      <w:tr>
        <w:trPr>
          <w:trHeight w:val="216"/>
        </w:trPr>
        <w:tc>
          <w:tcPr>
            <w:tcW w:w="1440" w:type="dxa"/>
            <w:vAlign w:val="bottom"/>
          </w:tcPr>
          <w:p>
            <w:pPr>
              <w:spacing w:after="0"/>
              <w:rPr>
                <w:sz w:val="18"/>
                <w:szCs w:val="18"/>
                <w:color w:val="auto"/>
              </w:rPr>
            </w:pPr>
          </w:p>
        </w:tc>
        <w:tc>
          <w:tcPr>
            <w:tcW w:w="37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Balance at December 31, 2015</w:t>
            </w:r>
          </w:p>
        </w:tc>
        <w:tc>
          <w:tcPr>
            <w:tcW w:w="3320" w:type="dxa"/>
            <w:vAlign w:val="bottom"/>
            <w:tcBorders>
              <w:top w:val="single" w:sz="8" w:color="CCEEFF"/>
            </w:tcBorders>
          </w:tcPr>
          <w:p>
            <w:pPr>
              <w:spacing w:after="0"/>
              <w:rPr>
                <w:sz w:val="18"/>
                <w:szCs w:val="18"/>
                <w:color w:val="auto"/>
              </w:rPr>
            </w:pPr>
          </w:p>
        </w:tc>
        <w:tc>
          <w:tcPr>
            <w:tcW w:w="60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120" w:type="dxa"/>
            <w:vAlign w:val="bottom"/>
            <w:tcBorders>
              <w:top w:val="single" w:sz="8" w:color="CCEEFF"/>
            </w:tcBorders>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doubtful accounts receivable</w:t>
            </w:r>
          </w:p>
        </w:tc>
        <w:tc>
          <w:tcPr>
            <w:tcW w:w="3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20" w:type="dxa"/>
            <w:vAlign w:val="bottom"/>
            <w:shd w:val="clear" w:color="auto" w:fill="CCEEFF"/>
          </w:tcPr>
          <w:p>
            <w:pPr>
              <w:spacing w:after="0"/>
              <w:rPr>
                <w:sz w:val="18"/>
                <w:szCs w:val="18"/>
                <w:color w:val="auto"/>
              </w:rPr>
            </w:pPr>
          </w:p>
        </w:tc>
        <w:tc>
          <w:tcPr>
            <w:tcW w:w="1440" w:type="dxa"/>
            <w:vAlign w:val="bottom"/>
          </w:tcPr>
          <w:p>
            <w:pPr>
              <w:spacing w:after="0"/>
              <w:rPr>
                <w:sz w:val="18"/>
                <w:szCs w:val="18"/>
                <w:color w:val="auto"/>
              </w:rPr>
            </w:pPr>
          </w:p>
        </w:tc>
      </w:tr>
      <w:tr>
        <w:trPr>
          <w:trHeight w:val="223"/>
        </w:trPr>
        <w:tc>
          <w:tcPr>
            <w:tcW w:w="144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Write-off of uncollectible accounts receivable</w:t>
            </w:r>
          </w:p>
        </w:tc>
        <w:tc>
          <w:tcPr>
            <w:tcW w:w="3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(72)</w:t>
            </w:r>
          </w:p>
        </w:tc>
        <w:tc>
          <w:tcPr>
            <w:tcW w:w="1440" w:type="dxa"/>
            <w:vAlign w:val="bottom"/>
          </w:tcPr>
          <w:p>
            <w:pPr>
              <w:spacing w:after="0"/>
              <w:rPr>
                <w:sz w:val="19"/>
                <w:szCs w:val="19"/>
                <w:color w:val="auto"/>
              </w:rPr>
            </w:pPr>
          </w:p>
        </w:tc>
      </w:tr>
      <w:tr>
        <w:trPr>
          <w:trHeight w:val="257"/>
        </w:trPr>
        <w:tc>
          <w:tcPr>
            <w:tcW w:w="1440" w:type="dxa"/>
            <w:vAlign w:val="bottom"/>
          </w:tcPr>
          <w:p>
            <w:pPr>
              <w:spacing w:after="0"/>
              <w:rPr>
                <w:sz w:val="22"/>
                <w:szCs w:val="22"/>
                <w:color w:val="auto"/>
              </w:rPr>
            </w:pPr>
          </w:p>
        </w:tc>
        <w:tc>
          <w:tcPr>
            <w:tcW w:w="3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2016</w:t>
            </w:r>
          </w:p>
        </w:tc>
        <w:tc>
          <w:tcPr>
            <w:tcW w:w="33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top w:val="single" w:sz="8" w:color="auto"/>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20" w:type="dxa"/>
            <w:vAlign w:val="bottom"/>
            <w:tcBorders>
              <w:bottom w:val="single" w:sz="8" w:color="CCEEFF"/>
            </w:tcBorders>
            <w:shd w:val="clear" w:color="auto" w:fill="CCEEFF"/>
          </w:tcPr>
          <w:p>
            <w:pPr>
              <w:spacing w:after="0"/>
              <w:rPr>
                <w:sz w:val="22"/>
                <w:szCs w:val="22"/>
                <w:color w:val="auto"/>
              </w:rPr>
            </w:pPr>
          </w:p>
        </w:tc>
        <w:tc>
          <w:tcPr>
            <w:tcW w:w="1440" w:type="dxa"/>
            <w:vAlign w:val="bottom"/>
          </w:tcPr>
          <w:p>
            <w:pPr>
              <w:spacing w:after="0"/>
              <w:rPr>
                <w:sz w:val="22"/>
                <w:szCs w:val="22"/>
                <w:color w:val="auto"/>
              </w:rPr>
            </w:pPr>
          </w:p>
        </w:tc>
      </w:tr>
      <w:tr>
        <w:trPr>
          <w:trHeight w:val="549"/>
        </w:trPr>
        <w:tc>
          <w:tcPr>
            <w:tcW w:w="14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920" w:type="dxa"/>
            <w:vAlign w:val="bottom"/>
            <w:gridSpan w:val="2"/>
          </w:tcPr>
          <w:p>
            <w:pPr>
              <w:jc w:val="right"/>
              <w:ind w:right="3190"/>
              <w:spacing w:after="0"/>
              <w:rPr>
                <w:sz w:val="20"/>
                <w:szCs w:val="20"/>
                <w:color w:val="auto"/>
              </w:rPr>
            </w:pPr>
            <w:r>
              <w:rPr>
                <w:rFonts w:ascii="Arial" w:cs="Arial" w:eastAsia="Arial" w:hAnsi="Arial"/>
                <w:sz w:val="14"/>
                <w:szCs w:val="14"/>
                <w:color w:val="auto"/>
              </w:rPr>
              <w:t>F-9</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46"/>
        </w:trPr>
        <w:tc>
          <w:tcPr>
            <w:tcW w:w="1440" w:type="dxa"/>
            <w:vAlign w:val="bottom"/>
            <w:tcBorders>
              <w:bottom w:val="single" w:sz="8" w:color="auto"/>
            </w:tcBorders>
          </w:tcPr>
          <w:p>
            <w:pPr>
              <w:spacing w:after="0"/>
              <w:rPr>
                <w:sz w:val="4"/>
                <w:szCs w:val="4"/>
                <w:color w:val="auto"/>
              </w:rPr>
            </w:pPr>
          </w:p>
        </w:tc>
        <w:tc>
          <w:tcPr>
            <w:tcW w:w="3740" w:type="dxa"/>
            <w:vAlign w:val="bottom"/>
            <w:tcBorders>
              <w:bottom w:val="single" w:sz="8" w:color="auto"/>
            </w:tcBorders>
          </w:tcPr>
          <w:p>
            <w:pPr>
              <w:spacing w:after="0"/>
              <w:rPr>
                <w:sz w:val="4"/>
                <w:szCs w:val="4"/>
                <w:color w:val="auto"/>
              </w:rPr>
            </w:pPr>
          </w:p>
        </w:tc>
        <w:tc>
          <w:tcPr>
            <w:tcW w:w="33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 or otherwise noted)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INVENTORY</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Inventory consists of finished goods and is stated at the lower of cost or market, cost being determined using the first-in, first-out method. Inventory includes purchased LCD panels and a full range of biometric and card recognition clocks that we sell as part of our workforce and workspace management solutions. We routinely assess our on-hand inventory for timely identification and measurement of obsolete, slow-moving or otherwise impaired inventory.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PROPERTY AND EQUIPMENT</w:t>
      </w:r>
    </w:p>
    <w:p>
      <w:pPr>
        <w:spacing w:after="0" w:line="25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record property and equipment, including software, furniture and equipment, at cost less accumulated depreciation. We record depreciation using the straight-line method over the estimated economic useful lives of the assets, which range from two to five years. Property and equipment also includes leasehold improvements and capital leases which we record at cost less accumulated amortization. We record amortization of leasehold improvements and capital leases using the straight-line method over the shorter of the lease term or over the life of the respective assets, as applicable. We recognize gains or losses related to retirements or disposition of fixed assets in the period incurred. We expense repair and maintenance costs as incurred. We periodically review the estimated economic useful lives of our property and equipment and make adjustments, if necessary, according to the latest information available.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BUSINESS COMBINATIONS</w:t>
      </w:r>
    </w:p>
    <w:p>
      <w:pPr>
        <w:spacing w:after="0" w:line="25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Asure has accounted for our acquisitions using the acquisition method of accounting based on ASC 805—</w:t>
      </w:r>
      <w:r>
        <w:rPr>
          <w:rFonts w:ascii="Arial" w:cs="Arial" w:eastAsia="Arial" w:hAnsi="Arial"/>
          <w:sz w:val="17"/>
          <w:szCs w:val="17"/>
          <w:i w:val="1"/>
          <w:iCs w:val="1"/>
          <w:color w:val="auto"/>
        </w:rPr>
        <w:t>Business Combinations</w:t>
      </w:r>
      <w:r>
        <w:rPr>
          <w:rFonts w:ascii="Arial" w:cs="Arial" w:eastAsia="Arial" w:hAnsi="Arial"/>
          <w:sz w:val="17"/>
          <w:szCs w:val="17"/>
          <w:color w:val="auto"/>
        </w:rPr>
        <w:t>, which requires recognition and measurement of all identifiable assets acquired and liabilities assumed at their full fair value as of the date we obtain control. We have determined the fair value of assets acquired and liabilities assumed based upon our estimates of the fair values of assets acquired and liabilities assumed in the acquisitions. Goodwill represents the excess of the purchase price over the fair value of the net tangible and identifiable intangible assets acquired. While we have used our best estimates and assumptions to measure the fair value of the identifiable assets acquired and liabilities assumed at the acquisition date, our estimates are inherently uncertain and subject to refinement. As a result, during the measurement period, not to exceed one year from the date of acquisition, any changes in the estimated fair values of the net assets recorded for the acquisitions will result in an adjustment to goodwill. Upon the conclusion of the measurement period or final determination of the values of assets acquired or liabilities assumed, whichever comes first, we record any subsequent adjustments to our consolidated statements of comprehensive loss.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GOODWILL AND OTHER INTANGIBLE ASSETS</w:t>
      </w:r>
    </w:p>
    <w:p>
      <w:pPr>
        <w:spacing w:after="0" w:line="25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Goodwill represents the excess of the purchase price in a business combination over the fair value of net tangible and intangible assets acquired in a business combination. We test goodwill for impairment on an annual basis in the fourth fiscal quarter of each year, and between annual tests if indicators of potential impairment exist, by first assessing qualitative factors to determine whether it is necessary to perform the two-step goodwill impairment test. If determined to be necessary, the two-step impairment test should be used to identify any potential impairment and measure an impairment loss, if any. Step one of the impairment test consists of comparing the fair value of the reporting unit with the aggregate carrying value, including goodwill. If the carrying value of a reporting unit exceeds the reporting unit’s fair value, step two must be performed to determine the amount, if any, of the goodwill impairment. We tested goodwill using the qualitative factors during 2016 and 2015. There has been no impairment of goodwill for the periods presented. See Notes 4 and 5 for additional information regarding goodwill. We amortize intangible assets not considered to have an indefinite useful life using the straight-line method over their useful lives. We currently amortize our acquired intangible assets with definite lives over periods ranging from one to nine years. Each reporting period, we evaluate the estimated remaining useful life of intangible assets and assess whether events or changes in circumstances warrant a revision to the remaining period of amortization or indicate that impairment exists. We have not identified any impairments of finite-lived intangible assets during any of the periods presented. See Note 5 – Goodwill and Other Intangible Assets for additional information regarding intangible assets.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IMPAIRMENT OF LONG-LIVED ASSETS</w:t>
      </w:r>
    </w:p>
    <w:p>
      <w:pPr>
        <w:spacing w:after="0" w:line="25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accordance with ASC 350, Asure reviews and evaluates our long-lived assets for impairment whenever events or changes in circumstances indicate that we may not recover their net book value. When such factors and circumstances exist, we compare the assets’ carrying amounts against the estimated undiscounted cash flows to be generated by those assets over their estimated useful lives. If the carrying amounts are greater than the undiscounted cash flows, we estimate the fair values of those assets by discounting the projected cash flows. We record any excess of the carrying amounts over the fair values as impairments in that fiscal period. We have identified no impairment of long-lived assets during any of the periods presented.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 or otherwise noted)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ORIGINAL ISSUE DISCOUNTS</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recognize original issue discounts, when incurred on the issuance of debt, as a reduction of the current loan obligations that we amortize to interest expense over the life of the related indebtedness using the effective interest rate method. We record the amortization as interest expense – amortization of OID in the Consolidated Statements of Comprehensive Loss. At the time of any repurchases or retirements of related debt, we will write off the remaining amount of net original issue discounts and include them in the calculation of gain/(loss) on retirement in the consolidated statements of comprehensive loss.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REVENUE RECOGNITION</w:t>
      </w:r>
    </w:p>
    <w:p>
      <w:pPr>
        <w:spacing w:after="0" w:line="25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Our revenues consist of software-as-a-service (“SaaS”) offerings, time-based software subscriptions, and perpetual software license sale arrangements that also, typically, include hardware, maintenance/support and professional services elements. We recognize revenue when persuasive evidence of an arrangement exists, delivery has occurred, the fee is fixed or determinable and collectability is probable. Software and software-related elements are recognized in accordance with ASC 985-605 </w:t>
      </w:r>
      <w:r>
        <w:rPr>
          <w:rFonts w:ascii="Arial" w:cs="Arial" w:eastAsia="Arial" w:hAnsi="Arial"/>
          <w:sz w:val="16"/>
          <w:szCs w:val="16"/>
          <w:i w:val="1"/>
          <w:iCs w:val="1"/>
          <w:color w:val="auto"/>
        </w:rPr>
        <w:t>Software Revenue Recognition</w:t>
      </w:r>
      <w:r>
        <w:rPr>
          <w:rFonts w:ascii="Arial" w:cs="Arial" w:eastAsia="Arial" w:hAnsi="Arial"/>
          <w:sz w:val="16"/>
          <w:szCs w:val="16"/>
          <w:color w:val="auto"/>
        </w:rPr>
        <w:t xml:space="preserve">. We recognized non-software revenue elements in accordance with ASC 605-25 </w:t>
      </w:r>
      <w:r>
        <w:rPr>
          <w:rFonts w:ascii="Arial" w:cs="Arial" w:eastAsia="Arial" w:hAnsi="Arial"/>
          <w:sz w:val="16"/>
          <w:szCs w:val="16"/>
          <w:i w:val="1"/>
          <w:iCs w:val="1"/>
          <w:color w:val="auto"/>
        </w:rPr>
        <w:t>Revenue Recognition Multiple-Element Arrangements.</w:t>
      </w:r>
      <w:r>
        <w:rPr>
          <w:rFonts w:ascii="Arial" w:cs="Arial" w:eastAsia="Arial" w:hAnsi="Arial"/>
          <w:sz w:val="16"/>
          <w:szCs w:val="16"/>
          <w:color w:val="auto"/>
        </w:rPr>
        <w:t xml:space="preserve"> Since we currently offer our software solutions under either a perpetual license, time-based subscription or SaaS model, revenue recognition timing varies based on which form of software rights the customer purchases.</w:t>
      </w:r>
    </w:p>
    <w:p>
      <w:pPr>
        <w:spacing w:after="0" w:line="1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SaaS arrangements and time-based software subscriptions typically have an initial term ranging from one to three years and are renewable on an annual basis. A typical SaaS arrangement will also include hardware, setup and implementation services. We allocate the value of the SaaS arrangement to each separate unit of accounting based on vendor-specific objective evidence (“VSOE”) of selling price, when it exists, third-party evidence of selling price for like services or best estimated selling price. Revenue allocated to the SaaS/software subscription element is recognized ratably over the non-cancellable term of the SaaS/subscription service. We recognize revenue allocated to other units of accounting included in the arrangement as outlined in the paragraphs below.</w:t>
      </w:r>
    </w:p>
    <w:p>
      <w:pPr>
        <w:spacing w:after="0" w:line="22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typically sell perpetual software licenses in multiple-element arrangements that include hardware, maintenance/support and professional services. We generally recognize software license revenues, determined under the residual method, on the date we deliver the product to the customer if VSOE of fair value exists for all undelivered elements of the software arrangement. If VSOE of fair value does not exist for an undelivered element, we defer the entire software arrangement and recognize it ratably over the remaining non-cancellable maintenance term after we have delivered all other undelivered elements. We base VSOE of fair value for our maintenance, training and installation services on the prices charged for these services when sold separately. We recognize revenue allocated to hardware, maintenance and services elements included in the arrangement as outlined below.</w:t>
      </w:r>
    </w:p>
    <w:p>
      <w:pPr>
        <w:spacing w:after="0" w:line="17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Hardware devices sold to customers (typically time clock, LCD panel and other peripheral devices) are not essential to the functionality of the software and as such we treat them as non-software elements for revenue recognition purposes. We recognize hardware revenue when title passes to the customer, typically the date we ship the hardware. If we sell hardware under a hardware-as-a-service (“HaaS”) arrangement, title to the hardware remains with Asure and we recognize hardware usage revenue ratably over the non-cancellable term of the hardware service delivery, typically one year.</w:t>
      </w:r>
    </w:p>
    <w:p>
      <w:pPr>
        <w:spacing w:after="0" w:line="15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professional services offerings which typically include data migration, set up, training, and implementation services are also not essential to the functionality of our products, as third parties or customers themselves can perform these services. Set up and implementation services typically occur at the start of the software arrangement while certain other professional services, depending on the nature of the services and customer requirements, may occur several months later. We can reasonably estimate professional services performed for a fixed fee and recognize this on a proportional performance basis. We recognize revenue for professional services engagements billed on a time and materials basis as we deliver the services. We recognize revenues on all other professional services engagements upon the earlier of the completion of the services deliverable or the expiration of the customer’s right to receive the service.</w:t>
      </w:r>
    </w:p>
    <w:p>
      <w:pPr>
        <w:spacing w:after="0" w:line="18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recognize maintenance/support revenues ratably over the non-cancellable term of the support agreement. Initial maintenance/support terms are typically one to three years and are renewable on an annual basis.</w:t>
      </w:r>
    </w:p>
    <w:p>
      <w:pPr>
        <w:spacing w:after="0" w:line="17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We do not recognize revenue for agreements with rights of return, refundable fees, cancellation rights or substantive acceptance clauses until these return, refund or cancellation rights have expired or acceptance has occurred. Our arrangements with resellers do not allow for any rights of return.</w:t>
      </w:r>
    </w:p>
    <w:p>
      <w:pPr>
        <w:spacing w:after="0" w:line="1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Deferred revenue includes amounts received from customers in excess of revenue recognized, and is comprised of deferred maintenance, service and other revenue. We recognize deferred revenues when we complete the service and over the terms of the arrangements, primarily ranging from one to three years.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 or otherwise noted)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ADVERTISING COSTS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expense advertising costs as we incur them. Advertising expenses were $109 and $42 for 2016 and 2015, respectively. We recorded these expenses as part of sales and marketing expenses on our Consolidated Statements of Comprehensive Loss.</w:t>
      </w:r>
    </w:p>
    <w:p>
      <w:pPr>
        <w:spacing w:after="0" w:line="193"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LEASE OBLIGATIONS</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Asure recognizes its lease obligations with scheduled rent increases over the term of the lease on a straight-line basis. Accordingly, we charge the total amount of base rentals over the term of our leases to expense on a straight-line method, recording the amount of rental expense in excess of lease payments as a deferred rent liability. As of December 31, 2016 and 2015, we had no deferred rent liabilities. We also recognize capital lease obligations and record the underlying assets and liabilities on our Consolidated Balance Sheets. As of December 31, 2016 and 2015, Asure had $163 and $327 in capital lease obligations,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FOREIGN CURRENCY TRANSLATION</w:t>
      </w:r>
    </w:p>
    <w:p>
      <w:pPr>
        <w:spacing w:after="0" w:line="25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measure the financial statements of our foreign subsidiaries using the local currency as the functional currency. Accordingly, we translate the assets and liabilities of these foreign subsidiaries at current exchange rates at each balance sheet date. We record translation adjustments arising from the translation of net assets located outside of the United States into United States dollars in accumulated other comprehensive loss as a separate component of stockholders’ equity. We translate income and expenses from the foreign subsidiaries using monthly average exchange rates. We include net gains and losses resulting from foreign exchange transactions in other income and expenses, which were not significant in 2016 and 2015.</w:t>
      </w:r>
    </w:p>
    <w:p>
      <w:pPr>
        <w:spacing w:after="0" w:line="169" w:lineRule="exact"/>
        <w:rPr>
          <w:sz w:val="20"/>
          <w:szCs w:val="20"/>
          <w:color w:val="auto"/>
        </w:rPr>
      </w:pPr>
    </w:p>
    <w:p>
      <w:pPr>
        <w:ind w:left="100"/>
        <w:spacing w:after="0"/>
        <w:rPr>
          <w:sz w:val="20"/>
          <w:szCs w:val="20"/>
          <w:color w:val="auto"/>
        </w:rPr>
      </w:pPr>
      <w:r>
        <w:rPr>
          <w:rFonts w:ascii="Arial" w:cs="Arial" w:eastAsia="Arial" w:hAnsi="Arial"/>
          <w:sz w:val="18"/>
          <w:szCs w:val="18"/>
          <w:b w:val="1"/>
          <w:bCs w:val="1"/>
          <w:u w:val="single" w:color="auto"/>
          <w:color w:val="auto"/>
        </w:rPr>
        <w:t>INCOME TAXES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We account for income taxes using the liability method under ASC 740, </w:t>
      </w:r>
      <w:r>
        <w:rPr>
          <w:rFonts w:ascii="Arial" w:cs="Arial" w:eastAsia="Arial" w:hAnsi="Arial"/>
          <w:sz w:val="18"/>
          <w:szCs w:val="18"/>
          <w:i w:val="1"/>
          <w:iCs w:val="1"/>
          <w:color w:val="auto"/>
        </w:rPr>
        <w:t>Accounting for Income Taxes,</w:t>
      </w:r>
      <w:r>
        <w:rPr>
          <w:rFonts w:ascii="Arial" w:cs="Arial" w:eastAsia="Arial" w:hAnsi="Arial"/>
          <w:sz w:val="18"/>
          <w:szCs w:val="18"/>
          <w:color w:val="auto"/>
        </w:rPr>
        <w:t xml:space="preserve"> which requires recognition of deferred tax assets and liabilities for the expected future tax consequences of events included in the financial statements. Under the liability method, we determine deferred tax assets and liabilities based on the difference between the financial statement and tax bases of assets and liabilities using enacted tax rates in effect in the years in which we expect the differences to reverse. We reduce deferred tax assets by a valuation allowance when it is more likely than not that we will not realize some component or all of the deferred tax assets.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SHARE BASED COMPENSATION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adopted Statement ASC 718 effective August 1, 2005, using the modified prospective application transition method. The modified prospective application method requires that companies recognize compensation expense on stock-based payment awards that are modified, repurchased or cancelled after the effective date. We estimate the fair value of each award granted from our stock option plan at the date of grant using the Black-Scholes option pricing model. During 2016 and 2015, we granted 454,000 and 257,000 stock options, respectively.</w:t>
      </w:r>
    </w:p>
    <w:p>
      <w:pPr>
        <w:spacing w:after="0" w:line="2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December 31, 2016, we expect to recognize $338 of unrecognized compensation costs related to non-vested option grants over the course of the following three years.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issued 278,000 shares of common stock related to exercises of stock options granted from our stock option plan for 2016 and 240,000 shares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2015.</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 or otherwise noted)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ACCOUNTING PRONOUNCEMENTS</w:t>
      </w:r>
    </w:p>
    <w:p>
      <w:pPr>
        <w:spacing w:after="0" w:line="22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In May 2014, the FASB issued FASB ASU No. 2014-09, “Revenue from Contracts with Customers (Topic 606),” which supersedes the revenue recognition requirements in ASC 605, “Revenue Recognition”. The core principle of ASU 2014-09 is that an entity should recognize revenue to depict the transfer of promised goods or services to customers in an amount that reflects the consideration to which the entity expects to be entitled in exchange for those goods or services. The guidance provides a five-step process to achieve that core principle. ASU 2014-09 requires disclosures enabling users of financial statements to understand the nature, amount, timing and uncertainty of revenue and cash flows arising from contracts with customers. Additionally, qualitative and quantitative disclosures are required about contracts with customers, significant judgments and changes in judgments, and assets recognized from the costs to obtain or fulfill a contract. In August 2015, the FASB issued FASB ASU No. 2015-14, “Revenue from Contracts with Customers (Topic 606): Deferral of the Effective Date”, which deferred the effective date of ASU 2014-09 by one year. ASU 2014-09 is now effective for annual reporting periods beginning after December 15, 2017, including interim periods within that reporting period, using one of two retrospective application methods. Early application is permitted only as of annual reporting periods beginning after December 15, 2016, including interim reporting periods within that reporting period. In March 2016, the FASB issued FASB ASU No. 2016-08, “Revenue from Contracts with Customers (Topic 606): Principal versus Agent Considerations (Reporting Revenue Gross versus Net)”. ASU 2016-08 clarifies the implementation guidance on principal versus agent considerations. In April 2016, the FASB issued ASU No. 2016-10, “Revenue from Contracts with Customers: Identifying Performance Obligations and Licensing.” ASU 2016-10 clarifies the implementation guidance in Topic 606 for identifying performance obligations and determining when to recognize revenue on licensing agreements for intellectual property. In May 2016, the FASB issued ASU No. 2016-11, “Revenue Recognition (Topic 605) and Derivatives and Hedging (Topic 815): Rescission of SEC Guidance Because of Accounting Standards Updates 2014-09 and 2014-16 Pursuant to Staff Announcements at the March 3, 2016 EITF Meeting.” ASU 2016-11 rescinds certain SEC staff comments previously made in regard to these ASU’s. </w:t>
      </w:r>
      <w:r>
        <w:rPr>
          <w:rFonts w:ascii="Arial" w:cs="Arial" w:eastAsia="Arial" w:hAnsi="Arial"/>
          <w:sz w:val="16"/>
          <w:szCs w:val="16"/>
          <w:color w:val="222222"/>
        </w:rPr>
        <w:t>In May 2016, the FASB issued ASU No.</w:t>
      </w:r>
      <w:r>
        <w:rPr>
          <w:rFonts w:ascii="Arial" w:cs="Arial" w:eastAsia="Arial" w:hAnsi="Arial"/>
          <w:sz w:val="16"/>
          <w:szCs w:val="16"/>
          <w:color w:val="auto"/>
        </w:rPr>
        <w:t xml:space="preserve"> </w:t>
      </w:r>
      <w:r>
        <w:rPr>
          <w:rFonts w:ascii="Arial" w:cs="Arial" w:eastAsia="Arial" w:hAnsi="Arial"/>
          <w:sz w:val="16"/>
          <w:szCs w:val="16"/>
          <w:color w:val="222222"/>
        </w:rPr>
        <w:t xml:space="preserve">2016-12, “Revenue from Contracts with Customers (Topic 606): Narrow-Scope Improvements and Practical Expedients” that provide guidance on assessing collectability, presentation of sales taxes, noncash consideration, and completed contracts and contract modifications at transition. </w:t>
      </w:r>
      <w:r>
        <w:rPr>
          <w:rFonts w:ascii="Arial" w:cs="Arial" w:eastAsia="Arial" w:hAnsi="Arial"/>
          <w:sz w:val="16"/>
          <w:szCs w:val="16"/>
          <w:color w:val="000000"/>
        </w:rPr>
        <w:t>We are currently evaluating</w:t>
      </w:r>
      <w:r>
        <w:rPr>
          <w:rFonts w:ascii="Arial" w:cs="Arial" w:eastAsia="Arial" w:hAnsi="Arial"/>
          <w:sz w:val="16"/>
          <w:szCs w:val="16"/>
          <w:color w:val="222222"/>
        </w:rPr>
        <w:t xml:space="preserve"> </w:t>
      </w:r>
      <w:r>
        <w:rPr>
          <w:rFonts w:ascii="Arial" w:cs="Arial" w:eastAsia="Arial" w:hAnsi="Arial"/>
          <w:sz w:val="16"/>
          <w:szCs w:val="16"/>
          <w:color w:val="000000"/>
        </w:rPr>
        <w:t>the effect that the adoption of ASU 2014-09, ASU 2015-14, ASU 2016-08, ASU 2016- 10, ASU 2016-11, ASU 2016-12 and ASU 2016-20 will have on our consolidated financial statements.</w:t>
      </w:r>
    </w:p>
    <w:p>
      <w:pPr>
        <w:spacing w:after="0" w:line="3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August 2014, the FASB issued ASU 2014-15, “Disclosure of Uncertainties About an Entity’s Ability to Continue as a Going Concern,” which requires management to perform interim and annual assessments of an entity’s ability to continue as a going concern (meet its obligations as they become due) within one year after the date that the financial statements are issued. If conditions or events raise substantial doubt about the entity’s ability to continue as a going concern, certain disclosures are required. This ASU is effective for annual reporting periods ending after December 15, 2016, and interim reporting periods thereafter. We adopted the provisions of ASU 2014-15 on January 1, 2016. This adoption did not have any impact on our consolidated financial statements.</w:t>
      </w:r>
    </w:p>
    <w:p>
      <w:pPr>
        <w:spacing w:after="0" w:line="22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 April 2015, the FASB issued ASU 2015-03,” Interest — Imputation of Interest (Subtopic 835-30): Simplifying the Presentation of Debt Issuance Costs”. This ASU requires reporting entities to record costs paid to third parties that are directly related to issuing debt, and that otherwise would not be incurred, as a deduction to the corresponding debt for presentation purposes. In addition, in August 2015, FASB issued ASU 2015-15, “Interest — Imputation of Interest (Subtopic 835-30): Presentation and Subsequent Measurement of Debt Issuance Costs Associated with Line-of-Credit Arrangements-Amendments to SEC Paragraphs Pursuant to Staff Announcement at the June 18, 2015 Emerging Issues Task Force (“EITF”) Meeting”. Given the absence of authoritative guidance within ASU 2015-03 for debt issuance costs related to line-of-credit arrangements, ASU 2015-15 states the SEC staff would not object to an entity deferring and presenting debt issuance costs as an asset and subsequently amortizing the deferred debt issuance costs ratably over the term of the line-of-credit arrangement, regardless of whether there are any outstanding borrowings on the line-of-credit arrangement. The provisions of each ASU are effective for fiscal years, and interim periods within those fiscal years, beginning after December 15, 2015. A reporting entity should apply each amendment retrospectively. We adopted ASU 2015-03 on January 1, 2016 for debt issuance costs on our term loan, on a retrospective basis. The impact of adopting ASU 2015-03 on our current period consolidated financial statements was the classification of all deferred financing costs as a deduction to the corresponding debt in addition to the reclassification of deferred financing costs in other current and long term assets to short and long term notes payable as of December 31, 2015, within the consolidated balance sheets to conform to the current period presentation. Other than these reclassifications and additional disclosures, the adoption of ASU 2015-03 did not have an impact on our consolidated financial statements.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 or otherwise noted)</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July 2015, the FASB issued ASU 2015-11, “Simplifying the Measurement of Inventory”. Inventory within the scope of this update is required to be measured at the lower of its cost or net realizable value, with net realizable value being the estimated selling price in the ordinary course of business, less reasonably predictable costs of completion, disposal, and transportation. This ASU is effective prospectively for fiscal years and interim periods beginning after December 15, 2016, with early adoption permitted. The Company plans to adopt this standard in the first quarter of fiscal year 2017 prospectively and does not expect a material effect on its consolidated financial statements.</w:t>
      </w:r>
    </w:p>
    <w:p>
      <w:pPr>
        <w:spacing w:after="0" w:line="18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September 2015, the FASB issued ASU 2015-16, “Business Combinations: Simplifying the Accounting for Measurement-Period Adjustments,” which requires acquirers to recognize adjustments to provisional amounts identified during the reporting period in which the adjustment amounts are determined. Acquirers should record, in the same period’s financial statements, the effect on earnings of changes in depreciation, amortization, or other income effects, if any, as a result of the change to the provisional amounts, calculated as if the accounting had been completed at the acquisition date. Application of the standard, which should be applied prospectively, is required for the annual and interim periods beginning after December 15, 2015. We adopted the provisions of ASU 2015-16 on January 1, 2016. The adoption did not have a material impact on our consolidated financial statements.</w:t>
      </w:r>
    </w:p>
    <w:p>
      <w:pPr>
        <w:spacing w:after="0" w:line="16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November 2015, the FASB issued ASU No. 2015-17,” Income Taxes: Balance Sheet Classification of Deferred Taxes”, to require that deferred tax liabilities and assets be classified entirely as non-current. This amended guidance is effective for fiscal years beginning after December 15, 2016, including interim periods within those years. Early adoption is permitted, and the amended guidance may be applied prospectively to all deferred tax liabilities and assets or retrospectively to all periods presented. We are currently evaluating the effects and timing of the adoption of ASU 2015-17, which must be adopted by the first quarter of 2017.</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February 2016, the FASB issued ASU No. 2016-02, “Leases (Topic 842)”. The core principle of the standard is that a lessee should recognize the assets and liabilities that arise from leases. A lessee should recognize in its statement of financial position a liability to make lease payments (the lease liability) and a right-of-use asset representing its right to use the underlying asset for the lease term. We will be required to adopt the new standard in the first quarter of 2019. We are currently evaluating the impact ASU 2016-02 will have on our consolidated financial statements.</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August 2016, the FASB issued ASU 2016-15, “Statement of Cash Flows (Topic 230) Classification of Certain Cash Receipts and Cash Payments” which eliminates the diversity in practice related to eight cash flow classification issues. This ASU is effective for on January 1, 2018 with early adoption permitted. We believe its adoption will not significantly impact our consolidated financial statements.</w:t>
      </w:r>
    </w:p>
    <w:p>
      <w:pPr>
        <w:spacing w:after="0" w:line="1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January 2017, the FASB issued ASU 2017-04, “Simplifying the Test for Goodwill Impairment (Topic 350)”, which eliminates Step 2 from the goodwill impairment test. ASU 2017-04 is effective for annual and interim periods in fiscal years beginning after December 15, 2019. Early adoption is permitted for interim or annual goodwill impairment tests performed after January 1, 2017 and should be applied prospectively. We plan to adopt this standard in the first quarter of fiscal year 2017 and do not expect a material impact on our consolidated financial statements.</w:t>
      </w:r>
    </w:p>
    <w:p>
      <w:pPr>
        <w:spacing w:after="0" w:line="17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March 2016 the FASB issued ASU No. 2016-09, “Compensation—Stock Compensation (Topic 718): Improvements to Employee Share-Based Payment Accounting”, which will reduce complexity in accounting standards related to share-based payment transactions, including, among others, (1) accounting for income taxes, (2) classification of excess tax benefits on the statement of cash flow, (3) forfeitures, and (4) statutory tax withholding requirements. The ASU is effective for annual reporting periods beginning on or after December 15, 2016, and interim periods within those annual periods. The Company will adopt the amendments as of January 1, 2017, and the Company is currently evaluating the full impact of these amendments.</w:t>
      </w:r>
    </w:p>
    <w:p>
      <w:pPr>
        <w:spacing w:after="0" w:line="15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January 2017, the FASB issued ASU No. 2017-01, “Business Combinations (Topic 806): Clarifying the Definition of a Business”, which provides guidance in evaluating whether transactions should be accounted for as acquisitions (or disposals) of assets or businesses. The definition of a business affects many areas of accounting, including acquisitions, disposals, goodwill, and consolidation. The guidance is effective for public companies for fiscal years beginning after December 15, 2017, including interim periods within those periods, with early adoption permitted under certain circumstances. We are currently evaluating the effects and timing of the adoption of ASU 2017-01.</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(Amounts in thousands, except share and per share data or otherwise noted)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FAIR VALUE MEASUREMENTS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Accounting Standards Codification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defines fair value, establishes a framework for measuring fair value in U.S. generally accepted accounting principles and expands disclosures about fair value measurements.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ASC 820 establishes a three-tier fair value hierarchy, which is based on the reliability of the inputs used in measuring fair values. These tiers include:</w:t>
      </w:r>
    </w:p>
    <w:p>
      <w:pPr>
        <w:spacing w:after="0" w:line="248"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 xml:space="preserve">Quoted prices in active markets for </w:t>
      </w:r>
      <w:r>
        <w:rPr>
          <w:rFonts w:ascii="Arial" w:cs="Arial" w:eastAsia="Arial" w:hAnsi="Arial"/>
          <w:sz w:val="16"/>
          <w:szCs w:val="16"/>
          <w:i w:val="1"/>
          <w:iCs w:val="1"/>
          <w:color w:val="auto"/>
        </w:rPr>
        <w:t>identical</w:t>
      </w:r>
      <w:r>
        <w:rPr>
          <w:rFonts w:ascii="Arial" w:cs="Arial" w:eastAsia="Arial" w:hAnsi="Arial"/>
          <w:sz w:val="16"/>
          <w:szCs w:val="16"/>
          <w:color w:val="auto"/>
        </w:rPr>
        <w:t xml:space="preserve"> assets or liabilities;</w:t>
      </w:r>
    </w:p>
    <w:p>
      <w:pPr>
        <w:spacing w:after="0" w:line="225" w:lineRule="exact"/>
        <w:rPr>
          <w:sz w:val="20"/>
          <w:szCs w:val="20"/>
          <w:color w:val="auto"/>
        </w:rPr>
      </w:pPr>
    </w:p>
    <w:p>
      <w:pPr>
        <w:ind w:left="2180" w:right="40" w:hanging="1525"/>
        <w:spacing w:after="0" w:line="277" w:lineRule="auto"/>
        <w:tabs>
          <w:tab w:leader="none" w:pos="216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 xml:space="preserve">Quoted prices in active markets for </w:t>
      </w:r>
      <w:r>
        <w:rPr>
          <w:rFonts w:ascii="Arial" w:cs="Arial" w:eastAsia="Arial" w:hAnsi="Arial"/>
          <w:sz w:val="18"/>
          <w:szCs w:val="18"/>
          <w:i w:val="1"/>
          <w:iCs w:val="1"/>
          <w:color w:val="auto"/>
        </w:rPr>
        <w:t>similar</w:t>
      </w:r>
      <w:r>
        <w:rPr>
          <w:rFonts w:ascii="Arial" w:cs="Arial" w:eastAsia="Arial" w:hAnsi="Arial"/>
          <w:sz w:val="18"/>
          <w:szCs w:val="18"/>
          <w:color w:val="auto"/>
        </w:rPr>
        <w:t xml:space="preserve"> assets or liabilities; quoted prices in markets that are not active for identical or similar assets or liabilities; and model-driven valuations whose significant inputs are observable; and</w:t>
      </w:r>
    </w:p>
    <w:p>
      <w:pPr>
        <w:spacing w:after="0" w:line="170" w:lineRule="exact"/>
        <w:rPr>
          <w:sz w:val="20"/>
          <w:szCs w:val="20"/>
          <w:color w:val="auto"/>
        </w:rPr>
      </w:pPr>
    </w:p>
    <w:p>
      <w:pPr>
        <w:ind w:left="2180" w:right="40" w:hanging="1525"/>
        <w:spacing w:after="0" w:line="277" w:lineRule="auto"/>
        <w:tabs>
          <w:tab w:leader="none" w:pos="216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Unobservable inputs that are supported by little or no market activity and that are significant to the fair value of the assets or liabilities.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the fair value hierarchy for our financial assets measured at fair value on a recurring basis as of December 31, 2016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 respectively: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60" w:type="dxa"/>
            <w:vAlign w:val="bottom"/>
            <w:gridSpan w:val="10"/>
          </w:tcPr>
          <w:p>
            <w:pPr>
              <w:ind w:left="420"/>
              <w:spacing w:after="0"/>
              <w:rPr>
                <w:sz w:val="20"/>
                <w:szCs w:val="20"/>
                <w:color w:val="auto"/>
              </w:rPr>
            </w:pPr>
            <w:r>
              <w:rPr>
                <w:rFonts w:ascii="Arial" w:cs="Arial" w:eastAsia="Arial" w:hAnsi="Arial"/>
                <w:sz w:val="18"/>
                <w:szCs w:val="18"/>
                <w:b w:val="1"/>
                <w:bCs w:val="1"/>
                <w:color w:val="auto"/>
              </w:rPr>
              <w:t>Fair Value Measure at December 31, 2016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center"/>
              <w:ind w:right="360"/>
              <w:spacing w:after="0" w:line="198" w:lineRule="exact"/>
              <w:rPr>
                <w:sz w:val="20"/>
                <w:szCs w:val="20"/>
                <w:color w:val="auto"/>
              </w:rPr>
            </w:pPr>
            <w:r>
              <w:rPr>
                <w:rFonts w:ascii="Arial" w:cs="Arial" w:eastAsia="Arial" w:hAnsi="Arial"/>
                <w:sz w:val="18"/>
                <w:szCs w:val="18"/>
                <w:b w:val="1"/>
                <w:bCs w:val="1"/>
                <w:color w:val="auto"/>
                <w:w w:val="92"/>
              </w:rPr>
              <w:t>Total</w:t>
            </w: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gridSpan w:val="2"/>
          </w:tcPr>
          <w:p>
            <w:pPr>
              <w:jc w:val="center"/>
              <w:ind w:right="440"/>
              <w:spacing w:after="0" w:line="198" w:lineRule="exact"/>
              <w:rPr>
                <w:sz w:val="20"/>
                <w:szCs w:val="20"/>
                <w:color w:val="auto"/>
              </w:rPr>
            </w:pPr>
            <w:r>
              <w:rPr>
                <w:rFonts w:ascii="Arial" w:cs="Arial" w:eastAsia="Arial" w:hAnsi="Arial"/>
                <w:sz w:val="18"/>
                <w:szCs w:val="18"/>
                <w:b w:val="1"/>
                <w:bCs w:val="1"/>
                <w:color w:val="auto"/>
                <w:w w:val="88"/>
              </w:rPr>
              <w:t>Quoted</w:t>
            </w: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gridSpan w:val="2"/>
          </w:tcPr>
          <w:p>
            <w:pPr>
              <w:jc w:val="center"/>
              <w:ind w:right="360"/>
              <w:spacing w:after="0" w:line="198" w:lineRule="exact"/>
              <w:rPr>
                <w:sz w:val="20"/>
                <w:szCs w:val="20"/>
                <w:color w:val="auto"/>
              </w:rPr>
            </w:pPr>
            <w:r>
              <w:rPr>
                <w:rFonts w:ascii="Arial" w:cs="Arial" w:eastAsia="Arial" w:hAnsi="Arial"/>
                <w:sz w:val="18"/>
                <w:szCs w:val="18"/>
                <w:b w:val="1"/>
                <w:bCs w:val="1"/>
                <w:color w:val="auto"/>
                <w:w w:val="89"/>
              </w:rPr>
              <w:t>Significant</w:t>
            </w: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7"/>
              </w:rPr>
              <w:t>Carrying</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8"/>
              </w:rPr>
              <w:t>Prices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Significant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Value at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in Active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Observable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Unobservable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December 31,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9"/>
              </w:rPr>
              <w:t>Market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Inputs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Inputs</w:t>
            </w:r>
          </w:p>
        </w:tc>
        <w:tc>
          <w:tcPr>
            <w:tcW w:w="0" w:type="dxa"/>
            <w:vAlign w:val="bottom"/>
          </w:tcPr>
          <w:p>
            <w:pPr>
              <w:spacing w:after="0"/>
              <w:rPr>
                <w:sz w:val="1"/>
                <w:szCs w:val="1"/>
                <w:color w:val="auto"/>
              </w:rPr>
            </w:pPr>
          </w:p>
        </w:tc>
      </w:tr>
      <w:tr>
        <w:trPr>
          <w:trHeight w:val="241"/>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2016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3"/>
              </w:rPr>
              <w:t>(Level 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(Level 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(Level 3)</w:t>
            </w: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12,767</w:t>
            </w: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12,767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12,767</w:t>
            </w:r>
          </w:p>
        </w:tc>
        <w:tc>
          <w:tcPr>
            <w:tcW w:w="120" w:type="dxa"/>
            <w:vAlign w:val="bottom"/>
          </w:tcPr>
          <w:p>
            <w:pPr>
              <w:spacing w:after="0"/>
              <w:rPr>
                <w:sz w:val="18"/>
                <w:szCs w:val="18"/>
                <w:color w:val="auto"/>
              </w:rPr>
            </w:pP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12,767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3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76"/>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60" w:type="dxa"/>
            <w:vAlign w:val="bottom"/>
            <w:gridSpan w:val="10"/>
          </w:tcPr>
          <w:p>
            <w:pPr>
              <w:ind w:left="420"/>
              <w:spacing w:after="0"/>
              <w:rPr>
                <w:sz w:val="20"/>
                <w:szCs w:val="20"/>
                <w:color w:val="auto"/>
              </w:rPr>
            </w:pPr>
            <w:r>
              <w:rPr>
                <w:rFonts w:ascii="Arial" w:cs="Arial" w:eastAsia="Arial" w:hAnsi="Arial"/>
                <w:sz w:val="18"/>
                <w:szCs w:val="18"/>
                <w:b w:val="1"/>
                <w:bCs w:val="1"/>
                <w:color w:val="auto"/>
              </w:rPr>
              <w:t>Fair Value Measure at December 31, 2015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center"/>
              <w:ind w:right="360"/>
              <w:spacing w:after="0" w:line="198" w:lineRule="exact"/>
              <w:rPr>
                <w:sz w:val="20"/>
                <w:szCs w:val="20"/>
                <w:color w:val="auto"/>
              </w:rPr>
            </w:pPr>
            <w:r>
              <w:rPr>
                <w:rFonts w:ascii="Arial" w:cs="Arial" w:eastAsia="Arial" w:hAnsi="Arial"/>
                <w:sz w:val="18"/>
                <w:szCs w:val="18"/>
                <w:b w:val="1"/>
                <w:bCs w:val="1"/>
                <w:color w:val="auto"/>
                <w:w w:val="92"/>
              </w:rPr>
              <w:t>Total</w:t>
            </w: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gridSpan w:val="2"/>
          </w:tcPr>
          <w:p>
            <w:pPr>
              <w:jc w:val="center"/>
              <w:ind w:right="440"/>
              <w:spacing w:after="0" w:line="198" w:lineRule="exact"/>
              <w:rPr>
                <w:sz w:val="20"/>
                <w:szCs w:val="20"/>
                <w:color w:val="auto"/>
              </w:rPr>
            </w:pPr>
            <w:r>
              <w:rPr>
                <w:rFonts w:ascii="Arial" w:cs="Arial" w:eastAsia="Arial" w:hAnsi="Arial"/>
                <w:sz w:val="18"/>
                <w:szCs w:val="18"/>
                <w:b w:val="1"/>
                <w:bCs w:val="1"/>
                <w:color w:val="auto"/>
                <w:w w:val="88"/>
              </w:rPr>
              <w:t>Quoted</w:t>
            </w: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gridSpan w:val="2"/>
          </w:tcPr>
          <w:p>
            <w:pPr>
              <w:jc w:val="center"/>
              <w:ind w:right="360"/>
              <w:spacing w:after="0" w:line="198" w:lineRule="exact"/>
              <w:rPr>
                <w:sz w:val="20"/>
                <w:szCs w:val="20"/>
                <w:color w:val="auto"/>
              </w:rPr>
            </w:pPr>
            <w:r>
              <w:rPr>
                <w:rFonts w:ascii="Arial" w:cs="Arial" w:eastAsia="Arial" w:hAnsi="Arial"/>
                <w:sz w:val="18"/>
                <w:szCs w:val="18"/>
                <w:b w:val="1"/>
                <w:bCs w:val="1"/>
                <w:color w:val="auto"/>
                <w:w w:val="89"/>
              </w:rPr>
              <w:t>Significant</w:t>
            </w: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7"/>
              </w:rPr>
              <w:t>Carrying</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8"/>
              </w:rPr>
              <w:t>Prices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Significant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Value at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in Active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Observable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Unobservable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December 31,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9"/>
              </w:rPr>
              <w:t>Market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Inputs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Inputs</w:t>
            </w:r>
          </w:p>
        </w:tc>
        <w:tc>
          <w:tcPr>
            <w:tcW w:w="0" w:type="dxa"/>
            <w:vAlign w:val="bottom"/>
          </w:tcPr>
          <w:p>
            <w:pPr>
              <w:spacing w:after="0"/>
              <w:rPr>
                <w:sz w:val="1"/>
                <w:szCs w:val="1"/>
                <w:color w:val="auto"/>
              </w:rPr>
            </w:pPr>
          </w:p>
        </w:tc>
      </w:tr>
      <w:tr>
        <w:trPr>
          <w:trHeight w:val="241"/>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2015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3"/>
              </w:rPr>
              <w:t>(Level 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(Level 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(Level 3)</w:t>
            </w: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w:t>
            </w: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1,158</w:t>
            </w:r>
          </w:p>
        </w:tc>
        <w:tc>
          <w:tcPr>
            <w:tcW w:w="120" w:type="dxa"/>
            <w:vAlign w:val="bottom"/>
          </w:tcPr>
          <w:p>
            <w:pPr>
              <w:spacing w:after="0"/>
              <w:rPr>
                <w:sz w:val="18"/>
                <w:szCs w:val="18"/>
                <w:color w:val="auto"/>
              </w:rPr>
            </w:pP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1,158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Contingent consideration</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19"/>
                <w:szCs w:val="19"/>
                <w:color w:val="auto"/>
              </w:rPr>
            </w:pP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summarizes quantitative information about Level 3 fair value measurements.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consideration</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 connection with the acquisition of FotoPunch, Inc. (“FotoPunch”) in July 2014, we recorded contingent consideration based upon the expected achievement of certain milestone goals. We will record any changes to the fair value of contingent consideration due to changes in assumptions used in preparing the valuation model in selling, general and administrative expenses in the Consolidated Statements of Comprehensive Income (Loss).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 or otherwise noted)</w:t>
      </w:r>
    </w:p>
    <w:p>
      <w:pPr>
        <w:spacing w:after="0" w:line="21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Contingent consideration is valued using a multi-scenario discounted cash flow method. The assumptions used in preparing the discounted cash flow method include estimates for outcomes if milestone goals are achieved and the probability of achieving each outcome. Management estimates probabilities and then applies them to management’s conservative case forecast, most likely case forecast and optimistic case forecast with the various scenarios. The Company retained a third party expert to assist in determining the value of the contingent consideration as of December 31, 2016 and 2015.</w:t>
      </w:r>
    </w:p>
    <w:p>
      <w:pPr>
        <w:spacing w:after="0" w:line="15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of December 31, 2016, the third party expert determined the value of the contingent consideration for the FotoPunch acquisition was zero. The valuation of the contingent consideration was based on a Monte Carlo simulation model for fiscal 2017 to 2018. Management provided revenue projections (an unobservable input) of $228 and $251 for fiscal 2017 and fiscal 2018, respectively. As of December 31, 2015, the contingent consideration was valued at $173 and was based on a Monte Carlo simulation model for fiscal 2016 to 2018, with fiscal 2016 being a partial year from January 1, 2016 to September 30, 2016. Management provided revenue projections (an unobservable input) of $650, $2,203 and $3,925 for fiscal 2016 (partial year), fiscal 2017 and fiscal 2018, respectively.</w:t>
      </w:r>
    </w:p>
    <w:p>
      <w:pPr>
        <w:spacing w:after="0" w:line="220"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7840" w:type="dxa"/>
            <w:vAlign w:val="bottom"/>
            <w:gridSpan w:val="2"/>
          </w:tcPr>
          <w:p>
            <w:pPr>
              <w:spacing w:after="0"/>
              <w:rPr>
                <w:sz w:val="20"/>
                <w:szCs w:val="20"/>
                <w:color w:val="auto"/>
              </w:rPr>
            </w:pPr>
            <w:r>
              <w:rPr>
                <w:rFonts w:ascii="Arial" w:cs="Arial" w:eastAsia="Arial" w:hAnsi="Arial"/>
                <w:sz w:val="18"/>
                <w:szCs w:val="18"/>
                <w:color w:val="auto"/>
              </w:rPr>
              <w:t>The following table summarizes the annual changes in our contingent consideration:</w:t>
            </w:r>
          </w:p>
        </w:tc>
        <w:tc>
          <w:tcPr>
            <w:tcW w:w="5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6"/>
        </w:trPr>
        <w:tc>
          <w:tcPr>
            <w:tcW w:w="78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2014</w:t>
            </w: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327</w:t>
            </w:r>
          </w:p>
        </w:tc>
      </w:tr>
      <w:tr>
        <w:trPr>
          <w:trHeight w:val="216"/>
        </w:trPr>
        <w:tc>
          <w:tcPr>
            <w:tcW w:w="780" w:type="dxa"/>
            <w:vAlign w:val="bottom"/>
          </w:tcPr>
          <w:p>
            <w:pPr>
              <w:spacing w:after="0"/>
              <w:rPr>
                <w:sz w:val="18"/>
                <w:szCs w:val="18"/>
                <w:color w:val="auto"/>
              </w:rPr>
            </w:pPr>
          </w:p>
        </w:tc>
        <w:tc>
          <w:tcPr>
            <w:tcW w:w="7060" w:type="dxa"/>
            <w:vAlign w:val="bottom"/>
          </w:tcPr>
          <w:p>
            <w:pPr>
              <w:ind w:left="160"/>
              <w:spacing w:after="0"/>
              <w:rPr>
                <w:sz w:val="20"/>
                <w:szCs w:val="20"/>
                <w:color w:val="auto"/>
              </w:rPr>
            </w:pPr>
            <w:r>
              <w:rPr>
                <w:rFonts w:ascii="Arial" w:cs="Arial" w:eastAsia="Arial" w:hAnsi="Arial"/>
                <w:sz w:val="18"/>
                <w:szCs w:val="18"/>
                <w:color w:val="auto"/>
              </w:rPr>
              <w:t>Adjustment to purchase accounting</w:t>
            </w:r>
          </w:p>
        </w:tc>
        <w:tc>
          <w:tcPr>
            <w:tcW w:w="5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(65)</w:t>
            </w:r>
          </w:p>
        </w:tc>
      </w:tr>
      <w:tr>
        <w:trPr>
          <w:trHeight w:val="216"/>
        </w:trPr>
        <w:tc>
          <w:tcPr>
            <w:tcW w:w="780" w:type="dxa"/>
            <w:vAlign w:val="bottom"/>
          </w:tcPr>
          <w:p>
            <w:pPr>
              <w:spacing w:after="0"/>
              <w:rPr>
                <w:sz w:val="18"/>
                <w:szCs w:val="18"/>
                <w:color w:val="auto"/>
              </w:rPr>
            </w:pPr>
          </w:p>
        </w:tc>
        <w:tc>
          <w:tcPr>
            <w:tcW w:w="7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 in fair value of earnout</w:t>
            </w:r>
          </w:p>
        </w:tc>
        <w:tc>
          <w:tcPr>
            <w:tcW w:w="5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w:t>
            </w:r>
          </w:p>
        </w:tc>
      </w:tr>
      <w:tr>
        <w:trPr>
          <w:trHeight w:val="27"/>
        </w:trPr>
        <w:tc>
          <w:tcPr>
            <w:tcW w:w="780" w:type="dxa"/>
            <w:vAlign w:val="bottom"/>
          </w:tcPr>
          <w:p>
            <w:pPr>
              <w:spacing w:after="0"/>
              <w:rPr>
                <w:sz w:val="2"/>
                <w:szCs w:val="2"/>
                <w:color w:val="auto"/>
              </w:rPr>
            </w:pPr>
          </w:p>
        </w:tc>
        <w:tc>
          <w:tcPr>
            <w:tcW w:w="7060" w:type="dxa"/>
            <w:vAlign w:val="bottom"/>
            <w:shd w:val="clear" w:color="auto" w:fill="CCEEFF"/>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16"/>
        </w:trPr>
        <w:tc>
          <w:tcPr>
            <w:tcW w:w="780" w:type="dxa"/>
            <w:vAlign w:val="bottom"/>
          </w:tcPr>
          <w:p>
            <w:pPr>
              <w:spacing w:after="0"/>
              <w:rPr>
                <w:sz w:val="18"/>
                <w:szCs w:val="18"/>
                <w:color w:val="auto"/>
              </w:rPr>
            </w:pPr>
          </w:p>
        </w:tc>
        <w:tc>
          <w:tcPr>
            <w:tcW w:w="7060" w:type="dxa"/>
            <w:vAlign w:val="bottom"/>
          </w:tcPr>
          <w:p>
            <w:pPr>
              <w:ind w:left="160"/>
              <w:spacing w:after="0"/>
              <w:rPr>
                <w:sz w:val="20"/>
                <w:szCs w:val="20"/>
                <w:color w:val="auto"/>
              </w:rPr>
            </w:pPr>
            <w:r>
              <w:rPr>
                <w:rFonts w:ascii="Arial" w:cs="Arial" w:eastAsia="Arial" w:hAnsi="Arial"/>
                <w:sz w:val="18"/>
                <w:szCs w:val="18"/>
                <w:color w:val="auto"/>
              </w:rPr>
              <w:t>Balance at December 31, 2015</w:t>
            </w: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173</w:t>
            </w:r>
          </w:p>
        </w:tc>
      </w:tr>
      <w:tr>
        <w:trPr>
          <w:trHeight w:val="223"/>
        </w:trPr>
        <w:tc>
          <w:tcPr>
            <w:tcW w:w="780" w:type="dxa"/>
            <w:vAlign w:val="bottom"/>
          </w:tcPr>
          <w:p>
            <w:pPr>
              <w:spacing w:after="0"/>
              <w:rPr>
                <w:sz w:val="19"/>
                <w:szCs w:val="19"/>
                <w:color w:val="auto"/>
              </w:rPr>
            </w:pPr>
          </w:p>
        </w:tc>
        <w:tc>
          <w:tcPr>
            <w:tcW w:w="7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 in fair value of earnout</w:t>
            </w:r>
          </w:p>
        </w:tc>
        <w:tc>
          <w:tcPr>
            <w:tcW w:w="5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(173)</w:t>
            </w:r>
          </w:p>
        </w:tc>
      </w:tr>
      <w:tr>
        <w:trPr>
          <w:trHeight w:val="216"/>
        </w:trPr>
        <w:tc>
          <w:tcPr>
            <w:tcW w:w="780" w:type="dxa"/>
            <w:vAlign w:val="bottom"/>
          </w:tcPr>
          <w:p>
            <w:pPr>
              <w:spacing w:after="0"/>
              <w:rPr>
                <w:sz w:val="18"/>
                <w:szCs w:val="18"/>
                <w:color w:val="auto"/>
              </w:rPr>
            </w:pPr>
          </w:p>
        </w:tc>
        <w:tc>
          <w:tcPr>
            <w:tcW w:w="70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Balance at December 31, 2016</w:t>
            </w:r>
          </w:p>
        </w:tc>
        <w:tc>
          <w:tcPr>
            <w:tcW w:w="5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tcPr>
          <w:p>
            <w:pPr>
              <w:spacing w:after="0"/>
              <w:rPr>
                <w:sz w:val="18"/>
                <w:szCs w:val="18"/>
                <w:color w:val="auto"/>
              </w:rPr>
            </w:pPr>
          </w:p>
        </w:tc>
      </w:tr>
      <w:tr>
        <w:trPr>
          <w:trHeight w:val="21"/>
        </w:trPr>
        <w:tc>
          <w:tcPr>
            <w:tcW w:w="78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Changes to the estimated fair value of contingent consideration were primarily due to revisions to the Company’s expectations of earn-out achievement.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Financial Assets and Liabilities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Financial assets and liabilities with carrying amounts approximating fair value include cash and cash equivalents, trade accounts receivable, accounts payable, accrued expenses and other current liabilities. The carrying amount of these financial assets and liabilities approximates fair value because of their short maturities.</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line of credit and notes payable, including current portion, as of December 31, 2016, had a carrying value of $30,036. This carrying value approximates fair value. The fair value is based on interest rates that are currently available to us for issuance of debt with similar terms and remaining maturities.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ACQUISITIONS</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Subsequent to December 31, 2016, through stock and asset purchases, we closed three strategic acquisitions: Personnel Management Systems, Inc., a leading provider of outsourced HR solutions; Corporate Payroll, Inc. (Payroll Division), a leading provider of payroll services; and Payroll Specialties NW, Inc., a leading provider of payroll services. See Note 14- Subsequent Events for more information about the Stock Purchase Agreement and Asset Purchase Agreements.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Acquisition</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Through the stock and asset purchases described below, we have entered into the human resource management, payroll processing and benefits administration services businesses, which we intend to integrate into our existing AsureForce® product line.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Purchase Agreement</w:t>
      </w:r>
    </w:p>
    <w:p>
      <w:pPr>
        <w:spacing w:after="0" w:line="25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March 2016, we acquired all of the issued and outstanding shares of common stock (the “Shares”) of Mangrove Employer Services, Inc. of Tampa, Florida (“Mangrove”). Pursuant to this stock purchase, we acquired the payroll division of Mangrove, which is engaged in the human resource management and payroll processing businesses. The aggregate consideration for the Shares consisted of (i) $11,348 in cash, a portion of which was used to pay certain obligations of Mangrove and (ii) a secured subordinated promissory note (the “Note”) in the principal amount of $6,000, subject to adjustment as provided in the Stock Purchase Agreement. We funded the cash payment with proceeds from our credit agreement with Wells Fargo. The Note bears interest at an annual rate of 3.50% and matures in March 2018, with the first installment of principal due in March 2017 and the second installment of principal due in March 2018. The Stock Purchase Agreement contains certain customary representations, warranties, indemnities and covenants. Details regarding the financing of the acquisition are described in the below Notes Payable table. Transaction costs for this acquisition were $706 and we expensed them as incurred.</w:t>
      </w:r>
    </w:p>
    <w:p>
      <w:pPr>
        <w:sectPr>
          <w:pgSz w:w="11900" w:h="16838" w:orient="portrait"/>
          <w:cols w:equalWidth="0" w:num="1">
            <w:col w:w="11420"/>
          </w:cols>
          <w:pgMar w:left="240" w:top="125" w:right="239" w:bottom="1440" w:gutter="0" w:footer="0" w:header="0"/>
        </w:sectPr>
      </w:pP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 or otherwise noted)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Purchase Agreement</w:t>
      </w:r>
    </w:p>
    <w:p>
      <w:pPr>
        <w:spacing w:after="0" w:line="25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March 2016, we also acquired substantially all the assets of Mangrove COBRAsource Inc., a benefits administration services business which then was a wholly owned subsidiary of Mangrove. The aggregate consideration for the assets was $1,036, which Mangrove COBRAsource applied to pay off certain loan balances. The Asset Purchase Agreement contains certain customary representations, warranties, indemnities and covenants.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Following is the purchase price allocation for the acquisition of Mangrove.</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recorded the transaction using the acquisition method of accounting and recognized assets and liabilities assumed at their fair value as of the date of acquisition. The $8,700 of intangible assets subject to amortization consist of $1,200 allocated to Customer Relationships, $6,900 in Developed Technology and $600 for Trade Names. We estimated the fair value of the Customer Relationships and Developed Technology using the excess earnings method, a form of the income approach. We discounted cash flow projections using a rate of 18.1%, which reflects the risk associated with the intangible asset related to the other assets and the overall business operations to us. We estimated the fair value of the Trade Names using the relief from royalty method based upon a 1.2% royalty rate for the payroll division and 0.5% for the benefits administration services business.</w:t>
      </w:r>
    </w:p>
    <w:p>
      <w:pPr>
        <w:spacing w:after="0" w:line="20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believes significant synergies are expected to arise from this strategic acquisition. This factor contributed to a purchase price that was in excess of the fair value of the net assets acquired and, as a result, the Company recorded goodwill. A portion of acquired goodwill will be deductible for tax purposes.</w:t>
      </w:r>
    </w:p>
    <w:p>
      <w:pPr>
        <w:spacing w:after="0" w:line="208"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7840" w:type="dxa"/>
            <w:vAlign w:val="bottom"/>
            <w:gridSpan w:val="2"/>
          </w:tcPr>
          <w:p>
            <w:pPr>
              <w:spacing w:after="0"/>
              <w:rPr>
                <w:sz w:val="20"/>
                <w:szCs w:val="20"/>
                <w:color w:val="auto"/>
              </w:rPr>
            </w:pPr>
            <w:r>
              <w:rPr>
                <w:rFonts w:ascii="Arial" w:cs="Arial" w:eastAsia="Arial" w:hAnsi="Arial"/>
                <w:sz w:val="18"/>
                <w:szCs w:val="18"/>
                <w:color w:val="auto"/>
              </w:rPr>
              <w:t>We based the allocations on fair values at the date of acquisition:</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39"/>
        </w:trPr>
        <w:tc>
          <w:tcPr>
            <w:tcW w:w="78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gridSpan w:val="2"/>
          </w:tcPr>
          <w:p>
            <w:pPr>
              <w:ind w:left="120"/>
              <w:spacing w:after="0"/>
              <w:rPr>
                <w:sz w:val="20"/>
                <w:szCs w:val="20"/>
                <w:color w:val="auto"/>
              </w:rPr>
            </w:pPr>
            <w:r>
              <w:rPr>
                <w:rFonts w:ascii="Arial" w:cs="Arial" w:eastAsia="Arial" w:hAnsi="Arial"/>
                <w:sz w:val="18"/>
                <w:szCs w:val="18"/>
                <w:b w:val="1"/>
                <w:bCs w:val="1"/>
                <w:color w:val="auto"/>
              </w:rPr>
              <w:t>Amount</w:t>
            </w:r>
          </w:p>
        </w:tc>
      </w:tr>
      <w:tr>
        <w:trPr>
          <w:trHeight w:val="216"/>
        </w:trPr>
        <w:tc>
          <w:tcPr>
            <w:tcW w:w="78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b w:val="1"/>
                <w:bCs w:val="1"/>
                <w:color w:val="auto"/>
              </w:rPr>
              <w:t>Assets acquired</w:t>
            </w: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20" w:type="dxa"/>
            <w:vAlign w:val="bottom"/>
            <w:shd w:val="clear" w:color="auto" w:fill="CCEEFF"/>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Funds held for clients</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16,419</w:t>
            </w:r>
          </w:p>
        </w:tc>
        <w:tc>
          <w:tcPr>
            <w:tcW w:w="12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Fixed assets</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20" w:type="dxa"/>
            <w:vAlign w:val="bottom"/>
            <w:shd w:val="clear" w:color="auto" w:fill="CCEEFF"/>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8,837</w:t>
            </w:r>
          </w:p>
        </w:tc>
        <w:tc>
          <w:tcPr>
            <w:tcW w:w="120" w:type="dxa"/>
            <w:vAlign w:val="bottom"/>
            <w:shd w:val="clear" w:color="auto" w:fill="CCEEFF"/>
          </w:tcPr>
          <w:p>
            <w:pPr>
              <w:spacing w:after="0"/>
              <w:rPr>
                <w:sz w:val="18"/>
                <w:szCs w:val="18"/>
                <w:color w:val="auto"/>
              </w:rPr>
            </w:pPr>
          </w:p>
        </w:tc>
      </w:tr>
      <w:tr>
        <w:trPr>
          <w:trHeight w:val="223"/>
        </w:trPr>
        <w:tc>
          <w:tcPr>
            <w:tcW w:w="780" w:type="dxa"/>
            <w:vAlign w:val="bottom"/>
          </w:tcPr>
          <w:p>
            <w:pPr>
              <w:spacing w:after="0"/>
              <w:rPr>
                <w:sz w:val="19"/>
                <w:szCs w:val="19"/>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Intangibles</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8,700</w:t>
            </w:r>
          </w:p>
        </w:tc>
        <w:tc>
          <w:tcPr>
            <w:tcW w:w="120" w:type="dxa"/>
            <w:vAlign w:val="bottom"/>
          </w:tcPr>
          <w:p>
            <w:pPr>
              <w:spacing w:after="0"/>
              <w:rPr>
                <w:sz w:val="19"/>
                <w:szCs w:val="19"/>
                <w:color w:val="auto"/>
              </w:rPr>
            </w:pPr>
          </w:p>
        </w:tc>
      </w:tr>
      <w:tr>
        <w:trPr>
          <w:trHeight w:val="223"/>
        </w:trPr>
        <w:tc>
          <w:tcPr>
            <w:tcW w:w="780" w:type="dxa"/>
            <w:vAlign w:val="bottom"/>
          </w:tcPr>
          <w:p>
            <w:pPr>
              <w:spacing w:after="0"/>
              <w:rPr>
                <w:sz w:val="19"/>
                <w:szCs w:val="19"/>
                <w:color w:val="auto"/>
              </w:rPr>
            </w:pPr>
          </w:p>
        </w:tc>
        <w:tc>
          <w:tcPr>
            <w:tcW w:w="7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 acquired</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34,765</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16"/>
        </w:trPr>
        <w:tc>
          <w:tcPr>
            <w:tcW w:w="78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assumed</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Accrued other liabilities</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20" w:type="dxa"/>
            <w:vAlign w:val="bottom"/>
            <w:shd w:val="clear" w:color="auto" w:fill="CCEEFF"/>
          </w:tcPr>
          <w:p>
            <w:pPr>
              <w:spacing w:after="0"/>
              <w:rPr>
                <w:sz w:val="18"/>
                <w:szCs w:val="18"/>
                <w:color w:val="auto"/>
              </w:rPr>
            </w:pPr>
          </w:p>
        </w:tc>
      </w:tr>
      <w:tr>
        <w:trPr>
          <w:trHeight w:val="223"/>
        </w:trPr>
        <w:tc>
          <w:tcPr>
            <w:tcW w:w="780" w:type="dxa"/>
            <w:vAlign w:val="bottom"/>
          </w:tcPr>
          <w:p>
            <w:pPr>
              <w:spacing w:after="0"/>
              <w:rPr>
                <w:sz w:val="19"/>
                <w:szCs w:val="19"/>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Client fund obligations</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16,419</w:t>
            </w:r>
          </w:p>
        </w:tc>
        <w:tc>
          <w:tcPr>
            <w:tcW w:w="120" w:type="dxa"/>
            <w:vAlign w:val="bottom"/>
          </w:tcPr>
          <w:p>
            <w:pPr>
              <w:spacing w:after="0"/>
              <w:rPr>
                <w:sz w:val="19"/>
                <w:szCs w:val="19"/>
                <w:color w:val="auto"/>
              </w:rPr>
            </w:pPr>
          </w:p>
        </w:tc>
      </w:tr>
      <w:tr>
        <w:trPr>
          <w:trHeight w:val="223"/>
        </w:trPr>
        <w:tc>
          <w:tcPr>
            <w:tcW w:w="780" w:type="dxa"/>
            <w:vAlign w:val="bottom"/>
          </w:tcPr>
          <w:p>
            <w:pPr>
              <w:spacing w:after="0"/>
              <w:rPr>
                <w:sz w:val="19"/>
                <w:szCs w:val="19"/>
                <w:color w:val="auto"/>
              </w:rPr>
            </w:pPr>
          </w:p>
        </w:tc>
        <w:tc>
          <w:tcPr>
            <w:tcW w:w="7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assumed</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16,765</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16"/>
        </w:trPr>
        <w:tc>
          <w:tcPr>
            <w:tcW w:w="780" w:type="dxa"/>
            <w:vAlign w:val="bottom"/>
          </w:tcPr>
          <w:p>
            <w:pPr>
              <w:spacing w:after="0"/>
              <w:rPr>
                <w:sz w:val="18"/>
                <w:szCs w:val="18"/>
                <w:color w:val="auto"/>
              </w:rPr>
            </w:pPr>
          </w:p>
        </w:tc>
        <w:tc>
          <w:tcPr>
            <w:tcW w:w="7060" w:type="dxa"/>
            <w:vAlign w:val="bottom"/>
          </w:tcPr>
          <w:p>
            <w:pPr>
              <w:ind w:left="40"/>
              <w:spacing w:after="0"/>
              <w:rPr>
                <w:sz w:val="20"/>
                <w:szCs w:val="20"/>
                <w:color w:val="auto"/>
              </w:rPr>
            </w:pPr>
            <w:r>
              <w:rPr>
                <w:rFonts w:ascii="Arial" w:cs="Arial" w:eastAsia="Arial" w:hAnsi="Arial"/>
                <w:sz w:val="18"/>
                <w:szCs w:val="18"/>
                <w:b w:val="1"/>
                <w:bCs w:val="1"/>
                <w:color w:val="auto"/>
              </w:rPr>
              <w:t>Net assets acquired</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18,000</w:t>
            </w:r>
          </w:p>
        </w:tc>
        <w:tc>
          <w:tcPr>
            <w:tcW w:w="120" w:type="dxa"/>
            <w:vAlign w:val="bottom"/>
          </w:tcPr>
          <w:p>
            <w:pPr>
              <w:spacing w:after="0"/>
              <w:rPr>
                <w:sz w:val="18"/>
                <w:szCs w:val="18"/>
                <w:color w:val="auto"/>
              </w:rPr>
            </w:pPr>
          </w:p>
        </w:tc>
      </w:tr>
      <w:tr>
        <w:trPr>
          <w:trHeight w:val="21"/>
        </w:trPr>
        <w:tc>
          <w:tcPr>
            <w:tcW w:w="78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Pro Forma Financial Information</w:t>
      </w:r>
    </w:p>
    <w:p>
      <w:pPr>
        <w:spacing w:after="0" w:line="25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following unaudited summary of pro forma combined results of operation for the years ended December 31, 2016 and 2015 gives effect to the acquisition of Mangrove and the acquisition of assets of COBRAsource as if we had completed them on January 1, 2015. This pro forma summary does not reflect any operating efficiencies, cost savings or revenue enhancements that we may achieve by combining operations. In addition, we have not reflected certain non-recurring expenses, such as legal expenses and other transactions expenses for the first 12 months after the acquisition, in the pro forma summary.</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 or otherwise noted)</w:t>
      </w:r>
    </w:p>
    <w:p>
      <w:pPr>
        <w:spacing w:after="0" w:line="23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present this pro forma summary for informational purposes only and it is not necessarily indicative of what our actual results of operations would have been had the acquisitions taken place as of January 1, 2015, nor is it indicative of future consolidated results of operations.</w:t>
      </w:r>
    </w:p>
    <w:p>
      <w:pPr>
        <w:spacing w:after="0" w:line="143"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40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540" w:type="dxa"/>
            <w:vAlign w:val="bottom"/>
            <w:gridSpan w:val="3"/>
          </w:tcPr>
          <w:p>
            <w:pPr>
              <w:ind w:left="20"/>
              <w:spacing w:after="0"/>
              <w:rPr>
                <w:sz w:val="20"/>
                <w:szCs w:val="20"/>
                <w:color w:val="auto"/>
              </w:rPr>
            </w:pPr>
            <w:r>
              <w:rPr>
                <w:rFonts w:ascii="Arial" w:cs="Arial" w:eastAsia="Arial" w:hAnsi="Arial"/>
                <w:sz w:val="18"/>
                <w:szCs w:val="18"/>
                <w:b w:val="1"/>
                <w:bCs w:val="1"/>
                <w:color w:val="auto"/>
              </w:rPr>
              <w:t>FOR THE YEAR</w:t>
            </w:r>
          </w:p>
        </w:tc>
        <w:tc>
          <w:tcPr>
            <w:tcW w:w="80" w:type="dxa"/>
            <w:vAlign w:val="bottom"/>
          </w:tcPr>
          <w:p>
            <w:pPr>
              <w:spacing w:after="0"/>
              <w:rPr>
                <w:sz w:val="18"/>
                <w:szCs w:val="18"/>
                <w:color w:val="auto"/>
              </w:rPr>
            </w:pPr>
          </w:p>
        </w:tc>
        <w:tc>
          <w:tcPr>
            <w:tcW w:w="1500" w:type="dxa"/>
            <w:vAlign w:val="bottom"/>
            <w:gridSpan w:val="3"/>
          </w:tcPr>
          <w:p>
            <w:pPr>
              <w:ind w:left="20"/>
              <w:spacing w:after="0"/>
              <w:rPr>
                <w:sz w:val="20"/>
                <w:szCs w:val="20"/>
                <w:color w:val="auto"/>
              </w:rPr>
            </w:pPr>
            <w:r>
              <w:rPr>
                <w:rFonts w:ascii="Arial" w:cs="Arial" w:eastAsia="Arial" w:hAnsi="Arial"/>
                <w:sz w:val="18"/>
                <w:szCs w:val="18"/>
                <w:b w:val="1"/>
                <w:bCs w:val="1"/>
                <w:color w:val="auto"/>
              </w:rPr>
              <w:t>FOR THE YEAR</w:t>
            </w:r>
          </w:p>
        </w:tc>
      </w:tr>
      <w:tr>
        <w:trPr>
          <w:trHeight w:val="216"/>
        </w:trPr>
        <w:tc>
          <w:tcPr>
            <w:tcW w:w="40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ENDED</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8"/>
              </w:rPr>
              <w:t>ENDED</w:t>
            </w:r>
          </w:p>
        </w:tc>
      </w:tr>
      <w:tr>
        <w:trPr>
          <w:trHeight w:val="216"/>
        </w:trPr>
        <w:tc>
          <w:tcPr>
            <w:tcW w:w="40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540" w:type="dxa"/>
            <w:vAlign w:val="bottom"/>
            <w:gridSpan w:val="3"/>
          </w:tcPr>
          <w:p>
            <w:pPr>
              <w:ind w:left="40"/>
              <w:spacing w:after="0"/>
              <w:rPr>
                <w:sz w:val="20"/>
                <w:szCs w:val="20"/>
                <w:color w:val="auto"/>
              </w:rPr>
            </w:pPr>
            <w:r>
              <w:rPr>
                <w:rFonts w:ascii="Arial" w:cs="Arial" w:eastAsia="Arial" w:hAnsi="Arial"/>
                <w:sz w:val="18"/>
                <w:szCs w:val="18"/>
                <w:b w:val="1"/>
                <w:bCs w:val="1"/>
                <w:color w:val="auto"/>
              </w:rPr>
              <w:t>DECEMBER 31,</w:t>
            </w:r>
          </w:p>
        </w:tc>
        <w:tc>
          <w:tcPr>
            <w:tcW w:w="80" w:type="dxa"/>
            <w:vAlign w:val="bottom"/>
          </w:tcPr>
          <w:p>
            <w:pPr>
              <w:spacing w:after="0"/>
              <w:rPr>
                <w:sz w:val="18"/>
                <w:szCs w:val="18"/>
                <w:color w:val="auto"/>
              </w:rPr>
            </w:pPr>
          </w:p>
        </w:tc>
        <w:tc>
          <w:tcPr>
            <w:tcW w:w="1500" w:type="dxa"/>
            <w:vAlign w:val="bottom"/>
            <w:gridSpan w:val="3"/>
          </w:tcPr>
          <w:p>
            <w:pPr>
              <w:ind w:left="40"/>
              <w:spacing w:after="0"/>
              <w:rPr>
                <w:sz w:val="20"/>
                <w:szCs w:val="20"/>
                <w:color w:val="auto"/>
              </w:rPr>
            </w:pPr>
            <w:r>
              <w:rPr>
                <w:rFonts w:ascii="Arial" w:cs="Arial" w:eastAsia="Arial" w:hAnsi="Arial"/>
                <w:sz w:val="18"/>
                <w:szCs w:val="18"/>
                <w:b w:val="1"/>
                <w:bCs w:val="1"/>
                <w:color w:val="auto"/>
              </w:rPr>
              <w:t>DECEMBER 31,</w:t>
            </w:r>
          </w:p>
        </w:tc>
      </w:tr>
      <w:tr>
        <w:trPr>
          <w:trHeight w:val="241"/>
        </w:trPr>
        <w:tc>
          <w:tcPr>
            <w:tcW w:w="40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37,671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35,137</w:t>
            </w:r>
          </w:p>
        </w:tc>
        <w:tc>
          <w:tcPr>
            <w:tcW w:w="120" w:type="dxa"/>
            <w:vAlign w:val="bottom"/>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Net income (loss)</w:t>
            </w:r>
          </w:p>
        </w:tc>
        <w:tc>
          <w:tcPr>
            <w:tcW w:w="1580" w:type="dxa"/>
            <w:vAlign w:val="bottom"/>
            <w:gridSpan w:val="2"/>
          </w:tcPr>
          <w:p>
            <w:pPr>
              <w:ind w:left="13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(148)</w:t>
            </w:r>
          </w:p>
        </w:tc>
        <w:tc>
          <w:tcPr>
            <w:tcW w:w="3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(3,113)</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common share:</w:t>
            </w:r>
          </w:p>
        </w:tc>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Basic and diluted</w:t>
            </w:r>
          </w:p>
        </w:tc>
        <w:tc>
          <w:tcPr>
            <w:tcW w:w="1580" w:type="dxa"/>
            <w:vAlign w:val="bottom"/>
            <w:gridSpan w:val="2"/>
          </w:tcPr>
          <w:p>
            <w:pPr>
              <w:ind w:left="13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(0.02)</w:t>
            </w:r>
          </w:p>
        </w:tc>
        <w:tc>
          <w:tcPr>
            <w:tcW w:w="3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(0.50)</w:t>
            </w:r>
          </w:p>
        </w:tc>
      </w:tr>
      <w:tr>
        <w:trPr>
          <w:trHeight w:val="216"/>
        </w:trPr>
        <w:tc>
          <w:tcPr>
            <w:tcW w:w="40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6,533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6,176</w:t>
            </w: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Diluted</w:t>
            </w: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6,533</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6,176</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GOODWILL AND OTHER INTANGIBLE ASSETS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Asure accounted for its historical acquisitions in accordance with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We recorded the amount exceeding the fair value of net assets acquired at the date of acquisition as goodwill. We recorded intangible assets apart from goodwill if the assets had contractual or other legal rights or if the assets could be separated and sold, transferred, licensed, rented or exchanged. Asure’s goodwill relates to the acquisitions of ADI and Legiant in 2011, the acquisition of PeopleCube in 2012, and the acquisitions of FotoPunch and Roomtag in 2014 and Mangrove in 2016.</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annual changes in our goodwill:</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4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2014</w:t>
            </w:r>
          </w:p>
        </w:tc>
        <w:tc>
          <w:tcPr>
            <w:tcW w:w="356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w:t>
            </w:r>
          </w:p>
        </w:tc>
        <w:tc>
          <w:tcPr>
            <w:tcW w:w="120" w:type="dxa"/>
            <w:vAlign w:val="bottom"/>
            <w:shd w:val="clear" w:color="auto" w:fill="CCEEFF"/>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Adjustments to goodwill</w:t>
            </w:r>
          </w:p>
        </w:tc>
        <w:tc>
          <w:tcPr>
            <w:tcW w:w="3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(60)</w:t>
            </w:r>
          </w:p>
        </w:tc>
        <w:tc>
          <w:tcPr>
            <w:tcW w:w="1440" w:type="dxa"/>
            <w:vAlign w:val="bottom"/>
          </w:tcPr>
          <w:p>
            <w:pPr>
              <w:spacing w:after="0"/>
              <w:rPr>
                <w:sz w:val="18"/>
                <w:szCs w:val="18"/>
                <w:color w:val="auto"/>
              </w:rPr>
            </w:pPr>
          </w:p>
        </w:tc>
      </w:tr>
      <w:tr>
        <w:trPr>
          <w:trHeight w:val="223"/>
        </w:trPr>
        <w:tc>
          <w:tcPr>
            <w:tcW w:w="1440" w:type="dxa"/>
            <w:vAlign w:val="bottom"/>
          </w:tcPr>
          <w:p>
            <w:pPr>
              <w:spacing w:after="0"/>
              <w:rPr>
                <w:sz w:val="19"/>
                <w:szCs w:val="19"/>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exchange adjustments to goodwill</w:t>
            </w:r>
          </w:p>
        </w:tc>
        <w:tc>
          <w:tcPr>
            <w:tcW w:w="30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1440" w:type="dxa"/>
            <w:vAlign w:val="bottom"/>
          </w:tcPr>
          <w:p>
            <w:pPr>
              <w:spacing w:after="0"/>
              <w:rPr>
                <w:sz w:val="19"/>
                <w:szCs w:val="19"/>
                <w:color w:val="auto"/>
              </w:rPr>
            </w:pPr>
          </w:p>
        </w:tc>
      </w:tr>
      <w:tr>
        <w:trPr>
          <w:trHeight w:val="216"/>
        </w:trPr>
        <w:tc>
          <w:tcPr>
            <w:tcW w:w="1440" w:type="dxa"/>
            <w:vAlign w:val="bottom"/>
          </w:tcPr>
          <w:p>
            <w:pPr>
              <w:spacing w:after="0"/>
              <w:rPr>
                <w:sz w:val="18"/>
                <w:szCs w:val="18"/>
                <w:color w:val="auto"/>
              </w:rPr>
            </w:pPr>
          </w:p>
        </w:tc>
        <w:tc>
          <w:tcPr>
            <w:tcW w:w="39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Balance at December 31, 2015</w:t>
            </w:r>
          </w:p>
        </w:tc>
        <w:tc>
          <w:tcPr>
            <w:tcW w:w="308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17,436</w:t>
            </w:r>
          </w:p>
        </w:tc>
        <w:tc>
          <w:tcPr>
            <w:tcW w:w="120" w:type="dxa"/>
            <w:vAlign w:val="bottom"/>
            <w:tcBorders>
              <w:top w:val="single" w:sz="8" w:color="CCEEFF"/>
            </w:tcBorders>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980" w:type="dxa"/>
            <w:vAlign w:val="bottom"/>
            <w:shd w:val="clear" w:color="auto" w:fill="CCEEFF"/>
          </w:tcPr>
          <w:p>
            <w:pPr>
              <w:ind w:left="80"/>
              <w:spacing w:after="0"/>
              <w:rPr>
                <w:sz w:val="20"/>
                <w:szCs w:val="20"/>
                <w:color w:val="auto"/>
              </w:rPr>
            </w:pPr>
            <w:r>
              <w:rPr>
                <w:rFonts w:ascii="Arial" w:cs="Arial" w:eastAsia="Arial" w:hAnsi="Arial"/>
                <w:sz w:val="18"/>
                <w:szCs w:val="18"/>
                <w:color w:val="auto"/>
                <w:w w:val="96"/>
              </w:rPr>
              <w:t>Goodwill recognized upon acquisition of Mangrove</w:t>
            </w:r>
          </w:p>
        </w:tc>
        <w:tc>
          <w:tcPr>
            <w:tcW w:w="30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8,837</w:t>
            </w:r>
          </w:p>
        </w:tc>
        <w:tc>
          <w:tcPr>
            <w:tcW w:w="120" w:type="dxa"/>
            <w:vAlign w:val="bottom"/>
            <w:shd w:val="clear" w:color="auto" w:fill="CCEEFF"/>
          </w:tcPr>
          <w:p>
            <w:pPr>
              <w:spacing w:after="0"/>
              <w:rPr>
                <w:sz w:val="18"/>
                <w:szCs w:val="18"/>
                <w:color w:val="auto"/>
              </w:rPr>
            </w:pPr>
          </w:p>
        </w:tc>
        <w:tc>
          <w:tcPr>
            <w:tcW w:w="1440" w:type="dxa"/>
            <w:vAlign w:val="bottom"/>
          </w:tcPr>
          <w:p>
            <w:pPr>
              <w:spacing w:after="0"/>
              <w:rPr>
                <w:sz w:val="18"/>
                <w:szCs w:val="18"/>
                <w:color w:val="auto"/>
              </w:rPr>
            </w:pPr>
          </w:p>
        </w:tc>
      </w:tr>
      <w:tr>
        <w:trPr>
          <w:trHeight w:val="223"/>
        </w:trPr>
        <w:tc>
          <w:tcPr>
            <w:tcW w:w="1440" w:type="dxa"/>
            <w:vAlign w:val="bottom"/>
          </w:tcPr>
          <w:p>
            <w:pPr>
              <w:spacing w:after="0"/>
              <w:rPr>
                <w:sz w:val="19"/>
                <w:szCs w:val="19"/>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Foreign exchange adjustments to goodwill</w:t>
            </w:r>
          </w:p>
        </w:tc>
        <w:tc>
          <w:tcPr>
            <w:tcW w:w="3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1440" w:type="dxa"/>
            <w:vAlign w:val="bottom"/>
          </w:tcPr>
          <w:p>
            <w:pPr>
              <w:spacing w:after="0"/>
              <w:rPr>
                <w:sz w:val="19"/>
                <w:szCs w:val="19"/>
                <w:color w:val="auto"/>
              </w:rPr>
            </w:pPr>
          </w:p>
        </w:tc>
      </w:tr>
      <w:tr>
        <w:trPr>
          <w:trHeight w:val="257"/>
        </w:trPr>
        <w:tc>
          <w:tcPr>
            <w:tcW w:w="1440" w:type="dxa"/>
            <w:vAlign w:val="bottom"/>
          </w:tcPr>
          <w:p>
            <w:pPr>
              <w:spacing w:after="0"/>
              <w:rPr>
                <w:sz w:val="22"/>
                <w:szCs w:val="22"/>
                <w:color w:val="auto"/>
              </w:rPr>
            </w:pPr>
          </w:p>
        </w:tc>
        <w:tc>
          <w:tcPr>
            <w:tcW w:w="3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2016</w:t>
            </w:r>
          </w:p>
        </w:tc>
        <w:tc>
          <w:tcPr>
            <w:tcW w:w="30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26,259</w:t>
            </w:r>
          </w:p>
        </w:tc>
        <w:tc>
          <w:tcPr>
            <w:tcW w:w="120" w:type="dxa"/>
            <w:vAlign w:val="bottom"/>
            <w:tcBorders>
              <w:bottom w:val="single" w:sz="8" w:color="CCEEFF"/>
            </w:tcBorders>
            <w:shd w:val="clear" w:color="auto" w:fill="CCEEFF"/>
          </w:tcPr>
          <w:p>
            <w:pPr>
              <w:spacing w:after="0"/>
              <w:rPr>
                <w:sz w:val="22"/>
                <w:szCs w:val="22"/>
                <w:color w:val="auto"/>
              </w:rPr>
            </w:pPr>
          </w:p>
        </w:tc>
        <w:tc>
          <w:tcPr>
            <w:tcW w:w="1440" w:type="dxa"/>
            <w:vAlign w:val="bottom"/>
          </w:tcPr>
          <w:p>
            <w:pPr>
              <w:spacing w:after="0"/>
              <w:rPr>
                <w:sz w:val="22"/>
                <w:szCs w:val="22"/>
                <w:color w:val="auto"/>
              </w:rPr>
            </w:pPr>
          </w:p>
        </w:tc>
      </w:tr>
      <w:tr>
        <w:trPr>
          <w:trHeight w:val="589"/>
        </w:trPr>
        <w:tc>
          <w:tcPr>
            <w:tcW w:w="144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3560" w:type="dxa"/>
            <w:vAlign w:val="bottom"/>
            <w:gridSpan w:val="2"/>
          </w:tcPr>
          <w:p>
            <w:pPr>
              <w:jc w:val="right"/>
              <w:ind w:right="3030"/>
              <w:spacing w:after="0"/>
              <w:rPr>
                <w:sz w:val="20"/>
                <w:szCs w:val="20"/>
                <w:color w:val="auto"/>
              </w:rPr>
            </w:pPr>
            <w:r>
              <w:rPr>
                <w:rFonts w:ascii="Arial" w:cs="Arial" w:eastAsia="Arial" w:hAnsi="Arial"/>
                <w:sz w:val="14"/>
                <w:szCs w:val="14"/>
                <w:color w:val="auto"/>
              </w:rPr>
              <w:t>F-18</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46"/>
        </w:trPr>
        <w:tc>
          <w:tcPr>
            <w:tcW w:w="1440" w:type="dxa"/>
            <w:vAlign w:val="bottom"/>
            <w:tcBorders>
              <w:bottom w:val="single" w:sz="8" w:color="auto"/>
            </w:tcBorders>
          </w:tcPr>
          <w:p>
            <w:pPr>
              <w:spacing w:after="0"/>
              <w:rPr>
                <w:sz w:val="4"/>
                <w:szCs w:val="4"/>
                <w:color w:val="auto"/>
              </w:rPr>
            </w:pPr>
          </w:p>
        </w:tc>
        <w:tc>
          <w:tcPr>
            <w:tcW w:w="3980" w:type="dxa"/>
            <w:vAlign w:val="bottom"/>
            <w:tcBorders>
              <w:bottom w:val="single" w:sz="8" w:color="auto"/>
            </w:tcBorders>
          </w:tcPr>
          <w:p>
            <w:pPr>
              <w:spacing w:after="0"/>
              <w:rPr>
                <w:sz w:val="4"/>
                <w:szCs w:val="4"/>
                <w:color w:val="auto"/>
              </w:rPr>
            </w:pPr>
          </w:p>
        </w:tc>
        <w:tc>
          <w:tcPr>
            <w:tcW w:w="30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 or otherwise noted)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0280" w:type="dxa"/>
            <w:vAlign w:val="bottom"/>
            <w:gridSpan w:val="14"/>
          </w:tcPr>
          <w:p>
            <w:pPr>
              <w:jc w:val="right"/>
              <w:ind w:right="50"/>
              <w:spacing w:after="0"/>
              <w:rPr>
                <w:sz w:val="20"/>
                <w:szCs w:val="20"/>
                <w:color w:val="auto"/>
              </w:rPr>
            </w:pPr>
            <w:r>
              <w:rPr>
                <w:rFonts w:ascii="Arial" w:cs="Arial" w:eastAsia="Arial" w:hAnsi="Arial"/>
                <w:sz w:val="18"/>
                <w:szCs w:val="18"/>
                <w:color w:val="auto"/>
                <w:w w:val="95"/>
              </w:rPr>
              <w:t>The gross carrying amount and accumulated amortization of our intangible assets as of December 31, 2016 and 2015 are as follows:</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5"/>
          </w:tcPr>
          <w:p>
            <w:pPr>
              <w:jc w:val="right"/>
              <w:ind w:right="160"/>
              <w:spacing w:after="0"/>
              <w:rPr>
                <w:sz w:val="20"/>
                <w:szCs w:val="20"/>
                <w:color w:val="auto"/>
              </w:rPr>
            </w:pPr>
            <w:r>
              <w:rPr>
                <w:rFonts w:ascii="Arial" w:cs="Arial" w:eastAsia="Arial" w:hAnsi="Arial"/>
                <w:sz w:val="18"/>
                <w:szCs w:val="18"/>
                <w:b w:val="1"/>
                <w:bCs w:val="1"/>
                <w:color w:val="auto"/>
                <w:w w:val="93"/>
              </w:rPr>
              <w:t>December 31, 2016</w:t>
            </w: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center"/>
              <w:ind w:right="140"/>
              <w:spacing w:after="0" w:line="198" w:lineRule="exact"/>
              <w:rPr>
                <w:sz w:val="20"/>
                <w:szCs w:val="20"/>
                <w:color w:val="auto"/>
              </w:rPr>
            </w:pPr>
            <w:r>
              <w:rPr>
                <w:rFonts w:ascii="Arial" w:cs="Arial" w:eastAsia="Arial" w:hAnsi="Arial"/>
                <w:sz w:val="18"/>
                <w:szCs w:val="18"/>
                <w:b w:val="1"/>
                <w:bCs w:val="1"/>
                <w:color w:val="auto"/>
                <w:w w:val="88"/>
              </w:rPr>
              <w:t>Weighted</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Average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Amortization</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Intangible Assets</w:t>
            </w:r>
          </w:p>
        </w:tc>
        <w:tc>
          <w:tcPr>
            <w:tcW w:w="12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Period (in Years)</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Gross</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2"/>
              </w:rPr>
              <w:t>Amortization</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Net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tcPr>
          <w:p>
            <w:pPr>
              <w:spacing w:after="0"/>
              <w:rPr>
                <w:sz w:val="18"/>
                <w:szCs w:val="18"/>
                <w:color w:val="auto"/>
              </w:rPr>
            </w:pPr>
          </w:p>
        </w:tc>
        <w:tc>
          <w:tcPr>
            <w:tcW w:w="15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10,915</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(3,408)</w:t>
            </w:r>
          </w:p>
        </w:tc>
        <w:tc>
          <w:tcPr>
            <w:tcW w:w="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14,011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(10,270)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Reseller Relationships</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Trade Names</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1,294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(707)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27,073</w:t>
            </w:r>
          </w:p>
        </w:tc>
        <w:tc>
          <w:tcPr>
            <w:tcW w:w="240" w:type="dxa"/>
            <w:vAlign w:val="bottom"/>
            <w:tcBorders>
              <w:bottom w:val="single" w:sz="8" w:color="CCEEFF"/>
            </w:tcBorders>
            <w:gridSpan w:val="2"/>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(15,025)</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12,048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w w:val="91"/>
              </w:rPr>
              <w:t>December 31, 2015</w:t>
            </w: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center"/>
              <w:ind w:right="140"/>
              <w:spacing w:after="0" w:line="198" w:lineRule="exact"/>
              <w:rPr>
                <w:sz w:val="20"/>
                <w:szCs w:val="20"/>
                <w:color w:val="auto"/>
              </w:rPr>
            </w:pPr>
            <w:r>
              <w:rPr>
                <w:rFonts w:ascii="Arial" w:cs="Arial" w:eastAsia="Arial" w:hAnsi="Arial"/>
                <w:sz w:val="18"/>
                <w:szCs w:val="18"/>
                <w:b w:val="1"/>
                <w:bCs w:val="1"/>
                <w:color w:val="auto"/>
                <w:w w:val="88"/>
              </w:rPr>
              <w:t>Weighted</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Average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Amortization</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5"/>
              </w:rPr>
              <w:t>Accumulated</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Intangible Assets</w:t>
            </w:r>
          </w:p>
        </w:tc>
        <w:tc>
          <w:tcPr>
            <w:tcW w:w="12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Period (in Years)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Gross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8"/>
              </w:rPr>
              <w:t>Amortization</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Net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tcPr>
          <w:p>
            <w:pPr>
              <w:spacing w:after="0"/>
              <w:rPr>
                <w:sz w:val="18"/>
                <w:szCs w:val="18"/>
                <w:color w:val="auto"/>
              </w:rPr>
            </w:pPr>
          </w:p>
        </w:tc>
        <w:tc>
          <w:tcPr>
            <w:tcW w:w="15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gridSpan w:val="3"/>
          </w:tcPr>
          <w:p>
            <w:pPr>
              <w:spacing w:after="0"/>
              <w:rPr>
                <w:sz w:val="18"/>
                <w:szCs w:val="18"/>
                <w:color w:val="auto"/>
              </w:rPr>
            </w:pPr>
          </w:p>
        </w:tc>
        <w:tc>
          <w:tcPr>
            <w:tcW w:w="1380" w:type="dxa"/>
            <w:vAlign w:val="bottom"/>
            <w:gridSpan w:val="2"/>
          </w:tcPr>
          <w:p>
            <w:pPr>
              <w:spacing w:after="0"/>
              <w:rPr>
                <w:sz w:val="18"/>
                <w:szCs w:val="18"/>
                <w:color w:val="auto"/>
              </w:rPr>
            </w:pPr>
          </w:p>
        </w:tc>
        <w:tc>
          <w:tcPr>
            <w:tcW w:w="44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4,015</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(2,208)</w:t>
            </w:r>
          </w:p>
        </w:tc>
        <w:tc>
          <w:tcPr>
            <w:tcW w:w="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12,811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(8,959)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Reseller Relationships</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Trade Names</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(669)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Covenant not-to-compete</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8"/>
                <w:szCs w:val="18"/>
                <w:color w:val="auto"/>
              </w:rPr>
            </w:pPr>
          </w:p>
        </w:tc>
        <w:tc>
          <w:tcPr>
            <w:tcW w:w="360" w:type="dxa"/>
            <w:vAlign w:val="bottom"/>
            <w:gridSpan w:val="2"/>
          </w:tcPr>
          <w:p>
            <w:pPr>
              <w:jc w:val="right"/>
              <w:ind w:right="85"/>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18,602</w:t>
            </w:r>
          </w:p>
        </w:tc>
        <w:tc>
          <w:tcPr>
            <w:tcW w:w="32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(12,576)</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6,026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record amortization expense using the straight-line method over the estimated useful lives of the intangible assets, as noted above. Amortization expenses were $2,253 and $1,866 for 2016 and 2015, respectively, included in Operating Expenses. Amortization expenses recorded in Cost of Sales were $425 and $425 for 2016 and 2015, respectively.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future estimated amortization expense relating to our intangible assets as of December 31, 2016: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860" w:type="dxa"/>
            <w:vAlign w:val="bottom"/>
          </w:tcPr>
          <w:p>
            <w:pPr>
              <w:spacing w:after="0"/>
              <w:rPr>
                <w:sz w:val="20"/>
                <w:szCs w:val="20"/>
                <w:color w:val="auto"/>
              </w:rPr>
            </w:pPr>
          </w:p>
        </w:tc>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Calendar Years</w:t>
            </w:r>
          </w:p>
        </w:tc>
        <w:tc>
          <w:tcPr>
            <w:tcW w:w="21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40" w:type="dxa"/>
            <w:vAlign w:val="bottom"/>
          </w:tcPr>
          <w:p>
            <w:pPr>
              <w:spacing w:after="0"/>
              <w:rPr>
                <w:sz w:val="20"/>
                <w:szCs w:val="20"/>
                <w:color w:val="auto"/>
              </w:rPr>
            </w:pPr>
          </w:p>
        </w:tc>
      </w:tr>
      <w:tr>
        <w:trPr>
          <w:trHeight w:val="216"/>
        </w:trPr>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2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2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2,907</w:t>
            </w:r>
          </w:p>
        </w:tc>
        <w:tc>
          <w:tcPr>
            <w:tcW w:w="140" w:type="dxa"/>
            <w:vAlign w:val="bottom"/>
            <w:shd w:val="clear" w:color="auto" w:fill="CCEEFF"/>
          </w:tcPr>
          <w:p>
            <w:pPr>
              <w:spacing w:after="0"/>
              <w:rPr>
                <w:sz w:val="18"/>
                <w:szCs w:val="18"/>
                <w:color w:val="auto"/>
              </w:rPr>
            </w:pPr>
          </w:p>
        </w:tc>
        <w:tc>
          <w:tcPr>
            <w:tcW w:w="2840" w:type="dxa"/>
            <w:vAlign w:val="bottom"/>
          </w:tcPr>
          <w:p>
            <w:pPr>
              <w:spacing w:after="0"/>
              <w:rPr>
                <w:sz w:val="18"/>
                <w:szCs w:val="18"/>
                <w:color w:val="auto"/>
              </w:rPr>
            </w:pPr>
          </w:p>
        </w:tc>
      </w:tr>
      <w:tr>
        <w:trPr>
          <w:trHeight w:val="216"/>
        </w:trPr>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2018</w:t>
            </w: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2,558</w:t>
            </w:r>
          </w:p>
        </w:tc>
        <w:tc>
          <w:tcPr>
            <w:tcW w:w="14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16"/>
        </w:trPr>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2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w:t>
            </w:r>
          </w:p>
        </w:tc>
        <w:tc>
          <w:tcPr>
            <w:tcW w:w="140" w:type="dxa"/>
            <w:vAlign w:val="bottom"/>
            <w:shd w:val="clear" w:color="auto" w:fill="CCEEFF"/>
          </w:tcPr>
          <w:p>
            <w:pPr>
              <w:spacing w:after="0"/>
              <w:rPr>
                <w:sz w:val="18"/>
                <w:szCs w:val="18"/>
                <w:color w:val="auto"/>
              </w:rPr>
            </w:pPr>
          </w:p>
        </w:tc>
        <w:tc>
          <w:tcPr>
            <w:tcW w:w="2840" w:type="dxa"/>
            <w:vAlign w:val="bottom"/>
          </w:tcPr>
          <w:p>
            <w:pPr>
              <w:spacing w:after="0"/>
              <w:rPr>
                <w:sz w:val="18"/>
                <w:szCs w:val="18"/>
                <w:color w:val="auto"/>
              </w:rPr>
            </w:pPr>
          </w:p>
        </w:tc>
      </w:tr>
      <w:tr>
        <w:trPr>
          <w:trHeight w:val="216"/>
        </w:trPr>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2020</w:t>
            </w: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1,360</w:t>
            </w:r>
          </w:p>
        </w:tc>
        <w:tc>
          <w:tcPr>
            <w:tcW w:w="14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16"/>
        </w:trPr>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1,559</w:t>
            </w:r>
          </w:p>
        </w:tc>
        <w:tc>
          <w:tcPr>
            <w:tcW w:w="140" w:type="dxa"/>
            <w:vAlign w:val="bottom"/>
            <w:shd w:val="clear" w:color="auto" w:fill="CCEEFF"/>
          </w:tcPr>
          <w:p>
            <w:pPr>
              <w:spacing w:after="0"/>
              <w:rPr>
                <w:sz w:val="18"/>
                <w:szCs w:val="18"/>
                <w:color w:val="auto"/>
              </w:rPr>
            </w:pPr>
          </w:p>
        </w:tc>
        <w:tc>
          <w:tcPr>
            <w:tcW w:w="2840" w:type="dxa"/>
            <w:vAlign w:val="bottom"/>
          </w:tcPr>
          <w:p>
            <w:pPr>
              <w:spacing w:after="0"/>
              <w:rPr>
                <w:sz w:val="18"/>
                <w:szCs w:val="18"/>
                <w:color w:val="auto"/>
              </w:rPr>
            </w:pPr>
          </w:p>
        </w:tc>
      </w:tr>
      <w:tr>
        <w:trPr>
          <w:trHeight w:val="223"/>
        </w:trPr>
        <w:tc>
          <w:tcPr>
            <w:tcW w:w="2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Thereafter</w:t>
            </w:r>
          </w:p>
        </w:tc>
        <w:tc>
          <w:tcPr>
            <w:tcW w:w="2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1,737</w:t>
            </w:r>
          </w:p>
        </w:tc>
        <w:tc>
          <w:tcPr>
            <w:tcW w:w="140" w:type="dxa"/>
            <w:vAlign w:val="bottom"/>
          </w:tcPr>
          <w:p>
            <w:pPr>
              <w:spacing w:after="0"/>
              <w:rPr>
                <w:sz w:val="19"/>
                <w:szCs w:val="19"/>
                <w:color w:val="auto"/>
              </w:rPr>
            </w:pPr>
          </w:p>
        </w:tc>
        <w:tc>
          <w:tcPr>
            <w:tcW w:w="2840" w:type="dxa"/>
            <w:vAlign w:val="bottom"/>
          </w:tcPr>
          <w:p>
            <w:pPr>
              <w:spacing w:after="0"/>
              <w:rPr>
                <w:sz w:val="19"/>
                <w:szCs w:val="19"/>
                <w:color w:val="auto"/>
              </w:rPr>
            </w:pPr>
          </w:p>
        </w:tc>
      </w:tr>
      <w:tr>
        <w:trPr>
          <w:trHeight w:val="257"/>
        </w:trPr>
        <w:tc>
          <w:tcPr>
            <w:tcW w:w="2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940" w:type="dxa"/>
            <w:vAlign w:val="bottom"/>
            <w:tcBorders>
              <w:bottom w:val="single" w:sz="8" w:color="CCEEFF"/>
            </w:tcBorders>
            <w:shd w:val="clear" w:color="auto" w:fill="CCEEFF"/>
          </w:tcPr>
          <w:p>
            <w:pPr>
              <w:spacing w:after="0"/>
              <w:rPr>
                <w:sz w:val="22"/>
                <w:szCs w:val="22"/>
                <w:color w:val="auto"/>
              </w:rPr>
            </w:pPr>
          </w:p>
        </w:tc>
        <w:tc>
          <w:tcPr>
            <w:tcW w:w="2240" w:type="dxa"/>
            <w:vAlign w:val="bottom"/>
            <w:tcBorders>
              <w:bottom w:val="single" w:sz="8" w:color="CCEEFF"/>
            </w:tcBorders>
            <w:gridSpan w:val="2"/>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325"/>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12,048</w:t>
            </w:r>
          </w:p>
        </w:tc>
        <w:tc>
          <w:tcPr>
            <w:tcW w:w="140" w:type="dxa"/>
            <w:vAlign w:val="bottom"/>
            <w:tcBorders>
              <w:bottom w:val="single" w:sz="8" w:color="CCEEFF"/>
            </w:tcBorders>
            <w:shd w:val="clear" w:color="auto" w:fill="CCEEFF"/>
          </w:tcPr>
          <w:p>
            <w:pPr>
              <w:spacing w:after="0"/>
              <w:rPr>
                <w:sz w:val="22"/>
                <w:szCs w:val="22"/>
                <w:color w:val="auto"/>
              </w:rPr>
            </w:pPr>
          </w:p>
        </w:tc>
        <w:tc>
          <w:tcPr>
            <w:tcW w:w="2840" w:type="dxa"/>
            <w:vAlign w:val="bottom"/>
          </w:tcPr>
          <w:p>
            <w:pPr>
              <w:spacing w:after="0"/>
              <w:rPr>
                <w:sz w:val="22"/>
                <w:szCs w:val="22"/>
                <w:color w:val="auto"/>
              </w:rPr>
            </w:pPr>
          </w:p>
        </w:tc>
      </w:tr>
      <w:tr>
        <w:trPr>
          <w:trHeight w:val="333"/>
        </w:trPr>
        <w:tc>
          <w:tcPr>
            <w:tcW w:w="2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720" w:type="dxa"/>
            <w:vAlign w:val="bottom"/>
            <w:gridSpan w:val="3"/>
          </w:tcPr>
          <w:p>
            <w:pPr>
              <w:jc w:val="right"/>
              <w:ind w:right="1605"/>
              <w:spacing w:after="0"/>
              <w:rPr>
                <w:sz w:val="20"/>
                <w:szCs w:val="20"/>
                <w:color w:val="auto"/>
              </w:rPr>
            </w:pPr>
            <w:r>
              <w:rPr>
                <w:rFonts w:ascii="Arial" w:cs="Arial" w:eastAsia="Arial" w:hAnsi="Arial"/>
                <w:sz w:val="14"/>
                <w:szCs w:val="14"/>
                <w:color w:val="auto"/>
              </w:rPr>
              <w:t>F-19</w:t>
            </w: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46"/>
        </w:trPr>
        <w:tc>
          <w:tcPr>
            <w:tcW w:w="28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940" w:type="dxa"/>
            <w:vAlign w:val="bottom"/>
            <w:tcBorders>
              <w:bottom w:val="single" w:sz="8" w:color="auto"/>
            </w:tcBorders>
          </w:tcPr>
          <w:p>
            <w:pPr>
              <w:spacing w:after="0"/>
              <w:rPr>
                <w:sz w:val="4"/>
                <w:szCs w:val="4"/>
                <w:color w:val="auto"/>
              </w:rPr>
            </w:pPr>
          </w:p>
        </w:tc>
        <w:tc>
          <w:tcPr>
            <w:tcW w:w="2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84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 or otherwise noted)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NOTES PAYABLE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outstanding debt as of the dates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Balance as of</w:t>
            </w: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Balance as of</w:t>
            </w:r>
          </w:p>
        </w:tc>
      </w:tr>
      <w:tr>
        <w:trPr>
          <w:trHeight w:val="216"/>
        </w:trPr>
        <w:tc>
          <w:tcPr>
            <w:tcW w:w="5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Stated Interest</w:t>
            </w:r>
          </w:p>
        </w:tc>
        <w:tc>
          <w:tcPr>
            <w:tcW w:w="120" w:type="dxa"/>
            <w:vAlign w:val="bottom"/>
          </w:tcPr>
          <w:p>
            <w:pPr>
              <w:spacing w:after="0"/>
              <w:rPr>
                <w:sz w:val="18"/>
                <w:szCs w:val="18"/>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December 31,</w:t>
            </w: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December 31,</w:t>
            </w:r>
          </w:p>
        </w:tc>
      </w:tr>
      <w:tr>
        <w:trPr>
          <w:trHeight w:val="241"/>
        </w:trPr>
        <w:tc>
          <w:tcPr>
            <w:tcW w:w="5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Notes Payable</w:t>
            </w:r>
          </w:p>
        </w:tc>
        <w:tc>
          <w:tcPr>
            <w:tcW w:w="120" w:type="dxa"/>
            <w:vAlign w:val="bottom"/>
          </w:tcPr>
          <w:p>
            <w:pPr>
              <w:spacing w:after="0"/>
              <w:rPr>
                <w:sz w:val="20"/>
                <w:szCs w:val="20"/>
                <w:color w:val="auto"/>
              </w:rPr>
            </w:pPr>
          </w:p>
        </w:tc>
        <w:tc>
          <w:tcPr>
            <w:tcW w:w="126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Maturity</w:t>
            </w:r>
          </w:p>
        </w:tc>
        <w:tc>
          <w:tcPr>
            <w:tcW w:w="120" w:type="dxa"/>
            <w:vAlign w:val="bottom"/>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Rate</w:t>
            </w: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2016</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Pr>
          <w:p>
            <w:pPr>
              <w:spacing w:after="0"/>
              <w:rPr>
                <w:sz w:val="20"/>
                <w:szCs w:val="20"/>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Subordinated Notes Payable- Mangrove acquisition</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3/18/2018</w:t>
            </w:r>
          </w:p>
        </w:tc>
        <w:tc>
          <w:tcPr>
            <w:tcW w:w="1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3"/>
        </w:trPr>
        <w:tc>
          <w:tcPr>
            <w:tcW w:w="5260" w:type="dxa"/>
            <w:vAlign w:val="bottom"/>
          </w:tcPr>
          <w:p>
            <w:pPr>
              <w:spacing w:after="0"/>
              <w:rPr>
                <w:sz w:val="20"/>
                <w:szCs w:val="20"/>
                <w:color w:val="auto"/>
              </w:rPr>
            </w:pPr>
            <w:r>
              <w:rPr>
                <w:rFonts w:ascii="Arial" w:cs="Arial" w:eastAsia="Arial" w:hAnsi="Arial"/>
                <w:sz w:val="18"/>
                <w:szCs w:val="18"/>
                <w:color w:val="auto"/>
              </w:rPr>
              <w:t>Term Loan - Wells Fargo</w:t>
            </w:r>
          </w:p>
        </w:tc>
        <w:tc>
          <w:tcPr>
            <w:tcW w:w="1380" w:type="dxa"/>
            <w:vAlign w:val="bottom"/>
            <w:gridSpan w:val="2"/>
          </w:tcPr>
          <w:p>
            <w:pPr>
              <w:ind w:left="380"/>
              <w:spacing w:after="0"/>
              <w:rPr>
                <w:sz w:val="20"/>
                <w:szCs w:val="20"/>
                <w:color w:val="auto"/>
              </w:rPr>
            </w:pPr>
            <w:r>
              <w:rPr>
                <w:rFonts w:ascii="Arial" w:cs="Arial" w:eastAsia="Arial" w:hAnsi="Arial"/>
                <w:sz w:val="18"/>
                <w:szCs w:val="18"/>
                <w:color w:val="auto"/>
              </w:rPr>
              <w:t>3/20/2019</w:t>
            </w:r>
          </w:p>
        </w:tc>
        <w:tc>
          <w:tcPr>
            <w:tcW w:w="1760" w:type="dxa"/>
            <w:vAlign w:val="bottom"/>
            <w:gridSpan w:val="3"/>
          </w:tcPr>
          <w:p>
            <w:pPr>
              <w:jc w:val="right"/>
              <w:ind w:right="120"/>
              <w:spacing w:after="0"/>
              <w:rPr>
                <w:sz w:val="20"/>
                <w:szCs w:val="20"/>
                <w:color w:val="auto"/>
              </w:rPr>
            </w:pPr>
            <w:r>
              <w:rPr>
                <w:rFonts w:ascii="Arial" w:cs="Arial" w:eastAsia="Arial" w:hAnsi="Arial"/>
                <w:sz w:val="18"/>
                <w:szCs w:val="18"/>
                <w:color w:val="auto"/>
              </w:rPr>
              <w:t>6.50%</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24,715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13 687</w:t>
            </w:r>
          </w:p>
        </w:tc>
      </w:tr>
      <w:tr>
        <w:trPr>
          <w:trHeight w:val="216"/>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Total Notes Payable</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30,715</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13,687</w:t>
            </w:r>
          </w:p>
        </w:tc>
        <w:tc>
          <w:tcPr>
            <w:tcW w:w="100" w:type="dxa"/>
            <w:vAlign w:val="bottom"/>
            <w:shd w:val="clear" w:color="auto" w:fill="CCEEFF"/>
          </w:tcPr>
          <w:p>
            <w:pPr>
              <w:spacing w:after="0"/>
              <w:rPr>
                <w:sz w:val="18"/>
                <w:szCs w:val="18"/>
                <w:color w:val="auto"/>
              </w:rPr>
            </w:pPr>
          </w:p>
        </w:tc>
      </w:tr>
      <w:tr>
        <w:trPr>
          <w:trHeight w:val="216"/>
        </w:trPr>
        <w:tc>
          <w:tcPr>
            <w:tcW w:w="5260" w:type="dxa"/>
            <w:vAlign w:val="bottom"/>
          </w:tcPr>
          <w:p>
            <w:pPr>
              <w:ind w:left="660"/>
              <w:spacing w:after="0"/>
              <w:rPr>
                <w:sz w:val="20"/>
                <w:szCs w:val="20"/>
                <w:color w:val="auto"/>
              </w:rPr>
            </w:pPr>
            <w:r>
              <w:rPr>
                <w:rFonts w:ascii="Arial" w:cs="Arial" w:eastAsia="Arial" w:hAnsi="Arial"/>
                <w:sz w:val="18"/>
                <w:szCs w:val="18"/>
                <w:color w:val="auto"/>
              </w:rPr>
              <w:t>Short-term notes payable</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5,455</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1,031</w:t>
            </w:r>
          </w:p>
        </w:tc>
      </w:tr>
      <w:tr>
        <w:trPr>
          <w:trHeight w:val="216"/>
        </w:trPr>
        <w:tc>
          <w:tcPr>
            <w:tcW w:w="52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Long-term notes payable</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25,260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12,656</w:t>
            </w:r>
          </w:p>
        </w:tc>
      </w:tr>
    </w:tbl>
    <w:p>
      <w:pPr>
        <w:spacing w:after="0" w:line="202" w:lineRule="exact"/>
        <w:rPr>
          <w:sz w:val="20"/>
          <w:szCs w:val="20"/>
          <w:color w:val="auto"/>
        </w:rPr>
      </w:pPr>
    </w:p>
    <w:p>
      <w:pPr>
        <w:jc w:val="both"/>
        <w:ind w:firstLine="694"/>
        <w:spacing w:after="0" w:line="257" w:lineRule="auto"/>
        <w:rPr>
          <w:sz w:val="20"/>
          <w:szCs w:val="20"/>
          <w:color w:val="auto"/>
        </w:rPr>
      </w:pPr>
      <w:r>
        <w:rPr>
          <w:rFonts w:ascii="Arial" w:cs="Arial" w:eastAsia="Arial" w:hAnsi="Arial"/>
          <w:sz w:val="18"/>
          <w:szCs w:val="18"/>
          <w:color w:val="auto"/>
        </w:rPr>
        <w:t>On January 1, 2016, we adopted ASU 2015-03 for debt issuance costs on our term loan, on a retrospective basis. The impact of adopting ASU 2015-03 on our current period consolidated financial statements was the classification of all deferred financing costs as a deduction to corresponding debt in addition to the reclassification of deferred financing costs in other current and long term assets to short and long term notes payable as of December 31, 2015, within the Consolidated Balance Sheets to conform to the current period presentation. The following table summarizes the debt issuance costs as of the dates indicated:</w:t>
      </w:r>
    </w:p>
    <w:p>
      <w:pPr>
        <w:spacing w:after="0" w:line="211"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3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85"/>
              </w:rPr>
              <w:t>Gross Notes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Net Notes</w:t>
            </w:r>
          </w:p>
        </w:tc>
      </w:tr>
      <w:tr>
        <w:trPr>
          <w:trHeight w:val="216"/>
        </w:trPr>
        <w:tc>
          <w:tcPr>
            <w:tcW w:w="3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Payable at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Payable at</w:t>
            </w:r>
          </w:p>
        </w:tc>
      </w:tr>
      <w:tr>
        <w:trPr>
          <w:trHeight w:val="216"/>
        </w:trPr>
        <w:tc>
          <w:tcPr>
            <w:tcW w:w="3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December 31,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Debt Issuance</w:t>
            </w: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December 31,</w:t>
            </w:r>
          </w:p>
        </w:tc>
      </w:tr>
      <w:tr>
        <w:trPr>
          <w:trHeight w:val="241"/>
        </w:trPr>
        <w:tc>
          <w:tcPr>
            <w:tcW w:w="3760" w:type="dxa"/>
            <w:vAlign w:val="bottom"/>
          </w:tcPr>
          <w:p>
            <w:pPr>
              <w:spacing w:after="0"/>
              <w:rPr>
                <w:sz w:val="20"/>
                <w:szCs w:val="20"/>
                <w:color w:val="auto"/>
              </w:rPr>
            </w:pPr>
            <w:r>
              <w:rPr>
                <w:rFonts w:ascii="Arial" w:cs="Arial" w:eastAsia="Arial" w:hAnsi="Arial"/>
                <w:sz w:val="18"/>
                <w:szCs w:val="18"/>
                <w:b w:val="1"/>
                <w:bCs w:val="1"/>
                <w:color w:val="auto"/>
              </w:rPr>
              <w:t>Notes Payable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2016</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3"/>
              </w:rPr>
              <w:t>Costs</w:t>
            </w:r>
          </w:p>
        </w:tc>
        <w:tc>
          <w:tcPr>
            <w:tcW w:w="120" w:type="dxa"/>
            <w:vAlign w:val="bottom"/>
          </w:tcPr>
          <w:p>
            <w:pPr>
              <w:spacing w:after="0"/>
              <w:rPr>
                <w:sz w:val="20"/>
                <w:szCs w:val="20"/>
                <w:color w:val="auto"/>
              </w:rPr>
            </w:pPr>
          </w:p>
        </w:tc>
        <w:tc>
          <w:tcPr>
            <w:tcW w:w="126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2016</w:t>
            </w:r>
          </w:p>
        </w:tc>
        <w:tc>
          <w:tcPr>
            <w:tcW w:w="120" w:type="dxa"/>
            <w:vAlign w:val="bottom"/>
          </w:tcPr>
          <w:p>
            <w:pPr>
              <w:spacing w:after="0"/>
              <w:rPr>
                <w:sz w:val="20"/>
                <w:szCs w:val="20"/>
                <w:color w:val="auto"/>
              </w:rPr>
            </w:pPr>
          </w:p>
        </w:tc>
      </w:tr>
      <w:tr>
        <w:trPr>
          <w:trHeight w:val="216"/>
        </w:trPr>
        <w:tc>
          <w:tcPr>
            <w:tcW w:w="3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Notes payable, current portion</w:t>
            </w: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5,455</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5,455</w:t>
            </w:r>
          </w:p>
        </w:tc>
        <w:tc>
          <w:tcPr>
            <w:tcW w:w="120" w:type="dxa"/>
            <w:vAlign w:val="bottom"/>
            <w:shd w:val="clear" w:color="auto" w:fill="CCEEFF"/>
          </w:tcPr>
          <w:p>
            <w:pPr>
              <w:spacing w:after="0"/>
              <w:rPr>
                <w:sz w:val="18"/>
                <w:szCs w:val="18"/>
                <w:color w:val="auto"/>
              </w:rPr>
            </w:pPr>
          </w:p>
        </w:tc>
      </w:tr>
      <w:tr>
        <w:trPr>
          <w:trHeight w:val="223"/>
        </w:trPr>
        <w:tc>
          <w:tcPr>
            <w:tcW w:w="3760" w:type="dxa"/>
            <w:vAlign w:val="bottom"/>
          </w:tcPr>
          <w:p>
            <w:pPr>
              <w:spacing w:after="0"/>
              <w:rPr>
                <w:sz w:val="20"/>
                <w:szCs w:val="20"/>
                <w:color w:val="auto"/>
              </w:rPr>
            </w:pPr>
            <w:r>
              <w:rPr>
                <w:rFonts w:ascii="Arial" w:cs="Arial" w:eastAsia="Arial" w:hAnsi="Arial"/>
                <w:sz w:val="18"/>
                <w:szCs w:val="18"/>
                <w:color w:val="auto"/>
              </w:rPr>
              <w:t>Notes payable, net of current portion</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25,260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(679)</w:t>
            </w:r>
          </w:p>
        </w:tc>
        <w:tc>
          <w:tcPr>
            <w:tcW w:w="120" w:type="dxa"/>
            <w:vAlign w:val="bottom"/>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24,581</w:t>
            </w:r>
          </w:p>
        </w:tc>
      </w:tr>
      <w:tr>
        <w:trPr>
          <w:trHeight w:val="216"/>
        </w:trPr>
        <w:tc>
          <w:tcPr>
            <w:tcW w:w="37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Total Notes Payable</w:t>
            </w: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30,715</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30,036</w:t>
            </w:r>
          </w:p>
        </w:tc>
        <w:tc>
          <w:tcPr>
            <w:tcW w:w="120" w:type="dxa"/>
            <w:vAlign w:val="bottom"/>
            <w:shd w:val="clear" w:color="auto" w:fill="CCEEFF"/>
          </w:tcPr>
          <w:p>
            <w:pPr>
              <w:spacing w:after="0"/>
              <w:rPr>
                <w:sz w:val="18"/>
                <w:szCs w:val="18"/>
                <w:color w:val="auto"/>
              </w:rPr>
            </w:pPr>
          </w:p>
        </w:tc>
      </w:tr>
      <w:tr>
        <w:trPr>
          <w:trHeight w:val="684"/>
        </w:trPr>
        <w:tc>
          <w:tcPr>
            <w:tcW w:w="3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85"/>
              </w:rPr>
              <w:t>Gross Notes</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Net Notes</w:t>
            </w:r>
          </w:p>
        </w:tc>
      </w:tr>
      <w:tr>
        <w:trPr>
          <w:trHeight w:val="216"/>
        </w:trPr>
        <w:tc>
          <w:tcPr>
            <w:tcW w:w="3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Payable at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Payable at</w:t>
            </w:r>
          </w:p>
        </w:tc>
      </w:tr>
      <w:tr>
        <w:trPr>
          <w:trHeight w:val="216"/>
        </w:trPr>
        <w:tc>
          <w:tcPr>
            <w:tcW w:w="3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December 31,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Debt Issuance</w:t>
            </w: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December 31,</w:t>
            </w:r>
          </w:p>
        </w:tc>
      </w:tr>
      <w:tr>
        <w:trPr>
          <w:trHeight w:val="241"/>
        </w:trPr>
        <w:tc>
          <w:tcPr>
            <w:tcW w:w="3760" w:type="dxa"/>
            <w:vAlign w:val="bottom"/>
          </w:tcPr>
          <w:p>
            <w:pPr>
              <w:spacing w:after="0"/>
              <w:rPr>
                <w:sz w:val="20"/>
                <w:szCs w:val="20"/>
                <w:color w:val="auto"/>
              </w:rPr>
            </w:pPr>
            <w:r>
              <w:rPr>
                <w:rFonts w:ascii="Arial" w:cs="Arial" w:eastAsia="Arial" w:hAnsi="Arial"/>
                <w:sz w:val="18"/>
                <w:szCs w:val="18"/>
                <w:b w:val="1"/>
                <w:bCs w:val="1"/>
                <w:color w:val="auto"/>
              </w:rPr>
              <w:t>Notes Payable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2015</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3"/>
              </w:rPr>
              <w:t>Costs</w:t>
            </w:r>
          </w:p>
        </w:tc>
        <w:tc>
          <w:tcPr>
            <w:tcW w:w="120" w:type="dxa"/>
            <w:vAlign w:val="bottom"/>
          </w:tcPr>
          <w:p>
            <w:pPr>
              <w:spacing w:after="0"/>
              <w:rPr>
                <w:sz w:val="20"/>
                <w:szCs w:val="20"/>
                <w:color w:val="auto"/>
              </w:rPr>
            </w:pPr>
          </w:p>
        </w:tc>
        <w:tc>
          <w:tcPr>
            <w:tcW w:w="126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2015</w:t>
            </w:r>
          </w:p>
        </w:tc>
        <w:tc>
          <w:tcPr>
            <w:tcW w:w="120" w:type="dxa"/>
            <w:vAlign w:val="bottom"/>
          </w:tcPr>
          <w:p>
            <w:pPr>
              <w:spacing w:after="0"/>
              <w:rPr>
                <w:sz w:val="20"/>
                <w:szCs w:val="20"/>
                <w:color w:val="auto"/>
              </w:rPr>
            </w:pPr>
          </w:p>
        </w:tc>
      </w:tr>
      <w:tr>
        <w:trPr>
          <w:trHeight w:val="216"/>
        </w:trPr>
        <w:tc>
          <w:tcPr>
            <w:tcW w:w="3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Notes payable, current portion</w:t>
            </w: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120" w:type="dxa"/>
            <w:vAlign w:val="bottom"/>
            <w:shd w:val="clear" w:color="auto" w:fill="CCEEFF"/>
          </w:tcPr>
          <w:p>
            <w:pPr>
              <w:spacing w:after="0"/>
              <w:rPr>
                <w:sz w:val="18"/>
                <w:szCs w:val="18"/>
                <w:color w:val="auto"/>
              </w:rPr>
            </w:pPr>
          </w:p>
        </w:tc>
      </w:tr>
      <w:tr>
        <w:trPr>
          <w:trHeight w:val="223"/>
        </w:trPr>
        <w:tc>
          <w:tcPr>
            <w:tcW w:w="3760" w:type="dxa"/>
            <w:vAlign w:val="bottom"/>
          </w:tcPr>
          <w:p>
            <w:pPr>
              <w:spacing w:after="0"/>
              <w:rPr>
                <w:sz w:val="20"/>
                <w:szCs w:val="20"/>
                <w:color w:val="auto"/>
              </w:rPr>
            </w:pPr>
            <w:r>
              <w:rPr>
                <w:rFonts w:ascii="Arial" w:cs="Arial" w:eastAsia="Arial" w:hAnsi="Arial"/>
                <w:sz w:val="18"/>
                <w:szCs w:val="18"/>
                <w:color w:val="auto"/>
              </w:rPr>
              <w:t>Notes payable, net of current portion</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12,656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(394)</w:t>
            </w:r>
          </w:p>
        </w:tc>
        <w:tc>
          <w:tcPr>
            <w:tcW w:w="120" w:type="dxa"/>
            <w:vAlign w:val="bottom"/>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12,262</w:t>
            </w:r>
          </w:p>
        </w:tc>
      </w:tr>
      <w:tr>
        <w:trPr>
          <w:trHeight w:val="216"/>
        </w:trPr>
        <w:tc>
          <w:tcPr>
            <w:tcW w:w="37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Total Notes Payable</w:t>
            </w: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13,687</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13,293</w:t>
            </w:r>
          </w:p>
        </w:tc>
        <w:tc>
          <w:tcPr>
            <w:tcW w:w="12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future principal payments related to our outstanding debt:</w:t>
      </w:r>
    </w:p>
    <w:p>
      <w:pPr>
        <w:spacing w:after="0" w:line="221" w:lineRule="exact"/>
        <w:rPr>
          <w:sz w:val="20"/>
          <w:szCs w:val="20"/>
          <w:color w:val="auto"/>
        </w:rPr>
      </w:pPr>
    </w:p>
    <w:tbl>
      <w:tblPr>
        <w:tblLayout w:type="fixed"/>
        <w:tblInd w:w="2860" w:type="dxa"/>
        <w:tblCellMar>
          <w:top w:w="0" w:type="dxa"/>
          <w:left w:w="0" w:type="dxa"/>
          <w:bottom w:w="0" w:type="dxa"/>
          <w:right w:w="0" w:type="dxa"/>
        </w:tblCellMar>
      </w:tblPr>
      <w:tr>
        <w:trPr>
          <w:trHeight w:val="241"/>
        </w:trPr>
        <w:tc>
          <w:tcPr>
            <w:tcW w:w="4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Year Ended</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9"/>
              </w:rPr>
              <w:t>Gross Amount</w:t>
            </w:r>
          </w:p>
        </w:tc>
        <w:tc>
          <w:tcPr>
            <w:tcW w:w="1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5,455</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December 31, 2018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5,619</w:t>
            </w:r>
          </w:p>
        </w:tc>
        <w:tc>
          <w:tcPr>
            <w:tcW w:w="14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December 31, 2019</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19,641</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Gross Notes Payable</w:t>
            </w: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30,715</w:t>
            </w:r>
          </w:p>
        </w:tc>
        <w:tc>
          <w:tcPr>
            <w:tcW w:w="140" w:type="dxa"/>
            <w:vAlign w:val="bottom"/>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Subordinated Notes Payable- Mangrove Acquisition</w:t>
      </w:r>
    </w:p>
    <w:p>
      <w:pPr>
        <w:spacing w:after="0" w:line="25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March 2016, we acquired all of the issued and outstanding shares of common stock (the “Shares”) of Mangrove. Pursuant to this stock purchase, we acquired the payroll division of Mangrove, which is engaged in the human resource management and payroll processing businesses. The aggregate consideration for the Shares consisted of (i) $11,348 in cash, a portion of which was used to pay certain obligations of Mangrove and (ii) a secured subordinated promissory note (the “Note”) in the principal amount of $6,000, subject to adjustment as provided in the Stock Purchase Agreement. We funded the cash payment with proceeds from the Credit Agreement with Wells Fargo. The Note bears interest at an annual rate of 3.50% and matures in March 2018, with the first installment of principal of $3,000 due in March 2017 and the second installment of principal of $3,000 due in March 2018.</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 or otherwise noted)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 Wells Fargo</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March 2014, we entered into a credit agreement (the “Credit Agreement”) with Wells Fargo Bank, N.A., as administrative agent, and the lenders that are party thereto. The Credit Agreement contains customary events of default, including, among others, payment defaults, covenant defaults, judgment defaults, bankruptcy and insolvency events, cross defaults to certain indebtedness, incorrect representations or warranties, and change of control. In some cases, the defaults are subject to customary notice and grace period provisions. In March 2014 and in connection with the Credit Agreement, we and our wholly-owned active subsidiaries entered into a Guaranty and Security Agreement with Wells Fargo Bank. Under the Guaranty and Security Agreement, we and each of our wholly-owned active subsidiaries have guaranteed all obligations under the Credit Agreement and granted a security interest in substantially all of our and our subsidiaries’ assets.</w:t>
      </w:r>
    </w:p>
    <w:p>
      <w:pPr>
        <w:spacing w:after="0" w:line="21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Credit Agreement provided for a term loan in the amount of $15,000 maturing in March 2019. We used the proceeds of the term loan to finance the repayment of all amounts outstanding under our loan agreement with Deerpath and the payment of certain fees, cost and expenses related to the Credit Agreement.</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Credit Agreement also provided for a revolving loan commitment in the aggregate amount of up to $3,000. The outstanding principal amount of the revolving loan is due and payable in March 2019. As of December 31, 2016, $0 was outstanding and $3,000 was available for borrowing under the revolver.</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Additionally, the Credit Agreement provided for a $10,000 uncommitted incremental term loan facility to support permitted acquisitions.</w:t>
      </w:r>
    </w:p>
    <w:p>
      <w:pPr>
        <w:spacing w:after="0" w:line="25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Under the Credit Agreement, we were required to maintain a fixed charge coverage ratio of not less than 1.5 to 1.0 beginning with the quarter ended June 30, 2014 and each calendar quarter thereafter, and a leverage ratio of not greater than 3.5 to 1.0 beginning with the quarter ended June 30, 2014 with the levels stepping down thereafter. We amended the Credit Agreement in August 2014, March 2015 and November 2015. The August 2014 amendment revised the leverage ratio beginning with the quarter ended September 30, 2014 to a leverage ratio of not greater than 3.6 to 1.0 with the levels stepping down thereafter. The March 2015 amendment authorized us to optionally prepay, subject to specified conditions, the Subordinated Note Payable to Roomtag and revised the leverage ratio beginning with the quarter ended March 31, 2015 to a leverage ratio of not greater than 3.5 to 1.0 with the levels stepping down thereafter. The November 2015 amendment increased the applicable margin relative to the LIBOR rate upon which we compute the interest payable. We agreed that if our leverage ratio is (a) less than or equal to 2.25:1, (b) greater than 2.25:1 but less than or equal to 2.75:1, (c) greater than 2.75:1 but less than or equal to 3.25:1 or (d) greater than 3.25:1, the applicable margin relative to the LIBOR rate would be 3.00, 3.50, 4.00 or 4.50 percentage points, respectively. We further agreed that until the leverage ratio testing period ending September 30, 2016, we will pay interest based on the 4.50 percentage point margin level.</w:t>
      </w:r>
    </w:p>
    <w:p>
      <w:pPr>
        <w:spacing w:after="0" w:line="21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March 2016, we amended the Credit Agreement. Under this amendment, we expanded the Credit Agreement by $12,500 to $29,188. The amendment changes the applicable margin rates for determining the interest rate payable on the loan as follows:</w:t>
      </w:r>
    </w:p>
    <w:p>
      <w:pPr>
        <w:spacing w:after="0" w:line="200" w:lineRule="exact"/>
        <w:rPr>
          <w:sz w:val="20"/>
          <w:szCs w:val="20"/>
          <w:color w:val="auto"/>
        </w:rPr>
      </w:pPr>
    </w:p>
    <w:p>
      <w:pPr>
        <w:spacing w:after="0" w:line="237" w:lineRule="exact"/>
        <w:rPr>
          <w:sz w:val="20"/>
          <w:szCs w:val="20"/>
          <w:color w:val="auto"/>
        </w:rPr>
      </w:pPr>
    </w:p>
    <w:tbl>
      <w:tblPr>
        <w:tblLayout w:type="fixed"/>
        <w:tblInd w:w="1440" w:type="dxa"/>
        <w:tblCellMar>
          <w:top w:w="0" w:type="dxa"/>
          <w:left w:w="0" w:type="dxa"/>
          <w:bottom w:w="0" w:type="dxa"/>
          <w:right w:w="0" w:type="dxa"/>
        </w:tblCellMar>
      </w:tblPr>
      <w:tr>
        <w:trPr>
          <w:trHeight w:val="241"/>
        </w:trPr>
        <w:tc>
          <w:tcPr>
            <w:tcW w:w="4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Total Leverage Ratio</w:t>
            </w:r>
          </w:p>
        </w:tc>
        <w:tc>
          <w:tcPr>
            <w:tcW w:w="120" w:type="dxa"/>
            <w:vAlign w:val="bottom"/>
          </w:tcPr>
          <w:p>
            <w:pPr>
              <w:spacing w:after="0"/>
              <w:rPr>
                <w:sz w:val="20"/>
                <w:szCs w:val="20"/>
                <w:color w:val="auto"/>
              </w:rPr>
            </w:pPr>
          </w:p>
        </w:tc>
        <w:tc>
          <w:tcPr>
            <w:tcW w:w="16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99"/>
              </w:rPr>
              <w:t>Base Rate Margin</w:t>
            </w:r>
          </w:p>
        </w:tc>
        <w:tc>
          <w:tcPr>
            <w:tcW w:w="300" w:type="dxa"/>
            <w:vAlign w:val="bottom"/>
          </w:tcPr>
          <w:p>
            <w:pPr>
              <w:spacing w:after="0"/>
              <w:rPr>
                <w:sz w:val="20"/>
                <w:szCs w:val="20"/>
                <w:color w:val="auto"/>
              </w:rPr>
            </w:pPr>
          </w:p>
        </w:tc>
        <w:tc>
          <w:tcPr>
            <w:tcW w:w="16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w w:val="98"/>
              </w:rPr>
              <w:t>LIBOR Rate Margin</w:t>
            </w:r>
          </w:p>
        </w:tc>
        <w:tc>
          <w:tcPr>
            <w:tcW w:w="180" w:type="dxa"/>
            <w:vAlign w:val="bottom"/>
          </w:tcPr>
          <w:p>
            <w:pPr>
              <w:spacing w:after="0"/>
              <w:rPr>
                <w:sz w:val="20"/>
                <w:szCs w:val="20"/>
                <w:color w:val="auto"/>
              </w:rPr>
            </w:pPr>
          </w:p>
        </w:tc>
      </w:tr>
      <w:tr>
        <w:trPr>
          <w:trHeight w:val="216"/>
        </w:trPr>
        <w:tc>
          <w:tcPr>
            <w:tcW w:w="4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 2.75:1</w:t>
            </w:r>
          </w:p>
        </w:tc>
        <w:tc>
          <w:tcPr>
            <w:tcW w:w="1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3.50%</w:t>
            </w:r>
          </w:p>
        </w:tc>
        <w:tc>
          <w:tcPr>
            <w:tcW w:w="1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4.50%</w:t>
            </w:r>
          </w:p>
        </w:tc>
      </w:tr>
      <w:tr>
        <w:trPr>
          <w:trHeight w:val="216"/>
        </w:trPr>
        <w:tc>
          <w:tcPr>
            <w:tcW w:w="4600" w:type="dxa"/>
            <w:vAlign w:val="bottom"/>
          </w:tcPr>
          <w:p>
            <w:pPr>
              <w:jc w:val="center"/>
              <w:spacing w:after="0"/>
              <w:rPr>
                <w:sz w:val="20"/>
                <w:szCs w:val="20"/>
                <w:color w:val="auto"/>
              </w:rPr>
            </w:pPr>
            <w:r>
              <w:rPr>
                <w:rFonts w:ascii="Arial" w:cs="Arial" w:eastAsia="Arial" w:hAnsi="Arial"/>
                <w:sz w:val="18"/>
                <w:szCs w:val="18"/>
                <w:color w:val="auto"/>
                <w:w w:val="91"/>
              </w:rPr>
              <w:t>&gt; 2.75:1 but ≤ 3.25:1</w:t>
            </w:r>
          </w:p>
        </w:tc>
        <w:tc>
          <w:tcPr>
            <w:tcW w:w="2080" w:type="dxa"/>
            <w:vAlign w:val="bottom"/>
            <w:gridSpan w:val="3"/>
          </w:tcPr>
          <w:p>
            <w:pPr>
              <w:jc w:val="right"/>
              <w:ind w:right="140"/>
              <w:spacing w:after="0"/>
              <w:rPr>
                <w:sz w:val="20"/>
                <w:szCs w:val="20"/>
                <w:color w:val="auto"/>
              </w:rPr>
            </w:pPr>
            <w:r>
              <w:rPr>
                <w:rFonts w:ascii="Arial" w:cs="Arial" w:eastAsia="Arial" w:hAnsi="Arial"/>
                <w:sz w:val="18"/>
                <w:szCs w:val="18"/>
                <w:color w:val="auto"/>
              </w:rPr>
              <w:t>4.00%</w:t>
            </w:r>
          </w:p>
        </w:tc>
        <w:tc>
          <w:tcPr>
            <w:tcW w:w="1860" w:type="dxa"/>
            <w:vAlign w:val="bottom"/>
            <w:gridSpan w:val="2"/>
          </w:tcPr>
          <w:p>
            <w:pPr>
              <w:jc w:val="right"/>
              <w:ind w:right="40"/>
              <w:spacing w:after="0"/>
              <w:rPr>
                <w:sz w:val="20"/>
                <w:szCs w:val="20"/>
                <w:color w:val="auto"/>
              </w:rPr>
            </w:pPr>
            <w:r>
              <w:rPr>
                <w:rFonts w:ascii="Arial" w:cs="Arial" w:eastAsia="Arial" w:hAnsi="Arial"/>
                <w:sz w:val="18"/>
                <w:szCs w:val="18"/>
                <w:color w:val="auto"/>
              </w:rPr>
              <w:t>5.00%</w:t>
            </w:r>
          </w:p>
        </w:tc>
      </w:tr>
      <w:tr>
        <w:trPr>
          <w:trHeight w:val="216"/>
        </w:trPr>
        <w:tc>
          <w:tcPr>
            <w:tcW w:w="4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 3.25:1</w:t>
            </w:r>
          </w:p>
        </w:tc>
        <w:tc>
          <w:tcPr>
            <w:tcW w:w="20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4.50%</w:t>
            </w:r>
          </w:p>
        </w:tc>
        <w:tc>
          <w:tcPr>
            <w:tcW w:w="1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5.50%</w:t>
            </w:r>
          </w:p>
        </w:tc>
      </w:tr>
    </w:tbl>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March 2016 amendment also amends our leverage ratio requirements under the Credit Agreement. We have now agreed to a leverage ratio not to exceed 5.00:1 at March 31, 2016, stepping down to 2.25:1 at December 31, 2018.</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Credit Agreement contains customary affirmative and negative covenants, including, among others, limitations with respect to debt, liens, fundamental changes, sale of assets, prepayment of debt, investments, dividends and transactions with affiliates.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outstanding principal amount of the term loan is payable as follows:</w:t>
      </w:r>
    </w:p>
    <w:p>
      <w:pPr>
        <w:spacing w:after="0" w:line="252" w:lineRule="exact"/>
        <w:rPr>
          <w:sz w:val="20"/>
          <w:szCs w:val="20"/>
          <w:color w:val="auto"/>
        </w:rPr>
      </w:pPr>
    </w:p>
    <w:p>
      <w:pPr>
        <w:ind w:left="1480" w:hanging="500"/>
        <w:spacing w:after="0"/>
        <w:tabs>
          <w:tab w:leader="none" w:pos="1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$491 on June 30, 2016 and the last day of each fiscal quarter thereafter up to March 31, 2017; and</w:t>
      </w:r>
    </w:p>
    <w:p>
      <w:pPr>
        <w:spacing w:after="0" w:line="23" w:lineRule="exact"/>
        <w:rPr>
          <w:rFonts w:ascii="Arial" w:cs="Arial" w:eastAsia="Arial" w:hAnsi="Arial"/>
          <w:sz w:val="18"/>
          <w:szCs w:val="18"/>
          <w:color w:val="auto"/>
        </w:rPr>
      </w:pPr>
    </w:p>
    <w:p>
      <w:pPr>
        <w:ind w:left="1520" w:hanging="540"/>
        <w:spacing w:after="0"/>
        <w:tabs>
          <w:tab w:leader="none" w:pos="15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$655 on June 30, 2017 and the last day of each fiscal quarter thereafter, with a final payment of the remaining balance due on March 31,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23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December 31, 2016, we were in compliance with all covenants and all payments remain current. We expect to be in compliance or be able to obtain compliance through debt repayments with available cash on hand or as we expect to generate from the ordinary course of operations over the next twelve months.</w:t>
      </w:r>
    </w:p>
    <w:p>
      <w:pPr>
        <w:sectPr>
          <w:pgSz w:w="11900" w:h="16838" w:orient="portrait"/>
          <w:cols w:equalWidth="0" w:num="1">
            <w:col w:w="11420"/>
          </w:cols>
          <w:pgMar w:left="240" w:top="125" w:right="239" w:bottom="1440" w:gutter="0" w:footer="0" w:header="0"/>
        </w:sectPr>
      </w:pP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 or otherwise noted)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PROPERTY AND EQUIPMENT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 and related depreciable useful lives as of December 31, 2016 and 2015 are composed of the following:</w:t>
      </w:r>
    </w:p>
    <w:p>
      <w:pPr>
        <w:spacing w:after="0" w:line="248" w:lineRule="exact"/>
        <w:rPr>
          <w:sz w:val="20"/>
          <w:szCs w:val="20"/>
          <w:color w:val="auto"/>
        </w:rPr>
      </w:pPr>
    </w:p>
    <w:tbl>
      <w:tblPr>
        <w:tblLayout w:type="fixed"/>
        <w:tblInd w:w="1440" w:type="dxa"/>
        <w:tblCellMar>
          <w:top w:w="0" w:type="dxa"/>
          <w:left w:w="0" w:type="dxa"/>
          <w:bottom w:w="0" w:type="dxa"/>
          <w:right w:w="0" w:type="dxa"/>
        </w:tblCellMar>
      </w:tblPr>
      <w:tr>
        <w:trPr>
          <w:trHeight w:val="241"/>
        </w:trPr>
        <w:tc>
          <w:tcPr>
            <w:tcW w:w="50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50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4"/>
              </w:rPr>
              <w:t>2015</w:t>
            </w:r>
          </w:p>
        </w:tc>
        <w:tc>
          <w:tcPr>
            <w:tcW w:w="120" w:type="dxa"/>
            <w:vAlign w:val="bottom"/>
          </w:tcPr>
          <w:p>
            <w:pPr>
              <w:spacing w:after="0"/>
              <w:rPr>
                <w:sz w:val="19"/>
                <w:szCs w:val="19"/>
                <w:color w:val="auto"/>
              </w:rPr>
            </w:pPr>
          </w:p>
        </w:tc>
      </w:tr>
      <w:tr>
        <w:trPr>
          <w:trHeight w:val="216"/>
        </w:trPr>
        <w:tc>
          <w:tcPr>
            <w:tcW w:w="5020" w:type="dxa"/>
            <w:vAlign w:val="bottom"/>
          </w:tcPr>
          <w:p>
            <w:pPr>
              <w:spacing w:after="0"/>
              <w:rPr>
                <w:sz w:val="18"/>
                <w:szCs w:val="18"/>
                <w:color w:val="auto"/>
              </w:rPr>
            </w:pPr>
          </w:p>
        </w:tc>
        <w:tc>
          <w:tcPr>
            <w:tcW w:w="740" w:type="dxa"/>
            <w:vAlign w:val="bottom"/>
            <w:gridSpan w:val="2"/>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Software: 3-5 years</w:t>
            </w:r>
          </w:p>
        </w:tc>
        <w:tc>
          <w:tcPr>
            <w:tcW w:w="7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7,090</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5,928</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Furniture and equipment: 2-5 years</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7,087</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4,637</w:t>
            </w: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Internal support equipment: 2-4 years</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696</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Vehicle: 7 years</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Capital leases: lease term or life of the asset</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178</w:t>
            </w:r>
          </w:p>
        </w:tc>
      </w:tr>
      <w:tr>
        <w:trPr>
          <w:trHeight w:val="223"/>
        </w:trPr>
        <w:tc>
          <w:tcPr>
            <w:tcW w:w="5020" w:type="dxa"/>
            <w:vAlign w:val="bottom"/>
          </w:tcPr>
          <w:p>
            <w:pPr>
              <w:spacing w:after="0"/>
              <w:rPr>
                <w:sz w:val="20"/>
                <w:szCs w:val="20"/>
                <w:color w:val="auto"/>
              </w:rPr>
            </w:pPr>
            <w:r>
              <w:rPr>
                <w:rFonts w:ascii="Arial" w:cs="Arial" w:eastAsia="Arial" w:hAnsi="Arial"/>
                <w:sz w:val="18"/>
                <w:szCs w:val="18"/>
                <w:color w:val="auto"/>
                <w:w w:val="99"/>
              </w:rPr>
              <w:t>Leasehold improvements: lease term or life of the improvement</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2,610</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2,243</w:t>
            </w:r>
          </w:p>
        </w:tc>
      </w:tr>
      <w:tr>
        <w:trPr>
          <w:trHeight w:val="216"/>
        </w:trPr>
        <w:tc>
          <w:tcPr>
            <w:tcW w:w="50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17,661</w:t>
            </w:r>
          </w:p>
        </w:tc>
        <w:tc>
          <w:tcPr>
            <w:tcW w:w="20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13,682</w:t>
            </w:r>
          </w:p>
        </w:tc>
        <w:tc>
          <w:tcPr>
            <w:tcW w:w="120" w:type="dxa"/>
            <w:vAlign w:val="bottom"/>
            <w:shd w:val="clear" w:color="auto" w:fill="CCEEFF"/>
          </w:tcPr>
          <w:p>
            <w:pPr>
              <w:spacing w:after="0"/>
              <w:rPr>
                <w:sz w:val="18"/>
                <w:szCs w:val="18"/>
                <w:color w:val="auto"/>
              </w:rPr>
            </w:pPr>
          </w:p>
        </w:tc>
      </w:tr>
      <w:tr>
        <w:trPr>
          <w:trHeight w:val="223"/>
        </w:trPr>
        <w:tc>
          <w:tcPr>
            <w:tcW w:w="502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(15,783)</w:t>
            </w:r>
          </w:p>
        </w:tc>
        <w:tc>
          <w:tcPr>
            <w:tcW w:w="48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(11,470)</w:t>
            </w:r>
          </w:p>
        </w:tc>
      </w:tr>
      <w:tr>
        <w:trPr>
          <w:trHeight w:val="257"/>
        </w:trPr>
        <w:tc>
          <w:tcPr>
            <w:tcW w:w="50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1,878</w:t>
            </w:r>
          </w:p>
        </w:tc>
        <w:tc>
          <w:tcPr>
            <w:tcW w:w="2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2,212</w:t>
            </w:r>
          </w:p>
        </w:tc>
        <w:tc>
          <w:tcPr>
            <w:tcW w:w="12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record the amortization of our capital leases as depreciation expense on our Consolidated Statements of Comprehensive Loss. Depreciation and amortization expenses relating to property and equipment were approximately $935 and $721 for 2016 and 2015,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SHARE REPURCHASE PROGRAM</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Pursuant to Asure’s stock repurchase plan, we may repurchase up to 450,000 shares of our common stock. We have repurchased a total of 384,000 shares for approximately $5,000 over the life of the plan. Management will periodically assess repurchasing additional shares, depending on our cash position, market conditions, financial covenants and other factors. While the program remains in place, we did not repurchase any shares during 2016 or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STOCK AND STOCK OPTION PLANS</w:t>
      </w:r>
    </w:p>
    <w:p>
      <w:pPr>
        <w:spacing w:after="0" w:line="25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Asure has one active equity plan, the 2009 Equity Plan (the “2009 Plan”). The 2009 Plan provides for the issuance of non-qualified and incentive stock options to our employees and consultants. We generally grant stock options with exercise prices greater than or equal to the fair market value at the time of grant. The options generally vest over three to four years and are exercisable for a period of five to ten years beginning with the date of grant. Our shareholders approved an amendment to the 2009 Plan in June 2014 to increase the number of shares reserved under the plan from 1,200,000 to 1,400,000. We have a total of 614,000 options granted and outstanding pursuant to the 2009 Plan as of December 31, 2016.</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use the Black-Scholes option valuation model to value employee stock awards. We estimate stock price volatility based upon our historical volatility. Estimated option life and forfeiture rate assumptions are derived from historical data. For stock-based compensation awards with graded vesting, we recognize compensation expense using the straight-line amortization method.</w:t>
      </w:r>
    </w:p>
    <w:p>
      <w:pPr>
        <w:spacing w:after="0" w:line="2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Total compensation expense recognized in the Consolidated Statements of Comprehensive Loss for stock based awards was $226 and $409 for 2016 and 2015, respectively.</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07"/>
        </w:trPr>
        <w:tc>
          <w:tcPr>
            <w:tcW w:w="3080" w:type="dxa"/>
            <w:vAlign w:val="bottom"/>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37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785"/>
        </w:trPr>
        <w:tc>
          <w:tcPr>
            <w:tcW w:w="128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720" w:type="dxa"/>
            <w:vAlign w:val="bottom"/>
            <w:gridSpan w:val="4"/>
          </w:tcPr>
          <w:p>
            <w:pPr>
              <w:jc w:val="center"/>
              <w:ind w:right="460"/>
              <w:spacing w:after="0"/>
              <w:rPr>
                <w:sz w:val="20"/>
                <w:szCs w:val="20"/>
                <w:color w:val="auto"/>
              </w:rPr>
            </w:pPr>
            <w:r>
              <w:rPr>
                <w:rFonts w:ascii="Arial" w:cs="Arial" w:eastAsia="Arial" w:hAnsi="Arial"/>
                <w:sz w:val="18"/>
                <w:szCs w:val="18"/>
                <w:b w:val="1"/>
                <w:bCs w:val="1"/>
                <w:color w:val="auto"/>
                <w:w w:val="98"/>
              </w:rPr>
              <w:t>ASURE SOFTWARE, INC.</w:t>
            </w: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5720" w:type="dxa"/>
            <w:vAlign w:val="bottom"/>
            <w:gridSpan w:val="4"/>
          </w:tcPr>
          <w:p>
            <w:pPr>
              <w:jc w:val="center"/>
              <w:ind w:right="460"/>
              <w:spacing w:after="0"/>
              <w:rPr>
                <w:sz w:val="20"/>
                <w:szCs w:val="20"/>
                <w:color w:val="auto"/>
              </w:rPr>
            </w:pPr>
            <w:r>
              <w:rPr>
                <w:rFonts w:ascii="Arial" w:cs="Arial" w:eastAsia="Arial" w:hAnsi="Arial"/>
                <w:sz w:val="18"/>
                <w:szCs w:val="18"/>
                <w:b w:val="1"/>
                <w:bCs w:val="1"/>
                <w:color w:val="auto"/>
              </w:rPr>
              <w:t>NOTES TO THE CONSOLIDATED FINANCIAL STATEMENTS</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360" w:type="dxa"/>
            <w:vAlign w:val="bottom"/>
            <w:gridSpan w:val="5"/>
          </w:tcPr>
          <w:p>
            <w:pPr>
              <w:jc w:val="center"/>
              <w:ind w:left="1110"/>
              <w:spacing w:after="0"/>
              <w:rPr>
                <w:sz w:val="20"/>
                <w:szCs w:val="20"/>
                <w:color w:val="auto"/>
              </w:rPr>
            </w:pPr>
            <w:r>
              <w:rPr>
                <w:rFonts w:ascii="Arial" w:cs="Arial" w:eastAsia="Arial" w:hAnsi="Arial"/>
                <w:sz w:val="18"/>
                <w:szCs w:val="18"/>
                <w:b w:val="1"/>
                <w:bCs w:val="1"/>
                <w:color w:val="auto"/>
                <w:w w:val="88"/>
              </w:rPr>
              <w:t>(Amounts in thousands, except share and per share data or otherwise noted)</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59"/>
        </w:trPr>
        <w:tc>
          <w:tcPr>
            <w:tcW w:w="8800" w:type="dxa"/>
            <w:vAlign w:val="bottom"/>
            <w:gridSpan w:val="7"/>
          </w:tcPr>
          <w:p>
            <w:pPr>
              <w:ind w:left="660"/>
              <w:spacing w:after="0"/>
              <w:rPr>
                <w:sz w:val="20"/>
                <w:szCs w:val="20"/>
                <w:color w:val="auto"/>
              </w:rPr>
            </w:pPr>
            <w:r>
              <w:rPr>
                <w:rFonts w:ascii="Arial" w:cs="Arial" w:eastAsia="Arial" w:hAnsi="Arial"/>
                <w:sz w:val="18"/>
                <w:szCs w:val="18"/>
                <w:color w:val="auto"/>
              </w:rPr>
              <w:t>The following table summarizes the assumptions used to develop their fair value for 2016 and 2015:</w:t>
            </w: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39"/>
        </w:trPr>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16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Year Ended December 31,</w:t>
            </w:r>
          </w:p>
        </w:tc>
      </w:tr>
      <w:tr>
        <w:trPr>
          <w:trHeight w:val="223"/>
        </w:trPr>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30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180" w:type="dxa"/>
            <w:vAlign w:val="bottom"/>
          </w:tcPr>
          <w:p>
            <w:pPr>
              <w:spacing w:after="0"/>
              <w:rPr>
                <w:sz w:val="19"/>
                <w:szCs w:val="19"/>
                <w:color w:val="auto"/>
              </w:rPr>
            </w:pPr>
          </w:p>
        </w:tc>
      </w:tr>
      <w:tr>
        <w:trPr>
          <w:trHeight w:val="216"/>
        </w:trPr>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w w:val="94"/>
              </w:rPr>
              <w:t>Risk-free interest rate</w:t>
            </w:r>
          </w:p>
        </w:tc>
        <w:tc>
          <w:tcPr>
            <w:tcW w:w="37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1.90%</w:t>
            </w:r>
          </w:p>
        </w:tc>
      </w:tr>
      <w:tr>
        <w:trPr>
          <w:trHeight w:val="216"/>
        </w:trPr>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Expected volatility</w:t>
            </w:r>
          </w:p>
        </w:tc>
        <w:tc>
          <w:tcPr>
            <w:tcW w:w="5380" w:type="dxa"/>
            <w:vAlign w:val="bottom"/>
            <w:gridSpan w:val="3"/>
          </w:tcPr>
          <w:p>
            <w:pPr>
              <w:jc w:val="right"/>
              <w:ind w:right="300"/>
              <w:spacing w:after="0"/>
              <w:rPr>
                <w:sz w:val="20"/>
                <w:szCs w:val="20"/>
                <w:color w:val="auto"/>
              </w:rPr>
            </w:pPr>
            <w:r>
              <w:rPr>
                <w:rFonts w:ascii="Arial" w:cs="Arial" w:eastAsia="Arial" w:hAnsi="Arial"/>
                <w:sz w:val="18"/>
                <w:szCs w:val="18"/>
                <w:color w:val="auto"/>
              </w:rPr>
              <w:t>0.38</w:t>
            </w:r>
          </w:p>
        </w:tc>
        <w:tc>
          <w:tcPr>
            <w:tcW w:w="3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0.59</w:t>
            </w:r>
          </w:p>
        </w:tc>
      </w:tr>
      <w:tr>
        <w:trPr>
          <w:trHeight w:val="216"/>
        </w:trPr>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w w:val="94"/>
              </w:rPr>
              <w:t>Expected life in years</w:t>
            </w:r>
          </w:p>
        </w:tc>
        <w:tc>
          <w:tcPr>
            <w:tcW w:w="53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3.44</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3.61</w:t>
            </w:r>
          </w:p>
        </w:tc>
      </w:tr>
      <w:tr>
        <w:trPr>
          <w:trHeight w:val="230"/>
        </w:trPr>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Dividend yield</w:t>
            </w:r>
          </w:p>
        </w:tc>
        <w:tc>
          <w:tcPr>
            <w:tcW w:w="538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2016, Asure had reserved shares of common stock for future issuance as follows: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614,000</w:t>
            </w:r>
          </w:p>
        </w:tc>
        <w:tc>
          <w:tcPr>
            <w:tcW w:w="100" w:type="dxa"/>
            <w:vAlign w:val="bottom"/>
            <w:tcBorders>
              <w:right w:val="single" w:sz="8" w:color="CCEEFF"/>
            </w:tcBorders>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Options available for future grant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200,000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3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Shares reserved</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814,000</w:t>
            </w: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6640" w:type="dxa"/>
            <w:vAlign w:val="bottom"/>
            <w:gridSpan w:val="7"/>
          </w:tcPr>
          <w:p>
            <w:pPr>
              <w:jc w:val="right"/>
              <w:ind w:right="300"/>
              <w:spacing w:after="0"/>
              <w:rPr>
                <w:sz w:val="20"/>
                <w:szCs w:val="20"/>
                <w:color w:val="auto"/>
              </w:rPr>
            </w:pPr>
            <w:r>
              <w:rPr>
                <w:rFonts w:ascii="Arial" w:cs="Arial" w:eastAsia="Arial" w:hAnsi="Arial"/>
                <w:sz w:val="18"/>
                <w:szCs w:val="18"/>
                <w:color w:val="auto"/>
              </w:rPr>
              <w:t>The following table summarizes activity under all Plans during 2016 and 2015.</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00" w:type="dxa"/>
            <w:vAlign w:val="bottom"/>
            <w:gridSpan w:val="5"/>
          </w:tcPr>
          <w:p>
            <w:pPr>
              <w:jc w:val="right"/>
              <w:spacing w:after="0"/>
              <w:rPr>
                <w:sz w:val="20"/>
                <w:szCs w:val="20"/>
                <w:color w:val="auto"/>
              </w:rPr>
            </w:pPr>
            <w:r>
              <w:rPr>
                <w:rFonts w:ascii="Arial" w:cs="Arial" w:eastAsia="Arial" w:hAnsi="Arial"/>
                <w:sz w:val="18"/>
                <w:szCs w:val="18"/>
                <w:b w:val="1"/>
                <w:bCs w:val="1"/>
                <w:color w:val="auto"/>
                <w:w w:val="92"/>
              </w:rPr>
              <w:t>Year Ended December 31, 2016</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00" w:type="dxa"/>
            <w:vAlign w:val="bottom"/>
            <w:gridSpan w:val="7"/>
          </w:tcPr>
          <w:p>
            <w:pPr>
              <w:ind w:left="80"/>
              <w:spacing w:after="0"/>
              <w:rPr>
                <w:sz w:val="20"/>
                <w:szCs w:val="20"/>
                <w:color w:val="auto"/>
              </w:rPr>
            </w:pPr>
            <w:r>
              <w:rPr>
                <w:rFonts w:ascii="Arial" w:cs="Arial" w:eastAsia="Arial" w:hAnsi="Arial"/>
                <w:sz w:val="18"/>
                <w:szCs w:val="18"/>
                <w:b w:val="1"/>
                <w:bCs w:val="1"/>
                <w:color w:val="auto"/>
              </w:rPr>
              <w:t>Year Ended December 31, 2015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center"/>
              <w:ind w:left="113"/>
              <w:spacing w:after="0" w:line="198" w:lineRule="exact"/>
              <w:rPr>
                <w:sz w:val="20"/>
                <w:szCs w:val="20"/>
                <w:color w:val="auto"/>
              </w:rPr>
            </w:pPr>
            <w:r>
              <w:rPr>
                <w:rFonts w:ascii="Arial" w:cs="Arial" w:eastAsia="Arial" w:hAnsi="Arial"/>
                <w:sz w:val="18"/>
                <w:szCs w:val="18"/>
                <w:b w:val="1"/>
                <w:bCs w:val="1"/>
                <w:color w:val="auto"/>
                <w:w w:val="88"/>
              </w:rPr>
              <w:t>Weighted</w:t>
            </w:r>
          </w:p>
        </w:tc>
        <w:tc>
          <w:tcPr>
            <w:tcW w:w="3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center"/>
              <w:ind w:right="210"/>
              <w:spacing w:after="0" w:line="198" w:lineRule="exact"/>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center"/>
              <w:ind w:left="113"/>
              <w:spacing w:after="0"/>
              <w:rPr>
                <w:sz w:val="20"/>
                <w:szCs w:val="20"/>
                <w:color w:val="auto"/>
              </w:rPr>
            </w:pPr>
            <w:r>
              <w:rPr>
                <w:rFonts w:ascii="Arial" w:cs="Arial" w:eastAsia="Arial" w:hAnsi="Arial"/>
                <w:sz w:val="18"/>
                <w:szCs w:val="18"/>
                <w:b w:val="1"/>
                <w:bCs w:val="1"/>
                <w:color w:val="auto"/>
                <w:w w:val="90"/>
              </w:rPr>
              <w:t>Average</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center"/>
              <w:ind w:left="113"/>
              <w:spacing w:after="0"/>
              <w:rPr>
                <w:sz w:val="20"/>
                <w:szCs w:val="20"/>
                <w:color w:val="auto"/>
              </w:rPr>
            </w:pPr>
            <w:r>
              <w:rPr>
                <w:rFonts w:ascii="Arial" w:cs="Arial" w:eastAsia="Arial" w:hAnsi="Arial"/>
                <w:sz w:val="18"/>
                <w:szCs w:val="18"/>
                <w:b w:val="1"/>
                <w:bCs w:val="1"/>
                <w:color w:val="auto"/>
                <w:w w:val="86"/>
              </w:rPr>
              <w:t>Exercise</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6"/>
              </w:rPr>
              <w:t>Exercise</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3"/>
          </w:tcPr>
          <w:p>
            <w:pPr>
              <w:jc w:val="right"/>
              <w:ind w:right="62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20"/>
                <w:szCs w:val="20"/>
                <w:color w:val="auto"/>
              </w:rPr>
            </w:pPr>
          </w:p>
        </w:tc>
        <w:tc>
          <w:tcPr>
            <w:tcW w:w="1040" w:type="dxa"/>
            <w:vAlign w:val="bottom"/>
          </w:tcPr>
          <w:p>
            <w:pPr>
              <w:jc w:val="center"/>
              <w:ind w:left="113"/>
              <w:spacing w:after="0"/>
              <w:rPr>
                <w:sz w:val="20"/>
                <w:szCs w:val="20"/>
                <w:color w:val="auto"/>
              </w:rPr>
            </w:pPr>
            <w:r>
              <w:rPr>
                <w:rFonts w:ascii="Arial" w:cs="Arial" w:eastAsia="Arial" w:hAnsi="Arial"/>
                <w:sz w:val="18"/>
                <w:szCs w:val="18"/>
                <w:b w:val="1"/>
                <w:bCs w:val="1"/>
                <w:color w:val="auto"/>
                <w:w w:val="90"/>
              </w:rPr>
              <w:t>Price</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3"/>
          </w:tcPr>
          <w:p>
            <w:pPr>
              <w:jc w:val="right"/>
              <w:ind w:right="62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Price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the beginning of the year</w:t>
            </w:r>
          </w:p>
        </w:tc>
        <w:tc>
          <w:tcPr>
            <w:tcW w:w="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640,000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tcBorders>
              <w:top w:val="single" w:sz="8" w:color="auto"/>
            </w:tcBorders>
            <w:gridSpan w:val="2"/>
            <w:shd w:val="clear" w:color="auto" w:fill="CCEEFF"/>
          </w:tcPr>
          <w:p>
            <w:pPr>
              <w:jc w:val="right"/>
              <w:ind w:right="873"/>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4.40</w:t>
            </w: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735,000</w:t>
            </w:r>
          </w:p>
        </w:tc>
        <w:tc>
          <w:tcPr>
            <w:tcW w:w="12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454,000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6.70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257,000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(278,000)</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2.69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(240,000)</w:t>
            </w:r>
          </w:p>
        </w:tc>
        <w:tc>
          <w:tcPr>
            <w:tcW w:w="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Canceled</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3"/>
          </w:tcPr>
          <w:p>
            <w:pPr>
              <w:jc w:val="right"/>
              <w:ind w:right="60"/>
              <w:spacing w:after="0"/>
              <w:rPr>
                <w:sz w:val="20"/>
                <w:szCs w:val="20"/>
                <w:color w:val="auto"/>
              </w:rPr>
            </w:pPr>
            <w:r>
              <w:rPr>
                <w:rFonts w:ascii="Arial" w:cs="Arial" w:eastAsia="Arial" w:hAnsi="Arial"/>
                <w:sz w:val="18"/>
                <w:szCs w:val="18"/>
                <w:color w:val="auto"/>
              </w:rPr>
              <w:t>(202,000)</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5.61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(112,000)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at the end of the year</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614,000</w:t>
            </w: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top w:val="single" w:sz="8" w:color="auto"/>
              <w:bottom w:val="single" w:sz="8" w:color="CCEEFF"/>
            </w:tcBorders>
            <w:shd w:val="clear" w:color="auto" w:fill="CCEEFF"/>
          </w:tcPr>
          <w:p>
            <w:pPr>
              <w:jc w:val="right"/>
              <w:ind w:right="873"/>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6.47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640,000</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Options exercisable at the end of the year</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130,000</w:t>
            </w:r>
          </w:p>
        </w:tc>
        <w:tc>
          <w:tcPr>
            <w:tcW w:w="100" w:type="dxa"/>
            <w:vAlign w:val="bottom"/>
          </w:tcPr>
          <w:p>
            <w:pPr>
              <w:spacing w:after="0"/>
              <w:rPr>
                <w:sz w:val="18"/>
                <w:szCs w:val="18"/>
                <w:color w:val="auto"/>
              </w:rPr>
            </w:pPr>
          </w:p>
        </w:tc>
        <w:tc>
          <w:tcPr>
            <w:tcW w:w="1160" w:type="dxa"/>
            <w:vAlign w:val="bottom"/>
            <w:gridSpan w:val="2"/>
          </w:tcPr>
          <w:p>
            <w:pPr>
              <w:jc w:val="right"/>
              <w:ind w:right="873"/>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5.71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324,000</w:t>
            </w:r>
          </w:p>
        </w:tc>
        <w:tc>
          <w:tcPr>
            <w:tcW w:w="20" w:type="dxa"/>
            <w:vAlign w:val="bottom"/>
          </w:tcPr>
          <w:p>
            <w:pPr>
              <w:spacing w:after="0"/>
              <w:rPr>
                <w:sz w:val="18"/>
                <w:szCs w:val="18"/>
                <w:color w:val="auto"/>
              </w:rPr>
            </w:pPr>
          </w:p>
        </w:tc>
        <w:tc>
          <w:tcPr>
            <w:tcW w:w="2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fair value of options granted during the year</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outstanding and exercisable options and their exercise prices as of December 31, 2016: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gridSpan w:val="7"/>
          </w:tcPr>
          <w:p>
            <w:pPr>
              <w:jc w:val="center"/>
              <w:ind w:left="1210"/>
              <w:spacing w:after="0"/>
              <w:rPr>
                <w:sz w:val="20"/>
                <w:szCs w:val="20"/>
                <w:color w:val="auto"/>
              </w:rPr>
            </w:pPr>
            <w:r>
              <w:rPr>
                <w:rFonts w:ascii="Arial" w:cs="Arial" w:eastAsia="Arial" w:hAnsi="Arial"/>
                <w:sz w:val="18"/>
                <w:szCs w:val="18"/>
                <w:b w:val="1"/>
                <w:bCs w:val="1"/>
                <w:color w:val="auto"/>
                <w:w w:val="99"/>
              </w:rPr>
              <w:t>OPTIONS OUTSTANDING</w:t>
            </w: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4"/>
          </w:tcPr>
          <w:p>
            <w:pPr>
              <w:jc w:val="right"/>
              <w:ind w:right="374"/>
              <w:spacing w:after="0"/>
              <w:rPr>
                <w:sz w:val="20"/>
                <w:szCs w:val="20"/>
                <w:color w:val="auto"/>
              </w:rPr>
            </w:pPr>
            <w:r>
              <w:rPr>
                <w:rFonts w:ascii="Arial" w:cs="Arial" w:eastAsia="Arial" w:hAnsi="Arial"/>
                <w:sz w:val="18"/>
                <w:szCs w:val="18"/>
                <w:b w:val="1"/>
                <w:bCs w:val="1"/>
                <w:color w:val="auto"/>
              </w:rPr>
              <w:t>OPTIONS EXERCISABLE</w:t>
            </w:r>
          </w:p>
        </w:tc>
        <w:tc>
          <w:tcPr>
            <w:tcW w:w="3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198"/>
        </w:trPr>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gridSpan w:val="3"/>
          </w:tcPr>
          <w:p>
            <w:pPr>
              <w:jc w:val="center"/>
              <w:ind w:right="500"/>
              <w:spacing w:after="0" w:line="198" w:lineRule="exact"/>
              <w:rPr>
                <w:sz w:val="20"/>
                <w:szCs w:val="20"/>
                <w:color w:val="auto"/>
              </w:rPr>
            </w:pPr>
            <w:r>
              <w:rPr>
                <w:rFonts w:ascii="Arial" w:cs="Arial" w:eastAsia="Arial" w:hAnsi="Arial"/>
                <w:sz w:val="18"/>
                <w:szCs w:val="18"/>
                <w:b w:val="1"/>
                <w:bCs w:val="1"/>
                <w:color w:val="auto"/>
              </w:rPr>
              <w:t>WEIGHTED-</w:t>
            </w: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6"/>
        </w:trPr>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3"/>
          </w:tcPr>
          <w:p>
            <w:pPr>
              <w:jc w:val="center"/>
              <w:ind w:right="500"/>
              <w:spacing w:after="0"/>
              <w:rPr>
                <w:sz w:val="20"/>
                <w:szCs w:val="20"/>
                <w:color w:val="auto"/>
              </w:rPr>
            </w:pPr>
            <w:r>
              <w:rPr>
                <w:rFonts w:ascii="Arial" w:cs="Arial" w:eastAsia="Arial" w:hAnsi="Arial"/>
                <w:sz w:val="18"/>
                <w:szCs w:val="18"/>
                <w:b w:val="1"/>
                <w:bCs w:val="1"/>
                <w:color w:val="auto"/>
                <w:w w:val="98"/>
              </w:rPr>
              <w:t>AVERAGE</w:t>
            </w: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rPr>
              <w:t>NUMBER</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rPr>
              <w:t>NUMBER</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rPr>
              <w:t>REMAINING</w:t>
            </w:r>
          </w:p>
        </w:tc>
        <w:tc>
          <w:tcPr>
            <w:tcW w:w="160" w:type="dxa"/>
            <w:vAlign w:val="bottom"/>
          </w:tcPr>
          <w:p>
            <w:pPr>
              <w:spacing w:after="0"/>
              <w:rPr>
                <w:sz w:val="18"/>
                <w:szCs w:val="18"/>
                <w:color w:val="auto"/>
              </w:rPr>
            </w:pPr>
          </w:p>
        </w:tc>
        <w:tc>
          <w:tcPr>
            <w:tcW w:w="16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rPr>
              <w:t>WEIGHTED-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9"/>
              </w:rPr>
              <w:t>EXERCISABLE</w:t>
            </w:r>
          </w:p>
        </w:tc>
        <w:tc>
          <w:tcPr>
            <w:tcW w:w="140" w:type="dxa"/>
            <w:vAlign w:val="bottom"/>
          </w:tcPr>
          <w:p>
            <w:pPr>
              <w:spacing w:after="0"/>
              <w:rPr>
                <w:sz w:val="18"/>
                <w:szCs w:val="18"/>
                <w:color w:val="auto"/>
              </w:rPr>
            </w:pPr>
          </w:p>
        </w:tc>
        <w:tc>
          <w:tcPr>
            <w:tcW w:w="1320" w:type="dxa"/>
            <w:vAlign w:val="bottom"/>
          </w:tcPr>
          <w:p>
            <w:pPr>
              <w:jc w:val="center"/>
              <w:ind w:left="114"/>
              <w:spacing w:after="0"/>
              <w:rPr>
                <w:sz w:val="20"/>
                <w:szCs w:val="20"/>
                <w:color w:val="auto"/>
              </w:rPr>
            </w:pPr>
            <w:r>
              <w:rPr>
                <w:rFonts w:ascii="Arial" w:cs="Arial" w:eastAsia="Arial" w:hAnsi="Arial"/>
                <w:sz w:val="18"/>
                <w:szCs w:val="18"/>
                <w:b w:val="1"/>
                <w:bCs w:val="1"/>
                <w:color w:val="auto"/>
              </w:rPr>
              <w:t>WEIGHTED-</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rPr>
              <w:t>RANGE OF</w:t>
            </w:r>
          </w:p>
        </w:tc>
        <w:tc>
          <w:tcPr>
            <w:tcW w:w="186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rPr>
              <w:t>OUTSTANDING AT</w:t>
            </w:r>
          </w:p>
        </w:tc>
        <w:tc>
          <w:tcPr>
            <w:tcW w:w="140" w:type="dxa"/>
            <w:vAlign w:val="bottom"/>
          </w:tcPr>
          <w:p>
            <w:pPr>
              <w:spacing w:after="0"/>
              <w:rPr>
                <w:sz w:val="18"/>
                <w:szCs w:val="18"/>
                <w:color w:val="auto"/>
              </w:rPr>
            </w:pPr>
          </w:p>
        </w:tc>
        <w:tc>
          <w:tcPr>
            <w:tcW w:w="1860" w:type="dxa"/>
            <w:vAlign w:val="bottom"/>
            <w:gridSpan w:val="4"/>
          </w:tcPr>
          <w:p>
            <w:pPr>
              <w:jc w:val="center"/>
              <w:ind w:right="360"/>
              <w:spacing w:after="0"/>
              <w:rPr>
                <w:sz w:val="20"/>
                <w:szCs w:val="20"/>
                <w:color w:val="auto"/>
              </w:rPr>
            </w:pPr>
            <w:r>
              <w:rPr>
                <w:rFonts w:ascii="Arial" w:cs="Arial" w:eastAsia="Arial" w:hAnsi="Arial"/>
                <w:sz w:val="18"/>
                <w:szCs w:val="18"/>
                <w:b w:val="1"/>
                <w:bCs w:val="1"/>
                <w:color w:val="auto"/>
              </w:rPr>
              <w:t>CONTRACTUAL</w:t>
            </w:r>
          </w:p>
        </w:tc>
        <w:tc>
          <w:tcPr>
            <w:tcW w:w="160" w:type="dxa"/>
            <w:vAlign w:val="bottom"/>
          </w:tcPr>
          <w:p>
            <w:pPr>
              <w:spacing w:after="0"/>
              <w:rPr>
                <w:sz w:val="18"/>
                <w:szCs w:val="18"/>
                <w:color w:val="auto"/>
              </w:rPr>
            </w:pPr>
          </w:p>
        </w:tc>
        <w:tc>
          <w:tcPr>
            <w:tcW w:w="16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6"/>
              </w:rPr>
              <w:t>AVERAGE</w:t>
            </w:r>
          </w:p>
        </w:tc>
        <w:tc>
          <w:tcPr>
            <w:tcW w:w="120" w:type="dxa"/>
            <w:vAlign w:val="bottom"/>
          </w:tcPr>
          <w:p>
            <w:pPr>
              <w:spacing w:after="0"/>
              <w:rPr>
                <w:sz w:val="18"/>
                <w:szCs w:val="18"/>
                <w:color w:val="auto"/>
              </w:rPr>
            </w:pPr>
          </w:p>
        </w:tc>
        <w:tc>
          <w:tcPr>
            <w:tcW w:w="182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9"/>
              </w:rPr>
              <w:t>AND VESTED AT</w:t>
            </w:r>
          </w:p>
        </w:tc>
        <w:tc>
          <w:tcPr>
            <w:tcW w:w="140" w:type="dxa"/>
            <w:vAlign w:val="bottom"/>
          </w:tcPr>
          <w:p>
            <w:pPr>
              <w:spacing w:after="0"/>
              <w:rPr>
                <w:sz w:val="18"/>
                <w:szCs w:val="18"/>
                <w:color w:val="auto"/>
              </w:rPr>
            </w:pPr>
          </w:p>
        </w:tc>
        <w:tc>
          <w:tcPr>
            <w:tcW w:w="1320" w:type="dxa"/>
            <w:vAlign w:val="bottom"/>
          </w:tcPr>
          <w:p>
            <w:pPr>
              <w:jc w:val="center"/>
              <w:ind w:left="114"/>
              <w:spacing w:after="0"/>
              <w:rPr>
                <w:sz w:val="20"/>
                <w:szCs w:val="20"/>
                <w:color w:val="auto"/>
              </w:rPr>
            </w:pPr>
            <w:r>
              <w:rPr>
                <w:rFonts w:ascii="Arial" w:cs="Arial" w:eastAsia="Arial" w:hAnsi="Arial"/>
                <w:sz w:val="18"/>
                <w:szCs w:val="18"/>
                <w:b w:val="1"/>
                <w:bCs w:val="1"/>
                <w:color w:val="auto"/>
                <w:w w:val="98"/>
              </w:rPr>
              <w:t>AVERAGE</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41"/>
        </w:trPr>
        <w:tc>
          <w:tcPr>
            <w:tcW w:w="17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rPr>
              <w:t>EXERCISE PRICES</w:t>
            </w:r>
          </w:p>
        </w:tc>
        <w:tc>
          <w:tcPr>
            <w:tcW w:w="120" w:type="dxa"/>
            <w:vAlign w:val="bottom"/>
          </w:tcPr>
          <w:p>
            <w:pPr>
              <w:spacing w:after="0"/>
              <w:rPr>
                <w:sz w:val="20"/>
                <w:szCs w:val="20"/>
                <w:color w:val="auto"/>
              </w:rPr>
            </w:pPr>
          </w:p>
        </w:tc>
        <w:tc>
          <w:tcPr>
            <w:tcW w:w="17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5"/>
              </w:rPr>
              <w:t>DECEMBER 31, 2016</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rPr>
              <w:t>LIFE (YEARS)</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EXERCISE PRICE</w:t>
            </w:r>
          </w:p>
        </w:tc>
        <w:tc>
          <w:tcPr>
            <w:tcW w:w="140" w:type="dxa"/>
            <w:vAlign w:val="bottom"/>
          </w:tcPr>
          <w:p>
            <w:pPr>
              <w:spacing w:after="0"/>
              <w:rPr>
                <w:sz w:val="20"/>
                <w:szCs w:val="20"/>
                <w:color w:val="auto"/>
              </w:rPr>
            </w:pPr>
          </w:p>
        </w:tc>
        <w:tc>
          <w:tcPr>
            <w:tcW w:w="18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6"/>
              </w:rPr>
              <w:t>DECEMBER 31, 2016</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2"/>
          </w:tcPr>
          <w:p>
            <w:pPr>
              <w:jc w:val="center"/>
              <w:ind w:right="50"/>
              <w:spacing w:after="0"/>
              <w:rPr>
                <w:sz w:val="20"/>
                <w:szCs w:val="20"/>
                <w:color w:val="auto"/>
              </w:rPr>
            </w:pPr>
            <w:r>
              <w:rPr>
                <w:rFonts w:ascii="Arial" w:cs="Arial" w:eastAsia="Arial" w:hAnsi="Arial"/>
                <w:sz w:val="18"/>
                <w:szCs w:val="18"/>
                <w:b w:val="1"/>
                <w:bCs w:val="1"/>
                <w:color w:val="auto"/>
              </w:rPr>
              <w:t>EXERCISE PRICE</w:t>
            </w:r>
          </w:p>
        </w:tc>
        <w:tc>
          <w:tcPr>
            <w:tcW w:w="140" w:type="dxa"/>
            <w:vAlign w:val="bottom"/>
          </w:tcPr>
          <w:p>
            <w:pPr>
              <w:spacing w:after="0"/>
              <w:rPr>
                <w:sz w:val="20"/>
                <w:szCs w:val="20"/>
                <w:color w:val="auto"/>
              </w:rPr>
            </w:pPr>
          </w:p>
        </w:tc>
      </w:tr>
      <w:tr>
        <w:trPr>
          <w:trHeight w:val="216"/>
        </w:trPr>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80" w:type="dxa"/>
            <w:vAlign w:val="bottom"/>
            <w:gridSpan w:val="2"/>
          </w:tcPr>
          <w:p>
            <w:pPr>
              <w:spacing w:after="0"/>
              <w:rPr>
                <w:sz w:val="18"/>
                <w:szCs w:val="18"/>
                <w:color w:val="auto"/>
              </w:rPr>
            </w:pPr>
          </w:p>
        </w:tc>
      </w:tr>
      <w:tr>
        <w:trPr>
          <w:trHeight w:val="216"/>
        </w:trPr>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1.68– 5.27</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32,000</w:t>
            </w:r>
          </w:p>
        </w:tc>
        <w:tc>
          <w:tcPr>
            <w:tcW w:w="1460" w:type="dxa"/>
            <w:vAlign w:val="bottom"/>
            <w:gridSpan w:val="2"/>
            <w:shd w:val="clear" w:color="auto" w:fill="CCEEFF"/>
          </w:tcPr>
          <w:p>
            <w:pPr>
              <w:jc w:val="right"/>
              <w:ind w:right="1154"/>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4.97</w:t>
            </w:r>
          </w:p>
        </w:tc>
      </w:tr>
      <w:tr>
        <w:trPr>
          <w:trHeight w:val="216"/>
        </w:trPr>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5.28 -- 6.33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314,000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3.66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5.57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right"/>
              <w:ind w:right="140"/>
              <w:spacing w:after="0"/>
              <w:rPr>
                <w:sz w:val="20"/>
                <w:szCs w:val="20"/>
                <w:color w:val="auto"/>
              </w:rPr>
            </w:pPr>
            <w:r>
              <w:rPr>
                <w:rFonts w:ascii="Arial" w:cs="Arial" w:eastAsia="Arial" w:hAnsi="Arial"/>
                <w:sz w:val="18"/>
                <w:szCs w:val="18"/>
                <w:color w:val="auto"/>
              </w:rPr>
              <w:t>82,000</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5.86</w:t>
            </w:r>
          </w:p>
        </w:tc>
      </w:tr>
      <w:tr>
        <w:trPr>
          <w:trHeight w:val="216"/>
        </w:trPr>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6.34 – 9.00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201,000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16,000</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6.42</w:t>
            </w:r>
          </w:p>
        </w:tc>
      </w:tr>
      <w:tr>
        <w:trPr>
          <w:trHeight w:val="223"/>
        </w:trPr>
        <w:tc>
          <w:tcPr>
            <w:tcW w:w="320" w:type="dxa"/>
            <w:vAlign w:val="bottom"/>
            <w:gridSpan w:val="2"/>
          </w:tcPr>
          <w:p>
            <w:pPr>
              <w:spacing w:after="0"/>
              <w:rPr>
                <w:sz w:val="19"/>
                <w:szCs w:val="19"/>
                <w:color w:val="auto"/>
              </w:rPr>
            </w:pPr>
          </w:p>
        </w:tc>
        <w:tc>
          <w:tcPr>
            <w:tcW w:w="156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gridSpan w:val="2"/>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gridSpan w:val="2"/>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80" w:type="dxa"/>
            <w:vAlign w:val="bottom"/>
            <w:gridSpan w:val="2"/>
          </w:tcPr>
          <w:p>
            <w:pPr>
              <w:spacing w:after="0"/>
              <w:rPr>
                <w:sz w:val="19"/>
                <w:szCs w:val="19"/>
                <w:color w:val="auto"/>
              </w:rPr>
            </w:pPr>
          </w:p>
        </w:tc>
      </w:tr>
      <w:tr>
        <w:trPr>
          <w:trHeight w:val="223"/>
        </w:trPr>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 xml:space="preserve">1.68 </w:t>
            </w:r>
            <w:r>
              <w:rPr>
                <w:rFonts w:ascii="Arial" w:cs="Arial" w:eastAsia="Arial" w:hAnsi="Arial"/>
                <w:sz w:val="18"/>
                <w:szCs w:val="18"/>
                <w:color w:val="auto"/>
              </w:rPr>
              <w:t>--</w:t>
            </w:r>
            <w:r>
              <w:rPr>
                <w:rFonts w:ascii="Arial" w:cs="Arial" w:eastAsia="Arial" w:hAnsi="Arial"/>
                <w:sz w:val="18"/>
                <w:szCs w:val="18"/>
                <w:b w:val="1"/>
                <w:bCs w:val="1"/>
                <w:color w:val="auto"/>
              </w:rPr>
              <w:t xml:space="preserve"> 9.00</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614,000</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3.94</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6.47</w:t>
            </w: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130,000</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ind w:right="1154"/>
              <w:spacing w:after="0"/>
              <w:rPr>
                <w:sz w:val="20"/>
                <w:szCs w:val="20"/>
                <w:color w:val="auto"/>
              </w:rPr>
            </w:pPr>
            <w:r>
              <w:rPr>
                <w:rFonts w:ascii="Arial" w:cs="Arial" w:eastAsia="Arial" w:hAnsi="Arial"/>
                <w:sz w:val="15"/>
                <w:szCs w:val="15"/>
                <w:b w:val="1"/>
                <w:bCs w:val="1"/>
                <w:color w:val="auto"/>
                <w:w w:val="71"/>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5.71</w:t>
            </w:r>
          </w:p>
        </w:tc>
        <w:tc>
          <w:tcPr>
            <w:tcW w:w="140" w:type="dxa"/>
            <w:vAlign w:val="bottom"/>
            <w:tcBorders>
              <w:bottom w:val="single" w:sz="8" w:color="CCEEFF"/>
            </w:tcBorders>
            <w:shd w:val="clear" w:color="auto" w:fill="CCEEFF"/>
          </w:tcPr>
          <w:p>
            <w:pPr>
              <w:spacing w:after="0"/>
              <w:rPr>
                <w:sz w:val="19"/>
                <w:szCs w:val="19"/>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aggregate intrinsic value of options outstanding and options exercisable is $1,302 and $365, respectively, at December 31, 2016.</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DEFINED CONTRIBUTION PLAN</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sponsor a defined contribution 401(k) plan that is available to substantially all employees. Our Board of Directors may amend or terminate the plan at any time. We provided matching contributions to the plan of $198 and $179 in 2016 and 2015, respectively.</w:t>
      </w:r>
    </w:p>
    <w:p>
      <w:pPr>
        <w:sectPr>
          <w:pgSz w:w="11900" w:h="16838" w:orient="portrait"/>
          <w:cols w:equalWidth="0" w:num="1">
            <w:col w:w="11420"/>
          </w:cols>
          <w:pgMar w:left="240" w:top="108" w:right="239" w:bottom="1440" w:gutter="0" w:footer="0" w:header="0"/>
        </w:sect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type w:val="continuous"/>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 or otherwise noted)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REVENUE CONCENTRATION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2016 and 2015, there were no customers who individually represented 10% or more of consolidated revenue.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NET LOSS PER SHARE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computation of basic and diluted net loss per common share for 2016 and 2015.</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have excluded stock options to acquire 614,000 and 640,000 shares for 2016 and 2015, respectively, from the computation of the dilutive stock options because the effect of including the stock options would have been anti-dilutive.</w:t>
      </w:r>
    </w:p>
    <w:p>
      <w:pPr>
        <w:spacing w:after="0" w:line="166"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5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Year Ended</w:t>
            </w:r>
          </w:p>
        </w:tc>
        <w:tc>
          <w:tcPr>
            <w:tcW w:w="14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Year Ended</w:t>
            </w:r>
          </w:p>
        </w:tc>
      </w:tr>
      <w:tr>
        <w:trPr>
          <w:trHeight w:val="216"/>
        </w:trPr>
        <w:tc>
          <w:tcPr>
            <w:tcW w:w="5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December 31,</w:t>
            </w:r>
          </w:p>
        </w:tc>
        <w:tc>
          <w:tcPr>
            <w:tcW w:w="14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December 31,</w:t>
            </w:r>
          </w:p>
        </w:tc>
      </w:tr>
      <w:tr>
        <w:trPr>
          <w:trHeight w:val="241"/>
        </w:trPr>
        <w:tc>
          <w:tcPr>
            <w:tcW w:w="54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2016</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2015</w:t>
            </w:r>
          </w:p>
        </w:tc>
        <w:tc>
          <w:tcPr>
            <w:tcW w:w="120" w:type="dxa"/>
            <w:vAlign w:val="bottom"/>
          </w:tcPr>
          <w:p>
            <w:pPr>
              <w:spacing w:after="0"/>
              <w:rPr>
                <w:sz w:val="20"/>
                <w:szCs w:val="20"/>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(1,757)</w:t>
            </w:r>
          </w:p>
        </w:tc>
        <w:tc>
          <w:tcPr>
            <w:tcW w:w="120" w:type="dxa"/>
            <w:vAlign w:val="bottom"/>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Weighted-average shares of common stock outstanding</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6,533,000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6,176,000</w:t>
            </w:r>
          </w:p>
        </w:tc>
        <w:tc>
          <w:tcPr>
            <w:tcW w:w="120" w:type="dxa"/>
            <w:vAlign w:val="bottom"/>
          </w:tcPr>
          <w:p>
            <w:pPr>
              <w:spacing w:after="0"/>
              <w:rPr>
                <w:sz w:val="18"/>
                <w:szCs w:val="18"/>
                <w:color w:val="auto"/>
              </w:rPr>
            </w:pPr>
          </w:p>
        </w:tc>
      </w:tr>
      <w:tr>
        <w:trPr>
          <w:trHeight w:val="223"/>
        </w:trPr>
        <w:tc>
          <w:tcPr>
            <w:tcW w:w="54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r>
      <w:tr>
        <w:trPr>
          <w:trHeight w:val="216"/>
        </w:trPr>
        <w:tc>
          <w:tcPr>
            <w:tcW w:w="5460" w:type="dxa"/>
            <w:vAlign w:val="bottom"/>
          </w:tcPr>
          <w:p>
            <w:pPr>
              <w:ind w:left="40"/>
              <w:spacing w:after="0"/>
              <w:rPr>
                <w:sz w:val="20"/>
                <w:szCs w:val="20"/>
                <w:color w:val="auto"/>
              </w:rPr>
            </w:pPr>
            <w:r>
              <w:rPr>
                <w:rFonts w:ascii="Arial" w:cs="Arial" w:eastAsia="Arial" w:hAnsi="Arial"/>
                <w:sz w:val="18"/>
                <w:szCs w:val="18"/>
                <w:color w:val="auto"/>
              </w:rPr>
              <w:t>Basic and diluted net loss per share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(0.15)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(0.28)</w:t>
            </w:r>
          </w:p>
        </w:tc>
      </w:tr>
      <w:tr>
        <w:trPr>
          <w:trHeight w:val="27"/>
        </w:trPr>
        <w:tc>
          <w:tcPr>
            <w:tcW w:w="5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INCOME TAXES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pre-tax loss for the years ended December 31, 2016 and 2015 are as follows:</w:t>
      </w:r>
    </w:p>
    <w:p>
      <w:pPr>
        <w:spacing w:after="0" w:line="248" w:lineRule="exact"/>
        <w:rPr>
          <w:sz w:val="20"/>
          <w:szCs w:val="20"/>
          <w:color w:val="auto"/>
        </w:rPr>
      </w:pPr>
    </w:p>
    <w:tbl>
      <w:tblPr>
        <w:tblLayout w:type="fixed"/>
        <w:tblInd w:w="1440" w:type="dxa"/>
        <w:tblCellMar>
          <w:top w:w="0" w:type="dxa"/>
          <w:left w:w="0" w:type="dxa"/>
          <w:bottom w:w="0" w:type="dxa"/>
          <w:right w:w="0" w:type="dxa"/>
        </w:tblCellMar>
      </w:tblPr>
      <w:tr>
        <w:trPr>
          <w:trHeight w:val="241"/>
        </w:trPr>
        <w:tc>
          <w:tcPr>
            <w:tcW w:w="3080" w:type="dxa"/>
            <w:vAlign w:val="bottom"/>
          </w:tcPr>
          <w:p>
            <w:pPr>
              <w:spacing w:after="0"/>
              <w:rPr>
                <w:sz w:val="20"/>
                <w:szCs w:val="20"/>
                <w:color w:val="auto"/>
              </w:rPr>
            </w:pPr>
          </w:p>
        </w:tc>
        <w:tc>
          <w:tcPr>
            <w:tcW w:w="33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2016</w:t>
            </w: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238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(865)</w:t>
            </w:r>
          </w:p>
        </w:tc>
        <w:tc>
          <w:tcPr>
            <w:tcW w:w="2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(1,404)</w:t>
            </w:r>
          </w:p>
        </w:tc>
        <w:tc>
          <w:tcPr>
            <w:tcW w:w="120" w:type="dxa"/>
            <w:vAlign w:val="bottom"/>
            <w:shd w:val="clear" w:color="auto" w:fill="CCEEFF"/>
          </w:tcPr>
          <w:p>
            <w:pPr>
              <w:spacing w:after="0"/>
              <w:rPr>
                <w:sz w:val="18"/>
                <w:szCs w:val="18"/>
                <w:color w:val="auto"/>
              </w:rPr>
            </w:pPr>
          </w:p>
        </w:tc>
      </w:tr>
      <w:tr>
        <w:trPr>
          <w:trHeight w:val="223"/>
        </w:trPr>
        <w:tc>
          <w:tcPr>
            <w:tcW w:w="3080" w:type="dxa"/>
            <w:vAlign w:val="bottom"/>
          </w:tcPr>
          <w:p>
            <w:pPr>
              <w:spacing w:after="0"/>
              <w:rPr>
                <w:sz w:val="20"/>
                <w:szCs w:val="20"/>
                <w:color w:val="auto"/>
              </w:rPr>
            </w:pPr>
            <w:r>
              <w:rPr>
                <w:rFonts w:ascii="Arial" w:cs="Arial" w:eastAsia="Arial" w:hAnsi="Arial"/>
                <w:sz w:val="18"/>
                <w:szCs w:val="18"/>
                <w:color w:val="auto"/>
              </w:rPr>
              <w:t>Foreign</w:t>
            </w:r>
          </w:p>
        </w:tc>
        <w:tc>
          <w:tcPr>
            <w:tcW w:w="2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82</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(134)</w:t>
            </w:r>
          </w:p>
        </w:tc>
      </w:tr>
      <w:tr>
        <w:trPr>
          <w:trHeight w:val="257"/>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3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top w:val="single" w:sz="8" w:color="auto"/>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(783)</w:t>
            </w:r>
          </w:p>
        </w:tc>
        <w:tc>
          <w:tcPr>
            <w:tcW w:w="2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(1,538)</w:t>
            </w:r>
          </w:p>
        </w:tc>
        <w:tc>
          <w:tcPr>
            <w:tcW w:w="12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components of the provision for income taxes attributable to continuing operations for the years ended December 31, 2016 and 2015 are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4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38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2016</w:t>
            </w: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16"/>
        </w:trPr>
        <w:tc>
          <w:tcPr>
            <w:tcW w:w="144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b w:val="1"/>
                <w:bCs w:val="1"/>
                <w:color w:val="auto"/>
              </w:rPr>
              <w:t>Current:</w:t>
            </w:r>
          </w:p>
        </w:tc>
        <w:tc>
          <w:tcPr>
            <w:tcW w:w="288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Federal</w:t>
            </w:r>
          </w:p>
        </w:tc>
        <w:tc>
          <w:tcPr>
            <w:tcW w:w="386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State</w:t>
            </w:r>
          </w:p>
        </w:tc>
        <w:tc>
          <w:tcPr>
            <w:tcW w:w="28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23"/>
        </w:trPr>
        <w:tc>
          <w:tcPr>
            <w:tcW w:w="1440" w:type="dxa"/>
            <w:vAlign w:val="bottom"/>
          </w:tcPr>
          <w:p>
            <w:pPr>
              <w:spacing w:after="0"/>
              <w:rPr>
                <w:sz w:val="19"/>
                <w:szCs w:val="19"/>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Foreign</w:t>
            </w:r>
          </w:p>
        </w:tc>
        <w:tc>
          <w:tcPr>
            <w:tcW w:w="28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c>
          <w:tcPr>
            <w:tcW w:w="1440" w:type="dxa"/>
            <w:vAlign w:val="bottom"/>
          </w:tcPr>
          <w:p>
            <w:pPr>
              <w:spacing w:after="0"/>
              <w:rPr>
                <w:sz w:val="19"/>
                <w:szCs w:val="19"/>
                <w:color w:val="auto"/>
              </w:rPr>
            </w:pPr>
          </w:p>
        </w:tc>
      </w:tr>
      <w:tr>
        <w:trPr>
          <w:trHeight w:val="216"/>
        </w:trPr>
        <w:tc>
          <w:tcPr>
            <w:tcW w:w="1440" w:type="dxa"/>
            <w:vAlign w:val="bottom"/>
          </w:tcPr>
          <w:p>
            <w:pPr>
              <w:spacing w:after="0"/>
              <w:rPr>
                <w:sz w:val="18"/>
                <w:szCs w:val="18"/>
                <w:color w:val="auto"/>
              </w:rPr>
            </w:pPr>
          </w:p>
        </w:tc>
        <w:tc>
          <w:tcPr>
            <w:tcW w:w="25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current</w:t>
            </w:r>
          </w:p>
        </w:tc>
        <w:tc>
          <w:tcPr>
            <w:tcW w:w="2880" w:type="dxa"/>
            <w:vAlign w:val="bottom"/>
            <w:tcBorders>
              <w:top w:val="single" w:sz="8" w:color="CCEEFF"/>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0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top w:val="single" w:sz="8" w:color="CCEEFF"/>
            </w:tcBorders>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b w:val="1"/>
                <w:bCs w:val="1"/>
                <w:color w:val="auto"/>
              </w:rPr>
              <w:t>Deferred:</w:t>
            </w:r>
          </w:p>
        </w:tc>
        <w:tc>
          <w:tcPr>
            <w:tcW w:w="28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Federal</w:t>
            </w:r>
          </w:p>
        </w:tc>
        <w:tc>
          <w:tcPr>
            <w:tcW w:w="28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165</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State</w:t>
            </w:r>
          </w:p>
        </w:tc>
        <w:tc>
          <w:tcPr>
            <w:tcW w:w="28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23"/>
        </w:trPr>
        <w:tc>
          <w:tcPr>
            <w:tcW w:w="1440" w:type="dxa"/>
            <w:vAlign w:val="bottom"/>
          </w:tcPr>
          <w:p>
            <w:pPr>
              <w:spacing w:after="0"/>
              <w:rPr>
                <w:sz w:val="19"/>
                <w:szCs w:val="19"/>
                <w:color w:val="auto"/>
              </w:rPr>
            </w:pPr>
          </w:p>
        </w:tc>
        <w:tc>
          <w:tcPr>
            <w:tcW w:w="2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w:t>
            </w:r>
          </w:p>
        </w:tc>
        <w:tc>
          <w:tcPr>
            <w:tcW w:w="28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440" w:type="dxa"/>
            <w:vAlign w:val="bottom"/>
          </w:tcPr>
          <w:p>
            <w:pPr>
              <w:spacing w:after="0"/>
              <w:rPr>
                <w:sz w:val="19"/>
                <w:szCs w:val="19"/>
                <w:color w:val="auto"/>
              </w:rPr>
            </w:pPr>
          </w:p>
        </w:tc>
      </w:tr>
      <w:tr>
        <w:trPr>
          <w:trHeight w:val="223"/>
        </w:trPr>
        <w:tc>
          <w:tcPr>
            <w:tcW w:w="1440" w:type="dxa"/>
            <w:vAlign w:val="bottom"/>
          </w:tcPr>
          <w:p>
            <w:pPr>
              <w:spacing w:after="0"/>
              <w:rPr>
                <w:sz w:val="19"/>
                <w:szCs w:val="19"/>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Total deferred</w:t>
            </w:r>
          </w:p>
        </w:tc>
        <w:tc>
          <w:tcPr>
            <w:tcW w:w="28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173</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188</w:t>
            </w:r>
          </w:p>
        </w:tc>
        <w:tc>
          <w:tcPr>
            <w:tcW w:w="1440" w:type="dxa"/>
            <w:vAlign w:val="bottom"/>
          </w:tcPr>
          <w:p>
            <w:pPr>
              <w:spacing w:after="0"/>
              <w:rPr>
                <w:sz w:val="19"/>
                <w:szCs w:val="19"/>
                <w:color w:val="auto"/>
              </w:rPr>
            </w:pPr>
          </w:p>
        </w:tc>
      </w:tr>
      <w:tr>
        <w:trPr>
          <w:trHeight w:val="216"/>
        </w:trPr>
        <w:tc>
          <w:tcPr>
            <w:tcW w:w="1440" w:type="dxa"/>
            <w:vAlign w:val="bottom"/>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189</w:t>
            </w:r>
          </w:p>
        </w:tc>
        <w:tc>
          <w:tcPr>
            <w:tcW w:w="20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219</w:t>
            </w:r>
          </w:p>
        </w:tc>
        <w:tc>
          <w:tcPr>
            <w:tcW w:w="1440" w:type="dxa"/>
            <w:vAlign w:val="bottom"/>
          </w:tcPr>
          <w:p>
            <w:pPr>
              <w:spacing w:after="0"/>
              <w:rPr>
                <w:sz w:val="18"/>
                <w:szCs w:val="18"/>
                <w:color w:val="auto"/>
              </w:rPr>
            </w:pPr>
          </w:p>
        </w:tc>
      </w:tr>
      <w:tr>
        <w:trPr>
          <w:trHeight w:val="21"/>
        </w:trPr>
        <w:tc>
          <w:tcPr>
            <w:tcW w:w="14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576"/>
        </w:trPr>
        <w:tc>
          <w:tcPr>
            <w:tcW w:w="14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3860" w:type="dxa"/>
            <w:vAlign w:val="bottom"/>
            <w:gridSpan w:val="2"/>
          </w:tcPr>
          <w:p>
            <w:pPr>
              <w:jc w:val="right"/>
              <w:ind w:right="1930"/>
              <w:spacing w:after="0"/>
              <w:rPr>
                <w:sz w:val="20"/>
                <w:szCs w:val="20"/>
                <w:color w:val="auto"/>
              </w:rPr>
            </w:pPr>
            <w:r>
              <w:rPr>
                <w:rFonts w:ascii="Arial" w:cs="Arial" w:eastAsia="Arial" w:hAnsi="Arial"/>
                <w:sz w:val="14"/>
                <w:szCs w:val="14"/>
                <w:color w:val="auto"/>
              </w:rPr>
              <w:t>F-24</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46"/>
        </w:trPr>
        <w:tc>
          <w:tcPr>
            <w:tcW w:w="1440" w:type="dxa"/>
            <w:vAlign w:val="bottom"/>
            <w:tcBorders>
              <w:bottom w:val="single" w:sz="8" w:color="auto"/>
            </w:tcBorders>
          </w:tcPr>
          <w:p>
            <w:pPr>
              <w:spacing w:after="0"/>
              <w:rPr>
                <w:sz w:val="4"/>
                <w:szCs w:val="4"/>
                <w:color w:val="auto"/>
              </w:rPr>
            </w:pPr>
          </w:p>
        </w:tc>
        <w:tc>
          <w:tcPr>
            <w:tcW w:w="2580" w:type="dxa"/>
            <w:vAlign w:val="bottom"/>
            <w:tcBorders>
              <w:bottom w:val="single" w:sz="8" w:color="auto"/>
            </w:tcBorders>
          </w:tcPr>
          <w:p>
            <w:pPr>
              <w:spacing w:after="0"/>
              <w:rPr>
                <w:sz w:val="4"/>
                <w:szCs w:val="4"/>
                <w:color w:val="auto"/>
              </w:rPr>
            </w:pPr>
          </w:p>
        </w:tc>
        <w:tc>
          <w:tcPr>
            <w:tcW w:w="28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 or otherwise noted)</w:t>
      </w:r>
    </w:p>
    <w:p>
      <w:pPr>
        <w:spacing w:after="0" w:line="23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the amounts used for income tax purposes. Significant components of our deferred taxes at December 31, 2016 and 2015 are as follows:</w:t>
      </w:r>
    </w:p>
    <w:p>
      <w:pPr>
        <w:spacing w:after="0" w:line="204" w:lineRule="exact"/>
        <w:rPr>
          <w:sz w:val="20"/>
          <w:szCs w:val="20"/>
          <w:color w:val="auto"/>
        </w:rPr>
      </w:pPr>
    </w:p>
    <w:tbl>
      <w:tblPr>
        <w:tblLayout w:type="fixed"/>
        <w:tblInd w:w="1440" w:type="dxa"/>
        <w:tblCellMar>
          <w:top w:w="0" w:type="dxa"/>
          <w:left w:w="0" w:type="dxa"/>
          <w:bottom w:w="0" w:type="dxa"/>
          <w:right w:w="0" w:type="dxa"/>
        </w:tblCellMar>
      </w:tblPr>
      <w:tr>
        <w:trPr>
          <w:trHeight w:val="241"/>
        </w:trPr>
        <w:tc>
          <w:tcPr>
            <w:tcW w:w="54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r>
      <w:tr>
        <w:trPr>
          <w:trHeight w:val="202"/>
        </w:trPr>
        <w:tc>
          <w:tcPr>
            <w:tcW w:w="5460" w:type="dxa"/>
            <w:vAlign w:val="bottom"/>
          </w:tcPr>
          <w:p>
            <w:pPr>
              <w:spacing w:after="0" w:line="201" w:lineRule="exact"/>
              <w:rPr>
                <w:sz w:val="20"/>
                <w:szCs w:val="20"/>
                <w:color w:val="auto"/>
              </w:rPr>
            </w:pPr>
            <w:r>
              <w:rPr>
                <w:rFonts w:ascii="Arial" w:cs="Arial" w:eastAsia="Arial" w:hAnsi="Arial"/>
                <w:sz w:val="18"/>
                <w:szCs w:val="18"/>
                <w:b w:val="1"/>
                <w:bCs w:val="1"/>
                <w:color w:val="auto"/>
              </w:rPr>
              <w:t>DEFERRED TAX ASSETS:</w:t>
            </w: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Current deferred tax assets</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6"/>
        </w:trPr>
        <w:tc>
          <w:tcPr>
            <w:tcW w:w="54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Deferred revenue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393</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382</w:t>
            </w:r>
          </w:p>
        </w:tc>
      </w:tr>
      <w:tr>
        <w:trPr>
          <w:trHeight w:val="216"/>
        </w:trPr>
        <w:tc>
          <w:tcPr>
            <w:tcW w:w="5460" w:type="dxa"/>
            <w:vAlign w:val="bottom"/>
          </w:tcPr>
          <w:p>
            <w:pPr>
              <w:ind w:left="640"/>
              <w:spacing w:after="0"/>
              <w:rPr>
                <w:sz w:val="20"/>
                <w:szCs w:val="20"/>
                <w:color w:val="auto"/>
              </w:rPr>
            </w:pPr>
            <w:r>
              <w:rPr>
                <w:rFonts w:ascii="Arial" w:cs="Arial" w:eastAsia="Arial" w:hAnsi="Arial"/>
                <w:sz w:val="18"/>
                <w:szCs w:val="18"/>
                <w:color w:val="auto"/>
              </w:rPr>
              <w:t>Accrued expenses</w:t>
            </w:r>
          </w:p>
        </w:tc>
        <w:tc>
          <w:tcPr>
            <w:tcW w:w="3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388</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8"/>
                <w:szCs w:val="18"/>
                <w:color w:val="auto"/>
              </w:rPr>
            </w:pPr>
          </w:p>
        </w:tc>
      </w:tr>
      <w:tr>
        <w:trPr>
          <w:trHeight w:val="223"/>
        </w:trPr>
        <w:tc>
          <w:tcPr>
            <w:tcW w:w="546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16"/>
        </w:trPr>
        <w:tc>
          <w:tcPr>
            <w:tcW w:w="5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781</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518</w:t>
            </w:r>
          </w:p>
        </w:tc>
      </w:tr>
      <w:tr>
        <w:trPr>
          <w:trHeight w:val="223"/>
        </w:trPr>
        <w:tc>
          <w:tcPr>
            <w:tcW w:w="54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Valuation allowance</w:t>
            </w:r>
          </w:p>
        </w:tc>
        <w:tc>
          <w:tcPr>
            <w:tcW w:w="30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(781)</w:t>
            </w: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(518)</w:t>
            </w:r>
          </w:p>
        </w:tc>
      </w:tr>
      <w:tr>
        <w:trPr>
          <w:trHeight w:val="223"/>
        </w:trPr>
        <w:tc>
          <w:tcPr>
            <w:tcW w:w="5460" w:type="dxa"/>
            <w:vAlign w:val="bottom"/>
            <w:tcBorders>
              <w:top w:val="single" w:sz="8" w:color="CCEEFF"/>
            </w:tcBorders>
          </w:tcPr>
          <w:p>
            <w:pPr>
              <w:ind w:left="640"/>
              <w:spacing w:after="0"/>
              <w:rPr>
                <w:sz w:val="20"/>
                <w:szCs w:val="20"/>
                <w:color w:val="auto"/>
              </w:rPr>
            </w:pPr>
            <w:r>
              <w:rPr>
                <w:rFonts w:ascii="Arial" w:cs="Arial" w:eastAsia="Arial" w:hAnsi="Arial"/>
                <w:sz w:val="18"/>
                <w:szCs w:val="18"/>
                <w:color w:val="auto"/>
              </w:rPr>
              <w:t>Net current deferred tax assets</w:t>
            </w: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tcPr>
          <w:p>
            <w:pPr>
              <w:spacing w:after="0"/>
              <w:rPr>
                <w:sz w:val="19"/>
                <w:szCs w:val="19"/>
                <w:color w:val="auto"/>
              </w:rPr>
            </w:pPr>
          </w:p>
        </w:tc>
      </w:tr>
      <w:tr>
        <w:trPr>
          <w:trHeight w:val="216"/>
        </w:trPr>
        <w:tc>
          <w:tcPr>
            <w:tcW w:w="5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460" w:type="dxa"/>
            <w:vAlign w:val="bottom"/>
          </w:tcPr>
          <w:p>
            <w:pPr>
              <w:ind w:left="640"/>
              <w:spacing w:after="0"/>
              <w:rPr>
                <w:sz w:val="20"/>
                <w:szCs w:val="20"/>
                <w:color w:val="auto"/>
              </w:rPr>
            </w:pPr>
            <w:r>
              <w:rPr>
                <w:rFonts w:ascii="Arial" w:cs="Arial" w:eastAsia="Arial" w:hAnsi="Arial"/>
                <w:sz w:val="18"/>
                <w:szCs w:val="18"/>
                <w:color w:val="auto"/>
              </w:rPr>
              <w:t>Noncurrent deferred tax assets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4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operating losses</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39,560</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40,389</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Research and development credit carryforwards</w:t>
            </w:r>
          </w:p>
        </w:tc>
        <w:tc>
          <w:tcPr>
            <w:tcW w:w="3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4,188</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4,490</w:t>
            </w:r>
          </w:p>
        </w:tc>
      </w:tr>
      <w:tr>
        <w:trPr>
          <w:trHeight w:val="216"/>
        </w:trPr>
        <w:tc>
          <w:tcPr>
            <w:tcW w:w="54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Minimum tax credit carryforwards</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161</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161</w:t>
            </w:r>
          </w:p>
        </w:tc>
      </w:tr>
      <w:tr>
        <w:trPr>
          <w:trHeight w:val="216"/>
        </w:trPr>
        <w:tc>
          <w:tcPr>
            <w:tcW w:w="5460" w:type="dxa"/>
            <w:vAlign w:val="bottom"/>
          </w:tcPr>
          <w:p>
            <w:pPr>
              <w:ind w:left="640"/>
              <w:spacing w:after="0"/>
              <w:rPr>
                <w:sz w:val="20"/>
                <w:szCs w:val="20"/>
                <w:color w:val="auto"/>
              </w:rPr>
            </w:pPr>
            <w:r>
              <w:rPr>
                <w:rFonts w:ascii="Arial" w:cs="Arial" w:eastAsia="Arial" w:hAnsi="Arial"/>
                <w:sz w:val="18"/>
                <w:szCs w:val="18"/>
                <w:color w:val="auto"/>
              </w:rPr>
              <w:t>Acquired intangibles</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183</w:t>
            </w:r>
          </w:p>
        </w:tc>
      </w:tr>
      <w:tr>
        <w:trPr>
          <w:trHeight w:val="216"/>
        </w:trPr>
        <w:tc>
          <w:tcPr>
            <w:tcW w:w="54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Share based compensation</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r>
      <w:tr>
        <w:trPr>
          <w:trHeight w:val="223"/>
        </w:trPr>
        <w:tc>
          <w:tcPr>
            <w:tcW w:w="5460" w:type="dxa"/>
            <w:vAlign w:val="bottom"/>
          </w:tcPr>
          <w:p>
            <w:pPr>
              <w:ind w:left="7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102</w:t>
            </w:r>
          </w:p>
        </w:tc>
        <w:tc>
          <w:tcPr>
            <w:tcW w:w="1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r>
      <w:tr>
        <w:trPr>
          <w:trHeight w:val="216"/>
        </w:trPr>
        <w:tc>
          <w:tcPr>
            <w:tcW w:w="5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44,021</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45,256</w:t>
            </w:r>
          </w:p>
        </w:tc>
        <w:tc>
          <w:tcPr>
            <w:tcW w:w="120" w:type="dxa"/>
            <w:vAlign w:val="bottom"/>
            <w:shd w:val="clear" w:color="auto" w:fill="CCEEFF"/>
          </w:tcPr>
          <w:p>
            <w:pPr>
              <w:spacing w:after="0"/>
              <w:rPr>
                <w:sz w:val="18"/>
                <w:szCs w:val="18"/>
                <w:color w:val="auto"/>
              </w:rPr>
            </w:pPr>
          </w:p>
        </w:tc>
      </w:tr>
      <w:tr>
        <w:trPr>
          <w:trHeight w:val="216"/>
        </w:trPr>
        <w:tc>
          <w:tcPr>
            <w:tcW w:w="5460" w:type="dxa"/>
            <w:vAlign w:val="bottom"/>
          </w:tcPr>
          <w:p>
            <w:pPr>
              <w:ind w:left="640"/>
              <w:spacing w:after="0"/>
              <w:rPr>
                <w:sz w:val="20"/>
                <w:szCs w:val="20"/>
                <w:color w:val="auto"/>
              </w:rPr>
            </w:pPr>
            <w:r>
              <w:rPr>
                <w:rFonts w:ascii="Arial" w:cs="Arial" w:eastAsia="Arial" w:hAnsi="Arial"/>
                <w:sz w:val="18"/>
                <w:szCs w:val="18"/>
                <w:color w:val="auto"/>
              </w:rPr>
              <w:t>Valuation allowance</w:t>
            </w:r>
          </w:p>
        </w:tc>
        <w:tc>
          <w:tcPr>
            <w:tcW w:w="300" w:type="dxa"/>
            <w:vAlign w:val="bottom"/>
          </w:tcPr>
          <w:p>
            <w:pPr>
              <w:spacing w:after="0"/>
              <w:rPr>
                <w:sz w:val="18"/>
                <w:szCs w:val="18"/>
                <w:color w:val="auto"/>
              </w:rPr>
            </w:pPr>
          </w:p>
        </w:tc>
        <w:tc>
          <w:tcPr>
            <w:tcW w:w="1280" w:type="dxa"/>
            <w:vAlign w:val="bottom"/>
            <w:gridSpan w:val="3"/>
          </w:tcPr>
          <w:p>
            <w:pPr>
              <w:jc w:val="right"/>
              <w:ind w:right="140"/>
              <w:spacing w:after="0"/>
              <w:rPr>
                <w:sz w:val="20"/>
                <w:szCs w:val="20"/>
                <w:color w:val="auto"/>
              </w:rPr>
            </w:pPr>
            <w:r>
              <w:rPr>
                <w:rFonts w:ascii="Arial" w:cs="Arial" w:eastAsia="Arial" w:hAnsi="Arial"/>
                <w:sz w:val="18"/>
                <w:szCs w:val="18"/>
                <w:color w:val="auto"/>
              </w:rPr>
              <w:t>(42,736)</w:t>
            </w:r>
          </w:p>
        </w:tc>
        <w:tc>
          <w:tcPr>
            <w:tcW w:w="3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(44,496)</w:t>
            </w:r>
          </w:p>
        </w:tc>
      </w:tr>
      <w:tr>
        <w:trPr>
          <w:trHeight w:val="223"/>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Net noncurrent deferred tax assets</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1,285</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760</w:t>
            </w:r>
          </w:p>
        </w:tc>
      </w:tr>
      <w:tr>
        <w:trPr>
          <w:trHeight w:val="216"/>
        </w:trPr>
        <w:tc>
          <w:tcPr>
            <w:tcW w:w="546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Noncurrent deferred tax liabilities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460" w:type="dxa"/>
            <w:vAlign w:val="bottom"/>
          </w:tcPr>
          <w:p>
            <w:pPr>
              <w:ind w:left="640"/>
              <w:spacing w:after="0"/>
              <w:rPr>
                <w:sz w:val="20"/>
                <w:szCs w:val="20"/>
                <w:color w:val="auto"/>
              </w:rPr>
            </w:pPr>
            <w:r>
              <w:rPr>
                <w:rFonts w:ascii="Arial" w:cs="Arial" w:eastAsia="Arial" w:hAnsi="Arial"/>
                <w:sz w:val="18"/>
                <w:szCs w:val="18"/>
                <w:color w:val="auto"/>
              </w:rPr>
              <w:t>Acquired intangibles</w:t>
            </w:r>
          </w:p>
        </w:tc>
        <w:tc>
          <w:tcPr>
            <w:tcW w:w="300" w:type="dxa"/>
            <w:vAlign w:val="bottom"/>
          </w:tcPr>
          <w:p>
            <w:pPr>
              <w:spacing w:after="0"/>
              <w:rPr>
                <w:sz w:val="18"/>
                <w:szCs w:val="18"/>
                <w:color w:val="auto"/>
              </w:rPr>
            </w:pPr>
          </w:p>
        </w:tc>
        <w:tc>
          <w:tcPr>
            <w:tcW w:w="1280" w:type="dxa"/>
            <w:vAlign w:val="bottom"/>
            <w:gridSpan w:val="3"/>
          </w:tcPr>
          <w:p>
            <w:pPr>
              <w:jc w:val="right"/>
              <w:ind w:right="140"/>
              <w:spacing w:after="0"/>
              <w:rPr>
                <w:sz w:val="20"/>
                <w:szCs w:val="20"/>
                <w:color w:val="auto"/>
              </w:rPr>
            </w:pPr>
            <w:r>
              <w:rPr>
                <w:rFonts w:ascii="Arial" w:cs="Arial" w:eastAsia="Arial" w:hAnsi="Arial"/>
                <w:sz w:val="18"/>
                <w:szCs w:val="18"/>
                <w:color w:val="auto"/>
              </w:rPr>
              <w:t>(525)</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r>
      <w:tr>
        <w:trPr>
          <w:trHeight w:val="216"/>
        </w:trPr>
        <w:tc>
          <w:tcPr>
            <w:tcW w:w="5460" w:type="dxa"/>
            <w:vAlign w:val="bottom"/>
            <w:shd w:val="clear" w:color="auto" w:fill="CCEEFF"/>
          </w:tcPr>
          <w:p>
            <w:pPr>
              <w:ind w:left="80"/>
              <w:spacing w:after="0"/>
              <w:rPr>
                <w:sz w:val="20"/>
                <w:szCs w:val="20"/>
                <w:color w:val="auto"/>
              </w:rPr>
            </w:pPr>
            <w:r>
              <w:rPr>
                <w:rFonts w:ascii="Arial" w:cs="Arial" w:eastAsia="Arial" w:hAnsi="Arial"/>
                <w:sz w:val="18"/>
                <w:szCs w:val="18"/>
                <w:color w:val="auto"/>
              </w:rPr>
              <w:t>Fixed assets</w:t>
            </w:r>
          </w:p>
        </w:tc>
        <w:tc>
          <w:tcPr>
            <w:tcW w:w="3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(765)</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(764)</w:t>
            </w:r>
          </w:p>
        </w:tc>
      </w:tr>
      <w:tr>
        <w:trPr>
          <w:trHeight w:val="223"/>
        </w:trPr>
        <w:tc>
          <w:tcPr>
            <w:tcW w:w="5460" w:type="dxa"/>
            <w:vAlign w:val="bottom"/>
          </w:tcPr>
          <w:p>
            <w:pPr>
              <w:ind w:left="640"/>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19"/>
                <w:szCs w:val="19"/>
                <w:color w:val="auto"/>
              </w:rPr>
            </w:pPr>
          </w:p>
        </w:tc>
        <w:tc>
          <w:tcPr>
            <w:tcW w:w="1280" w:type="dxa"/>
            <w:vAlign w:val="bottom"/>
            <w:gridSpan w:val="3"/>
          </w:tcPr>
          <w:p>
            <w:pPr>
              <w:jc w:val="right"/>
              <w:ind w:right="140"/>
              <w:spacing w:after="0"/>
              <w:rPr>
                <w:sz w:val="20"/>
                <w:szCs w:val="20"/>
                <w:color w:val="auto"/>
              </w:rPr>
            </w:pPr>
            <w:r>
              <w:rPr>
                <w:rFonts w:ascii="Arial" w:cs="Arial" w:eastAsia="Arial" w:hAnsi="Arial"/>
                <w:sz w:val="18"/>
                <w:szCs w:val="18"/>
                <w:color w:val="auto"/>
              </w:rPr>
              <w:t>(812)</w:t>
            </w:r>
          </w:p>
        </w:tc>
        <w:tc>
          <w:tcPr>
            <w:tcW w:w="30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(640)</w:t>
            </w:r>
          </w:p>
        </w:tc>
      </w:tr>
      <w:tr>
        <w:trPr>
          <w:trHeight w:val="223"/>
        </w:trPr>
        <w:tc>
          <w:tcPr>
            <w:tcW w:w="5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noncurrent deferred tax liabilities</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(2,102)</w:t>
            </w:r>
          </w:p>
        </w:tc>
        <w:tc>
          <w:tcPr>
            <w:tcW w:w="200" w:type="dxa"/>
            <w:vAlign w:val="bottom"/>
            <w:tcBorders>
              <w:bottom w:val="single" w:sz="8" w:color="CCEEFF"/>
            </w:tcBorders>
            <w:gridSpan w:val="2"/>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(1,404)</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16"/>
        </w:trPr>
        <w:tc>
          <w:tcPr>
            <w:tcW w:w="5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57"/>
        </w:trPr>
        <w:tc>
          <w:tcPr>
            <w:tcW w:w="5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current deferred tax asset (liability)</w:t>
            </w:r>
          </w:p>
        </w:tc>
        <w:tc>
          <w:tcPr>
            <w:tcW w:w="3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210"/>
        </w:trPr>
        <w:tc>
          <w:tcPr>
            <w:tcW w:w="5460" w:type="dxa"/>
            <w:vAlign w:val="bottom"/>
          </w:tcPr>
          <w:p>
            <w:pPr>
              <w:ind w:left="640"/>
              <w:spacing w:after="0"/>
              <w:rPr>
                <w:sz w:val="20"/>
                <w:szCs w:val="20"/>
                <w:color w:val="auto"/>
              </w:rPr>
            </w:pPr>
            <w:r>
              <w:rPr>
                <w:rFonts w:ascii="Arial" w:cs="Arial" w:eastAsia="Arial" w:hAnsi="Arial"/>
                <w:sz w:val="18"/>
                <w:szCs w:val="18"/>
                <w:color w:val="auto"/>
              </w:rPr>
              <w:t>Net noncurrent deferred tax liability</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gridSpan w:val="3"/>
          </w:tcPr>
          <w:p>
            <w:pPr>
              <w:jc w:val="right"/>
              <w:ind w:right="140"/>
              <w:spacing w:after="0"/>
              <w:rPr>
                <w:sz w:val="20"/>
                <w:szCs w:val="20"/>
                <w:color w:val="auto"/>
              </w:rPr>
            </w:pPr>
            <w:r>
              <w:rPr>
                <w:rFonts w:ascii="Arial" w:cs="Arial" w:eastAsia="Arial" w:hAnsi="Arial"/>
                <w:sz w:val="18"/>
                <w:szCs w:val="18"/>
                <w:color w:val="auto"/>
              </w:rPr>
              <w:t>(817)</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(644)</w:t>
            </w:r>
          </w:p>
        </w:tc>
      </w:tr>
      <w:tr>
        <w:trPr>
          <w:trHeight w:val="21"/>
        </w:trPr>
        <w:tc>
          <w:tcPr>
            <w:tcW w:w="54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688"/>
        <w:spacing w:after="0" w:line="312" w:lineRule="auto"/>
        <w:rPr>
          <w:sz w:val="20"/>
          <w:szCs w:val="20"/>
          <w:color w:val="auto"/>
        </w:rPr>
      </w:pPr>
      <w:r>
        <w:rPr>
          <w:rFonts w:ascii="Arial" w:cs="Arial" w:eastAsia="Arial" w:hAnsi="Arial"/>
          <w:sz w:val="16"/>
          <w:szCs w:val="16"/>
          <w:color w:val="auto"/>
        </w:rPr>
        <w:t>At December 31, 2016, we had federal net operating loss carryforwards of approximately $115,738, research and development credit carryforwards of approximately $5,113 and alternative minimum tax credit carryforwards of approximately $161. The net operating loss and research and development credit carryforwards will expire in varying amounts from 2018 through 2036, if not utilized. Minimum tax credit carryforwards carry forward indefinitely.</w:t>
      </w:r>
    </w:p>
    <w:p>
      <w:pPr>
        <w:spacing w:after="0" w:line="174" w:lineRule="exact"/>
        <w:rPr>
          <w:sz w:val="20"/>
          <w:szCs w:val="20"/>
          <w:color w:val="auto"/>
        </w:rPr>
      </w:pPr>
    </w:p>
    <w:p>
      <w:pPr>
        <w:jc w:val="both"/>
        <w:ind w:firstLine="696"/>
        <w:spacing w:after="0" w:line="264" w:lineRule="auto"/>
        <w:rPr>
          <w:sz w:val="20"/>
          <w:szCs w:val="20"/>
          <w:color w:val="auto"/>
        </w:rPr>
      </w:pPr>
      <w:r>
        <w:rPr>
          <w:rFonts w:ascii="Arial" w:cs="Arial" w:eastAsia="Arial" w:hAnsi="Arial"/>
          <w:sz w:val="18"/>
          <w:szCs w:val="18"/>
          <w:color w:val="auto"/>
        </w:rPr>
        <w:t>As a result of various acquisitions by us in prior years, we may be subject to a substantial annual limitation in the utilization of the net operating losses and credit carryforwards due to the “change in ownership” provisions of the Internal Revenue Code of 1986. The annual limitation may result in the expiration of net operating losses before utilization.</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Due to the uncertainty surrounding the timing of realizing the benefits of its favorable tax attributes in future tax returns, we have placed a valuation allowance against our net deferred tax assets, exclusive of goodwill. During the year ended December 31, 2016, the valuation allowance decreased by approximately $1,497 due primarily to operations, including expiration of tax carryforwards. Approximately $8,251 of the valuation allowance relates to tax benefits for stock option deductions included in our net operating loss carryforward which we will allocate, if and when realized, directly to contributed capital to the extent the benefits exceed amounts attributable to book deferred compensation expense.</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consider undistributed earnings of our foreign subsidiaries as permanently reinvested and, accordingly, we have made no provision for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federal or state income taxes thereon.</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and per share data or otherwise noted)</w:t>
      </w:r>
    </w:p>
    <w:p>
      <w:pPr>
        <w:spacing w:after="0" w:line="23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provision for income taxes attributable to continuing operations differs from the expected tax expense (benefit) amount computed by applying the statutory federal income tax rate of 34% to income before income taxes as a result of the following:</w:t>
      </w:r>
    </w:p>
    <w:p>
      <w:pPr>
        <w:spacing w:after="0" w:line="166" w:lineRule="exact"/>
        <w:rPr>
          <w:sz w:val="20"/>
          <w:szCs w:val="20"/>
          <w:color w:val="auto"/>
        </w:rPr>
      </w:pPr>
    </w:p>
    <w:tbl>
      <w:tblPr>
        <w:tblLayout w:type="fixed"/>
        <w:tblInd w:w="1440" w:type="dxa"/>
        <w:tblCellMar>
          <w:top w:w="0" w:type="dxa"/>
          <w:left w:w="0" w:type="dxa"/>
          <w:bottom w:w="0" w:type="dxa"/>
          <w:right w:w="0" w:type="dxa"/>
        </w:tblCellMar>
      </w:tblPr>
      <w:tr>
        <w:trPr>
          <w:trHeight w:val="241"/>
        </w:trPr>
        <w:tc>
          <w:tcPr>
            <w:tcW w:w="4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For 2016</w:t>
            </w:r>
          </w:p>
        </w:tc>
        <w:tc>
          <w:tcPr>
            <w:tcW w:w="3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For 2015</w:t>
            </w:r>
          </w:p>
        </w:tc>
        <w:tc>
          <w:tcPr>
            <w:tcW w:w="120" w:type="dxa"/>
            <w:vAlign w:val="bottom"/>
          </w:tcPr>
          <w:p>
            <w:pPr>
              <w:spacing w:after="0"/>
              <w:rPr>
                <w:sz w:val="20"/>
                <w:szCs w:val="20"/>
                <w:color w:val="auto"/>
              </w:rPr>
            </w:pPr>
          </w:p>
        </w:tc>
      </w:tr>
      <w:tr>
        <w:trPr>
          <w:trHeight w:val="216"/>
        </w:trPr>
        <w:tc>
          <w:tcPr>
            <w:tcW w:w="4120" w:type="dxa"/>
            <w:vAlign w:val="bottom"/>
          </w:tcPr>
          <w:p>
            <w:pPr>
              <w:spacing w:after="0"/>
              <w:rPr>
                <w:sz w:val="18"/>
                <w:szCs w:val="18"/>
                <w:color w:val="auto"/>
              </w:rPr>
            </w:pPr>
          </w:p>
        </w:tc>
        <w:tc>
          <w:tcPr>
            <w:tcW w:w="238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Computed at statutory rate</w:t>
            </w:r>
          </w:p>
        </w:tc>
        <w:tc>
          <w:tcPr>
            <w:tcW w:w="2380" w:type="dxa"/>
            <w:vAlign w:val="bottom"/>
            <w:gridSpan w:val="2"/>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(266)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(521)</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State taxes, net of federal benefit</w:t>
            </w:r>
          </w:p>
        </w:tc>
        <w:tc>
          <w:tcPr>
            <w:tcW w:w="1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109</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Permanent items and other</w:t>
            </w:r>
          </w:p>
        </w:tc>
        <w:tc>
          <w:tcPr>
            <w:tcW w:w="1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188</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Credit carryforwards</w:t>
            </w:r>
          </w:p>
        </w:tc>
        <w:tc>
          <w:tcPr>
            <w:tcW w:w="1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(59)</w:t>
            </w:r>
          </w:p>
        </w:tc>
        <w:tc>
          <w:tcPr>
            <w:tcW w:w="2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Foreign income taxed at different rates</w:t>
            </w:r>
          </w:p>
        </w:tc>
        <w:tc>
          <w:tcPr>
            <w:tcW w:w="1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w:t>
            </w:r>
          </w:p>
        </w:tc>
      </w:tr>
      <w:tr>
        <w:trPr>
          <w:trHeight w:val="223"/>
        </w:trPr>
        <w:tc>
          <w:tcPr>
            <w:tcW w:w="4120" w:type="dxa"/>
            <w:vAlign w:val="bottom"/>
          </w:tcPr>
          <w:p>
            <w:pPr>
              <w:spacing w:after="0"/>
              <w:rPr>
                <w:sz w:val="20"/>
                <w:szCs w:val="20"/>
                <w:color w:val="auto"/>
              </w:rPr>
            </w:pPr>
            <w:r>
              <w:rPr>
                <w:rFonts w:ascii="Arial" w:cs="Arial" w:eastAsia="Arial" w:hAnsi="Arial"/>
                <w:sz w:val="18"/>
                <w:szCs w:val="18"/>
                <w:color w:val="auto"/>
              </w:rPr>
              <w:t>Tax carryforwards not benefitted</w:t>
            </w:r>
          </w:p>
        </w:tc>
        <w:tc>
          <w:tcPr>
            <w:tcW w:w="1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404</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326</w:t>
            </w:r>
          </w:p>
        </w:tc>
      </w:tr>
      <w:tr>
        <w:trPr>
          <w:trHeight w:val="257"/>
        </w:trPr>
        <w:tc>
          <w:tcPr>
            <w:tcW w:w="4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top w:val="single" w:sz="8" w:color="auto"/>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2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Under ASC 740-10, </w:t>
      </w:r>
      <w:r>
        <w:rPr>
          <w:rFonts w:ascii="Arial" w:cs="Arial" w:eastAsia="Arial" w:hAnsi="Arial"/>
          <w:sz w:val="18"/>
          <w:szCs w:val="18"/>
          <w:i w:val="1"/>
          <w:iCs w:val="1"/>
          <w:color w:val="auto"/>
        </w:rPr>
        <w:t>Income Taxes</w:t>
      </w:r>
      <w:r>
        <w:rPr>
          <w:rFonts w:ascii="Arial" w:cs="Arial" w:eastAsia="Arial" w:hAnsi="Arial"/>
          <w:sz w:val="18"/>
          <w:szCs w:val="18"/>
          <w:color w:val="auto"/>
        </w:rPr>
        <w:t>, we periodically review the uncertainties and judgments related to the application of complex income tax regulations to determine income tax liabilities in several jurisdictions. We use a “more likely than not” criterion for recognizing an asset for unrecognized income tax benefits or a liability for uncertain tax positions. We have determined we have the following unrecognized assets or liabilities related to uncertain tax positions as of December 31, 2016. We do not anticipate any significant changes in such uncertainties and judgments during the next twelve months. To the extent we are required to recognize interest and penalties related to unrecognized tax liabilities, this amount will be recorded as an accrued liability. The reconciliation of our unrecognized tax benefits is as follows:</w:t>
      </w:r>
    </w:p>
    <w:p>
      <w:pPr>
        <w:spacing w:after="0" w:line="234"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2015</w:t>
            </w:r>
          </w:p>
        </w:tc>
        <w:tc>
          <w:tcPr>
            <w:tcW w:w="192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w:t>
            </w:r>
          </w:p>
        </w:tc>
        <w:tc>
          <w:tcPr>
            <w:tcW w:w="120" w:type="dxa"/>
            <w:vAlign w:val="bottom"/>
            <w:shd w:val="clear" w:color="auto" w:fill="CCEEFF"/>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Additions based on tax positions related to the current year</w:t>
            </w:r>
          </w:p>
        </w:tc>
        <w:tc>
          <w:tcPr>
            <w:tcW w:w="1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8"/>
                <w:szCs w:val="18"/>
                <w:color w:val="auto"/>
              </w:rPr>
            </w:pPr>
          </w:p>
        </w:tc>
      </w:tr>
      <w:tr>
        <w:trPr>
          <w:trHeight w:val="223"/>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Additions for tax positions of prior years</w:t>
            </w:r>
          </w:p>
        </w:tc>
        <w:tc>
          <w:tcPr>
            <w:tcW w:w="14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r>
      <w:tr>
        <w:trPr>
          <w:trHeight w:val="216"/>
        </w:trPr>
        <w:tc>
          <w:tcPr>
            <w:tcW w:w="56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Balance at December 31, 2015</w:t>
            </w:r>
          </w:p>
        </w:tc>
        <w:tc>
          <w:tcPr>
            <w:tcW w:w="1400" w:type="dxa"/>
            <w:vAlign w:val="bottom"/>
            <w:tcBorders>
              <w:top w:val="single" w:sz="8" w:color="CCEEFF"/>
            </w:tcBorders>
          </w:tcPr>
          <w:p>
            <w:pPr>
              <w:spacing w:after="0"/>
              <w:rPr>
                <w:sz w:val="18"/>
                <w:szCs w:val="18"/>
                <w:color w:val="auto"/>
              </w:rPr>
            </w:pPr>
          </w:p>
        </w:tc>
        <w:tc>
          <w:tcPr>
            <w:tcW w:w="5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1,290</w:t>
            </w:r>
          </w:p>
        </w:tc>
        <w:tc>
          <w:tcPr>
            <w:tcW w:w="120" w:type="dxa"/>
            <w:vAlign w:val="bottom"/>
            <w:tcBorders>
              <w:top w:val="single" w:sz="8" w:color="CCEEFF"/>
            </w:tcBorders>
          </w:tcPr>
          <w:p>
            <w:pPr>
              <w:spacing w:after="0"/>
              <w:rPr>
                <w:sz w:val="18"/>
                <w:szCs w:val="18"/>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Additions based on tax positions related to the current year</w:t>
            </w:r>
          </w:p>
        </w:tc>
        <w:tc>
          <w:tcPr>
            <w:tcW w:w="1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8"/>
                <w:szCs w:val="18"/>
                <w:color w:val="auto"/>
              </w:rPr>
            </w:pPr>
          </w:p>
        </w:tc>
      </w:tr>
      <w:tr>
        <w:trPr>
          <w:trHeight w:val="223"/>
        </w:trPr>
        <w:tc>
          <w:tcPr>
            <w:tcW w:w="5660" w:type="dxa"/>
            <w:vAlign w:val="bottom"/>
          </w:tcPr>
          <w:p>
            <w:pPr>
              <w:spacing w:after="0"/>
              <w:rPr>
                <w:sz w:val="20"/>
                <w:szCs w:val="20"/>
                <w:color w:val="auto"/>
              </w:rPr>
            </w:pPr>
            <w:r>
              <w:rPr>
                <w:rFonts w:ascii="Arial" w:cs="Arial" w:eastAsia="Arial" w:hAnsi="Arial"/>
                <w:sz w:val="18"/>
                <w:szCs w:val="18"/>
                <w:color w:val="auto"/>
              </w:rPr>
              <w:t>Additions for tax positions of prior years</w:t>
            </w:r>
          </w:p>
        </w:tc>
        <w:tc>
          <w:tcPr>
            <w:tcW w:w="1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(96)</w:t>
            </w:r>
          </w:p>
        </w:tc>
      </w:tr>
      <w:tr>
        <w:trPr>
          <w:trHeight w:val="223"/>
        </w:trPr>
        <w:tc>
          <w:tcPr>
            <w:tcW w:w="5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2016</w:t>
            </w:r>
          </w:p>
        </w:tc>
        <w:tc>
          <w:tcPr>
            <w:tcW w:w="14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1,219</w:t>
            </w:r>
          </w:p>
        </w:tc>
        <w:tc>
          <w:tcPr>
            <w:tcW w:w="120" w:type="dxa"/>
            <w:vAlign w:val="bottom"/>
            <w:tcBorders>
              <w:bottom w:val="single" w:sz="8" w:color="CCEEFF"/>
            </w:tcBorders>
            <w:shd w:val="clear" w:color="auto" w:fill="CCEEFF"/>
          </w:tcPr>
          <w:p>
            <w:pPr>
              <w:spacing w:after="0"/>
              <w:rPr>
                <w:sz w:val="19"/>
                <w:szCs w:val="19"/>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December 31, 2016, we had $1,219 of unrecognized tax benefits, which would affect the effective tax rate if recognized. The Company’s assessment of its unrecognized tax benefits is subject to change as a function of the Company’s financial statement audit.</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practice is to recognize interest and/or penalties related to income tax matters in income tax expense. During the twelve months ended December 31, 2016, we recognized $2 of interest and penalties in our income tax expense.</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file tax returns in the U.S. federal jurisdiction and in several state and foreign jurisdictions. We are no longer subject to U.S. federal income tax examinations for years ending before December 31, 2013 and are no longer subject to state and local or foreign income tax examinations by tax authorities for years ending before December 31, 2012. We are not currently under audit for federal, state or any foreign jurisdictions.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 or otherwise noted)</w:t>
      </w:r>
    </w:p>
    <w:p>
      <w:pPr>
        <w:spacing w:after="0" w:line="23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13 - LEASE COMMITMENTS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Asure’s future minimum lease payments under all operating and capital leases as of December 31, 2016 are as follows:</w:t>
      </w:r>
    </w:p>
    <w:p>
      <w:pPr>
        <w:spacing w:after="0" w:line="248"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5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rPr>
              <w:t>OPERATING</w:t>
            </w:r>
          </w:p>
        </w:tc>
        <w:tc>
          <w:tcPr>
            <w:tcW w:w="120" w:type="dxa"/>
            <w:vAlign w:val="bottom"/>
          </w:tcPr>
          <w:p>
            <w:pPr>
              <w:spacing w:after="0"/>
              <w:rPr>
                <w:sz w:val="18"/>
                <w:szCs w:val="18"/>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rPr>
              <w:t>CAPITAL</w:t>
            </w:r>
          </w:p>
        </w:tc>
      </w:tr>
      <w:tr>
        <w:trPr>
          <w:trHeight w:val="216"/>
        </w:trPr>
        <w:tc>
          <w:tcPr>
            <w:tcW w:w="5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9"/>
              </w:rPr>
              <w:t>LEASE</w:t>
            </w:r>
          </w:p>
        </w:tc>
        <w:tc>
          <w:tcPr>
            <w:tcW w:w="120" w:type="dxa"/>
            <w:vAlign w:val="bottom"/>
          </w:tcPr>
          <w:p>
            <w:pPr>
              <w:spacing w:after="0"/>
              <w:rPr>
                <w:sz w:val="18"/>
                <w:szCs w:val="18"/>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LEASE</w:t>
            </w:r>
          </w:p>
        </w:tc>
      </w:tr>
      <w:tr>
        <w:trPr>
          <w:trHeight w:val="241"/>
        </w:trPr>
        <w:tc>
          <w:tcPr>
            <w:tcW w:w="5060" w:type="dxa"/>
            <w:vAlign w:val="bottom"/>
          </w:tcPr>
          <w:p>
            <w:pPr>
              <w:ind w:left="1320"/>
              <w:spacing w:after="0"/>
              <w:rPr>
                <w:sz w:val="20"/>
                <w:szCs w:val="20"/>
                <w:color w:val="auto"/>
              </w:rPr>
            </w:pPr>
            <w:r>
              <w:rPr>
                <w:rFonts w:ascii="Arial" w:cs="Arial" w:eastAsia="Arial" w:hAnsi="Arial"/>
                <w:sz w:val="18"/>
                <w:szCs w:val="18"/>
                <w:b w:val="1"/>
                <w:bCs w:val="1"/>
                <w:color w:val="auto"/>
              </w:rPr>
              <w:t>CALENDAR YEAR ENDING:</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rPr>
              <w:t>OBLIGATIONS</w:t>
            </w:r>
          </w:p>
        </w:tc>
        <w:tc>
          <w:tcPr>
            <w:tcW w:w="120" w:type="dxa"/>
            <w:vAlign w:val="bottom"/>
          </w:tcPr>
          <w:p>
            <w:pPr>
              <w:spacing w:after="0"/>
              <w:rPr>
                <w:sz w:val="20"/>
                <w:szCs w:val="20"/>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rPr>
              <w:t>OBLIGATIONS</w:t>
            </w:r>
          </w:p>
        </w:tc>
      </w:tr>
      <w:tr>
        <w:trPr>
          <w:trHeight w:val="216"/>
        </w:trPr>
        <w:tc>
          <w:tcPr>
            <w:tcW w:w="5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2017</w:t>
            </w: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646</w:t>
            </w:r>
          </w:p>
        </w:tc>
        <w:tc>
          <w:tcPr>
            <w:tcW w:w="12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503</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445</w:t>
            </w:r>
          </w:p>
        </w:tc>
        <w:tc>
          <w:tcPr>
            <w:tcW w:w="12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315</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5060" w:type="dxa"/>
            <w:vAlign w:val="bottom"/>
          </w:tcPr>
          <w:p>
            <w:pPr>
              <w:spacing w:after="0"/>
              <w:rPr>
                <w:sz w:val="20"/>
                <w:szCs w:val="20"/>
                <w:color w:val="auto"/>
              </w:rPr>
            </w:pPr>
            <w:r>
              <w:rPr>
                <w:rFonts w:ascii="Arial" w:cs="Arial" w:eastAsia="Arial" w:hAnsi="Arial"/>
                <w:sz w:val="18"/>
                <w:szCs w:val="18"/>
                <w:color w:val="auto"/>
              </w:rPr>
              <w:t>Thereafter</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6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2,766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163</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Less: Sublease income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(510)</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5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6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2,256</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163</w:t>
            </w:r>
          </w:p>
        </w:tc>
      </w:tr>
      <w:tr>
        <w:trPr>
          <w:trHeight w:val="21"/>
        </w:trPr>
        <w:tc>
          <w:tcPr>
            <w:tcW w:w="5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spacing w:after="0"/>
              <w:rPr>
                <w:sz w:val="18"/>
                <w:szCs w:val="18"/>
                <w:color w:val="auto"/>
              </w:rPr>
            </w:pPr>
          </w:p>
        </w:tc>
      </w:tr>
      <w:tr>
        <w:trPr>
          <w:trHeight w:val="223"/>
        </w:trPr>
        <w:tc>
          <w:tcPr>
            <w:tcW w:w="5060" w:type="dxa"/>
            <w:vAlign w:val="bottom"/>
          </w:tcPr>
          <w:p>
            <w:pPr>
              <w:spacing w:after="0"/>
              <w:rPr>
                <w:sz w:val="20"/>
                <w:szCs w:val="20"/>
                <w:color w:val="auto"/>
              </w:rPr>
            </w:pPr>
            <w:r>
              <w:rPr>
                <w:rFonts w:ascii="Arial" w:cs="Arial" w:eastAsia="Arial" w:hAnsi="Arial"/>
                <w:sz w:val="18"/>
                <w:szCs w:val="18"/>
                <w:color w:val="auto"/>
              </w:rPr>
              <w:t>Less current portion of obligations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(145)</w:t>
            </w:r>
          </w:p>
        </w:tc>
      </w:tr>
      <w:tr>
        <w:trPr>
          <w:trHeight w:val="257"/>
        </w:trPr>
        <w:tc>
          <w:tcPr>
            <w:tcW w:w="5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portion of obligations</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Total rent expense under all operating leases for 2016 and 2015 were $1,014 and $724, respectively. At December 31, 2016 and 2015, approximately 10.7% and 23.4%, respectively, of our total operating lease obligations relates to our corporate office facility at Wild Basin in Austin, Texas. Subsequent to December 31, 2016, we entered into a lease agreement for new corporate office facilities to accommodate our growth. This lease obligation is not included above. It will account for approximately 44.4% of our total future operating lease obligations. Approximately 66.0% of our total operating lease obligation at December 31, 2016 relates to our office facility in Tampa, Florida, where Mangrove is based.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SUBSEQUENT EVENTS</w:t>
      </w:r>
    </w:p>
    <w:p>
      <w:pPr>
        <w:spacing w:after="0" w:line="25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Company evaluated subsequent events through March 20, 2017, the date of the filing of this Annual Report on Form 10-K with the SEC, to ensure that this filing includes appropriate disclosure of events both recognized in the financial statements as of December 31, 2016, and events which occurred subsequent to December 31, 2016 but were not recognized in the financial statements. The Company has determined that there were no subsequent events which required recognition, adjustment to or disclosure in the financial statements except as below and except as disclosed in Note 13.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Acquisitions</w:t>
      </w:r>
    </w:p>
    <w:p>
      <w:pPr>
        <w:spacing w:after="0" w:line="252"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In January 2017, we closed three strategic acquisitions: Personnel Management Systems, Inc., a leading provider of outsourced HR solutions; Corporate Payroll, Inc. (Payroll Division), a leading provider of payroll services; and Payroll Specialties NW, Inc., a leading provider of payroll services.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Stock Purchase Agreement</w:t>
      </w:r>
    </w:p>
    <w:p>
      <w:pPr>
        <w:spacing w:after="0" w:line="25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January 2017, we closed on the acquisition of all of the outstanding shares of common stock (the “Shares”) of Personnel Management Systems, Inc., a Washington corporation (“PMSI”), pursuant to a Stock Purchase Agreement (the “Stock Purchase Agreement”), among us, PMSI, the sellers identified therein, and the stockholders’ representative named therein. The aggregate consideration for the Shares consisted of (i) $3,875 in cash and (ii) a subordinated promissory note (the “PMSI Note”) in the principal amount of $1,125 subject to adjustment as provided in the Stock Purchase Agreement. We funded the cash payment with proceeds from our recent public stock offering. The PMSI Note bears interest at an annual rate of 2.0% and matures on April 30, 2018. The entire unpaid principal and all accrued interest under the PMSI Note is payable at maturity. The Stock Purchase Agreement contains certain customary representations, warranties, indemnities and covenants.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 or otherwise noted)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Asset Purchase Agreement</w:t>
      </w:r>
    </w:p>
    <w:p>
      <w:pPr>
        <w:spacing w:after="0" w:line="25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January 2017, we closed on the acquisition of substantially all the assets of Corporate Payroll, Inc., an Ohio corporation (“CPI”), relating to its payroll service bureau business, pursuant to an Asset Purchase Agreement (the “CPI Asset Purchase Agreement”). The aggregate consideration for the assets consisted of (i) $1,500 in cash, (ii) a subordinated promissory note (the “CPI Note”) in the principal amount of $500 and (iii) 112,166 shares of our common stock valued at $1,000, subject to adjustment as provided in the CPI Asset Purchase Agreement. We funded the cash payment with proceeds from our recent public stock offering. The CPI Note bears no interest and matures on April 30, 2018. The entire unpaid principal under the CPI Note is payable at maturity. The recipient of the shares of our common stock entered into a six month lock-up agreement with us. The CPI Asset Purchase Agreement contains certain customary representations, warranties, indemnities and covenants.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Asset Purchase Agreement</w:t>
      </w:r>
    </w:p>
    <w:p>
      <w:pPr>
        <w:spacing w:after="0" w:line="25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January 2017, we closed on the acquisition of substantially all the assets of Payroll Specialties NW, Inc., an Oregon corporation (“PSNW”), pursuant to an Asset Purchase Agreement (the “PSNW Asset Purchase Agreement”). The aggregate consideration for the assets consisted of (i) $3,010 in cash and (ii) a subordinated promissory note (the “PSNW Note”) in the principal amount of $600, subject to adjustment as provided in the PSNW Asset Purchase Agreement. We funded the cash payment with proceeds from our recent public stock offering. The PSNW Note bears interest at an annual rate of 2.0% and matures on April 30, 2018. The entire unpaid principal and all accrued interest under the PSNW Note is payable at maturity. The PSNW Asset Purchase Agreement contains certain customary representations, warranties, indemnities and covenants.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Amendment to Credit Agreement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March 2017, we amended our Credit Agreement with Wells Fargo Bank, N.A to, among other things, obtain an additional term loan in the amount of $5,000,000. Upon disbursement of the additional term loan, the aggregate principal amount outstanding under our terms loans will be approximately $29,714,453. The aggregate outstanding principal amount of the term loans is payable as follows: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$742,861.33 on June 30, 2017 and the last day of each fiscal quarter thereafter.</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will use the proceeds of the additional term loan to repay a portion of all amounts outstanding under the secured subsordinated note we issued in connection with the Mangrove acquisition. In the March 2017 amendment, in accordance with the terms of the Credit Agreement, Wells Fargo has consented to such early repayment of the Mangrove note, subject to the condition, among others, that the repayment of the Mangrove note will not exceed $5,879,000.</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March 2017 amendment also amends our fixed charge coverage ratio and leverage ratio. We have now agreed to:</w:t>
      </w:r>
    </w:p>
    <w:p>
      <w:pPr>
        <w:spacing w:after="0" w:line="225" w:lineRule="exact"/>
        <w:rPr>
          <w:sz w:val="20"/>
          <w:szCs w:val="20"/>
          <w:color w:val="auto"/>
        </w:rPr>
      </w:pPr>
    </w:p>
    <w:p>
      <w:pPr>
        <w:jc w:val="both"/>
        <w:ind w:firstLine="656"/>
        <w:spacing w:after="0" w:line="264" w:lineRule="auto"/>
        <w:tabs>
          <w:tab w:leader="none" w:pos="846"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fixed charge coverage ratio of not less than 1.25 to 1.0 beginning with the quarter ending March 31, 2017 and each calendar quarter thereafter up to December 31, 2017, and not less than 1.5 to :1.0 beginning with the quarter ending March 31, 2018 and each calendar quarter thereafter up to December 31, 2018, and</w:t>
      </w:r>
    </w:p>
    <w:p>
      <w:pPr>
        <w:spacing w:after="0" w:line="181" w:lineRule="exact"/>
        <w:rPr>
          <w:rFonts w:ascii="Arial" w:cs="Arial" w:eastAsia="Arial" w:hAnsi="Arial"/>
          <w:sz w:val="18"/>
          <w:szCs w:val="18"/>
          <w:color w:val="auto"/>
        </w:rPr>
      </w:pPr>
    </w:p>
    <w:p>
      <w:pPr>
        <w:ind w:left="860" w:hanging="204"/>
        <w:spacing w:after="0"/>
        <w:tabs>
          <w:tab w:leader="none" w:pos="8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 leverage ratio of not greater than 4.25 to 1.0 beginning with the quarter ending March 31, 2017, stepping down to 3.0 to 1.0 at March 31, 2018.</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ASURE SOFTWARE, INC.</w:t>
      </w:r>
    </w:p>
    <w:p>
      <w:pPr>
        <w:spacing w:after="0" w:line="229" w:lineRule="exact"/>
        <w:rPr>
          <w:sz w:val="20"/>
          <w:szCs w:val="20"/>
          <w:color w:val="auto"/>
        </w:rPr>
      </w:pPr>
    </w:p>
    <w:p>
      <w:pPr>
        <w:spacing w:after="0"/>
        <w:tabs>
          <w:tab w:leader="none" w:pos="5700" w:val="left"/>
          <w:tab w:leader="none" w:pos="6500" w:val="left"/>
        </w:tabs>
        <w:rPr>
          <w:sz w:val="20"/>
          <w:szCs w:val="20"/>
          <w:color w:val="auto"/>
        </w:rPr>
      </w:pPr>
      <w:r>
        <w:rPr>
          <w:rFonts w:ascii="Arial" w:cs="Arial" w:eastAsia="Arial" w:hAnsi="Arial"/>
          <w:sz w:val="18"/>
          <w:szCs w:val="18"/>
          <w:color w:val="auto"/>
        </w:rPr>
        <w:t>March 20,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PATRICK GOEPEL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14605</wp:posOffset>
            </wp:positionV>
            <wp:extent cx="252984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Patrick Goepel</w:t>
      </w:r>
    </w:p>
    <w:p>
      <w:pPr>
        <w:spacing w:after="0" w:line="23"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5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on behalf of the Registrant and in the capacities and on the date indicated.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p>
        </w:tc>
        <w:tc>
          <w:tcPr>
            <w:tcW w:w="3640" w:type="dxa"/>
            <w:vAlign w:val="bottom"/>
          </w:tcPr>
          <w:p>
            <w:pPr>
              <w:ind w:left="920"/>
              <w:spacing w:after="0"/>
              <w:rPr>
                <w:sz w:val="20"/>
                <w:szCs w:val="20"/>
                <w:color w:val="auto"/>
              </w:rPr>
            </w:pPr>
            <w:r>
              <w:rPr>
                <w:rFonts w:ascii="Arial" w:cs="Arial" w:eastAsia="Arial" w:hAnsi="Arial"/>
                <w:sz w:val="18"/>
                <w:szCs w:val="18"/>
                <w:b w:val="1"/>
                <w:bCs w:val="1"/>
                <w:color w:val="auto"/>
              </w:rPr>
              <w:t>Signature</w:t>
            </w:r>
          </w:p>
        </w:tc>
        <w:tc>
          <w:tcPr>
            <w:tcW w:w="300" w:type="dxa"/>
            <w:vAlign w:val="bottom"/>
          </w:tcPr>
          <w:p>
            <w:pPr>
              <w:spacing w:after="0"/>
              <w:rPr>
                <w:sz w:val="20"/>
                <w:szCs w:val="20"/>
                <w:color w:val="auto"/>
              </w:rPr>
            </w:pPr>
          </w:p>
        </w:tc>
        <w:tc>
          <w:tcPr>
            <w:tcW w:w="4560" w:type="dxa"/>
            <w:vAlign w:val="bottom"/>
          </w:tcPr>
          <w:p>
            <w:pPr>
              <w:ind w:left="2080"/>
              <w:spacing w:after="0"/>
              <w:rPr>
                <w:sz w:val="20"/>
                <w:szCs w:val="20"/>
                <w:color w:val="auto"/>
              </w:rPr>
            </w:pPr>
            <w:r>
              <w:rPr>
                <w:rFonts w:ascii="Arial" w:cs="Arial" w:eastAsia="Arial" w:hAnsi="Arial"/>
                <w:sz w:val="18"/>
                <w:szCs w:val="18"/>
                <w:b w:val="1"/>
                <w:bCs w:val="1"/>
                <w:color w:val="auto"/>
              </w:rPr>
              <w:t>Title</w:t>
            </w:r>
          </w:p>
        </w:tc>
        <w:tc>
          <w:tcPr>
            <w:tcW w:w="1920" w:type="dxa"/>
            <w:vAlign w:val="bottom"/>
            <w:gridSpan w:val="2"/>
          </w:tcPr>
          <w:p>
            <w:pPr>
              <w:ind w:left="220"/>
              <w:spacing w:after="0"/>
              <w:rPr>
                <w:sz w:val="20"/>
                <w:szCs w:val="20"/>
                <w:color w:val="auto"/>
              </w:rPr>
            </w:pPr>
            <w:r>
              <w:rPr>
                <w:rFonts w:ascii="Arial" w:cs="Arial" w:eastAsia="Arial" w:hAnsi="Arial"/>
                <w:sz w:val="18"/>
                <w:szCs w:val="18"/>
                <w:b w:val="1"/>
                <w:bCs w:val="1"/>
                <w:color w:val="auto"/>
              </w:rPr>
              <w:t>Date</w:t>
            </w:r>
          </w:p>
        </w:tc>
      </w:tr>
      <w:tr>
        <w:trPr>
          <w:trHeight w:val="27"/>
        </w:trPr>
        <w:tc>
          <w:tcPr>
            <w:tcW w:w="1000" w:type="dxa"/>
            <w:vAlign w:val="bottom"/>
            <w:shd w:val="clear" w:color="auto" w:fill="000000"/>
          </w:tcPr>
          <w:p>
            <w:pPr>
              <w:spacing w:after="0"/>
              <w:rPr>
                <w:sz w:val="2"/>
                <w:szCs w:val="2"/>
                <w:color w:val="auto"/>
              </w:rPr>
            </w:pPr>
          </w:p>
        </w:tc>
        <w:tc>
          <w:tcPr>
            <w:tcW w:w="3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shd w:val="clear" w:color="auto" w:fill="000000"/>
          </w:tcPr>
          <w:p>
            <w:pPr>
              <w:spacing w:after="0"/>
              <w:rPr>
                <w:sz w:val="2"/>
                <w:szCs w:val="2"/>
                <w:color w:val="auto"/>
              </w:rPr>
            </w:pPr>
          </w:p>
        </w:tc>
      </w:tr>
      <w:tr>
        <w:trPr>
          <w:trHeight w:val="439"/>
        </w:trPr>
        <w:tc>
          <w:tcPr>
            <w:tcW w:w="100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/s/</w:t>
            </w:r>
          </w:p>
        </w:tc>
        <w:tc>
          <w:tcPr>
            <w:tcW w:w="36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PATRICK GOEPEL</w:t>
            </w:r>
          </w:p>
        </w:tc>
        <w:tc>
          <w:tcPr>
            <w:tcW w:w="4860" w:type="dxa"/>
            <w:vAlign w:val="bottom"/>
            <w:gridSpan w:val="2"/>
          </w:tcPr>
          <w:p>
            <w:pPr>
              <w:ind w:left="300"/>
              <w:spacing w:after="0"/>
              <w:rPr>
                <w:sz w:val="20"/>
                <w:szCs w:val="20"/>
                <w:color w:val="auto"/>
              </w:rPr>
            </w:pPr>
            <w:r>
              <w:rPr>
                <w:rFonts w:ascii="Arial" w:cs="Arial" w:eastAsia="Arial" w:hAnsi="Arial"/>
                <w:sz w:val="18"/>
                <w:szCs w:val="18"/>
                <w:color w:val="auto"/>
              </w:rPr>
              <w:t>Chief Executive Officer</w:t>
            </w: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March 20, 2017</w:t>
            </w:r>
          </w:p>
        </w:tc>
      </w:tr>
      <w:tr>
        <w:trPr>
          <w:trHeight w:val="202"/>
        </w:trPr>
        <w:tc>
          <w:tcPr>
            <w:tcW w:w="1000" w:type="dxa"/>
            <w:vAlign w:val="bottom"/>
          </w:tcPr>
          <w:p>
            <w:pPr>
              <w:spacing w:after="0"/>
              <w:rPr>
                <w:sz w:val="17"/>
                <w:szCs w:val="17"/>
                <w:color w:val="auto"/>
              </w:rPr>
            </w:pPr>
          </w:p>
        </w:tc>
        <w:tc>
          <w:tcPr>
            <w:tcW w:w="3640" w:type="dxa"/>
            <w:vAlign w:val="bottom"/>
          </w:tcPr>
          <w:p>
            <w:pPr>
              <w:ind w:left="400"/>
              <w:spacing w:after="0" w:line="201" w:lineRule="exact"/>
              <w:rPr>
                <w:sz w:val="20"/>
                <w:szCs w:val="20"/>
                <w:color w:val="auto"/>
              </w:rPr>
            </w:pPr>
            <w:r>
              <w:rPr>
                <w:rFonts w:ascii="Arial" w:cs="Arial" w:eastAsia="Arial" w:hAnsi="Arial"/>
                <w:sz w:val="18"/>
                <w:szCs w:val="18"/>
                <w:color w:val="auto"/>
              </w:rPr>
              <w:t>Patrick Goepel</w:t>
            </w:r>
          </w:p>
        </w:tc>
        <w:tc>
          <w:tcPr>
            <w:tcW w:w="4860" w:type="dxa"/>
            <w:vAlign w:val="bottom"/>
            <w:gridSpan w:val="2"/>
          </w:tcPr>
          <w:p>
            <w:pPr>
              <w:ind w:left="300"/>
              <w:spacing w:after="0" w:line="201" w:lineRule="exact"/>
              <w:rPr>
                <w:sz w:val="20"/>
                <w:szCs w:val="20"/>
                <w:color w:val="auto"/>
              </w:rPr>
            </w:pPr>
            <w:r>
              <w:rPr>
                <w:rFonts w:ascii="Arial" w:cs="Arial" w:eastAsia="Arial" w:hAnsi="Arial"/>
                <w:sz w:val="18"/>
                <w:szCs w:val="18"/>
                <w:color w:val="auto"/>
              </w:rPr>
              <w:t>(Principal Executive Officer)</w:t>
            </w: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30"/>
        </w:trPr>
        <w:tc>
          <w:tcPr>
            <w:tcW w:w="100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4860" w:type="dxa"/>
            <w:vAlign w:val="bottom"/>
            <w:gridSpan w:val="2"/>
          </w:tcPr>
          <w:p>
            <w:pPr>
              <w:ind w:left="300"/>
              <w:spacing w:after="0"/>
              <w:rPr>
                <w:sz w:val="20"/>
                <w:szCs w:val="20"/>
                <w:color w:val="auto"/>
              </w:rPr>
            </w:pPr>
            <w:r>
              <w:rPr>
                <w:rFonts w:ascii="Arial" w:cs="Arial" w:eastAsia="Arial" w:hAnsi="Arial"/>
                <w:sz w:val="18"/>
                <w:szCs w:val="18"/>
                <w:color w:val="auto"/>
              </w:rPr>
              <w:t>and Director</w:t>
            </w: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439"/>
        </w:trPr>
        <w:tc>
          <w:tcPr>
            <w:tcW w:w="100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/s/</w:t>
            </w:r>
          </w:p>
        </w:tc>
        <w:tc>
          <w:tcPr>
            <w:tcW w:w="36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BRAD WOLFE</w:t>
            </w:r>
          </w:p>
        </w:tc>
        <w:tc>
          <w:tcPr>
            <w:tcW w:w="4860" w:type="dxa"/>
            <w:vAlign w:val="bottom"/>
            <w:gridSpan w:val="2"/>
          </w:tcPr>
          <w:p>
            <w:pPr>
              <w:ind w:left="300"/>
              <w:spacing w:after="0"/>
              <w:rPr>
                <w:sz w:val="20"/>
                <w:szCs w:val="20"/>
                <w:color w:val="auto"/>
              </w:rPr>
            </w:pPr>
            <w:r>
              <w:rPr>
                <w:rFonts w:ascii="Arial" w:cs="Arial" w:eastAsia="Arial" w:hAnsi="Arial"/>
                <w:sz w:val="18"/>
                <w:szCs w:val="18"/>
                <w:color w:val="auto"/>
              </w:rPr>
              <w:t>Chief Financial Officer</w:t>
            </w: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March 20, 2017</w:t>
            </w:r>
          </w:p>
        </w:tc>
      </w:tr>
      <w:tr>
        <w:trPr>
          <w:trHeight w:val="230"/>
        </w:trPr>
        <w:tc>
          <w:tcPr>
            <w:tcW w:w="1000" w:type="dxa"/>
            <w:vAlign w:val="bottom"/>
          </w:tcPr>
          <w:p>
            <w:pPr>
              <w:spacing w:after="0"/>
              <w:rPr>
                <w:sz w:val="20"/>
                <w:szCs w:val="20"/>
                <w:color w:val="auto"/>
              </w:rPr>
            </w:pPr>
          </w:p>
        </w:tc>
        <w:tc>
          <w:tcPr>
            <w:tcW w:w="3640" w:type="dxa"/>
            <w:vAlign w:val="bottom"/>
          </w:tcPr>
          <w:p>
            <w:pPr>
              <w:ind w:left="400"/>
              <w:spacing w:after="0"/>
              <w:rPr>
                <w:sz w:val="20"/>
                <w:szCs w:val="20"/>
                <w:color w:val="auto"/>
              </w:rPr>
            </w:pPr>
            <w:r>
              <w:rPr>
                <w:rFonts w:ascii="Arial" w:cs="Arial" w:eastAsia="Arial" w:hAnsi="Arial"/>
                <w:sz w:val="18"/>
                <w:szCs w:val="18"/>
                <w:color w:val="auto"/>
              </w:rPr>
              <w:t>Brad Wolfe</w:t>
            </w:r>
          </w:p>
        </w:tc>
        <w:tc>
          <w:tcPr>
            <w:tcW w:w="4860" w:type="dxa"/>
            <w:vAlign w:val="bottom"/>
            <w:gridSpan w:val="2"/>
          </w:tcPr>
          <w:p>
            <w:pPr>
              <w:ind w:left="300"/>
              <w:spacing w:after="0"/>
              <w:rPr>
                <w:sz w:val="20"/>
                <w:szCs w:val="20"/>
                <w:color w:val="auto"/>
              </w:rPr>
            </w:pPr>
            <w:r>
              <w:rPr>
                <w:rFonts w:ascii="Arial" w:cs="Arial" w:eastAsia="Arial" w:hAnsi="Arial"/>
                <w:sz w:val="18"/>
                <w:szCs w:val="18"/>
                <w:color w:val="auto"/>
              </w:rPr>
              <w:t>(Principal Financial and Accounting Officer)</w:t>
            </w: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425"/>
        </w:trPr>
        <w:tc>
          <w:tcPr>
            <w:tcW w:w="100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/s/</w:t>
            </w:r>
          </w:p>
        </w:tc>
        <w:tc>
          <w:tcPr>
            <w:tcW w:w="36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DAVID SANDBERG</w:t>
            </w:r>
          </w:p>
        </w:tc>
        <w:tc>
          <w:tcPr>
            <w:tcW w:w="4860" w:type="dxa"/>
            <w:vAlign w:val="bottom"/>
            <w:gridSpan w:val="2"/>
          </w:tcPr>
          <w:p>
            <w:pPr>
              <w:ind w:left="300"/>
              <w:spacing w:after="0"/>
              <w:rPr>
                <w:sz w:val="20"/>
                <w:szCs w:val="20"/>
                <w:color w:val="auto"/>
              </w:rPr>
            </w:pPr>
            <w:r>
              <w:rPr>
                <w:rFonts w:ascii="Arial" w:cs="Arial" w:eastAsia="Arial" w:hAnsi="Arial"/>
                <w:sz w:val="18"/>
                <w:szCs w:val="18"/>
                <w:color w:val="auto"/>
              </w:rPr>
              <w:t>Chairman of the Board</w:t>
            </w: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March 20, 2017</w:t>
            </w:r>
          </w:p>
        </w:tc>
      </w:tr>
      <w:tr>
        <w:trPr>
          <w:trHeight w:val="230"/>
        </w:trPr>
        <w:tc>
          <w:tcPr>
            <w:tcW w:w="1000" w:type="dxa"/>
            <w:vAlign w:val="bottom"/>
          </w:tcPr>
          <w:p>
            <w:pPr>
              <w:spacing w:after="0"/>
              <w:rPr>
                <w:sz w:val="20"/>
                <w:szCs w:val="20"/>
                <w:color w:val="auto"/>
              </w:rPr>
            </w:pPr>
          </w:p>
        </w:tc>
        <w:tc>
          <w:tcPr>
            <w:tcW w:w="3640" w:type="dxa"/>
            <w:vAlign w:val="bottom"/>
          </w:tcPr>
          <w:p>
            <w:pPr>
              <w:ind w:left="400"/>
              <w:spacing w:after="0"/>
              <w:rPr>
                <w:sz w:val="20"/>
                <w:szCs w:val="20"/>
                <w:color w:val="auto"/>
              </w:rPr>
            </w:pPr>
            <w:r>
              <w:rPr>
                <w:rFonts w:ascii="Arial" w:cs="Arial" w:eastAsia="Arial" w:hAnsi="Arial"/>
                <w:sz w:val="18"/>
                <w:szCs w:val="18"/>
                <w:color w:val="auto"/>
              </w:rPr>
              <w:t>David Sandberg</w:t>
            </w:r>
          </w:p>
        </w:tc>
        <w:tc>
          <w:tcPr>
            <w:tcW w:w="30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425"/>
        </w:trPr>
        <w:tc>
          <w:tcPr>
            <w:tcW w:w="100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/s/</w:t>
            </w:r>
          </w:p>
        </w:tc>
        <w:tc>
          <w:tcPr>
            <w:tcW w:w="364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ADRIAN PERTIERRA</w:t>
            </w:r>
          </w:p>
        </w:tc>
        <w:tc>
          <w:tcPr>
            <w:tcW w:w="4860" w:type="dxa"/>
            <w:vAlign w:val="bottom"/>
            <w:gridSpan w:val="2"/>
          </w:tcPr>
          <w:p>
            <w:pPr>
              <w:ind w:left="300"/>
              <w:spacing w:after="0"/>
              <w:rPr>
                <w:sz w:val="20"/>
                <w:szCs w:val="20"/>
                <w:color w:val="auto"/>
              </w:rPr>
            </w:pPr>
            <w:r>
              <w:rPr>
                <w:rFonts w:ascii="Arial" w:cs="Arial" w:eastAsia="Arial" w:hAnsi="Arial"/>
                <w:sz w:val="18"/>
                <w:szCs w:val="18"/>
                <w:color w:val="auto"/>
              </w:rPr>
              <w:t>Director</w:t>
            </w: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March 20, 2017</w:t>
            </w:r>
          </w:p>
        </w:tc>
      </w:tr>
      <w:tr>
        <w:trPr>
          <w:trHeight w:val="230"/>
        </w:trPr>
        <w:tc>
          <w:tcPr>
            <w:tcW w:w="1000" w:type="dxa"/>
            <w:vAlign w:val="bottom"/>
          </w:tcPr>
          <w:p>
            <w:pPr>
              <w:spacing w:after="0"/>
              <w:rPr>
                <w:sz w:val="20"/>
                <w:szCs w:val="20"/>
                <w:color w:val="auto"/>
              </w:rPr>
            </w:pPr>
          </w:p>
        </w:tc>
        <w:tc>
          <w:tcPr>
            <w:tcW w:w="3640" w:type="dxa"/>
            <w:vAlign w:val="bottom"/>
          </w:tcPr>
          <w:p>
            <w:pPr>
              <w:ind w:left="400"/>
              <w:spacing w:after="0"/>
              <w:rPr>
                <w:sz w:val="20"/>
                <w:szCs w:val="20"/>
                <w:color w:val="auto"/>
              </w:rPr>
            </w:pPr>
            <w:r>
              <w:rPr>
                <w:rFonts w:ascii="Arial" w:cs="Arial" w:eastAsia="Arial" w:hAnsi="Arial"/>
                <w:sz w:val="18"/>
                <w:szCs w:val="18"/>
                <w:color w:val="auto"/>
              </w:rPr>
              <w:t>Adrian Pertierra</w:t>
            </w:r>
          </w:p>
        </w:tc>
        <w:tc>
          <w:tcPr>
            <w:tcW w:w="30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425"/>
        </w:trPr>
        <w:tc>
          <w:tcPr>
            <w:tcW w:w="100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/s/</w:t>
            </w:r>
          </w:p>
        </w:tc>
        <w:tc>
          <w:tcPr>
            <w:tcW w:w="36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J. RANDALL WATERFIELD</w:t>
            </w:r>
          </w:p>
        </w:tc>
        <w:tc>
          <w:tcPr>
            <w:tcW w:w="4860" w:type="dxa"/>
            <w:vAlign w:val="bottom"/>
            <w:gridSpan w:val="2"/>
          </w:tcPr>
          <w:p>
            <w:pPr>
              <w:ind w:left="300"/>
              <w:spacing w:after="0"/>
              <w:rPr>
                <w:sz w:val="20"/>
                <w:szCs w:val="20"/>
                <w:color w:val="auto"/>
              </w:rPr>
            </w:pPr>
            <w:r>
              <w:rPr>
                <w:rFonts w:ascii="Arial" w:cs="Arial" w:eastAsia="Arial" w:hAnsi="Arial"/>
                <w:sz w:val="18"/>
                <w:szCs w:val="18"/>
                <w:color w:val="auto"/>
              </w:rPr>
              <w:t>Director</w:t>
            </w: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March 20, 2017</w:t>
            </w:r>
          </w:p>
        </w:tc>
      </w:tr>
      <w:tr>
        <w:trPr>
          <w:trHeight w:val="230"/>
        </w:trPr>
        <w:tc>
          <w:tcPr>
            <w:tcW w:w="1000" w:type="dxa"/>
            <w:vAlign w:val="bottom"/>
          </w:tcPr>
          <w:p>
            <w:pPr>
              <w:spacing w:after="0"/>
              <w:rPr>
                <w:sz w:val="20"/>
                <w:szCs w:val="20"/>
                <w:color w:val="auto"/>
              </w:rPr>
            </w:pPr>
          </w:p>
        </w:tc>
        <w:tc>
          <w:tcPr>
            <w:tcW w:w="3640" w:type="dxa"/>
            <w:vAlign w:val="bottom"/>
          </w:tcPr>
          <w:p>
            <w:pPr>
              <w:ind w:left="400"/>
              <w:spacing w:after="0"/>
              <w:rPr>
                <w:sz w:val="20"/>
                <w:szCs w:val="20"/>
                <w:color w:val="auto"/>
              </w:rPr>
            </w:pPr>
            <w:r>
              <w:rPr>
                <w:rFonts w:ascii="Arial" w:cs="Arial" w:eastAsia="Arial" w:hAnsi="Arial"/>
                <w:sz w:val="18"/>
                <w:szCs w:val="18"/>
                <w:color w:val="auto"/>
              </w:rPr>
              <w:t>J. Randall Waterfield</w:t>
            </w:r>
          </w:p>
        </w:tc>
        <w:tc>
          <w:tcPr>
            <w:tcW w:w="30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425"/>
        </w:trPr>
        <w:tc>
          <w:tcPr>
            <w:tcW w:w="100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/s/</w:t>
            </w:r>
          </w:p>
        </w:tc>
        <w:tc>
          <w:tcPr>
            <w:tcW w:w="36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MATTHEW BEHRENT</w:t>
            </w:r>
          </w:p>
        </w:tc>
        <w:tc>
          <w:tcPr>
            <w:tcW w:w="4860" w:type="dxa"/>
            <w:vAlign w:val="bottom"/>
            <w:gridSpan w:val="2"/>
          </w:tcPr>
          <w:p>
            <w:pPr>
              <w:ind w:left="300"/>
              <w:spacing w:after="0"/>
              <w:rPr>
                <w:sz w:val="20"/>
                <w:szCs w:val="20"/>
                <w:color w:val="auto"/>
              </w:rPr>
            </w:pPr>
            <w:r>
              <w:rPr>
                <w:rFonts w:ascii="Arial" w:cs="Arial" w:eastAsia="Arial" w:hAnsi="Arial"/>
                <w:sz w:val="18"/>
                <w:szCs w:val="18"/>
                <w:color w:val="auto"/>
              </w:rPr>
              <w:t>Director</w:t>
            </w: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March 20, 2017</w:t>
            </w:r>
          </w:p>
        </w:tc>
      </w:tr>
      <w:tr>
        <w:trPr>
          <w:trHeight w:val="230"/>
        </w:trPr>
        <w:tc>
          <w:tcPr>
            <w:tcW w:w="1000" w:type="dxa"/>
            <w:vAlign w:val="bottom"/>
          </w:tcPr>
          <w:p>
            <w:pPr>
              <w:spacing w:after="0"/>
              <w:rPr>
                <w:sz w:val="20"/>
                <w:szCs w:val="20"/>
                <w:color w:val="auto"/>
              </w:rPr>
            </w:pPr>
          </w:p>
        </w:tc>
        <w:tc>
          <w:tcPr>
            <w:tcW w:w="3640" w:type="dxa"/>
            <w:vAlign w:val="bottom"/>
          </w:tcPr>
          <w:p>
            <w:pPr>
              <w:ind w:left="400"/>
              <w:spacing w:after="0"/>
              <w:rPr>
                <w:sz w:val="20"/>
                <w:szCs w:val="20"/>
                <w:color w:val="auto"/>
              </w:rPr>
            </w:pPr>
            <w:r>
              <w:rPr>
                <w:rFonts w:ascii="Arial" w:cs="Arial" w:eastAsia="Arial" w:hAnsi="Arial"/>
                <w:sz w:val="18"/>
                <w:szCs w:val="18"/>
                <w:color w:val="auto"/>
              </w:rPr>
              <w:t>Matthew Behrent</w:t>
            </w:r>
          </w:p>
        </w:tc>
        <w:tc>
          <w:tcPr>
            <w:tcW w:w="30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568"/>
        </w:trPr>
        <w:tc>
          <w:tcPr>
            <w:tcW w:w="10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4860" w:type="dxa"/>
            <w:vAlign w:val="bottom"/>
            <w:gridSpan w:val="2"/>
          </w:tcPr>
          <w:p>
            <w:pPr>
              <w:ind w:left="1000"/>
              <w:spacing w:after="0"/>
              <w:rPr>
                <w:sz w:val="20"/>
                <w:szCs w:val="20"/>
                <w:color w:val="auto"/>
              </w:rPr>
            </w:pPr>
            <w:r>
              <w:rPr>
                <w:rFonts w:ascii="Arial" w:cs="Arial" w:eastAsia="Arial" w:hAnsi="Arial"/>
                <w:sz w:val="14"/>
                <w:szCs w:val="14"/>
                <w:color w:val="auto"/>
              </w:rPr>
              <w:t>25</w:t>
            </w: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46"/>
        </w:trPr>
        <w:tc>
          <w:tcPr>
            <w:tcW w:w="1000" w:type="dxa"/>
            <w:vAlign w:val="bottom"/>
            <w:tcBorders>
              <w:bottom w:val="single" w:sz="8" w:color="auto"/>
            </w:tcBorders>
          </w:tcPr>
          <w:p>
            <w:pPr>
              <w:spacing w:after="0"/>
              <w:rPr>
                <w:sz w:val="4"/>
                <w:szCs w:val="4"/>
                <w:color w:val="auto"/>
              </w:rPr>
            </w:pPr>
          </w:p>
        </w:tc>
        <w:tc>
          <w:tcPr>
            <w:tcW w:w="36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45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5" w:right="239" w:bottom="1440" w:gutter="0" w:footer="0" w:header="0"/>
        </w:sectPr>
      </w:pPr>
    </w:p>
    <w:bookmarkStart w:id="54" w:name="page55"/>
    <w:bookmarkEnd w:id="5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Table of Contents</w:t>
              </w:r>
            </w:hyperlink>
          </w:p>
        </w:tc>
        <w:tc>
          <w:tcPr>
            <w:tcW w:w="10140" w:type="dxa"/>
            <w:vAlign w:val="bottom"/>
          </w:tcPr>
          <w:p>
            <w:pPr>
              <w:spacing w:after="0"/>
              <w:rPr>
                <w:sz w:val="17"/>
                <w:szCs w:val="17"/>
                <w:color w:val="auto"/>
              </w:rPr>
            </w:pPr>
          </w:p>
        </w:tc>
      </w:tr>
      <w:tr>
        <w:trPr>
          <w:trHeight w:val="628"/>
        </w:trPr>
        <w:tc>
          <w:tcPr>
            <w:tcW w:w="1280" w:type="dxa"/>
            <w:vAlign w:val="bottom"/>
          </w:tcPr>
          <w:p>
            <w:pPr>
              <w:spacing w:after="0"/>
              <w:rPr>
                <w:sz w:val="24"/>
                <w:szCs w:val="24"/>
                <w:color w:val="auto"/>
              </w:rPr>
            </w:pPr>
          </w:p>
        </w:tc>
        <w:tc>
          <w:tcPr>
            <w:tcW w:w="10140" w:type="dxa"/>
            <w:vAlign w:val="bottom"/>
          </w:tcPr>
          <w:p>
            <w:pPr>
              <w:ind w:left="3540"/>
              <w:spacing w:after="0"/>
              <w:rPr>
                <w:sz w:val="20"/>
                <w:szCs w:val="20"/>
                <w:color w:val="auto"/>
              </w:rPr>
            </w:pPr>
            <w:r>
              <w:rPr>
                <w:rFonts w:ascii="Arial" w:cs="Arial" w:eastAsia="Arial" w:hAnsi="Arial"/>
                <w:sz w:val="18"/>
                <w:szCs w:val="18"/>
                <w:b w:val="1"/>
                <w:bCs w:val="1"/>
                <w:color w:val="auto"/>
              </w:rPr>
              <w:t>INDEX TO EXHIBITS</w:t>
            </w:r>
          </w:p>
        </w:tc>
      </w:tr>
      <w:tr>
        <w:trPr>
          <w:trHeight w:val="414"/>
        </w:trPr>
        <w:tc>
          <w:tcPr>
            <w:tcW w:w="128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10140" w:type="dxa"/>
            <w:vAlign w:val="bottom"/>
          </w:tcPr>
          <w:p>
            <w:pPr>
              <w:spacing w:after="0"/>
              <w:rPr>
                <w:sz w:val="24"/>
                <w:szCs w:val="24"/>
                <w:color w:val="auto"/>
              </w:rPr>
            </w:pPr>
          </w:p>
        </w:tc>
      </w:tr>
      <w:tr>
        <w:trPr>
          <w:trHeight w:val="241"/>
        </w:trPr>
        <w:tc>
          <w:tcPr>
            <w:tcW w:w="12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NUMBER</w:t>
            </w:r>
          </w:p>
        </w:tc>
        <w:tc>
          <w:tcPr>
            <w:tcW w:w="101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DOCUMENT DESCRIPTION</w:t>
            </w: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2.1</w:t>
            </w:r>
          </w:p>
        </w:tc>
        <w:tc>
          <w:tcPr>
            <w:tcW w:w="10140" w:type="dxa"/>
            <w:vAlign w:val="bottom"/>
          </w:tcPr>
          <w:p>
            <w:pPr>
              <w:ind w:left="20"/>
              <w:spacing w:after="0"/>
              <w:rPr>
                <w:sz w:val="20"/>
                <w:szCs w:val="20"/>
                <w:color w:val="auto"/>
              </w:rPr>
            </w:pPr>
            <w:r>
              <w:rPr>
                <w:rFonts w:ascii="Arial" w:cs="Arial" w:eastAsia="Arial" w:hAnsi="Arial"/>
                <w:sz w:val="18"/>
                <w:szCs w:val="18"/>
                <w:color w:val="auto"/>
                <w:w w:val="97"/>
              </w:rPr>
              <w:t>Asset Purchase Agreement dated October 1, 2011 by and among Asure Software, Inc., ADI Software, LLC and ADI Time, LLC (1)</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2.2</w:t>
            </w:r>
          </w:p>
        </w:tc>
        <w:tc>
          <w:tcPr>
            <w:tcW w:w="10140" w:type="dxa"/>
            <w:vAlign w:val="bottom"/>
          </w:tcPr>
          <w:p>
            <w:pPr>
              <w:ind w:left="20"/>
              <w:spacing w:after="0"/>
              <w:rPr>
                <w:sz w:val="20"/>
                <w:szCs w:val="20"/>
                <w:color w:val="auto"/>
              </w:rPr>
            </w:pPr>
            <w:r>
              <w:rPr>
                <w:rFonts w:ascii="Arial" w:cs="Arial" w:eastAsia="Arial" w:hAnsi="Arial"/>
                <w:sz w:val="18"/>
                <w:szCs w:val="18"/>
                <w:color w:val="auto"/>
                <w:w w:val="95"/>
              </w:rPr>
              <w:t>Asset Purchase Agreement dated December 14, 2011 by and among Asure Software, Inc., ADI Legiant, LLC and WG Ross Corp. (2)</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2.3</w:t>
            </w:r>
          </w:p>
        </w:tc>
        <w:tc>
          <w:tcPr>
            <w:tcW w:w="10140" w:type="dxa"/>
            <w:vAlign w:val="bottom"/>
          </w:tcPr>
          <w:p>
            <w:pPr>
              <w:ind w:left="20"/>
              <w:spacing w:after="0"/>
              <w:rPr>
                <w:sz w:val="20"/>
                <w:szCs w:val="20"/>
                <w:color w:val="auto"/>
              </w:rPr>
            </w:pPr>
            <w:r>
              <w:rPr>
                <w:rFonts w:ascii="Arial" w:cs="Arial" w:eastAsia="Arial" w:hAnsi="Arial"/>
                <w:sz w:val="18"/>
                <w:szCs w:val="18"/>
                <w:color w:val="auto"/>
                <w:w w:val="93"/>
              </w:rPr>
              <w:t>Stock Purchase Agreement dated July 1, 2012 between Meeting maker Holding B.V. and PeopleCube Holding B.V. and Asure Software,</w:t>
            </w:r>
          </w:p>
        </w:tc>
      </w:tr>
      <w:tr>
        <w:trPr>
          <w:trHeight w:val="230"/>
        </w:trPr>
        <w:tc>
          <w:tcPr>
            <w:tcW w:w="128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Inc. (3)</w:t>
            </w:r>
          </w:p>
        </w:tc>
      </w:tr>
      <w:tr>
        <w:trPr>
          <w:trHeight w:val="432"/>
        </w:trPr>
        <w:tc>
          <w:tcPr>
            <w:tcW w:w="1280" w:type="dxa"/>
            <w:vAlign w:val="bottom"/>
          </w:tcPr>
          <w:p>
            <w:pPr>
              <w:spacing w:after="0"/>
              <w:rPr>
                <w:sz w:val="20"/>
                <w:szCs w:val="20"/>
                <w:color w:val="auto"/>
              </w:rPr>
            </w:pPr>
            <w:r>
              <w:rPr>
                <w:rFonts w:ascii="Arial" w:cs="Arial" w:eastAsia="Arial" w:hAnsi="Arial"/>
                <w:sz w:val="18"/>
                <w:szCs w:val="18"/>
                <w:color w:val="auto"/>
              </w:rPr>
              <w:t>2.4</w:t>
            </w:r>
          </w:p>
        </w:tc>
        <w:tc>
          <w:tcPr>
            <w:tcW w:w="10140" w:type="dxa"/>
            <w:vAlign w:val="bottom"/>
          </w:tcPr>
          <w:p>
            <w:pPr>
              <w:ind w:left="20"/>
              <w:spacing w:after="0"/>
              <w:rPr>
                <w:sz w:val="20"/>
                <w:szCs w:val="20"/>
                <w:color w:val="auto"/>
              </w:rPr>
            </w:pPr>
            <w:r>
              <w:rPr>
                <w:rFonts w:ascii="Arial" w:cs="Arial" w:eastAsia="Arial" w:hAnsi="Arial"/>
                <w:sz w:val="18"/>
                <w:szCs w:val="18"/>
                <w:color w:val="auto"/>
                <w:w w:val="99"/>
              </w:rPr>
              <w:t>Code Purchase and Perpetual License Agreement dated October 9, 2012 between Asure Software, Inc. and FotoPunch, Inc. (4)</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2.5</w:t>
            </w:r>
          </w:p>
        </w:tc>
        <w:tc>
          <w:tcPr>
            <w:tcW w:w="10140" w:type="dxa"/>
            <w:vAlign w:val="bottom"/>
          </w:tcPr>
          <w:p>
            <w:pPr>
              <w:ind w:left="20"/>
              <w:spacing w:after="0"/>
              <w:rPr>
                <w:sz w:val="20"/>
                <w:szCs w:val="20"/>
                <w:color w:val="auto"/>
              </w:rPr>
            </w:pPr>
            <w:r>
              <w:rPr>
                <w:rFonts w:ascii="Arial" w:cs="Arial" w:eastAsia="Arial" w:hAnsi="Arial"/>
                <w:sz w:val="18"/>
                <w:szCs w:val="18"/>
                <w:color w:val="auto"/>
                <w:w w:val="93"/>
              </w:rPr>
              <w:t>Stock Purchase Agreement, dated March 18, 2016, by and among Asure Software, Inc., Mangrove Employer Services, Inc., the Persons</w:t>
            </w:r>
          </w:p>
        </w:tc>
      </w:tr>
      <w:tr>
        <w:trPr>
          <w:trHeight w:val="230"/>
        </w:trPr>
        <w:tc>
          <w:tcPr>
            <w:tcW w:w="128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listed thereto, and Richard S. Cangemi, as Stockholder Representative (21)</w:t>
            </w:r>
          </w:p>
        </w:tc>
      </w:tr>
      <w:tr>
        <w:trPr>
          <w:trHeight w:val="432"/>
        </w:trPr>
        <w:tc>
          <w:tcPr>
            <w:tcW w:w="1280" w:type="dxa"/>
            <w:vAlign w:val="bottom"/>
          </w:tcPr>
          <w:p>
            <w:pPr>
              <w:spacing w:after="0"/>
              <w:rPr>
                <w:sz w:val="20"/>
                <w:szCs w:val="20"/>
                <w:color w:val="auto"/>
              </w:rPr>
            </w:pPr>
            <w:r>
              <w:rPr>
                <w:rFonts w:ascii="Arial" w:cs="Arial" w:eastAsia="Arial" w:hAnsi="Arial"/>
                <w:sz w:val="18"/>
                <w:szCs w:val="18"/>
                <w:color w:val="auto"/>
              </w:rPr>
              <w:t>3.1</w:t>
            </w:r>
          </w:p>
        </w:tc>
        <w:tc>
          <w:tcPr>
            <w:tcW w:w="10140" w:type="dxa"/>
            <w:vAlign w:val="bottom"/>
          </w:tcPr>
          <w:p>
            <w:pPr>
              <w:ind w:left="20"/>
              <w:spacing w:after="0"/>
              <w:rPr>
                <w:sz w:val="20"/>
                <w:szCs w:val="20"/>
                <w:color w:val="auto"/>
              </w:rPr>
            </w:pPr>
            <w:r>
              <w:rPr>
                <w:rFonts w:ascii="Arial" w:cs="Arial" w:eastAsia="Arial" w:hAnsi="Arial"/>
                <w:sz w:val="18"/>
                <w:szCs w:val="18"/>
                <w:color w:val="auto"/>
              </w:rPr>
              <w:t>Restated Certificate of Incorporation (5)</w:t>
            </w:r>
          </w:p>
        </w:tc>
      </w:tr>
      <w:tr>
        <w:trPr>
          <w:trHeight w:val="432"/>
        </w:trPr>
        <w:tc>
          <w:tcPr>
            <w:tcW w:w="1280" w:type="dxa"/>
            <w:vAlign w:val="bottom"/>
          </w:tcPr>
          <w:p>
            <w:pPr>
              <w:spacing w:after="0"/>
              <w:rPr>
                <w:sz w:val="20"/>
                <w:szCs w:val="20"/>
                <w:color w:val="auto"/>
              </w:rPr>
            </w:pPr>
            <w:r>
              <w:rPr>
                <w:rFonts w:ascii="Arial" w:cs="Arial" w:eastAsia="Arial" w:hAnsi="Arial"/>
                <w:sz w:val="18"/>
                <w:szCs w:val="18"/>
                <w:color w:val="auto"/>
              </w:rPr>
              <w:t>3.2</w:t>
            </w:r>
          </w:p>
        </w:tc>
        <w:tc>
          <w:tcPr>
            <w:tcW w:w="10140" w:type="dxa"/>
            <w:vAlign w:val="bottom"/>
          </w:tcPr>
          <w:p>
            <w:pPr>
              <w:ind w:left="20"/>
              <w:spacing w:after="0"/>
              <w:rPr>
                <w:sz w:val="20"/>
                <w:szCs w:val="20"/>
                <w:color w:val="auto"/>
              </w:rPr>
            </w:pPr>
            <w:r>
              <w:rPr>
                <w:rFonts w:ascii="Arial" w:cs="Arial" w:eastAsia="Arial" w:hAnsi="Arial"/>
                <w:sz w:val="18"/>
                <w:szCs w:val="18"/>
                <w:color w:val="auto"/>
              </w:rPr>
              <w:t>Certificate of Amendment to the Restated Certificate of Incorporation (6)</w:t>
            </w:r>
          </w:p>
        </w:tc>
      </w:tr>
      <w:tr>
        <w:trPr>
          <w:trHeight w:val="432"/>
        </w:trPr>
        <w:tc>
          <w:tcPr>
            <w:tcW w:w="1280" w:type="dxa"/>
            <w:vAlign w:val="bottom"/>
          </w:tcPr>
          <w:p>
            <w:pPr>
              <w:spacing w:after="0"/>
              <w:rPr>
                <w:sz w:val="20"/>
                <w:szCs w:val="20"/>
                <w:color w:val="auto"/>
              </w:rPr>
            </w:pPr>
            <w:r>
              <w:rPr>
                <w:rFonts w:ascii="Arial" w:cs="Arial" w:eastAsia="Arial" w:hAnsi="Arial"/>
                <w:sz w:val="18"/>
                <w:szCs w:val="18"/>
                <w:color w:val="auto"/>
              </w:rPr>
              <w:t>3.3</w:t>
            </w:r>
          </w:p>
        </w:tc>
        <w:tc>
          <w:tcPr>
            <w:tcW w:w="10140" w:type="dxa"/>
            <w:vAlign w:val="bottom"/>
          </w:tcPr>
          <w:p>
            <w:pPr>
              <w:ind w:left="20"/>
              <w:spacing w:after="0"/>
              <w:rPr>
                <w:sz w:val="20"/>
                <w:szCs w:val="20"/>
                <w:color w:val="auto"/>
              </w:rPr>
            </w:pPr>
            <w:r>
              <w:rPr>
                <w:rFonts w:ascii="Arial" w:cs="Arial" w:eastAsia="Arial" w:hAnsi="Arial"/>
                <w:sz w:val="18"/>
                <w:szCs w:val="18"/>
                <w:color w:val="auto"/>
              </w:rPr>
              <w:t>(Second) Certificate of Amendment to the Restated Certificate of Incorporation (7)</w:t>
            </w:r>
          </w:p>
        </w:tc>
      </w:tr>
      <w:tr>
        <w:trPr>
          <w:trHeight w:val="432"/>
        </w:trPr>
        <w:tc>
          <w:tcPr>
            <w:tcW w:w="1280" w:type="dxa"/>
            <w:vAlign w:val="bottom"/>
          </w:tcPr>
          <w:p>
            <w:pPr>
              <w:spacing w:after="0"/>
              <w:rPr>
                <w:sz w:val="20"/>
                <w:szCs w:val="20"/>
                <w:color w:val="auto"/>
              </w:rPr>
            </w:pPr>
            <w:r>
              <w:rPr>
                <w:rFonts w:ascii="Arial" w:cs="Arial" w:eastAsia="Arial" w:hAnsi="Arial"/>
                <w:sz w:val="18"/>
                <w:szCs w:val="18"/>
                <w:color w:val="auto"/>
              </w:rPr>
              <w:t>3.4</w:t>
            </w:r>
          </w:p>
        </w:tc>
        <w:tc>
          <w:tcPr>
            <w:tcW w:w="10140" w:type="dxa"/>
            <w:vAlign w:val="bottom"/>
          </w:tcPr>
          <w:p>
            <w:pPr>
              <w:ind w:left="20"/>
              <w:spacing w:after="0"/>
              <w:rPr>
                <w:sz w:val="20"/>
                <w:szCs w:val="20"/>
                <w:color w:val="auto"/>
              </w:rPr>
            </w:pPr>
            <w:r>
              <w:rPr>
                <w:rFonts w:ascii="Arial" w:cs="Arial" w:eastAsia="Arial" w:hAnsi="Arial"/>
                <w:sz w:val="18"/>
                <w:szCs w:val="18"/>
                <w:color w:val="auto"/>
              </w:rPr>
              <w:t>Amended and Restated Bylaws (8)</w:t>
            </w:r>
          </w:p>
        </w:tc>
      </w:tr>
      <w:tr>
        <w:trPr>
          <w:trHeight w:val="432"/>
        </w:trPr>
        <w:tc>
          <w:tcPr>
            <w:tcW w:w="1280" w:type="dxa"/>
            <w:vAlign w:val="bottom"/>
          </w:tcPr>
          <w:p>
            <w:pPr>
              <w:spacing w:after="0"/>
              <w:rPr>
                <w:sz w:val="20"/>
                <w:szCs w:val="20"/>
                <w:color w:val="auto"/>
              </w:rPr>
            </w:pPr>
            <w:r>
              <w:rPr>
                <w:rFonts w:ascii="Arial" w:cs="Arial" w:eastAsia="Arial" w:hAnsi="Arial"/>
                <w:sz w:val="18"/>
                <w:szCs w:val="18"/>
                <w:color w:val="auto"/>
              </w:rPr>
              <w:t>4.1</w:t>
            </w:r>
          </w:p>
        </w:tc>
        <w:tc>
          <w:tcPr>
            <w:tcW w:w="10140" w:type="dxa"/>
            <w:vAlign w:val="bottom"/>
          </w:tcPr>
          <w:p>
            <w:pPr>
              <w:ind w:left="20"/>
              <w:spacing w:after="0"/>
              <w:rPr>
                <w:sz w:val="20"/>
                <w:szCs w:val="20"/>
                <w:color w:val="auto"/>
              </w:rPr>
            </w:pPr>
            <w:r>
              <w:rPr>
                <w:rFonts w:ascii="Arial" w:cs="Arial" w:eastAsia="Arial" w:hAnsi="Arial"/>
                <w:sz w:val="18"/>
                <w:szCs w:val="18"/>
                <w:color w:val="auto"/>
              </w:rPr>
              <w:t>Specimen Certificate for the Common Stock (9)</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4.2</w:t>
            </w:r>
          </w:p>
        </w:tc>
        <w:tc>
          <w:tcPr>
            <w:tcW w:w="10140" w:type="dxa"/>
            <w:vAlign w:val="bottom"/>
          </w:tcPr>
          <w:p>
            <w:pPr>
              <w:ind w:left="20"/>
              <w:spacing w:after="0"/>
              <w:rPr>
                <w:sz w:val="20"/>
                <w:szCs w:val="20"/>
                <w:color w:val="auto"/>
              </w:rPr>
            </w:pPr>
            <w:r>
              <w:rPr>
                <w:rFonts w:ascii="Arial" w:cs="Arial" w:eastAsia="Arial" w:hAnsi="Arial"/>
                <w:sz w:val="18"/>
                <w:szCs w:val="18"/>
                <w:color w:val="auto"/>
                <w:w w:val="93"/>
              </w:rPr>
              <w:t>Amended and Restated Rights Agreement, dated as of October 28, 2009 between Asure Software, Inc. and American Stock Transfer &amp;</w:t>
            </w:r>
          </w:p>
        </w:tc>
      </w:tr>
      <w:tr>
        <w:trPr>
          <w:trHeight w:val="230"/>
        </w:trPr>
        <w:tc>
          <w:tcPr>
            <w:tcW w:w="128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Trust Company (10)</w:t>
            </w:r>
          </w:p>
        </w:tc>
      </w:tr>
      <w:tr>
        <w:trPr>
          <w:trHeight w:val="432"/>
        </w:trPr>
        <w:tc>
          <w:tcPr>
            <w:tcW w:w="1280" w:type="dxa"/>
            <w:vAlign w:val="bottom"/>
          </w:tcPr>
          <w:p>
            <w:pPr>
              <w:spacing w:after="0"/>
              <w:rPr>
                <w:sz w:val="20"/>
                <w:szCs w:val="20"/>
                <w:color w:val="auto"/>
              </w:rPr>
            </w:pPr>
            <w:r>
              <w:rPr>
                <w:rFonts w:ascii="Arial" w:cs="Arial" w:eastAsia="Arial" w:hAnsi="Arial"/>
                <w:sz w:val="18"/>
                <w:szCs w:val="18"/>
                <w:color w:val="auto"/>
              </w:rPr>
              <w:t>4.3</w:t>
            </w:r>
          </w:p>
        </w:tc>
        <w:tc>
          <w:tcPr>
            <w:tcW w:w="10140" w:type="dxa"/>
            <w:vAlign w:val="bottom"/>
          </w:tcPr>
          <w:p>
            <w:pPr>
              <w:ind w:left="20"/>
              <w:spacing w:after="0"/>
              <w:rPr>
                <w:sz w:val="20"/>
                <w:szCs w:val="20"/>
                <w:color w:val="auto"/>
              </w:rPr>
            </w:pPr>
            <w:r>
              <w:rPr>
                <w:rFonts w:ascii="Arial" w:cs="Arial" w:eastAsia="Arial" w:hAnsi="Arial"/>
                <w:sz w:val="18"/>
                <w:szCs w:val="18"/>
                <w:color w:val="auto"/>
              </w:rPr>
              <w:t>Amended and Restated Certificate of Designation of Series A Junior Participating Preferred Stock (10)</w:t>
            </w:r>
          </w:p>
        </w:tc>
      </w:tr>
      <w:tr>
        <w:trPr>
          <w:trHeight w:val="432"/>
        </w:trPr>
        <w:tc>
          <w:tcPr>
            <w:tcW w:w="1280" w:type="dxa"/>
            <w:vAlign w:val="bottom"/>
          </w:tcPr>
          <w:p>
            <w:pPr>
              <w:spacing w:after="0"/>
              <w:rPr>
                <w:sz w:val="20"/>
                <w:szCs w:val="20"/>
                <w:color w:val="auto"/>
              </w:rPr>
            </w:pPr>
            <w:r>
              <w:rPr>
                <w:rFonts w:ascii="Arial" w:cs="Arial" w:eastAsia="Arial" w:hAnsi="Arial"/>
                <w:sz w:val="18"/>
                <w:szCs w:val="18"/>
                <w:color w:val="auto"/>
              </w:rPr>
              <w:t>4.4</w:t>
            </w:r>
          </w:p>
        </w:tc>
        <w:tc>
          <w:tcPr>
            <w:tcW w:w="10140" w:type="dxa"/>
            <w:vAlign w:val="bottom"/>
          </w:tcPr>
          <w:p>
            <w:pPr>
              <w:ind w:left="20"/>
              <w:spacing w:after="0"/>
              <w:rPr>
                <w:sz w:val="20"/>
                <w:szCs w:val="20"/>
                <w:color w:val="auto"/>
              </w:rPr>
            </w:pPr>
            <w:r>
              <w:rPr>
                <w:rFonts w:ascii="Arial" w:cs="Arial" w:eastAsia="Arial" w:hAnsi="Arial"/>
                <w:sz w:val="18"/>
                <w:szCs w:val="18"/>
                <w:color w:val="auto"/>
              </w:rPr>
              <w:t>Form of Rights Certificate (10)</w:t>
            </w:r>
          </w:p>
        </w:tc>
      </w:tr>
      <w:tr>
        <w:trPr>
          <w:trHeight w:val="432"/>
        </w:trPr>
        <w:tc>
          <w:tcPr>
            <w:tcW w:w="1280" w:type="dxa"/>
            <w:vAlign w:val="bottom"/>
          </w:tcPr>
          <w:p>
            <w:pPr>
              <w:spacing w:after="0"/>
              <w:rPr>
                <w:sz w:val="20"/>
                <w:szCs w:val="20"/>
                <w:color w:val="auto"/>
              </w:rPr>
            </w:pPr>
            <w:r>
              <w:rPr>
                <w:rFonts w:ascii="Arial" w:cs="Arial" w:eastAsia="Arial" w:hAnsi="Arial"/>
                <w:sz w:val="18"/>
                <w:szCs w:val="18"/>
                <w:color w:val="auto"/>
              </w:rPr>
              <w:t>4.5</w:t>
            </w:r>
          </w:p>
        </w:tc>
        <w:tc>
          <w:tcPr>
            <w:tcW w:w="10140" w:type="dxa"/>
            <w:vAlign w:val="bottom"/>
          </w:tcPr>
          <w:p>
            <w:pPr>
              <w:ind w:left="20"/>
              <w:spacing w:after="0"/>
              <w:rPr>
                <w:sz w:val="20"/>
                <w:szCs w:val="20"/>
                <w:color w:val="auto"/>
              </w:rPr>
            </w:pPr>
            <w:r>
              <w:rPr>
                <w:rFonts w:ascii="Arial" w:cs="Arial" w:eastAsia="Arial" w:hAnsi="Arial"/>
                <w:sz w:val="18"/>
                <w:szCs w:val="18"/>
                <w:color w:val="auto"/>
              </w:rPr>
              <w:t>Form of 9% Subordinated Convertible Promissory Note (1)</w:t>
            </w:r>
          </w:p>
        </w:tc>
      </w:tr>
      <w:tr>
        <w:trPr>
          <w:trHeight w:val="432"/>
        </w:trPr>
        <w:tc>
          <w:tcPr>
            <w:tcW w:w="1280" w:type="dxa"/>
            <w:vAlign w:val="bottom"/>
          </w:tcPr>
          <w:p>
            <w:pPr>
              <w:spacing w:after="0"/>
              <w:rPr>
                <w:sz w:val="20"/>
                <w:szCs w:val="20"/>
                <w:color w:val="auto"/>
              </w:rPr>
            </w:pPr>
            <w:r>
              <w:rPr>
                <w:rFonts w:ascii="Arial" w:cs="Arial" w:eastAsia="Arial" w:hAnsi="Arial"/>
                <w:sz w:val="18"/>
                <w:szCs w:val="18"/>
                <w:color w:val="auto"/>
              </w:rPr>
              <w:t>4.6</w:t>
            </w:r>
          </w:p>
        </w:tc>
        <w:tc>
          <w:tcPr>
            <w:tcW w:w="10140" w:type="dxa"/>
            <w:vAlign w:val="bottom"/>
          </w:tcPr>
          <w:p>
            <w:pPr>
              <w:ind w:left="20"/>
              <w:spacing w:after="0"/>
              <w:rPr>
                <w:sz w:val="20"/>
                <w:szCs w:val="20"/>
                <w:color w:val="auto"/>
              </w:rPr>
            </w:pPr>
            <w:r>
              <w:rPr>
                <w:rFonts w:ascii="Arial" w:cs="Arial" w:eastAsia="Arial" w:hAnsi="Arial"/>
                <w:sz w:val="18"/>
                <w:szCs w:val="18"/>
                <w:color w:val="auto"/>
              </w:rPr>
              <w:t>Form of 15% Subordinated Promissory Note (1)</w:t>
            </w:r>
          </w:p>
        </w:tc>
      </w:tr>
      <w:tr>
        <w:trPr>
          <w:trHeight w:val="432"/>
        </w:trPr>
        <w:tc>
          <w:tcPr>
            <w:tcW w:w="1280" w:type="dxa"/>
            <w:vAlign w:val="bottom"/>
          </w:tcPr>
          <w:p>
            <w:pPr>
              <w:spacing w:after="0"/>
              <w:rPr>
                <w:sz w:val="20"/>
                <w:szCs w:val="20"/>
                <w:color w:val="auto"/>
              </w:rPr>
            </w:pPr>
            <w:r>
              <w:rPr>
                <w:rFonts w:ascii="Arial" w:cs="Arial" w:eastAsia="Arial" w:hAnsi="Arial"/>
                <w:sz w:val="18"/>
                <w:szCs w:val="18"/>
                <w:color w:val="auto"/>
              </w:rPr>
              <w:t>4.7</w:t>
            </w:r>
          </w:p>
        </w:tc>
        <w:tc>
          <w:tcPr>
            <w:tcW w:w="10140" w:type="dxa"/>
            <w:vAlign w:val="bottom"/>
          </w:tcPr>
          <w:p>
            <w:pPr>
              <w:ind w:left="20"/>
              <w:spacing w:after="0"/>
              <w:rPr>
                <w:sz w:val="20"/>
                <w:szCs w:val="20"/>
                <w:color w:val="auto"/>
              </w:rPr>
            </w:pPr>
            <w:r>
              <w:rPr>
                <w:rFonts w:ascii="Arial" w:cs="Arial" w:eastAsia="Arial" w:hAnsi="Arial"/>
                <w:sz w:val="18"/>
                <w:szCs w:val="18"/>
                <w:color w:val="auto"/>
              </w:rPr>
              <w:t>Form of Securities Purchase Agreement for 9% Subordinated Convertible Promissory Note (1)</w:t>
            </w:r>
          </w:p>
        </w:tc>
      </w:tr>
      <w:tr>
        <w:trPr>
          <w:trHeight w:val="432"/>
        </w:trPr>
        <w:tc>
          <w:tcPr>
            <w:tcW w:w="1280" w:type="dxa"/>
            <w:vAlign w:val="bottom"/>
          </w:tcPr>
          <w:p>
            <w:pPr>
              <w:spacing w:after="0"/>
              <w:rPr>
                <w:sz w:val="20"/>
                <w:szCs w:val="20"/>
                <w:color w:val="auto"/>
              </w:rPr>
            </w:pPr>
            <w:r>
              <w:rPr>
                <w:rFonts w:ascii="Arial" w:cs="Arial" w:eastAsia="Arial" w:hAnsi="Arial"/>
                <w:sz w:val="18"/>
                <w:szCs w:val="18"/>
                <w:color w:val="auto"/>
              </w:rPr>
              <w:t>4.8</w:t>
            </w:r>
          </w:p>
        </w:tc>
        <w:tc>
          <w:tcPr>
            <w:tcW w:w="10140" w:type="dxa"/>
            <w:vAlign w:val="bottom"/>
          </w:tcPr>
          <w:p>
            <w:pPr>
              <w:ind w:left="20"/>
              <w:spacing w:after="0"/>
              <w:rPr>
                <w:sz w:val="20"/>
                <w:szCs w:val="20"/>
                <w:color w:val="auto"/>
              </w:rPr>
            </w:pPr>
            <w:r>
              <w:rPr>
                <w:rFonts w:ascii="Arial" w:cs="Arial" w:eastAsia="Arial" w:hAnsi="Arial"/>
                <w:sz w:val="18"/>
                <w:szCs w:val="18"/>
                <w:color w:val="auto"/>
              </w:rPr>
              <w:t>Form of Securities Purchase Agreement for 15% Subordinated Promissory Note (1)</w:t>
            </w:r>
          </w:p>
        </w:tc>
      </w:tr>
      <w:tr>
        <w:trPr>
          <w:trHeight w:val="432"/>
        </w:trPr>
        <w:tc>
          <w:tcPr>
            <w:tcW w:w="1280" w:type="dxa"/>
            <w:vAlign w:val="bottom"/>
          </w:tcPr>
          <w:p>
            <w:pPr>
              <w:spacing w:after="0"/>
              <w:rPr>
                <w:sz w:val="20"/>
                <w:szCs w:val="20"/>
                <w:color w:val="auto"/>
              </w:rPr>
            </w:pPr>
            <w:r>
              <w:rPr>
                <w:rFonts w:ascii="Arial" w:cs="Arial" w:eastAsia="Arial" w:hAnsi="Arial"/>
                <w:sz w:val="18"/>
                <w:szCs w:val="18"/>
                <w:color w:val="auto"/>
              </w:rPr>
              <w:t>4.9</w:t>
            </w:r>
          </w:p>
        </w:tc>
        <w:tc>
          <w:tcPr>
            <w:tcW w:w="10140" w:type="dxa"/>
            <w:vAlign w:val="bottom"/>
          </w:tcPr>
          <w:p>
            <w:pPr>
              <w:ind w:left="20"/>
              <w:spacing w:after="0"/>
              <w:rPr>
                <w:sz w:val="20"/>
                <w:szCs w:val="20"/>
                <w:color w:val="auto"/>
              </w:rPr>
            </w:pPr>
            <w:r>
              <w:rPr>
                <w:rFonts w:ascii="Arial" w:cs="Arial" w:eastAsia="Arial" w:hAnsi="Arial"/>
                <w:sz w:val="18"/>
                <w:szCs w:val="18"/>
                <w:color w:val="auto"/>
              </w:rPr>
              <w:t>Registration Rights Agreement (1)</w:t>
            </w:r>
          </w:p>
        </w:tc>
      </w:tr>
      <w:tr>
        <w:trPr>
          <w:trHeight w:val="432"/>
        </w:trPr>
        <w:tc>
          <w:tcPr>
            <w:tcW w:w="1280" w:type="dxa"/>
            <w:vAlign w:val="bottom"/>
          </w:tcPr>
          <w:p>
            <w:pPr>
              <w:spacing w:after="0"/>
              <w:rPr>
                <w:sz w:val="20"/>
                <w:szCs w:val="20"/>
                <w:color w:val="auto"/>
              </w:rPr>
            </w:pPr>
            <w:r>
              <w:rPr>
                <w:rFonts w:ascii="Arial" w:cs="Arial" w:eastAsia="Arial" w:hAnsi="Arial"/>
                <w:sz w:val="18"/>
                <w:szCs w:val="18"/>
                <w:color w:val="auto"/>
              </w:rPr>
              <w:t>4.10</w:t>
            </w:r>
          </w:p>
        </w:tc>
        <w:tc>
          <w:tcPr>
            <w:tcW w:w="10140" w:type="dxa"/>
            <w:vAlign w:val="bottom"/>
          </w:tcPr>
          <w:p>
            <w:pPr>
              <w:ind w:left="20"/>
              <w:spacing w:after="0"/>
              <w:rPr>
                <w:sz w:val="20"/>
                <w:szCs w:val="20"/>
                <w:color w:val="auto"/>
              </w:rPr>
            </w:pPr>
            <w:r>
              <w:rPr>
                <w:rFonts w:ascii="Arial" w:cs="Arial" w:eastAsia="Arial" w:hAnsi="Arial"/>
                <w:sz w:val="18"/>
                <w:szCs w:val="18"/>
                <w:color w:val="auto"/>
              </w:rPr>
              <w:t>Amended and Restated Registration Rights Agreement dated March 10, 2012 (11)</w:t>
            </w:r>
          </w:p>
        </w:tc>
      </w:tr>
      <w:tr>
        <w:trPr>
          <w:trHeight w:val="432"/>
        </w:trPr>
        <w:tc>
          <w:tcPr>
            <w:tcW w:w="1280" w:type="dxa"/>
            <w:vAlign w:val="bottom"/>
          </w:tcPr>
          <w:p>
            <w:pPr>
              <w:spacing w:after="0"/>
              <w:rPr>
                <w:sz w:val="20"/>
                <w:szCs w:val="20"/>
                <w:color w:val="auto"/>
              </w:rPr>
            </w:pPr>
            <w:r>
              <w:rPr>
                <w:rFonts w:ascii="Arial" w:cs="Arial" w:eastAsia="Arial" w:hAnsi="Arial"/>
                <w:sz w:val="18"/>
                <w:szCs w:val="18"/>
                <w:color w:val="auto"/>
              </w:rPr>
              <w:t>4.11</w:t>
            </w:r>
          </w:p>
        </w:tc>
        <w:tc>
          <w:tcPr>
            <w:tcW w:w="10140" w:type="dxa"/>
            <w:vAlign w:val="bottom"/>
          </w:tcPr>
          <w:p>
            <w:pPr>
              <w:ind w:left="20"/>
              <w:spacing w:after="0"/>
              <w:rPr>
                <w:sz w:val="20"/>
                <w:szCs w:val="20"/>
                <w:color w:val="auto"/>
              </w:rPr>
            </w:pPr>
            <w:r>
              <w:rPr>
                <w:rFonts w:ascii="Arial" w:cs="Arial" w:eastAsia="Arial" w:hAnsi="Arial"/>
                <w:sz w:val="18"/>
                <w:szCs w:val="18"/>
                <w:color w:val="auto"/>
              </w:rPr>
              <w:t>Amendment Agreement with respect to the Amended and Restated 9% Convertible Promissory Notes (11)</w:t>
            </w:r>
          </w:p>
        </w:tc>
      </w:tr>
      <w:tr>
        <w:trPr>
          <w:trHeight w:val="432"/>
        </w:trPr>
        <w:tc>
          <w:tcPr>
            <w:tcW w:w="1280" w:type="dxa"/>
            <w:vAlign w:val="bottom"/>
          </w:tcPr>
          <w:p>
            <w:pPr>
              <w:spacing w:after="0"/>
              <w:rPr>
                <w:sz w:val="20"/>
                <w:szCs w:val="20"/>
                <w:color w:val="auto"/>
              </w:rPr>
            </w:pPr>
            <w:r>
              <w:rPr>
                <w:rFonts w:ascii="Arial" w:cs="Arial" w:eastAsia="Arial" w:hAnsi="Arial"/>
                <w:sz w:val="18"/>
                <w:szCs w:val="18"/>
                <w:color w:val="auto"/>
              </w:rPr>
              <w:t>4.12</w:t>
            </w:r>
          </w:p>
        </w:tc>
        <w:tc>
          <w:tcPr>
            <w:tcW w:w="10140" w:type="dxa"/>
            <w:vAlign w:val="bottom"/>
          </w:tcPr>
          <w:p>
            <w:pPr>
              <w:ind w:left="20"/>
              <w:spacing w:after="0"/>
              <w:rPr>
                <w:sz w:val="20"/>
                <w:szCs w:val="20"/>
                <w:color w:val="auto"/>
              </w:rPr>
            </w:pPr>
            <w:r>
              <w:rPr>
                <w:rFonts w:ascii="Arial" w:cs="Arial" w:eastAsia="Arial" w:hAnsi="Arial"/>
                <w:sz w:val="18"/>
                <w:szCs w:val="18"/>
                <w:color w:val="auto"/>
              </w:rPr>
              <w:t>Promissory Note dated October 2011 issued in connection with acquisition of certain assets from ADI Time, LLC (2)</w:t>
            </w:r>
          </w:p>
        </w:tc>
      </w:tr>
      <w:tr>
        <w:trPr>
          <w:trHeight w:val="432"/>
        </w:trPr>
        <w:tc>
          <w:tcPr>
            <w:tcW w:w="1280" w:type="dxa"/>
            <w:vAlign w:val="bottom"/>
          </w:tcPr>
          <w:p>
            <w:pPr>
              <w:spacing w:after="0"/>
              <w:rPr>
                <w:sz w:val="20"/>
                <w:szCs w:val="20"/>
                <w:color w:val="auto"/>
              </w:rPr>
            </w:pPr>
            <w:r>
              <w:rPr>
                <w:rFonts w:ascii="Arial" w:cs="Arial" w:eastAsia="Arial" w:hAnsi="Arial"/>
                <w:sz w:val="18"/>
                <w:szCs w:val="18"/>
                <w:color w:val="auto"/>
              </w:rPr>
              <w:t>4.13</w:t>
            </w:r>
          </w:p>
        </w:tc>
        <w:tc>
          <w:tcPr>
            <w:tcW w:w="10140" w:type="dxa"/>
            <w:vAlign w:val="bottom"/>
          </w:tcPr>
          <w:p>
            <w:pPr>
              <w:ind w:left="20"/>
              <w:spacing w:after="0"/>
              <w:rPr>
                <w:sz w:val="20"/>
                <w:szCs w:val="20"/>
                <w:color w:val="auto"/>
              </w:rPr>
            </w:pPr>
            <w:r>
              <w:rPr>
                <w:rFonts w:ascii="Arial" w:cs="Arial" w:eastAsia="Arial" w:hAnsi="Arial"/>
                <w:sz w:val="18"/>
                <w:szCs w:val="18"/>
                <w:color w:val="auto"/>
              </w:rPr>
              <w:t>Letter Agreement from Patrick Goepel relating to forfeiture of option rights (2)</w:t>
            </w:r>
          </w:p>
        </w:tc>
      </w:tr>
      <w:tr>
        <w:trPr>
          <w:trHeight w:val="432"/>
        </w:trPr>
        <w:tc>
          <w:tcPr>
            <w:tcW w:w="1280" w:type="dxa"/>
            <w:vAlign w:val="bottom"/>
          </w:tcPr>
          <w:p>
            <w:pPr>
              <w:spacing w:after="0"/>
              <w:rPr>
                <w:sz w:val="20"/>
                <w:szCs w:val="20"/>
                <w:color w:val="auto"/>
              </w:rPr>
            </w:pPr>
            <w:r>
              <w:rPr>
                <w:rFonts w:ascii="Arial" w:cs="Arial" w:eastAsia="Arial" w:hAnsi="Arial"/>
                <w:sz w:val="18"/>
                <w:szCs w:val="18"/>
                <w:color w:val="auto"/>
              </w:rPr>
              <w:t>4.14</w:t>
            </w:r>
          </w:p>
        </w:tc>
        <w:tc>
          <w:tcPr>
            <w:tcW w:w="10140" w:type="dxa"/>
            <w:vAlign w:val="bottom"/>
          </w:tcPr>
          <w:p>
            <w:pPr>
              <w:ind w:left="20"/>
              <w:spacing w:after="0"/>
              <w:rPr>
                <w:sz w:val="20"/>
                <w:szCs w:val="20"/>
                <w:color w:val="auto"/>
              </w:rPr>
            </w:pPr>
            <w:r>
              <w:rPr>
                <w:rFonts w:ascii="Arial" w:cs="Arial" w:eastAsia="Arial" w:hAnsi="Arial"/>
                <w:sz w:val="18"/>
                <w:szCs w:val="18"/>
                <w:color w:val="auto"/>
              </w:rPr>
              <w:t>Stock Option Agreement for Patrick Goepel (2)</w:t>
            </w:r>
          </w:p>
        </w:tc>
      </w:tr>
      <w:tr>
        <w:trPr>
          <w:trHeight w:val="432"/>
        </w:trPr>
        <w:tc>
          <w:tcPr>
            <w:tcW w:w="1280" w:type="dxa"/>
            <w:vAlign w:val="bottom"/>
          </w:tcPr>
          <w:p>
            <w:pPr>
              <w:spacing w:after="0"/>
              <w:rPr>
                <w:sz w:val="20"/>
                <w:szCs w:val="20"/>
                <w:color w:val="auto"/>
              </w:rPr>
            </w:pPr>
            <w:r>
              <w:rPr>
                <w:rFonts w:ascii="Arial" w:cs="Arial" w:eastAsia="Arial" w:hAnsi="Arial"/>
                <w:sz w:val="18"/>
                <w:szCs w:val="18"/>
                <w:color w:val="auto"/>
              </w:rPr>
              <w:t>4.15</w:t>
            </w:r>
          </w:p>
        </w:tc>
        <w:tc>
          <w:tcPr>
            <w:tcW w:w="10140" w:type="dxa"/>
            <w:vAlign w:val="bottom"/>
          </w:tcPr>
          <w:p>
            <w:pPr>
              <w:ind w:left="20"/>
              <w:spacing w:after="0"/>
              <w:rPr>
                <w:sz w:val="20"/>
                <w:szCs w:val="20"/>
                <w:color w:val="auto"/>
              </w:rPr>
            </w:pPr>
            <w:r>
              <w:rPr>
                <w:rFonts w:ascii="Arial" w:cs="Arial" w:eastAsia="Arial" w:hAnsi="Arial"/>
                <w:sz w:val="18"/>
                <w:szCs w:val="18"/>
                <w:color w:val="auto"/>
              </w:rPr>
              <w:t>Stock Option Agreement for Steve Rodriguez (2)</w:t>
            </w:r>
          </w:p>
        </w:tc>
      </w:tr>
      <w:tr>
        <w:trPr>
          <w:trHeight w:val="432"/>
        </w:trPr>
        <w:tc>
          <w:tcPr>
            <w:tcW w:w="1280" w:type="dxa"/>
            <w:vAlign w:val="bottom"/>
          </w:tcPr>
          <w:p>
            <w:pPr>
              <w:spacing w:after="0"/>
              <w:rPr>
                <w:sz w:val="20"/>
                <w:szCs w:val="20"/>
                <w:color w:val="auto"/>
              </w:rPr>
            </w:pPr>
            <w:r>
              <w:rPr>
                <w:rFonts w:ascii="Arial" w:cs="Arial" w:eastAsia="Arial" w:hAnsi="Arial"/>
                <w:sz w:val="18"/>
                <w:szCs w:val="18"/>
                <w:color w:val="auto"/>
              </w:rPr>
              <w:t>10.1</w:t>
            </w:r>
          </w:p>
        </w:tc>
        <w:tc>
          <w:tcPr>
            <w:tcW w:w="10140" w:type="dxa"/>
            <w:vAlign w:val="bottom"/>
          </w:tcPr>
          <w:p>
            <w:pPr>
              <w:ind w:left="20"/>
              <w:spacing w:after="0"/>
              <w:rPr>
                <w:sz w:val="20"/>
                <w:szCs w:val="20"/>
                <w:color w:val="auto"/>
              </w:rPr>
            </w:pPr>
            <w:r>
              <w:rPr>
                <w:rFonts w:ascii="Arial" w:cs="Arial" w:eastAsia="Arial" w:hAnsi="Arial"/>
                <w:sz w:val="18"/>
                <w:szCs w:val="18"/>
                <w:color w:val="auto"/>
              </w:rPr>
              <w:t>Amended Restricted Stock Plan, effective May 23, 2006 (12)</w:t>
            </w:r>
          </w:p>
        </w:tc>
      </w:tr>
      <w:tr>
        <w:trPr>
          <w:trHeight w:val="432"/>
        </w:trPr>
        <w:tc>
          <w:tcPr>
            <w:tcW w:w="1280" w:type="dxa"/>
            <w:vAlign w:val="bottom"/>
          </w:tcPr>
          <w:p>
            <w:pPr>
              <w:spacing w:after="0"/>
              <w:rPr>
                <w:sz w:val="20"/>
                <w:szCs w:val="20"/>
                <w:color w:val="auto"/>
              </w:rPr>
            </w:pPr>
            <w:r>
              <w:rPr>
                <w:rFonts w:ascii="Arial" w:cs="Arial" w:eastAsia="Arial" w:hAnsi="Arial"/>
                <w:sz w:val="18"/>
                <w:szCs w:val="18"/>
                <w:color w:val="auto"/>
              </w:rPr>
              <w:t>10.2</w:t>
            </w:r>
          </w:p>
        </w:tc>
        <w:tc>
          <w:tcPr>
            <w:tcW w:w="10140" w:type="dxa"/>
            <w:vAlign w:val="bottom"/>
          </w:tcPr>
          <w:p>
            <w:pPr>
              <w:ind w:left="20"/>
              <w:spacing w:after="0"/>
              <w:rPr>
                <w:sz w:val="20"/>
                <w:szCs w:val="20"/>
                <w:color w:val="auto"/>
              </w:rPr>
            </w:pPr>
            <w:r>
              <w:rPr>
                <w:rFonts w:ascii="Arial" w:cs="Arial" w:eastAsia="Arial" w:hAnsi="Arial"/>
                <w:sz w:val="18"/>
                <w:szCs w:val="18"/>
                <w:color w:val="auto"/>
              </w:rPr>
              <w:t>2009 Equity Plan, amended as of June 26, 2012 (13)</w:t>
            </w:r>
          </w:p>
        </w:tc>
      </w:tr>
    </w:tbl>
    <w:p>
      <w:pPr>
        <w:spacing w:after="0" w:line="200" w:lineRule="exact"/>
        <w:rPr>
          <w:sz w:val="20"/>
          <w:szCs w:val="20"/>
          <w:color w:val="auto"/>
        </w:rPr>
      </w:pPr>
    </w:p>
    <w:p>
      <w:pPr>
        <w:sectPr>
          <w:pgSz w:w="11900" w:h="16838" w:orient="portrait"/>
          <w:cols w:equalWidth="0" w:num="1">
            <w:col w:w="11420"/>
          </w:cols>
          <w:pgMar w:left="240" w:top="108" w:right="239" w:bottom="1440" w:gutter="0" w:footer="0" w:header="0"/>
        </w:sectPr>
      </w:pP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type w:val="continuous"/>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60" w:type="dxa"/>
            <w:vAlign w:val="bottom"/>
          </w:tcPr>
          <w:p>
            <w:pPr>
              <w:spacing w:after="0"/>
              <w:rPr>
                <w:sz w:val="20"/>
                <w:szCs w:val="20"/>
                <w:color w:val="auto"/>
              </w:rPr>
            </w:pPr>
            <w:r>
              <w:rPr>
                <w:rFonts w:ascii="Arial" w:cs="Arial" w:eastAsia="Arial" w:hAnsi="Arial"/>
                <w:sz w:val="18"/>
                <w:szCs w:val="18"/>
                <w:color w:val="auto"/>
              </w:rPr>
              <w:t>10.3</w:t>
            </w:r>
          </w:p>
        </w:tc>
        <w:tc>
          <w:tcPr>
            <w:tcW w:w="10160" w:type="dxa"/>
            <w:vAlign w:val="bottom"/>
            <w:gridSpan w:val="2"/>
          </w:tcPr>
          <w:p>
            <w:pPr>
              <w:spacing w:after="0"/>
              <w:rPr>
                <w:sz w:val="20"/>
                <w:szCs w:val="20"/>
                <w:color w:val="auto"/>
              </w:rPr>
            </w:pPr>
            <w:r>
              <w:rPr>
                <w:rFonts w:ascii="Arial" w:cs="Arial" w:eastAsia="Arial" w:hAnsi="Arial"/>
                <w:sz w:val="18"/>
                <w:szCs w:val="18"/>
                <w:color w:val="auto"/>
              </w:rPr>
              <w:t>Amendment No. 3 to 2009 Equity Plan (13)</w:t>
            </w:r>
          </w:p>
        </w:tc>
      </w:tr>
      <w:tr>
        <w:trPr>
          <w:trHeight w:val="432"/>
        </w:trPr>
        <w:tc>
          <w:tcPr>
            <w:tcW w:w="1260" w:type="dxa"/>
            <w:vAlign w:val="bottom"/>
          </w:tcPr>
          <w:p>
            <w:pPr>
              <w:spacing w:after="0"/>
              <w:rPr>
                <w:sz w:val="20"/>
                <w:szCs w:val="20"/>
                <w:color w:val="auto"/>
              </w:rPr>
            </w:pPr>
            <w:r>
              <w:rPr>
                <w:rFonts w:ascii="Arial" w:cs="Arial" w:eastAsia="Arial" w:hAnsi="Arial"/>
                <w:sz w:val="18"/>
                <w:szCs w:val="18"/>
                <w:color w:val="auto"/>
              </w:rPr>
              <w:t>10.4</w:t>
            </w:r>
          </w:p>
        </w:tc>
        <w:tc>
          <w:tcPr>
            <w:tcW w:w="10160" w:type="dxa"/>
            <w:vAlign w:val="bottom"/>
            <w:gridSpan w:val="2"/>
          </w:tcPr>
          <w:p>
            <w:pPr>
              <w:spacing w:after="0"/>
              <w:rPr>
                <w:sz w:val="20"/>
                <w:szCs w:val="20"/>
                <w:color w:val="auto"/>
              </w:rPr>
            </w:pPr>
            <w:r>
              <w:rPr>
                <w:rFonts w:ascii="Arial" w:cs="Arial" w:eastAsia="Arial" w:hAnsi="Arial"/>
                <w:sz w:val="18"/>
                <w:szCs w:val="18"/>
                <w:color w:val="auto"/>
              </w:rPr>
              <w:t>Form of Option Agreement under the 2009 Equity Plan (13)</w:t>
            </w:r>
          </w:p>
        </w:tc>
      </w:tr>
      <w:tr>
        <w:trPr>
          <w:trHeight w:val="432"/>
        </w:trPr>
        <w:tc>
          <w:tcPr>
            <w:tcW w:w="1260" w:type="dxa"/>
            <w:vAlign w:val="bottom"/>
          </w:tcPr>
          <w:p>
            <w:pPr>
              <w:spacing w:after="0"/>
              <w:rPr>
                <w:sz w:val="20"/>
                <w:szCs w:val="20"/>
                <w:color w:val="auto"/>
              </w:rPr>
            </w:pPr>
            <w:r>
              <w:rPr>
                <w:rFonts w:ascii="Arial" w:cs="Arial" w:eastAsia="Arial" w:hAnsi="Arial"/>
                <w:sz w:val="18"/>
                <w:szCs w:val="18"/>
                <w:color w:val="auto"/>
              </w:rPr>
              <w:t>10.5</w:t>
            </w:r>
          </w:p>
        </w:tc>
        <w:tc>
          <w:tcPr>
            <w:tcW w:w="10160" w:type="dxa"/>
            <w:vAlign w:val="bottom"/>
            <w:gridSpan w:val="2"/>
          </w:tcPr>
          <w:p>
            <w:pPr>
              <w:spacing w:after="0"/>
              <w:rPr>
                <w:sz w:val="20"/>
                <w:szCs w:val="20"/>
                <w:color w:val="auto"/>
              </w:rPr>
            </w:pPr>
            <w:r>
              <w:rPr>
                <w:rFonts w:ascii="Arial" w:cs="Arial" w:eastAsia="Arial" w:hAnsi="Arial"/>
                <w:sz w:val="18"/>
                <w:szCs w:val="18"/>
                <w:color w:val="auto"/>
              </w:rPr>
              <w:t>Stock Purchase Agreement dated September 25,2009 with Patrick Goepel (14)</w:t>
            </w:r>
          </w:p>
        </w:tc>
      </w:tr>
      <w:tr>
        <w:trPr>
          <w:trHeight w:val="432"/>
        </w:trPr>
        <w:tc>
          <w:tcPr>
            <w:tcW w:w="1260" w:type="dxa"/>
            <w:vAlign w:val="bottom"/>
          </w:tcPr>
          <w:p>
            <w:pPr>
              <w:spacing w:after="0"/>
              <w:rPr>
                <w:sz w:val="20"/>
                <w:szCs w:val="20"/>
                <w:color w:val="auto"/>
              </w:rPr>
            </w:pPr>
            <w:r>
              <w:rPr>
                <w:rFonts w:ascii="Arial" w:cs="Arial" w:eastAsia="Arial" w:hAnsi="Arial"/>
                <w:sz w:val="18"/>
                <w:szCs w:val="18"/>
                <w:color w:val="auto"/>
              </w:rPr>
              <w:t>10.6</w:t>
            </w:r>
          </w:p>
        </w:tc>
        <w:tc>
          <w:tcPr>
            <w:tcW w:w="10160" w:type="dxa"/>
            <w:vAlign w:val="bottom"/>
            <w:gridSpan w:val="2"/>
          </w:tcPr>
          <w:p>
            <w:pPr>
              <w:spacing w:after="0"/>
              <w:rPr>
                <w:sz w:val="20"/>
                <w:szCs w:val="20"/>
                <w:color w:val="auto"/>
              </w:rPr>
            </w:pPr>
            <w:r>
              <w:rPr>
                <w:rFonts w:ascii="Arial" w:cs="Arial" w:eastAsia="Arial" w:hAnsi="Arial"/>
                <w:sz w:val="18"/>
                <w:szCs w:val="18"/>
                <w:color w:val="auto"/>
              </w:rPr>
              <w:t>Amended and Restated Employment Agreement dated July 2, 2011 with Patrick Goepel (2)</w:t>
            </w:r>
          </w:p>
        </w:tc>
      </w:tr>
      <w:tr>
        <w:trPr>
          <w:trHeight w:val="432"/>
        </w:trPr>
        <w:tc>
          <w:tcPr>
            <w:tcW w:w="1260" w:type="dxa"/>
            <w:vAlign w:val="bottom"/>
          </w:tcPr>
          <w:p>
            <w:pPr>
              <w:spacing w:after="0"/>
              <w:rPr>
                <w:sz w:val="20"/>
                <w:szCs w:val="20"/>
                <w:color w:val="auto"/>
              </w:rPr>
            </w:pPr>
            <w:r>
              <w:rPr>
                <w:rFonts w:ascii="Arial" w:cs="Arial" w:eastAsia="Arial" w:hAnsi="Arial"/>
                <w:sz w:val="18"/>
                <w:szCs w:val="18"/>
                <w:color w:val="auto"/>
              </w:rPr>
              <w:t>10.9</w:t>
            </w:r>
          </w:p>
        </w:tc>
        <w:tc>
          <w:tcPr>
            <w:tcW w:w="10160" w:type="dxa"/>
            <w:vAlign w:val="bottom"/>
            <w:gridSpan w:val="2"/>
          </w:tcPr>
          <w:p>
            <w:pPr>
              <w:spacing w:after="0"/>
              <w:rPr>
                <w:sz w:val="20"/>
                <w:szCs w:val="20"/>
                <w:color w:val="auto"/>
              </w:rPr>
            </w:pPr>
            <w:r>
              <w:rPr>
                <w:rFonts w:ascii="Arial" w:cs="Arial" w:eastAsia="Arial" w:hAnsi="Arial"/>
                <w:sz w:val="18"/>
                <w:szCs w:val="18"/>
                <w:color w:val="auto"/>
              </w:rPr>
              <w:t>Employment Letter with Steve Rodriguez, dated as of August 15, 2011 (2)</w:t>
            </w:r>
          </w:p>
        </w:tc>
      </w:tr>
      <w:tr>
        <w:trPr>
          <w:trHeight w:val="432"/>
        </w:trPr>
        <w:tc>
          <w:tcPr>
            <w:tcW w:w="1260" w:type="dxa"/>
            <w:vAlign w:val="bottom"/>
          </w:tcPr>
          <w:p>
            <w:pPr>
              <w:spacing w:after="0"/>
              <w:rPr>
                <w:sz w:val="20"/>
                <w:szCs w:val="20"/>
                <w:color w:val="auto"/>
              </w:rPr>
            </w:pPr>
            <w:r>
              <w:rPr>
                <w:rFonts w:ascii="Arial" w:cs="Arial" w:eastAsia="Arial" w:hAnsi="Arial"/>
                <w:sz w:val="18"/>
                <w:szCs w:val="18"/>
                <w:color w:val="auto"/>
              </w:rPr>
              <w:t>10.10</w:t>
            </w:r>
          </w:p>
        </w:tc>
        <w:tc>
          <w:tcPr>
            <w:tcW w:w="10160" w:type="dxa"/>
            <w:vAlign w:val="bottom"/>
            <w:gridSpan w:val="2"/>
          </w:tcPr>
          <w:p>
            <w:pPr>
              <w:spacing w:after="0"/>
              <w:rPr>
                <w:sz w:val="20"/>
                <w:szCs w:val="20"/>
                <w:color w:val="auto"/>
              </w:rPr>
            </w:pPr>
            <w:r>
              <w:rPr>
                <w:rFonts w:ascii="Arial" w:cs="Arial" w:eastAsia="Arial" w:hAnsi="Arial"/>
                <w:sz w:val="18"/>
                <w:szCs w:val="18"/>
                <w:color w:val="auto"/>
              </w:rPr>
              <w:t>Credit Agreement between Asure Software, Inc. and JPMorgan Chase Bank, N.A. (1)</w:t>
            </w:r>
          </w:p>
        </w:tc>
      </w:tr>
      <w:tr>
        <w:trPr>
          <w:trHeight w:val="432"/>
        </w:trPr>
        <w:tc>
          <w:tcPr>
            <w:tcW w:w="1260" w:type="dxa"/>
            <w:vAlign w:val="bottom"/>
          </w:tcPr>
          <w:p>
            <w:pPr>
              <w:spacing w:after="0"/>
              <w:rPr>
                <w:sz w:val="20"/>
                <w:szCs w:val="20"/>
                <w:color w:val="auto"/>
              </w:rPr>
            </w:pPr>
            <w:r>
              <w:rPr>
                <w:rFonts w:ascii="Arial" w:cs="Arial" w:eastAsia="Arial" w:hAnsi="Arial"/>
                <w:sz w:val="18"/>
                <w:szCs w:val="18"/>
                <w:color w:val="auto"/>
              </w:rPr>
              <w:t>10.11</w:t>
            </w:r>
          </w:p>
        </w:tc>
        <w:tc>
          <w:tcPr>
            <w:tcW w:w="10160" w:type="dxa"/>
            <w:vAlign w:val="bottom"/>
            <w:gridSpan w:val="2"/>
          </w:tcPr>
          <w:p>
            <w:pPr>
              <w:spacing w:after="0"/>
              <w:rPr>
                <w:sz w:val="20"/>
                <w:szCs w:val="20"/>
                <w:color w:val="auto"/>
              </w:rPr>
            </w:pPr>
            <w:r>
              <w:rPr>
                <w:rFonts w:ascii="Arial" w:cs="Arial" w:eastAsia="Arial" w:hAnsi="Arial"/>
                <w:sz w:val="18"/>
                <w:szCs w:val="18"/>
                <w:color w:val="auto"/>
              </w:rPr>
              <w:t>Fourth Amendment to Lease Agreement with WB One &amp; Two LTD (15)</w:t>
            </w:r>
          </w:p>
        </w:tc>
      </w:tr>
      <w:tr>
        <w:trPr>
          <w:trHeight w:val="432"/>
        </w:trPr>
        <w:tc>
          <w:tcPr>
            <w:tcW w:w="1260" w:type="dxa"/>
            <w:vAlign w:val="bottom"/>
          </w:tcPr>
          <w:p>
            <w:pPr>
              <w:spacing w:after="0"/>
              <w:rPr>
                <w:sz w:val="20"/>
                <w:szCs w:val="20"/>
                <w:color w:val="auto"/>
              </w:rPr>
            </w:pPr>
            <w:r>
              <w:rPr>
                <w:rFonts w:ascii="Arial" w:cs="Arial" w:eastAsia="Arial" w:hAnsi="Arial"/>
                <w:sz w:val="18"/>
                <w:szCs w:val="18"/>
                <w:color w:val="auto"/>
              </w:rPr>
              <w:t>10.12</w:t>
            </w:r>
          </w:p>
        </w:tc>
        <w:tc>
          <w:tcPr>
            <w:tcW w:w="10160" w:type="dxa"/>
            <w:vAlign w:val="bottom"/>
            <w:gridSpan w:val="2"/>
          </w:tcPr>
          <w:p>
            <w:pPr>
              <w:spacing w:after="0"/>
              <w:rPr>
                <w:sz w:val="20"/>
                <w:szCs w:val="20"/>
                <w:color w:val="auto"/>
              </w:rPr>
            </w:pPr>
            <w:r>
              <w:rPr>
                <w:rFonts w:ascii="Arial" w:cs="Arial" w:eastAsia="Arial" w:hAnsi="Arial"/>
                <w:sz w:val="18"/>
                <w:szCs w:val="18"/>
                <w:color w:val="auto"/>
              </w:rPr>
              <w:t>Lease Agreement to Premises located at 200 Crossings Boulevard, Warwick, Rhode Island (2)</w:t>
            </w:r>
          </w:p>
        </w:tc>
      </w:tr>
      <w:tr>
        <w:trPr>
          <w:trHeight w:val="432"/>
        </w:trPr>
        <w:tc>
          <w:tcPr>
            <w:tcW w:w="1260" w:type="dxa"/>
            <w:vAlign w:val="bottom"/>
          </w:tcPr>
          <w:p>
            <w:pPr>
              <w:spacing w:after="0"/>
              <w:rPr>
                <w:sz w:val="20"/>
                <w:szCs w:val="20"/>
                <w:color w:val="auto"/>
              </w:rPr>
            </w:pPr>
            <w:r>
              <w:rPr>
                <w:rFonts w:ascii="Arial" w:cs="Arial" w:eastAsia="Arial" w:hAnsi="Arial"/>
                <w:sz w:val="18"/>
                <w:szCs w:val="18"/>
                <w:color w:val="auto"/>
              </w:rPr>
              <w:t>10.13</w:t>
            </w:r>
          </w:p>
        </w:tc>
        <w:tc>
          <w:tcPr>
            <w:tcW w:w="10160" w:type="dxa"/>
            <w:vAlign w:val="bottom"/>
            <w:gridSpan w:val="2"/>
          </w:tcPr>
          <w:p>
            <w:pPr>
              <w:spacing w:after="0"/>
              <w:rPr>
                <w:sz w:val="20"/>
                <w:szCs w:val="20"/>
                <w:color w:val="auto"/>
              </w:rPr>
            </w:pPr>
            <w:r>
              <w:rPr>
                <w:rFonts w:ascii="Arial" w:cs="Arial" w:eastAsia="Arial" w:hAnsi="Arial"/>
                <w:sz w:val="18"/>
                <w:szCs w:val="18"/>
                <w:color w:val="auto"/>
              </w:rPr>
              <w:t>Sixth Amendment to Lease Agreement with Wild Basin I &amp; II Investors, LP (2)</w:t>
            </w:r>
          </w:p>
        </w:tc>
      </w:tr>
      <w:tr>
        <w:trPr>
          <w:trHeight w:val="418"/>
        </w:trPr>
        <w:tc>
          <w:tcPr>
            <w:tcW w:w="1260" w:type="dxa"/>
            <w:vAlign w:val="bottom"/>
          </w:tcPr>
          <w:p>
            <w:pPr>
              <w:spacing w:after="0"/>
              <w:rPr>
                <w:sz w:val="20"/>
                <w:szCs w:val="20"/>
                <w:color w:val="auto"/>
              </w:rPr>
            </w:pPr>
            <w:r>
              <w:rPr>
                <w:rFonts w:ascii="Arial" w:cs="Arial" w:eastAsia="Arial" w:hAnsi="Arial"/>
                <w:sz w:val="18"/>
                <w:szCs w:val="18"/>
                <w:color w:val="auto"/>
              </w:rPr>
              <w:t>10.14</w:t>
            </w:r>
          </w:p>
        </w:tc>
        <w:tc>
          <w:tcPr>
            <w:tcW w:w="10160" w:type="dxa"/>
            <w:vAlign w:val="bottom"/>
            <w:gridSpan w:val="2"/>
          </w:tcPr>
          <w:p>
            <w:pPr>
              <w:spacing w:after="0"/>
              <w:rPr>
                <w:sz w:val="20"/>
                <w:szCs w:val="20"/>
                <w:color w:val="auto"/>
              </w:rPr>
            </w:pPr>
            <w:r>
              <w:rPr>
                <w:rFonts w:ascii="Arial" w:cs="Arial" w:eastAsia="Arial" w:hAnsi="Arial"/>
                <w:sz w:val="18"/>
                <w:szCs w:val="18"/>
                <w:color w:val="auto"/>
                <w:w w:val="94"/>
              </w:rPr>
              <w:t>First Amendment to Loan Agreement effective as of December 31, 2012 by and among Asure Software Inc., ADI Software, LLC, Asure</w:t>
            </w:r>
          </w:p>
        </w:tc>
      </w:tr>
      <w:tr>
        <w:trPr>
          <w:trHeight w:val="230"/>
        </w:trPr>
        <w:tc>
          <w:tcPr>
            <w:tcW w:w="1260" w:type="dxa"/>
            <w:vAlign w:val="bottom"/>
          </w:tcPr>
          <w:p>
            <w:pPr>
              <w:spacing w:after="0"/>
              <w:rPr>
                <w:sz w:val="20"/>
                <w:szCs w:val="20"/>
                <w:color w:val="auto"/>
              </w:rPr>
            </w:pPr>
          </w:p>
        </w:tc>
        <w:tc>
          <w:tcPr>
            <w:tcW w:w="10160" w:type="dxa"/>
            <w:vAlign w:val="bottom"/>
            <w:gridSpan w:val="2"/>
          </w:tcPr>
          <w:p>
            <w:pPr>
              <w:spacing w:after="0"/>
              <w:rPr>
                <w:sz w:val="20"/>
                <w:szCs w:val="20"/>
                <w:color w:val="auto"/>
              </w:rPr>
            </w:pPr>
            <w:r>
              <w:rPr>
                <w:rFonts w:ascii="Arial" w:cs="Arial" w:eastAsia="Arial" w:hAnsi="Arial"/>
                <w:sz w:val="18"/>
                <w:szCs w:val="18"/>
                <w:color w:val="auto"/>
              </w:rPr>
              <w:t>Legiant, LLC Meeting Maker - United States, Inc. and Deerpath Funding, LP (16)</w:t>
            </w:r>
          </w:p>
        </w:tc>
      </w:tr>
      <w:tr>
        <w:trPr>
          <w:trHeight w:val="432"/>
        </w:trPr>
        <w:tc>
          <w:tcPr>
            <w:tcW w:w="1260" w:type="dxa"/>
            <w:vAlign w:val="bottom"/>
          </w:tcPr>
          <w:p>
            <w:pPr>
              <w:spacing w:after="0"/>
              <w:rPr>
                <w:sz w:val="20"/>
                <w:szCs w:val="20"/>
                <w:color w:val="auto"/>
              </w:rPr>
            </w:pPr>
            <w:r>
              <w:rPr>
                <w:rFonts w:ascii="Arial" w:cs="Arial" w:eastAsia="Arial" w:hAnsi="Arial"/>
                <w:sz w:val="18"/>
                <w:szCs w:val="18"/>
                <w:color w:val="auto"/>
              </w:rPr>
              <w:t>10.15</w:t>
            </w:r>
          </w:p>
        </w:tc>
        <w:tc>
          <w:tcPr>
            <w:tcW w:w="10160" w:type="dxa"/>
            <w:vAlign w:val="bottom"/>
            <w:gridSpan w:val="2"/>
          </w:tcPr>
          <w:p>
            <w:pPr>
              <w:spacing w:after="0"/>
              <w:rPr>
                <w:sz w:val="20"/>
                <w:szCs w:val="20"/>
                <w:color w:val="auto"/>
              </w:rPr>
            </w:pPr>
            <w:r>
              <w:rPr>
                <w:rFonts w:ascii="Arial" w:cs="Arial" w:eastAsia="Arial" w:hAnsi="Arial"/>
                <w:sz w:val="18"/>
                <w:szCs w:val="18"/>
                <w:color w:val="auto"/>
              </w:rPr>
              <w:t>Form of Common Stock Purchase Agreement dated as of May 30, 2013 (17)</w:t>
            </w:r>
          </w:p>
        </w:tc>
      </w:tr>
      <w:tr>
        <w:trPr>
          <w:trHeight w:val="418"/>
        </w:trPr>
        <w:tc>
          <w:tcPr>
            <w:tcW w:w="1260" w:type="dxa"/>
            <w:vAlign w:val="bottom"/>
          </w:tcPr>
          <w:p>
            <w:pPr>
              <w:spacing w:after="0"/>
              <w:rPr>
                <w:sz w:val="20"/>
                <w:szCs w:val="20"/>
                <w:color w:val="auto"/>
              </w:rPr>
            </w:pPr>
            <w:r>
              <w:rPr>
                <w:rFonts w:ascii="Arial" w:cs="Arial" w:eastAsia="Arial" w:hAnsi="Arial"/>
                <w:sz w:val="18"/>
                <w:szCs w:val="18"/>
                <w:color w:val="auto"/>
              </w:rPr>
              <w:t>10.16</w:t>
            </w:r>
          </w:p>
        </w:tc>
        <w:tc>
          <w:tcPr>
            <w:tcW w:w="10160" w:type="dxa"/>
            <w:vAlign w:val="bottom"/>
            <w:gridSpan w:val="2"/>
          </w:tcPr>
          <w:p>
            <w:pPr>
              <w:spacing w:after="0"/>
              <w:rPr>
                <w:sz w:val="20"/>
                <w:szCs w:val="20"/>
                <w:color w:val="auto"/>
              </w:rPr>
            </w:pPr>
            <w:r>
              <w:rPr>
                <w:rFonts w:ascii="Arial" w:cs="Arial" w:eastAsia="Arial" w:hAnsi="Arial"/>
                <w:sz w:val="18"/>
                <w:szCs w:val="18"/>
                <w:color w:val="auto"/>
                <w:w w:val="95"/>
              </w:rPr>
              <w:t>Second Amendment to Loan Agreement effective as of March 31, 2013 by and among Asure Software Inc., ADI Software, LLC, Asure</w:t>
            </w:r>
          </w:p>
        </w:tc>
      </w:tr>
      <w:tr>
        <w:trPr>
          <w:trHeight w:val="230"/>
        </w:trPr>
        <w:tc>
          <w:tcPr>
            <w:tcW w:w="1260" w:type="dxa"/>
            <w:vAlign w:val="bottom"/>
          </w:tcPr>
          <w:p>
            <w:pPr>
              <w:spacing w:after="0"/>
              <w:rPr>
                <w:sz w:val="20"/>
                <w:szCs w:val="20"/>
                <w:color w:val="auto"/>
              </w:rPr>
            </w:pPr>
          </w:p>
        </w:tc>
        <w:tc>
          <w:tcPr>
            <w:tcW w:w="10160" w:type="dxa"/>
            <w:vAlign w:val="bottom"/>
            <w:gridSpan w:val="2"/>
          </w:tcPr>
          <w:p>
            <w:pPr>
              <w:spacing w:after="0"/>
              <w:rPr>
                <w:sz w:val="20"/>
                <w:szCs w:val="20"/>
                <w:color w:val="auto"/>
              </w:rPr>
            </w:pPr>
            <w:r>
              <w:rPr>
                <w:rFonts w:ascii="Arial" w:cs="Arial" w:eastAsia="Arial" w:hAnsi="Arial"/>
                <w:sz w:val="18"/>
                <w:szCs w:val="18"/>
                <w:color w:val="auto"/>
              </w:rPr>
              <w:t>Legiant, LLC Meeting Maker - United States, Inc. and Deerpath Funding, LP (18)</w:t>
            </w:r>
          </w:p>
        </w:tc>
      </w:tr>
      <w:tr>
        <w:trPr>
          <w:trHeight w:val="418"/>
        </w:trPr>
        <w:tc>
          <w:tcPr>
            <w:tcW w:w="1260" w:type="dxa"/>
            <w:vAlign w:val="bottom"/>
          </w:tcPr>
          <w:p>
            <w:pPr>
              <w:spacing w:after="0"/>
              <w:rPr>
                <w:sz w:val="20"/>
                <w:szCs w:val="20"/>
                <w:color w:val="auto"/>
              </w:rPr>
            </w:pPr>
            <w:r>
              <w:rPr>
                <w:rFonts w:ascii="Arial" w:cs="Arial" w:eastAsia="Arial" w:hAnsi="Arial"/>
                <w:sz w:val="18"/>
                <w:szCs w:val="18"/>
                <w:color w:val="auto"/>
              </w:rPr>
              <w:t>10.17</w:t>
            </w:r>
          </w:p>
        </w:tc>
        <w:tc>
          <w:tcPr>
            <w:tcW w:w="10160" w:type="dxa"/>
            <w:vAlign w:val="bottom"/>
            <w:gridSpan w:val="2"/>
          </w:tcPr>
          <w:p>
            <w:pPr>
              <w:spacing w:after="0"/>
              <w:rPr>
                <w:sz w:val="20"/>
                <w:szCs w:val="20"/>
                <w:color w:val="auto"/>
              </w:rPr>
            </w:pPr>
            <w:r>
              <w:rPr>
                <w:rFonts w:ascii="Arial" w:cs="Arial" w:eastAsia="Arial" w:hAnsi="Arial"/>
                <w:sz w:val="18"/>
                <w:szCs w:val="18"/>
                <w:color w:val="auto"/>
                <w:w w:val="93"/>
              </w:rPr>
              <w:t>Third Amendment to Loan Agreement effective as of September 30, 2013 by and among Asure Software Inc., ADI Software, LLC, Asure</w:t>
            </w:r>
          </w:p>
        </w:tc>
      </w:tr>
      <w:tr>
        <w:trPr>
          <w:trHeight w:val="230"/>
        </w:trPr>
        <w:tc>
          <w:tcPr>
            <w:tcW w:w="1260" w:type="dxa"/>
            <w:vAlign w:val="bottom"/>
          </w:tcPr>
          <w:p>
            <w:pPr>
              <w:spacing w:after="0"/>
              <w:rPr>
                <w:sz w:val="20"/>
                <w:szCs w:val="20"/>
                <w:color w:val="auto"/>
              </w:rPr>
            </w:pPr>
          </w:p>
        </w:tc>
        <w:tc>
          <w:tcPr>
            <w:tcW w:w="10160" w:type="dxa"/>
            <w:vAlign w:val="bottom"/>
            <w:gridSpan w:val="2"/>
          </w:tcPr>
          <w:p>
            <w:pPr>
              <w:spacing w:after="0"/>
              <w:rPr>
                <w:sz w:val="20"/>
                <w:szCs w:val="20"/>
                <w:color w:val="auto"/>
              </w:rPr>
            </w:pPr>
            <w:r>
              <w:rPr>
                <w:rFonts w:ascii="Arial" w:cs="Arial" w:eastAsia="Arial" w:hAnsi="Arial"/>
                <w:sz w:val="18"/>
                <w:szCs w:val="18"/>
                <w:color w:val="auto"/>
              </w:rPr>
              <w:t>Legiant, LLC Meeting Maker - United States, Inc. and Deerpath Funding, LP (19)</w:t>
            </w:r>
          </w:p>
        </w:tc>
      </w:tr>
      <w:tr>
        <w:trPr>
          <w:trHeight w:val="418"/>
        </w:trPr>
        <w:tc>
          <w:tcPr>
            <w:tcW w:w="1260" w:type="dxa"/>
            <w:vAlign w:val="bottom"/>
          </w:tcPr>
          <w:p>
            <w:pPr>
              <w:spacing w:after="0"/>
              <w:rPr>
                <w:sz w:val="20"/>
                <w:szCs w:val="20"/>
                <w:color w:val="auto"/>
              </w:rPr>
            </w:pPr>
            <w:r>
              <w:rPr>
                <w:rFonts w:ascii="Arial" w:cs="Arial" w:eastAsia="Arial" w:hAnsi="Arial"/>
                <w:sz w:val="18"/>
                <w:szCs w:val="18"/>
                <w:color w:val="auto"/>
              </w:rPr>
              <w:t>10.18</w:t>
            </w:r>
          </w:p>
        </w:tc>
        <w:tc>
          <w:tcPr>
            <w:tcW w:w="10160" w:type="dxa"/>
            <w:vAlign w:val="bottom"/>
            <w:gridSpan w:val="2"/>
          </w:tcPr>
          <w:p>
            <w:pPr>
              <w:spacing w:after="0"/>
              <w:rPr>
                <w:sz w:val="20"/>
                <w:szCs w:val="20"/>
                <w:color w:val="auto"/>
              </w:rPr>
            </w:pPr>
            <w:r>
              <w:rPr>
                <w:rFonts w:ascii="Arial" w:cs="Arial" w:eastAsia="Arial" w:hAnsi="Arial"/>
                <w:sz w:val="18"/>
                <w:szCs w:val="18"/>
                <w:color w:val="auto"/>
                <w:w w:val="92"/>
              </w:rPr>
              <w:t>Credit Agreement by and among Wells Fargo Bank, National Association, as Administrative Agent, the Lenders that are parties thereto as</w:t>
            </w:r>
          </w:p>
        </w:tc>
      </w:tr>
      <w:tr>
        <w:trPr>
          <w:trHeight w:val="230"/>
        </w:trPr>
        <w:tc>
          <w:tcPr>
            <w:tcW w:w="1260" w:type="dxa"/>
            <w:vAlign w:val="bottom"/>
          </w:tcPr>
          <w:p>
            <w:pPr>
              <w:spacing w:after="0"/>
              <w:rPr>
                <w:sz w:val="20"/>
                <w:szCs w:val="20"/>
                <w:color w:val="auto"/>
              </w:rPr>
            </w:pPr>
          </w:p>
        </w:tc>
        <w:tc>
          <w:tcPr>
            <w:tcW w:w="10160" w:type="dxa"/>
            <w:vAlign w:val="bottom"/>
            <w:gridSpan w:val="2"/>
          </w:tcPr>
          <w:p>
            <w:pPr>
              <w:spacing w:after="0"/>
              <w:rPr>
                <w:sz w:val="20"/>
                <w:szCs w:val="20"/>
                <w:color w:val="auto"/>
              </w:rPr>
            </w:pPr>
            <w:r>
              <w:rPr>
                <w:rFonts w:ascii="Arial" w:cs="Arial" w:eastAsia="Arial" w:hAnsi="Arial"/>
                <w:sz w:val="18"/>
                <w:szCs w:val="18"/>
                <w:color w:val="auto"/>
              </w:rPr>
              <w:t>the Lenders, and Asure Software, Inc., as Borrower, Dated as of March 20, 2014 (20)</w:t>
            </w:r>
          </w:p>
        </w:tc>
      </w:tr>
      <w:tr>
        <w:trPr>
          <w:trHeight w:val="432"/>
        </w:trPr>
        <w:tc>
          <w:tcPr>
            <w:tcW w:w="1260" w:type="dxa"/>
            <w:vAlign w:val="bottom"/>
          </w:tcPr>
          <w:p>
            <w:pPr>
              <w:spacing w:after="0"/>
              <w:rPr>
                <w:sz w:val="20"/>
                <w:szCs w:val="20"/>
                <w:color w:val="auto"/>
              </w:rPr>
            </w:pPr>
            <w:r>
              <w:rPr>
                <w:rFonts w:ascii="Arial" w:cs="Arial" w:eastAsia="Arial" w:hAnsi="Arial"/>
                <w:sz w:val="18"/>
                <w:szCs w:val="18"/>
                <w:color w:val="auto"/>
              </w:rPr>
              <w:t>10.19</w:t>
            </w:r>
          </w:p>
        </w:tc>
        <w:tc>
          <w:tcPr>
            <w:tcW w:w="10160" w:type="dxa"/>
            <w:vAlign w:val="bottom"/>
            <w:gridSpan w:val="2"/>
          </w:tcPr>
          <w:p>
            <w:pPr>
              <w:spacing w:after="0"/>
              <w:rPr>
                <w:sz w:val="20"/>
                <w:szCs w:val="20"/>
                <w:color w:val="auto"/>
              </w:rPr>
            </w:pPr>
            <w:r>
              <w:rPr>
                <w:rFonts w:ascii="Arial" w:cs="Arial" w:eastAsia="Arial" w:hAnsi="Arial"/>
                <w:sz w:val="18"/>
                <w:szCs w:val="18"/>
                <w:color w:val="auto"/>
                <w:w w:val="93"/>
              </w:rPr>
              <w:t>Guaranty and Security Agreement between Asure Software, Inc. and Wells Fargo Bank, National Association, dated March 20, 2014 (20)</w:t>
            </w:r>
          </w:p>
        </w:tc>
      </w:tr>
      <w:tr>
        <w:trPr>
          <w:trHeight w:val="432"/>
        </w:trPr>
        <w:tc>
          <w:tcPr>
            <w:tcW w:w="1260" w:type="dxa"/>
            <w:vAlign w:val="bottom"/>
          </w:tcPr>
          <w:p>
            <w:pPr>
              <w:spacing w:after="0"/>
              <w:rPr>
                <w:sz w:val="20"/>
                <w:szCs w:val="20"/>
                <w:color w:val="auto"/>
              </w:rPr>
            </w:pPr>
            <w:r>
              <w:rPr>
                <w:rFonts w:ascii="Arial" w:cs="Arial" w:eastAsia="Arial" w:hAnsi="Arial"/>
                <w:sz w:val="18"/>
                <w:szCs w:val="18"/>
                <w:color w:val="auto"/>
              </w:rPr>
              <w:t>10.20</w:t>
            </w:r>
          </w:p>
        </w:tc>
        <w:tc>
          <w:tcPr>
            <w:tcW w:w="10160" w:type="dxa"/>
            <w:vAlign w:val="bottom"/>
            <w:gridSpan w:val="2"/>
          </w:tcPr>
          <w:p>
            <w:pPr>
              <w:spacing w:after="0"/>
              <w:rPr>
                <w:sz w:val="20"/>
                <w:szCs w:val="20"/>
                <w:color w:val="auto"/>
              </w:rPr>
            </w:pPr>
            <w:r>
              <w:rPr>
                <w:rFonts w:ascii="Arial" w:cs="Arial" w:eastAsia="Arial" w:hAnsi="Arial"/>
                <w:sz w:val="18"/>
                <w:szCs w:val="18"/>
                <w:color w:val="auto"/>
                <w:w w:val="94"/>
              </w:rPr>
              <w:t>Asset Purchase Agreement dated March 18, 2016 by and between Mangrove COBRASource, Inc. and Asure COBRAsource, LLC (21)</w:t>
            </w:r>
          </w:p>
        </w:tc>
      </w:tr>
      <w:tr>
        <w:trPr>
          <w:trHeight w:val="418"/>
        </w:trPr>
        <w:tc>
          <w:tcPr>
            <w:tcW w:w="1260" w:type="dxa"/>
            <w:vAlign w:val="bottom"/>
          </w:tcPr>
          <w:p>
            <w:pPr>
              <w:spacing w:after="0"/>
              <w:rPr>
                <w:sz w:val="20"/>
                <w:szCs w:val="20"/>
                <w:color w:val="auto"/>
              </w:rPr>
            </w:pPr>
            <w:r>
              <w:rPr>
                <w:rFonts w:ascii="Arial" w:cs="Arial" w:eastAsia="Arial" w:hAnsi="Arial"/>
                <w:sz w:val="18"/>
                <w:szCs w:val="18"/>
                <w:color w:val="auto"/>
              </w:rPr>
              <w:t>10.21</w:t>
            </w:r>
          </w:p>
        </w:tc>
        <w:tc>
          <w:tcPr>
            <w:tcW w:w="10160" w:type="dxa"/>
            <w:vAlign w:val="bottom"/>
            <w:gridSpan w:val="2"/>
          </w:tcPr>
          <w:p>
            <w:pPr>
              <w:spacing w:after="0"/>
              <w:rPr>
                <w:sz w:val="20"/>
                <w:szCs w:val="20"/>
                <w:color w:val="auto"/>
              </w:rPr>
            </w:pPr>
            <w:r>
              <w:rPr>
                <w:rFonts w:ascii="Arial" w:cs="Arial" w:eastAsia="Arial" w:hAnsi="Arial"/>
                <w:sz w:val="18"/>
                <w:szCs w:val="18"/>
                <w:color w:val="auto"/>
                <w:w w:val="94"/>
              </w:rPr>
              <w:t>Amendment Number Five to Credit Agreement, dated as of March 21, 2016, by and among Wells Fargo Bank, National Association, as</w:t>
            </w:r>
          </w:p>
        </w:tc>
      </w:tr>
      <w:tr>
        <w:trPr>
          <w:trHeight w:val="230"/>
        </w:trPr>
        <w:tc>
          <w:tcPr>
            <w:tcW w:w="1260" w:type="dxa"/>
            <w:vAlign w:val="bottom"/>
          </w:tcPr>
          <w:p>
            <w:pPr>
              <w:spacing w:after="0"/>
              <w:rPr>
                <w:sz w:val="20"/>
                <w:szCs w:val="20"/>
                <w:color w:val="auto"/>
              </w:rPr>
            </w:pPr>
          </w:p>
        </w:tc>
        <w:tc>
          <w:tcPr>
            <w:tcW w:w="10160" w:type="dxa"/>
            <w:vAlign w:val="bottom"/>
            <w:gridSpan w:val="2"/>
          </w:tcPr>
          <w:p>
            <w:pPr>
              <w:spacing w:after="0"/>
              <w:rPr>
                <w:sz w:val="20"/>
                <w:szCs w:val="20"/>
                <w:color w:val="auto"/>
              </w:rPr>
            </w:pPr>
            <w:r>
              <w:rPr>
                <w:rFonts w:ascii="Arial" w:cs="Arial" w:eastAsia="Arial" w:hAnsi="Arial"/>
                <w:sz w:val="18"/>
                <w:szCs w:val="18"/>
                <w:color w:val="auto"/>
              </w:rPr>
              <w:t>administrative agent for the Lenders, each Lender party thereto, and Asure Software, Inc. (21)</w:t>
            </w:r>
          </w:p>
        </w:tc>
      </w:tr>
      <w:tr>
        <w:trPr>
          <w:trHeight w:val="418"/>
        </w:trPr>
        <w:tc>
          <w:tcPr>
            <w:tcW w:w="1260" w:type="dxa"/>
            <w:vAlign w:val="bottom"/>
          </w:tcPr>
          <w:p>
            <w:pPr>
              <w:spacing w:after="0"/>
              <w:rPr>
                <w:sz w:val="20"/>
                <w:szCs w:val="20"/>
                <w:color w:val="auto"/>
              </w:rPr>
            </w:pPr>
            <w:r>
              <w:rPr>
                <w:rFonts w:ascii="Arial" w:cs="Arial" w:eastAsia="Arial" w:hAnsi="Arial"/>
                <w:sz w:val="18"/>
                <w:szCs w:val="18"/>
                <w:color w:val="auto"/>
              </w:rPr>
              <w:t>10.22</w:t>
            </w:r>
          </w:p>
        </w:tc>
        <w:tc>
          <w:tcPr>
            <w:tcW w:w="10160" w:type="dxa"/>
            <w:vAlign w:val="bottom"/>
            <w:gridSpan w:val="2"/>
          </w:tcPr>
          <w:p>
            <w:pPr>
              <w:spacing w:after="0"/>
              <w:rPr>
                <w:sz w:val="20"/>
                <w:szCs w:val="20"/>
                <w:color w:val="auto"/>
              </w:rPr>
            </w:pPr>
            <w:r>
              <w:rPr>
                <w:rFonts w:ascii="Arial" w:cs="Arial" w:eastAsia="Arial" w:hAnsi="Arial"/>
                <w:sz w:val="18"/>
                <w:szCs w:val="18"/>
                <w:color w:val="auto"/>
                <w:w w:val="92"/>
              </w:rPr>
              <w:t>Secured Subordinated Promissory Note, dated March 18, 2016, by and among Asure Software, Inc., Richard S. Cangemi, as Stockholder</w:t>
            </w:r>
          </w:p>
        </w:tc>
      </w:tr>
      <w:tr>
        <w:trPr>
          <w:trHeight w:val="216"/>
        </w:trPr>
        <w:tc>
          <w:tcPr>
            <w:tcW w:w="1260" w:type="dxa"/>
            <w:vAlign w:val="bottom"/>
          </w:tcPr>
          <w:p>
            <w:pPr>
              <w:spacing w:after="0"/>
              <w:rPr>
                <w:sz w:val="18"/>
                <w:szCs w:val="18"/>
                <w:color w:val="auto"/>
              </w:rPr>
            </w:pPr>
          </w:p>
        </w:tc>
        <w:tc>
          <w:tcPr>
            <w:tcW w:w="10160" w:type="dxa"/>
            <w:vAlign w:val="bottom"/>
            <w:gridSpan w:val="2"/>
          </w:tcPr>
          <w:p>
            <w:pPr>
              <w:spacing w:after="0"/>
              <w:rPr>
                <w:sz w:val="20"/>
                <w:szCs w:val="20"/>
                <w:color w:val="auto"/>
              </w:rPr>
            </w:pPr>
            <w:r>
              <w:rPr>
                <w:rFonts w:ascii="Arial" w:cs="Arial" w:eastAsia="Arial" w:hAnsi="Arial"/>
                <w:sz w:val="18"/>
                <w:szCs w:val="18"/>
                <w:color w:val="auto"/>
              </w:rPr>
              <w:t>Representative and attorney-in-fact for Richard S. Cangemi and Paul D. Zugay, as Principal Shareholders (22)</w:t>
            </w:r>
          </w:p>
        </w:tc>
      </w:tr>
      <w:tr>
        <w:trPr>
          <w:trHeight w:val="230"/>
        </w:trPr>
        <w:tc>
          <w:tcPr>
            <w:tcW w:w="1260" w:type="dxa"/>
            <w:vAlign w:val="bottom"/>
          </w:tcPr>
          <w:p>
            <w:pPr>
              <w:spacing w:after="0"/>
              <w:rPr>
                <w:sz w:val="20"/>
                <w:szCs w:val="20"/>
                <w:color w:val="auto"/>
              </w:rPr>
            </w:pPr>
            <w:r>
              <w:rPr>
                <w:rFonts w:ascii="Arial" w:cs="Arial" w:eastAsia="Arial" w:hAnsi="Arial"/>
                <w:sz w:val="18"/>
                <w:szCs w:val="18"/>
                <w:color w:val="auto"/>
              </w:rPr>
              <w:t>10.23</w:t>
            </w:r>
          </w:p>
        </w:tc>
        <w:tc>
          <w:tcPr>
            <w:tcW w:w="10160" w:type="dxa"/>
            <w:vAlign w:val="bottom"/>
            <w:gridSpan w:val="2"/>
          </w:tcPr>
          <w:p>
            <w:pPr>
              <w:spacing w:after="0"/>
              <w:rPr>
                <w:sz w:val="20"/>
                <w:szCs w:val="20"/>
                <w:color w:val="auto"/>
              </w:rPr>
            </w:pPr>
            <w:r>
              <w:rPr>
                <w:rFonts w:ascii="Arial" w:cs="Arial" w:eastAsia="Arial" w:hAnsi="Arial"/>
                <w:sz w:val="18"/>
                <w:szCs w:val="18"/>
                <w:color w:val="auto"/>
              </w:rPr>
              <w:t>Employee Stock Purchase Plan (23)</w:t>
            </w:r>
          </w:p>
        </w:tc>
      </w:tr>
      <w:tr>
        <w:trPr>
          <w:trHeight w:val="418"/>
        </w:trPr>
        <w:tc>
          <w:tcPr>
            <w:tcW w:w="1260" w:type="dxa"/>
            <w:vAlign w:val="bottom"/>
          </w:tcPr>
          <w:p>
            <w:pPr>
              <w:spacing w:after="0"/>
              <w:rPr>
                <w:sz w:val="20"/>
                <w:szCs w:val="20"/>
                <w:color w:val="auto"/>
              </w:rPr>
            </w:pPr>
            <w:r>
              <w:rPr>
                <w:rFonts w:ascii="Arial" w:cs="Arial" w:eastAsia="Arial" w:hAnsi="Arial"/>
                <w:sz w:val="18"/>
                <w:szCs w:val="18"/>
                <w:color w:val="auto"/>
              </w:rPr>
              <w:t>10.24</w:t>
            </w:r>
          </w:p>
        </w:tc>
        <w:tc>
          <w:tcPr>
            <w:tcW w:w="10160" w:type="dxa"/>
            <w:vAlign w:val="bottom"/>
            <w:gridSpan w:val="2"/>
          </w:tcPr>
          <w:p>
            <w:pPr>
              <w:spacing w:after="0"/>
              <w:rPr>
                <w:sz w:val="20"/>
                <w:szCs w:val="20"/>
                <w:color w:val="auto"/>
              </w:rPr>
            </w:pPr>
            <w:r>
              <w:rPr>
                <w:rFonts w:ascii="Arial" w:cs="Arial" w:eastAsia="Arial" w:hAnsi="Arial"/>
                <w:sz w:val="18"/>
                <w:szCs w:val="18"/>
                <w:color w:val="auto"/>
                <w:w w:val="95"/>
              </w:rPr>
              <w:t>Amendment Number Six to Credit Agreement, dated as of March 10, 2017, by and among Wells Fargo Bank, National Association, as</w:t>
            </w:r>
          </w:p>
        </w:tc>
      </w:tr>
      <w:tr>
        <w:trPr>
          <w:trHeight w:val="230"/>
        </w:trPr>
        <w:tc>
          <w:tcPr>
            <w:tcW w:w="1260" w:type="dxa"/>
            <w:vAlign w:val="bottom"/>
          </w:tcPr>
          <w:p>
            <w:pPr>
              <w:spacing w:after="0"/>
              <w:rPr>
                <w:sz w:val="20"/>
                <w:szCs w:val="20"/>
                <w:color w:val="auto"/>
              </w:rPr>
            </w:pPr>
          </w:p>
        </w:tc>
        <w:tc>
          <w:tcPr>
            <w:tcW w:w="10160" w:type="dxa"/>
            <w:vAlign w:val="bottom"/>
            <w:gridSpan w:val="2"/>
          </w:tcPr>
          <w:p>
            <w:pPr>
              <w:spacing w:after="0"/>
              <w:rPr>
                <w:sz w:val="20"/>
                <w:szCs w:val="20"/>
                <w:color w:val="auto"/>
              </w:rPr>
            </w:pPr>
            <w:r>
              <w:rPr>
                <w:rFonts w:ascii="Arial" w:cs="Arial" w:eastAsia="Arial" w:hAnsi="Arial"/>
                <w:sz w:val="18"/>
                <w:szCs w:val="18"/>
                <w:color w:val="auto"/>
              </w:rPr>
              <w:t>administrative agent for the Lenders, each Lender party thereto, and Asure Software, Inc. (24)</w:t>
            </w:r>
          </w:p>
        </w:tc>
      </w:tr>
      <w:tr>
        <w:trPr>
          <w:trHeight w:val="392"/>
        </w:trPr>
        <w:tc>
          <w:tcPr>
            <w:tcW w:w="1260" w:type="dxa"/>
            <w:vAlign w:val="bottom"/>
          </w:tcPr>
          <w:p>
            <w:pPr>
              <w:spacing w:after="0"/>
              <w:rPr>
                <w:sz w:val="20"/>
                <w:szCs w:val="20"/>
                <w:color w:val="auto"/>
              </w:rPr>
            </w:pPr>
            <w:r>
              <w:rPr>
                <w:rFonts w:ascii="Arial" w:cs="Arial" w:eastAsia="Arial" w:hAnsi="Arial"/>
                <w:sz w:val="18"/>
                <w:szCs w:val="18"/>
                <w:color w:val="auto"/>
              </w:rPr>
              <w:t>10.25</w:t>
            </w:r>
          </w:p>
        </w:tc>
        <w:tc>
          <w:tcPr>
            <w:tcW w:w="10160" w:type="dxa"/>
            <w:vAlign w:val="bottom"/>
            <w:tcBorders>
              <w:bottom w:val="single" w:sz="8" w:color="0000EE"/>
            </w:tcBorders>
            <w:gridSpan w:val="2"/>
          </w:tcPr>
          <w:p>
            <w:pPr>
              <w:spacing w:after="0"/>
              <w:rPr>
                <w:rFonts w:ascii="Arial" w:cs="Arial" w:eastAsia="Arial" w:hAnsi="Arial"/>
                <w:sz w:val="18"/>
                <w:szCs w:val="18"/>
                <w:color w:val="0000EE"/>
                <w:w w:val="92"/>
              </w:rPr>
            </w:pPr>
            <w:hyperlink w:anchor="page58">
              <w:r>
                <w:rPr>
                  <w:rFonts w:ascii="Arial" w:cs="Arial" w:eastAsia="Arial" w:hAnsi="Arial"/>
                  <w:sz w:val="18"/>
                  <w:szCs w:val="18"/>
                  <w:color w:val="0000EE"/>
                  <w:w w:val="92"/>
                </w:rPr>
                <w:t>Amendment Number Seven to Credit Agreement, dated as of March 20, 2017, by and among Wells Fargo Bank, National Association, as</w:t>
              </w:r>
            </w:hyperlink>
          </w:p>
        </w:tc>
      </w:tr>
      <w:tr>
        <w:trPr>
          <w:trHeight w:val="196"/>
        </w:trPr>
        <w:tc>
          <w:tcPr>
            <w:tcW w:w="1260" w:type="dxa"/>
            <w:vAlign w:val="bottom"/>
          </w:tcPr>
          <w:p>
            <w:pPr>
              <w:spacing w:after="0"/>
              <w:rPr>
                <w:sz w:val="17"/>
                <w:szCs w:val="17"/>
                <w:color w:val="auto"/>
              </w:rPr>
            </w:pPr>
          </w:p>
        </w:tc>
        <w:tc>
          <w:tcPr>
            <w:tcW w:w="10160" w:type="dxa"/>
            <w:vAlign w:val="bottom"/>
            <w:gridSpan w:val="2"/>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administrative agent for the Lenders, each Lender party thereto, and Asure Software, Inc. *</w:t>
              </w:r>
            </w:hyperlink>
          </w:p>
        </w:tc>
      </w:tr>
      <w:tr>
        <w:trPr>
          <w:trHeight w:val="453"/>
        </w:trPr>
        <w:tc>
          <w:tcPr>
            <w:tcW w:w="1260" w:type="dxa"/>
            <w:vAlign w:val="bottom"/>
          </w:tcPr>
          <w:p>
            <w:pPr>
              <w:spacing w:after="0"/>
              <w:rPr>
                <w:sz w:val="20"/>
                <w:szCs w:val="20"/>
                <w:color w:val="auto"/>
              </w:rPr>
            </w:pPr>
            <w:r>
              <w:rPr>
                <w:rFonts w:ascii="Arial" w:cs="Arial" w:eastAsia="Arial" w:hAnsi="Arial"/>
                <w:sz w:val="18"/>
                <w:szCs w:val="18"/>
                <w:color w:val="auto"/>
              </w:rPr>
              <w:t>14</w:t>
            </w:r>
          </w:p>
        </w:tc>
        <w:tc>
          <w:tcPr>
            <w:tcW w:w="656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Code of Business Conduct and Ethics (8)</w:t>
            </w:r>
          </w:p>
        </w:tc>
        <w:tc>
          <w:tcPr>
            <w:tcW w:w="3600" w:type="dxa"/>
            <w:vAlign w:val="bottom"/>
          </w:tcPr>
          <w:p>
            <w:pPr>
              <w:spacing w:after="0"/>
              <w:rPr>
                <w:sz w:val="24"/>
                <w:szCs w:val="24"/>
                <w:color w:val="auto"/>
              </w:rPr>
            </w:pPr>
          </w:p>
        </w:tc>
      </w:tr>
    </w:tbl>
    <w:p>
      <w:pPr>
        <w:spacing w:after="0" w:line="202" w:lineRule="exact"/>
        <w:rPr>
          <w:sz w:val="20"/>
          <w:szCs w:val="20"/>
          <w:color w:val="auto"/>
        </w:rPr>
      </w:pPr>
    </w:p>
    <w:p>
      <w:pPr>
        <w:ind w:left="1260" w:hanging="1252"/>
        <w:spacing w:after="0"/>
        <w:tabs>
          <w:tab w:leader="none" w:pos="1260" w:val="left"/>
        </w:tabs>
        <w:numPr>
          <w:ilvl w:val="0"/>
          <w:numId w:val="13"/>
        </w:numPr>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Subsidiaries of the Company*</w:t>
        </w:r>
      </w:hyperlink>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60" w:type="dxa"/>
            <w:vAlign w:val="bottom"/>
          </w:tcPr>
          <w:p>
            <w:pPr>
              <w:jc w:val="right"/>
              <w:ind w:right="850"/>
              <w:spacing w:after="0"/>
              <w:rPr>
                <w:sz w:val="20"/>
                <w:szCs w:val="20"/>
                <w:color w:val="auto"/>
              </w:rPr>
            </w:pPr>
            <w:r>
              <w:rPr>
                <w:rFonts w:ascii="Arial" w:cs="Arial" w:eastAsia="Arial" w:hAnsi="Arial"/>
                <w:sz w:val="18"/>
                <w:szCs w:val="18"/>
                <w:color w:val="auto"/>
                <w:w w:val="85"/>
              </w:rPr>
              <w:t>23.1</w:t>
            </w:r>
          </w:p>
        </w:tc>
        <w:tc>
          <w:tcPr>
            <w:tcW w:w="1900" w:type="dxa"/>
            <w:vAlign w:val="bottom"/>
            <w:tcBorders>
              <w:bottom w:val="single" w:sz="8" w:color="0000EE"/>
            </w:tcBorders>
            <w:gridSpan w:val="2"/>
          </w:tcPr>
          <w:p>
            <w:pPr>
              <w:spacing w:after="0"/>
              <w:rPr>
                <w:rFonts w:ascii="Arial" w:cs="Arial" w:eastAsia="Arial" w:hAnsi="Arial"/>
                <w:sz w:val="18"/>
                <w:szCs w:val="18"/>
                <w:color w:val="0000EE"/>
                <w:w w:val="93"/>
              </w:rPr>
            </w:pPr>
            <w:hyperlink w:anchor="page76">
              <w:r>
                <w:rPr>
                  <w:rFonts w:ascii="Arial" w:cs="Arial" w:eastAsia="Arial" w:hAnsi="Arial"/>
                  <w:sz w:val="18"/>
                  <w:szCs w:val="18"/>
                  <w:color w:val="0000EE"/>
                  <w:w w:val="93"/>
                </w:rPr>
                <w:t>Consent of Marcum LLP*</w:t>
              </w:r>
            </w:hyperlink>
          </w:p>
        </w:tc>
        <w:tc>
          <w:tcPr>
            <w:tcW w:w="8260" w:type="dxa"/>
            <w:vAlign w:val="bottom"/>
            <w:gridSpan w:val="3"/>
          </w:tcPr>
          <w:p>
            <w:pPr>
              <w:spacing w:after="0"/>
              <w:rPr>
                <w:sz w:val="18"/>
                <w:szCs w:val="18"/>
                <w:color w:val="auto"/>
              </w:rPr>
            </w:pPr>
          </w:p>
        </w:tc>
      </w:tr>
      <w:tr>
        <w:trPr>
          <w:trHeight w:val="412"/>
        </w:trPr>
        <w:tc>
          <w:tcPr>
            <w:tcW w:w="1260" w:type="dxa"/>
            <w:vAlign w:val="bottom"/>
          </w:tcPr>
          <w:p>
            <w:pPr>
              <w:jc w:val="right"/>
              <w:ind w:right="850"/>
              <w:spacing w:after="0"/>
              <w:rPr>
                <w:sz w:val="20"/>
                <w:szCs w:val="20"/>
                <w:color w:val="auto"/>
              </w:rPr>
            </w:pPr>
            <w:r>
              <w:rPr>
                <w:rFonts w:ascii="Arial" w:cs="Arial" w:eastAsia="Arial" w:hAnsi="Arial"/>
                <w:sz w:val="18"/>
                <w:szCs w:val="18"/>
                <w:color w:val="auto"/>
                <w:w w:val="85"/>
              </w:rPr>
              <w:t>23.2</w:t>
            </w:r>
          </w:p>
        </w:tc>
        <w:tc>
          <w:tcPr>
            <w:tcW w:w="2380" w:type="dxa"/>
            <w:vAlign w:val="bottom"/>
            <w:tcBorders>
              <w:bottom w:val="single" w:sz="8" w:color="0000EE"/>
            </w:tcBorders>
            <w:gridSpan w:val="3"/>
          </w:tcPr>
          <w:p>
            <w:pPr>
              <w:spacing w:after="0"/>
              <w:rPr>
                <w:rFonts w:ascii="Arial" w:cs="Arial" w:eastAsia="Arial" w:hAnsi="Arial"/>
                <w:sz w:val="18"/>
                <w:szCs w:val="18"/>
                <w:color w:val="0000EE"/>
                <w:w w:val="93"/>
              </w:rPr>
            </w:pPr>
            <w:hyperlink w:anchor="page77">
              <w:r>
                <w:rPr>
                  <w:rFonts w:ascii="Arial" w:cs="Arial" w:eastAsia="Arial" w:hAnsi="Arial"/>
                  <w:sz w:val="18"/>
                  <w:szCs w:val="18"/>
                  <w:color w:val="0000EE"/>
                  <w:w w:val="93"/>
                </w:rPr>
                <w:t>Consent of Ernst &amp; Young LLP*</w:t>
              </w:r>
            </w:hyperlink>
          </w:p>
        </w:tc>
        <w:tc>
          <w:tcPr>
            <w:tcW w:w="7780" w:type="dxa"/>
            <w:vAlign w:val="bottom"/>
            <w:gridSpan w:val="2"/>
          </w:tcPr>
          <w:p>
            <w:pPr>
              <w:spacing w:after="0"/>
              <w:rPr>
                <w:sz w:val="24"/>
                <w:szCs w:val="24"/>
                <w:color w:val="auto"/>
              </w:rPr>
            </w:pPr>
          </w:p>
        </w:tc>
      </w:tr>
      <w:tr>
        <w:trPr>
          <w:trHeight w:val="412"/>
        </w:trPr>
        <w:tc>
          <w:tcPr>
            <w:tcW w:w="1260" w:type="dxa"/>
            <w:vAlign w:val="bottom"/>
          </w:tcPr>
          <w:p>
            <w:pPr>
              <w:jc w:val="right"/>
              <w:ind w:right="850"/>
              <w:spacing w:after="0"/>
              <w:rPr>
                <w:sz w:val="20"/>
                <w:szCs w:val="20"/>
                <w:color w:val="auto"/>
              </w:rPr>
            </w:pPr>
            <w:r>
              <w:rPr>
                <w:rFonts w:ascii="Arial" w:cs="Arial" w:eastAsia="Arial" w:hAnsi="Arial"/>
                <w:sz w:val="18"/>
                <w:szCs w:val="18"/>
                <w:color w:val="auto"/>
                <w:w w:val="85"/>
              </w:rPr>
              <w:t>31.1</w:t>
            </w:r>
          </w:p>
        </w:tc>
        <w:tc>
          <w:tcPr>
            <w:tcW w:w="532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78">
              <w:r>
                <w:rPr>
                  <w:rFonts w:ascii="Arial" w:cs="Arial" w:eastAsia="Arial" w:hAnsi="Arial"/>
                  <w:sz w:val="18"/>
                  <w:szCs w:val="18"/>
                  <w:color w:val="0000EE"/>
                  <w:w w:val="91"/>
                </w:rPr>
                <w:t>Certification pursuant to Section 302 of the Sarbanes-Oxley Act of 2002*</w:t>
              </w:r>
            </w:hyperlink>
          </w:p>
        </w:tc>
        <w:tc>
          <w:tcPr>
            <w:tcW w:w="4840" w:type="dxa"/>
            <w:vAlign w:val="bottom"/>
          </w:tcPr>
          <w:p>
            <w:pPr>
              <w:spacing w:after="0"/>
              <w:rPr>
                <w:sz w:val="24"/>
                <w:szCs w:val="24"/>
                <w:color w:val="auto"/>
              </w:rPr>
            </w:pPr>
          </w:p>
        </w:tc>
      </w:tr>
      <w:tr>
        <w:trPr>
          <w:trHeight w:val="412"/>
        </w:trPr>
        <w:tc>
          <w:tcPr>
            <w:tcW w:w="1260" w:type="dxa"/>
            <w:vAlign w:val="bottom"/>
          </w:tcPr>
          <w:p>
            <w:pPr>
              <w:jc w:val="right"/>
              <w:ind w:right="850"/>
              <w:spacing w:after="0"/>
              <w:rPr>
                <w:sz w:val="20"/>
                <w:szCs w:val="20"/>
                <w:color w:val="auto"/>
              </w:rPr>
            </w:pPr>
            <w:r>
              <w:rPr>
                <w:rFonts w:ascii="Arial" w:cs="Arial" w:eastAsia="Arial" w:hAnsi="Arial"/>
                <w:sz w:val="18"/>
                <w:szCs w:val="18"/>
                <w:color w:val="auto"/>
                <w:w w:val="85"/>
              </w:rPr>
              <w:t>31.2</w:t>
            </w:r>
          </w:p>
        </w:tc>
        <w:tc>
          <w:tcPr>
            <w:tcW w:w="532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79">
              <w:r>
                <w:rPr>
                  <w:rFonts w:ascii="Arial" w:cs="Arial" w:eastAsia="Arial" w:hAnsi="Arial"/>
                  <w:sz w:val="18"/>
                  <w:szCs w:val="18"/>
                  <w:color w:val="0000EE"/>
                  <w:w w:val="91"/>
                </w:rPr>
                <w:t>Certification pursuant to Section 302 of the Sarbanes-Oxley Act of 2002*</w:t>
              </w:r>
            </w:hyperlink>
          </w:p>
        </w:tc>
        <w:tc>
          <w:tcPr>
            <w:tcW w:w="4840" w:type="dxa"/>
            <w:vAlign w:val="bottom"/>
          </w:tcPr>
          <w:p>
            <w:pPr>
              <w:spacing w:after="0"/>
              <w:rPr>
                <w:sz w:val="24"/>
                <w:szCs w:val="24"/>
                <w:color w:val="auto"/>
              </w:rPr>
            </w:pPr>
          </w:p>
        </w:tc>
      </w:tr>
      <w:tr>
        <w:trPr>
          <w:trHeight w:val="412"/>
        </w:trPr>
        <w:tc>
          <w:tcPr>
            <w:tcW w:w="1260" w:type="dxa"/>
            <w:vAlign w:val="bottom"/>
          </w:tcPr>
          <w:p>
            <w:pPr>
              <w:jc w:val="right"/>
              <w:ind w:right="850"/>
              <w:spacing w:after="0"/>
              <w:rPr>
                <w:sz w:val="20"/>
                <w:szCs w:val="20"/>
                <w:color w:val="auto"/>
              </w:rPr>
            </w:pPr>
            <w:r>
              <w:rPr>
                <w:rFonts w:ascii="Arial" w:cs="Arial" w:eastAsia="Arial" w:hAnsi="Arial"/>
                <w:sz w:val="18"/>
                <w:szCs w:val="18"/>
                <w:color w:val="auto"/>
                <w:w w:val="85"/>
              </w:rPr>
              <w:t>32.1</w:t>
            </w:r>
          </w:p>
        </w:tc>
        <w:tc>
          <w:tcPr>
            <w:tcW w:w="10160" w:type="dxa"/>
            <w:vAlign w:val="bottom"/>
            <w:tcBorders>
              <w:bottom w:val="single" w:sz="8" w:color="0000EE"/>
            </w:tcBorders>
            <w:gridSpan w:val="5"/>
          </w:tcPr>
          <w:p>
            <w:pPr>
              <w:spacing w:after="0"/>
              <w:rPr>
                <w:rFonts w:ascii="Arial" w:cs="Arial" w:eastAsia="Arial" w:hAnsi="Arial"/>
                <w:sz w:val="18"/>
                <w:szCs w:val="18"/>
                <w:color w:val="0000EE"/>
                <w:w w:val="94"/>
              </w:rPr>
            </w:pPr>
            <w:hyperlink w:anchor="page80">
              <w:r>
                <w:rPr>
                  <w:rFonts w:ascii="Arial" w:cs="Arial" w:eastAsia="Arial" w:hAnsi="Arial"/>
                  <w:sz w:val="18"/>
                  <w:szCs w:val="18"/>
                  <w:color w:val="0000EE"/>
                  <w:w w:val="94"/>
                </w:rPr>
                <w:t>Certification pursuant to 18 U.S.C. Section 1350, as adopted pursuant to Section 906 of the Sarbanes-Oxley Act of 2002 (furnished, not</w:t>
              </w:r>
            </w:hyperlink>
          </w:p>
        </w:tc>
      </w:tr>
      <w:tr>
        <w:trPr>
          <w:trHeight w:val="196"/>
        </w:trPr>
        <w:tc>
          <w:tcPr>
            <w:tcW w:w="1260" w:type="dxa"/>
            <w:vAlign w:val="bottom"/>
          </w:tcPr>
          <w:p>
            <w:pPr>
              <w:spacing w:after="0"/>
              <w:rPr>
                <w:sz w:val="17"/>
                <w:szCs w:val="17"/>
                <w:color w:val="auto"/>
              </w:rPr>
            </w:pPr>
          </w:p>
        </w:tc>
        <w:tc>
          <w:tcPr>
            <w:tcW w:w="10160" w:type="dxa"/>
            <w:vAlign w:val="bottom"/>
            <w:gridSpan w:val="5"/>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filed)*</w:t>
              </w:r>
            </w:hyperlink>
          </w:p>
        </w:tc>
      </w:tr>
      <w:tr>
        <w:trPr>
          <w:trHeight w:val="20"/>
        </w:trPr>
        <w:tc>
          <w:tcPr>
            <w:tcW w:w="12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9680" w:type="dxa"/>
            <w:vAlign w:val="bottom"/>
            <w:gridSpan w:val="4"/>
          </w:tcPr>
          <w:p>
            <w:pPr>
              <w:spacing w:after="0" w:line="20" w:lineRule="exact"/>
              <w:rPr>
                <w:sz w:val="1"/>
                <w:szCs w:val="1"/>
                <w:color w:val="auto"/>
              </w:rPr>
            </w:pPr>
          </w:p>
        </w:tc>
      </w:tr>
      <w:tr>
        <w:trPr>
          <w:trHeight w:val="412"/>
        </w:trPr>
        <w:tc>
          <w:tcPr>
            <w:tcW w:w="1260" w:type="dxa"/>
            <w:vAlign w:val="bottom"/>
          </w:tcPr>
          <w:p>
            <w:pPr>
              <w:jc w:val="right"/>
              <w:ind w:right="850"/>
              <w:spacing w:after="0"/>
              <w:rPr>
                <w:sz w:val="20"/>
                <w:szCs w:val="20"/>
                <w:color w:val="auto"/>
              </w:rPr>
            </w:pPr>
            <w:r>
              <w:rPr>
                <w:rFonts w:ascii="Arial" w:cs="Arial" w:eastAsia="Arial" w:hAnsi="Arial"/>
                <w:sz w:val="18"/>
                <w:szCs w:val="18"/>
                <w:color w:val="auto"/>
                <w:w w:val="85"/>
              </w:rPr>
              <w:t>32.2</w:t>
            </w:r>
          </w:p>
        </w:tc>
        <w:tc>
          <w:tcPr>
            <w:tcW w:w="10160" w:type="dxa"/>
            <w:vAlign w:val="bottom"/>
            <w:tcBorders>
              <w:bottom w:val="single" w:sz="8" w:color="0000EE"/>
            </w:tcBorders>
            <w:gridSpan w:val="5"/>
          </w:tcPr>
          <w:p>
            <w:pPr>
              <w:spacing w:after="0"/>
              <w:rPr>
                <w:rFonts w:ascii="Arial" w:cs="Arial" w:eastAsia="Arial" w:hAnsi="Arial"/>
                <w:sz w:val="18"/>
                <w:szCs w:val="18"/>
                <w:color w:val="0000EE"/>
                <w:w w:val="94"/>
              </w:rPr>
            </w:pPr>
            <w:hyperlink w:anchor="page81">
              <w:r>
                <w:rPr>
                  <w:rFonts w:ascii="Arial" w:cs="Arial" w:eastAsia="Arial" w:hAnsi="Arial"/>
                  <w:sz w:val="18"/>
                  <w:szCs w:val="18"/>
                  <w:color w:val="0000EE"/>
                  <w:w w:val="94"/>
                </w:rPr>
                <w:t>Certification pursuant to 18 U.S.C. Section 1350, as adopted pursuant to Section 906 of the Sarbanes-Oxley Act of 2002 (furnished, not</w:t>
              </w:r>
            </w:hyperlink>
          </w:p>
        </w:tc>
      </w:tr>
      <w:tr>
        <w:trPr>
          <w:trHeight w:val="196"/>
        </w:trPr>
        <w:tc>
          <w:tcPr>
            <w:tcW w:w="1260" w:type="dxa"/>
            <w:vAlign w:val="bottom"/>
          </w:tcPr>
          <w:p>
            <w:pPr>
              <w:spacing w:after="0"/>
              <w:rPr>
                <w:sz w:val="17"/>
                <w:szCs w:val="17"/>
                <w:color w:val="auto"/>
              </w:rPr>
            </w:pPr>
          </w:p>
        </w:tc>
        <w:tc>
          <w:tcPr>
            <w:tcW w:w="10160" w:type="dxa"/>
            <w:vAlign w:val="bottom"/>
            <w:gridSpan w:val="5"/>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filed)*</w:t>
              </w:r>
            </w:hyperlink>
          </w:p>
        </w:tc>
      </w:tr>
      <w:tr>
        <w:trPr>
          <w:trHeight w:val="20"/>
        </w:trPr>
        <w:tc>
          <w:tcPr>
            <w:tcW w:w="12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1260" w:hanging="1252"/>
        <w:spacing w:after="0" w:line="286" w:lineRule="auto"/>
        <w:tabs>
          <w:tab w:leader="none" w:pos="12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following materials from Asure Software, Inc.’s Annual Report on Form 10-K for the year ended December 31, 2016, formatted in XBRL (Extensible Business Reporting Language): (1) the Consolidated Balance Sheets, (2) the Consolidated Statements of Comprehensive Loss, (3) the Consolidated Statements of Cash Flows, and (4) Notes to Consolidated Financial Statements.</w:t>
      </w:r>
    </w:p>
    <w:p>
      <w:pPr>
        <w:sectPr>
          <w:pgSz w:w="11900" w:h="16838" w:orient="portrait"/>
          <w:cols w:equalWidth="0" w:num="1">
            <w:col w:w="11420"/>
          </w:cols>
          <w:pgMar w:left="240" w:top="125" w:right="239" w:bottom="308" w:gutter="0" w:footer="0" w:header="0"/>
        </w:sectPr>
      </w:pP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308" w:gutter="0" w:footer="0" w:header="0"/>
          <w:type w:val="continuous"/>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left="660" w:right="80" w:hanging="652"/>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Incorporated by reference to the Company’s Quarterly Report on Form 10-Q for the three months ended September 30, 2011 filed with the SEC on November 14, 2011.</w:t>
      </w:r>
    </w:p>
    <w:p>
      <w:pPr>
        <w:spacing w:after="0" w:line="197" w:lineRule="exact"/>
        <w:rPr>
          <w:rFonts w:ascii="Arial" w:cs="Arial" w:eastAsia="Arial" w:hAnsi="Arial"/>
          <w:sz w:val="18"/>
          <w:szCs w:val="18"/>
          <w:color w:val="auto"/>
        </w:rPr>
      </w:pPr>
    </w:p>
    <w:p>
      <w:pPr>
        <w:ind w:left="660" w:right="120" w:hanging="652"/>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Incorporated by reference to the Company’s Annual Report on Form 10-K for the year ended December 31, 2011 filed with the SEC on March 30, 2012.</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Incorporated by reference to the Company’s Current Report on Form 8-K filed with the SEC on July 6, 2012.</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Incorporated by reference to the Company’s Current Report on Form 8-K filed with the SEC on October 15, 2012.</w:t>
      </w:r>
    </w:p>
    <w:p>
      <w:pPr>
        <w:spacing w:after="0" w:line="225" w:lineRule="exact"/>
        <w:rPr>
          <w:rFonts w:ascii="Arial" w:cs="Arial" w:eastAsia="Arial" w:hAnsi="Arial"/>
          <w:sz w:val="18"/>
          <w:szCs w:val="18"/>
          <w:color w:val="auto"/>
        </w:rPr>
      </w:pPr>
    </w:p>
    <w:p>
      <w:pPr>
        <w:ind w:left="660" w:right="260" w:hanging="652"/>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Incorporated by reference to the Company’s Quarterly Report on Form 10-Q for the three months ended October 31, 2004 filed with the SEC on December 15, 2004.</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Incorporated by reference to the Company’s Current Report on Form 8-K filed with the SEC on December 29, 2009.</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Incorporated by reference to Appendix C to the Company’s 2012 Proxy Statement filed with the SEC on May 23, 2012.</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Incorporated by reference to the Company’s Current Report on Form 8-K filed with the SEC on September 27, 2012.</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Incorporated by reference to Exhibit 4.1 to the Company’s Registration Statement on Form S-3 filed with the SEC on December 13, 2012.</w:t>
      </w:r>
    </w:p>
    <w:p>
      <w:pPr>
        <w:spacing w:after="0" w:line="263" w:lineRule="exact"/>
        <w:rPr>
          <w:rFonts w:ascii="Arial" w:cs="Arial" w:eastAsia="Arial" w:hAnsi="Arial"/>
          <w:sz w:val="17"/>
          <w:szCs w:val="17"/>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Incorporated by reference to the Company’s Current Report on Form 8-K filed with the SEC on October 28, 2009.</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Incorporated by reference to the Company’s Current Report on Form 8-K filed with the SEC on March 12, 2012.</w:t>
      </w:r>
    </w:p>
    <w:p>
      <w:pPr>
        <w:spacing w:after="0" w:line="252" w:lineRule="exact"/>
        <w:rPr>
          <w:rFonts w:ascii="Arial" w:cs="Arial" w:eastAsia="Arial" w:hAnsi="Arial"/>
          <w:sz w:val="18"/>
          <w:szCs w:val="18"/>
          <w:color w:val="auto"/>
        </w:rPr>
      </w:pPr>
    </w:p>
    <w:p>
      <w:pPr>
        <w:ind w:left="660" w:right="100" w:hanging="652"/>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Incorporated by reference to the Company’s Quarterly Report on Form 10-Q for the three months ended April 30, 2006 filed with the SEC on June 14, 2006.</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Incorporated by reference to the Company’s 2013 Proxy Statement filed with the SEC on April 30, 2013.</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Incorporated by reference to the Company’s Current Report on Form 8-K filed with the SEC on September 28, 2009.</w:t>
      </w:r>
    </w:p>
    <w:p>
      <w:pPr>
        <w:spacing w:after="0" w:line="252"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Incorporated by reference to the Company’s Quarterly Report on Form 10-Q for the three months ended March 31, 2010 filed with the SEC on May 17, 2010.</w:t>
      </w:r>
    </w:p>
    <w:p>
      <w:pPr>
        <w:spacing w:after="0" w:line="170" w:lineRule="exact"/>
        <w:rPr>
          <w:rFonts w:ascii="Arial" w:cs="Arial" w:eastAsia="Arial" w:hAnsi="Arial"/>
          <w:sz w:val="18"/>
          <w:szCs w:val="18"/>
          <w:color w:val="auto"/>
        </w:rPr>
      </w:pPr>
    </w:p>
    <w:p>
      <w:pPr>
        <w:ind w:left="660" w:right="280" w:hanging="652"/>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Incorporated by reference to the Company’s Annual Report on Form 10-K for the year ended December 31, 2012 filed with the SEC on April 1, 2013.</w:t>
      </w:r>
    </w:p>
    <w:p>
      <w:pPr>
        <w:spacing w:after="0" w:line="197" w:lineRule="exact"/>
        <w:rPr>
          <w:rFonts w:ascii="Arial" w:cs="Arial" w:eastAsia="Arial" w:hAnsi="Arial"/>
          <w:sz w:val="18"/>
          <w:szCs w:val="18"/>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Incorporated by reference to the Company’s Current Report on Form 8-K filed with the SEC on June 5, 2013.</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Incorporated by reference to the Company’s Current Report on Form 8-K filed with the SEC on August 7, 2013.</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Incorporated by reference to the Company’s Current Report on Form 8-K filed with the SEC on October 2, 2013.</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Incorporated by reference to the Company’s Current Report on Form 8-K filed with the SEC on March 25, 2014.</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Incorporated by reference to the Company’s Current Report on Form 8-K filed with the SEC on March 21, 2016.</w:t>
      </w:r>
    </w:p>
    <w:p>
      <w:pPr>
        <w:spacing w:after="0" w:line="252" w:lineRule="exact"/>
        <w:rPr>
          <w:rFonts w:ascii="Arial" w:cs="Arial" w:eastAsia="Arial" w:hAnsi="Arial"/>
          <w:sz w:val="18"/>
          <w:szCs w:val="18"/>
          <w:color w:val="auto"/>
        </w:rPr>
      </w:pPr>
    </w:p>
    <w:p>
      <w:pPr>
        <w:ind w:left="660" w:right="100" w:hanging="652"/>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Incorporated by reference to the Company’s Annual Report on Form 10-K for the year ended December 31, 2015 filed with the SEC on March 30, 2016.</w:t>
      </w:r>
    </w:p>
    <w:p>
      <w:pPr>
        <w:spacing w:after="0" w:line="197" w:lineRule="exact"/>
        <w:rPr>
          <w:rFonts w:ascii="Arial" w:cs="Arial" w:eastAsia="Arial" w:hAnsi="Arial"/>
          <w:sz w:val="18"/>
          <w:szCs w:val="18"/>
          <w:color w:val="auto"/>
        </w:rPr>
      </w:pPr>
    </w:p>
    <w:p>
      <w:pPr>
        <w:ind w:left="640" w:hanging="632"/>
        <w:spacing w:after="0"/>
        <w:tabs>
          <w:tab w:leader="none" w:pos="6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Incorporated by reference to the Company’s Registration Statement on Form S-8 (No. 333-215097) filed with the SEC on December 14, 2016.</w:t>
      </w:r>
    </w:p>
    <w:p>
      <w:pPr>
        <w:spacing w:after="0" w:line="263" w:lineRule="exact"/>
        <w:rPr>
          <w:rFonts w:ascii="Arial" w:cs="Arial" w:eastAsia="Arial" w:hAnsi="Arial"/>
          <w:sz w:val="17"/>
          <w:szCs w:val="17"/>
          <w:color w:val="auto"/>
        </w:rPr>
      </w:pPr>
    </w:p>
    <w:p>
      <w:pPr>
        <w:ind w:left="660" w:right="2540" w:hanging="652"/>
        <w:spacing w:after="0" w:line="529" w:lineRule="auto"/>
        <w:tabs>
          <w:tab w:leader="none" w:pos="647"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Incorporated by reference to the Company’s Current Report on Form 8-K filed with the SEC on March 16, 2017. *Filed herewith</w:t>
      </w:r>
    </w:p>
    <w:p>
      <w:pPr>
        <w:sectPr>
          <w:pgSz w:w="11900" w:h="16838" w:orient="portrait"/>
          <w:cols w:equalWidth="0" w:num="1">
            <w:col w:w="11320"/>
          </w:cols>
          <w:pgMar w:left="240" w:top="125" w:right="339" w:bottom="1440" w:gutter="0" w:footer="0" w:header="0"/>
        </w:sectPr>
      </w:pPr>
    </w:p>
    <w:p>
      <w:pPr>
        <w:spacing w:after="0" w:line="2" w:lineRule="exact"/>
        <w:rPr>
          <w:sz w:val="20"/>
          <w:szCs w:val="20"/>
          <w:color w:val="auto"/>
        </w:rPr>
      </w:pPr>
    </w:p>
    <w:p>
      <w:pPr>
        <w:jc w:val="center"/>
        <w:ind w:right="-99"/>
        <w:spacing w:after="0"/>
        <w:rPr>
          <w:sz w:val="20"/>
          <w:szCs w:val="20"/>
          <w:color w:val="auto"/>
        </w:rPr>
      </w:pPr>
      <w:r>
        <w:rPr>
          <w:rFonts w:ascii="Arial" w:cs="Arial" w:eastAsia="Arial" w:hAnsi="Arial"/>
          <w:sz w:val="12"/>
          <w:szCs w:val="12"/>
          <w:color w:val="auto"/>
        </w:rPr>
        <w:t>28</w:t>
      </w:r>
    </w:p>
    <w:p>
      <w:pPr>
        <w:sectPr>
          <w:pgSz w:w="11900" w:h="16838" w:orient="portrait"/>
          <w:cols w:equalWidth="0" w:num="1">
            <w:col w:w="11320"/>
          </w:cols>
          <w:pgMar w:left="240" w:top="125" w:right="339" w:bottom="1440" w:gutter="0" w:footer="0" w:header="0"/>
          <w:type w:val="continuous"/>
        </w:sectPr>
      </w:pPr>
    </w:p>
    <w:bookmarkStart w:id="57" w:name="page58"/>
    <w:bookmarkEnd w:id="57"/>
    <w:p>
      <w:pPr>
        <w:jc w:val="right"/>
        <w:spacing w:after="0"/>
        <w:rPr>
          <w:sz w:val="20"/>
          <w:szCs w:val="20"/>
          <w:color w:val="auto"/>
        </w:rPr>
      </w:pPr>
      <w:r>
        <w:rPr>
          <w:rFonts w:ascii="Arial" w:cs="Arial" w:eastAsia="Arial" w:hAnsi="Arial"/>
          <w:sz w:val="22"/>
          <w:szCs w:val="22"/>
          <w:b w:val="1"/>
          <w:bCs w:val="1"/>
          <w:color w:val="auto"/>
        </w:rPr>
        <w:t>Exhibit 10.25</w:t>
      </w:r>
    </w:p>
    <w:p>
      <w:pPr>
        <w:spacing w:after="0" w:line="246"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NUMBER SEVEN TO CREDIT AGREEMENT</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THIS AMENDMENT NUMBER SEVEN TO CREDIT AGREEMENT </w:t>
      </w:r>
      <w:r>
        <w:rPr>
          <w:rFonts w:ascii="Arial" w:cs="Arial" w:eastAsia="Arial" w:hAnsi="Arial"/>
          <w:sz w:val="18"/>
          <w:szCs w:val="18"/>
          <w:color w:val="auto"/>
        </w:rPr>
        <w:t>(this “</w:t>
      </w:r>
      <w:r>
        <w:rPr>
          <w:rFonts w:ascii="Arial" w:cs="Arial" w:eastAsia="Arial" w:hAnsi="Arial"/>
          <w:sz w:val="18"/>
          <w:szCs w:val="18"/>
          <w:u w:val="single" w:color="auto"/>
          <w:color w:val="auto"/>
        </w:rPr>
        <w:t>Amendment</w:t>
      </w:r>
      <w:r>
        <w:rPr>
          <w:rFonts w:ascii="Arial" w:cs="Arial" w:eastAsia="Arial" w:hAnsi="Arial"/>
          <w:sz w:val="18"/>
          <w:szCs w:val="18"/>
          <w:color w:val="auto"/>
        </w:rPr>
        <w:t>”), dated as of March 20, 2017, is entered into by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among </w:t>
      </w:r>
      <w:r>
        <w:rPr>
          <w:rFonts w:ascii="Arial" w:cs="Arial" w:eastAsia="Arial" w:hAnsi="Arial"/>
          <w:sz w:val="18"/>
          <w:szCs w:val="18"/>
          <w:b w:val="1"/>
          <w:bCs w:val="1"/>
          <w:color w:val="auto"/>
        </w:rPr>
        <w:t>WELLS FARGO BANK, NATIONAL ASSOCIATION</w:t>
      </w:r>
      <w:r>
        <w:rPr>
          <w:rFonts w:ascii="Arial" w:cs="Arial" w:eastAsia="Arial" w:hAnsi="Arial"/>
          <w:sz w:val="18"/>
          <w:szCs w:val="18"/>
          <w:color w:val="auto"/>
        </w:rPr>
        <w:t>, a national banking association, as administrative agent for the Lenders (in such capacity, together with its successors and assigns in such capacity, “</w:t>
      </w:r>
      <w:r>
        <w:rPr>
          <w:rFonts w:ascii="Arial" w:cs="Arial" w:eastAsia="Arial" w:hAnsi="Arial"/>
          <w:sz w:val="18"/>
          <w:szCs w:val="18"/>
          <w:u w:val="single" w:color="auto"/>
          <w:color w:val="auto"/>
        </w:rPr>
        <w:t>Agent</w:t>
      </w:r>
      <w:r>
        <w:rPr>
          <w:rFonts w:ascii="Arial" w:cs="Arial" w:eastAsia="Arial" w:hAnsi="Arial"/>
          <w:sz w:val="18"/>
          <w:szCs w:val="18"/>
          <w:color w:val="auto"/>
        </w:rPr>
        <w:t xml:space="preserve">”), each Lender party hereto, and </w:t>
      </w:r>
      <w:r>
        <w:rPr>
          <w:rFonts w:ascii="Arial" w:cs="Arial" w:eastAsia="Arial" w:hAnsi="Arial"/>
          <w:sz w:val="18"/>
          <w:szCs w:val="18"/>
          <w:b w:val="1"/>
          <w:bCs w:val="1"/>
          <w:color w:val="auto"/>
        </w:rPr>
        <w:t>ASURE SOFTWARE, INC.</w:t>
      </w:r>
      <w:r>
        <w:rPr>
          <w:rFonts w:ascii="Arial" w:cs="Arial" w:eastAsia="Arial" w:hAnsi="Arial"/>
          <w:sz w:val="18"/>
          <w:szCs w:val="18"/>
          <w:color w:val="auto"/>
        </w:rPr>
        <w:t>, a Delaware corporation (“</w:t>
      </w:r>
      <w:r>
        <w:rPr>
          <w:rFonts w:ascii="Arial" w:cs="Arial" w:eastAsia="Arial" w:hAnsi="Arial"/>
          <w:sz w:val="18"/>
          <w:szCs w:val="18"/>
          <w:u w:val="single" w:color="auto"/>
          <w:color w:val="auto"/>
        </w:rPr>
        <w:t>Borrower</w:t>
      </w:r>
      <w:r>
        <w:rPr>
          <w:rFonts w:ascii="Arial" w:cs="Arial" w:eastAsia="Arial" w:hAnsi="Arial"/>
          <w:sz w:val="18"/>
          <w:szCs w:val="18"/>
          <w:color w:val="auto"/>
        </w:rPr>
        <w: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jc w:val="both"/>
        <w:ind w:right="20" w:firstLine="656"/>
        <w:spacing w:after="0" w:line="259" w:lineRule="auto"/>
        <w:tabs>
          <w:tab w:leader="none" w:pos="1479" w:val="left"/>
        </w:tabs>
        <w:numPr>
          <w:ilvl w:val="0"/>
          <w:numId w:val="16"/>
        </w:numPr>
        <w:rPr>
          <w:rFonts w:ascii="Arial" w:cs="Arial" w:eastAsia="Arial" w:hAnsi="Arial"/>
          <w:sz w:val="18"/>
          <w:szCs w:val="18"/>
          <w:color w:val="auto"/>
        </w:rPr>
      </w:pPr>
      <w:r>
        <w:rPr>
          <w:rFonts w:ascii="Arial" w:cs="Arial" w:eastAsia="Arial" w:hAnsi="Arial"/>
          <w:sz w:val="18"/>
          <w:szCs w:val="18"/>
          <w:color w:val="auto"/>
        </w:rPr>
        <w:t>Borrower, Agent and the financial institutions party thereto (the “</w:t>
      </w:r>
      <w:r>
        <w:rPr>
          <w:rFonts w:ascii="Arial" w:cs="Arial" w:eastAsia="Arial" w:hAnsi="Arial"/>
          <w:sz w:val="18"/>
          <w:szCs w:val="18"/>
          <w:u w:val="single" w:color="auto"/>
          <w:color w:val="auto"/>
        </w:rPr>
        <w:t>Lenders</w:t>
      </w:r>
      <w:r>
        <w:rPr>
          <w:rFonts w:ascii="Arial" w:cs="Arial" w:eastAsia="Arial" w:hAnsi="Arial"/>
          <w:sz w:val="18"/>
          <w:szCs w:val="18"/>
          <w:color w:val="auto"/>
        </w:rPr>
        <w:t>”) have previously entered into that certain Credit Agreement, dated as of March 20, 2014 (as amended, restated,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pursuant to which the Lenders have made certain loans and financial accommodations available to Borrower. Capitalized terms used herein without definition shall have the meanings ascribed thereto in the Credit Agreement.</w:t>
      </w:r>
    </w:p>
    <w:p>
      <w:pPr>
        <w:spacing w:after="0" w:line="186" w:lineRule="exact"/>
        <w:rPr>
          <w:rFonts w:ascii="Arial" w:cs="Arial" w:eastAsia="Arial" w:hAnsi="Arial"/>
          <w:sz w:val="18"/>
          <w:szCs w:val="18"/>
          <w:color w:val="auto"/>
        </w:rPr>
      </w:pPr>
    </w:p>
    <w:p>
      <w:pPr>
        <w:ind w:firstLine="656"/>
        <w:spacing w:after="0" w:line="308" w:lineRule="auto"/>
        <w:tabs>
          <w:tab w:leader="none" w:pos="1604" w:val="left"/>
        </w:tabs>
        <w:numPr>
          <w:ilvl w:val="0"/>
          <w:numId w:val="16"/>
        </w:numPr>
        <w:rPr>
          <w:rFonts w:ascii="Arial" w:cs="Arial" w:eastAsia="Arial" w:hAnsi="Arial"/>
          <w:sz w:val="17"/>
          <w:szCs w:val="17"/>
          <w:color w:val="auto"/>
        </w:rPr>
      </w:pPr>
      <w:r>
        <w:rPr>
          <w:rFonts w:ascii="Arial" w:cs="Arial" w:eastAsia="Arial" w:hAnsi="Arial"/>
          <w:sz w:val="17"/>
          <w:szCs w:val="17"/>
          <w:color w:val="auto"/>
        </w:rPr>
        <w:t>Borrower has notified Agent that it desires to pay in full the Indebtedness outstanding under the Mangrove Subordinated Note (the “</w:t>
      </w:r>
      <w:r>
        <w:rPr>
          <w:rFonts w:ascii="Arial" w:cs="Arial" w:eastAsia="Arial" w:hAnsi="Arial"/>
          <w:sz w:val="17"/>
          <w:szCs w:val="17"/>
          <w:u w:val="single" w:color="auto"/>
          <w:color w:val="auto"/>
        </w:rPr>
        <w:t>Mangrove Note Payoff</w:t>
      </w:r>
      <w:r>
        <w:rPr>
          <w:rFonts w:ascii="Arial" w:cs="Arial" w:eastAsia="Arial" w:hAnsi="Arial"/>
          <w:sz w:val="17"/>
          <w:szCs w:val="17"/>
          <w:color w:val="auto"/>
        </w:rPr>
        <w:t>”) on or about March 20, 2017, the outstanding balance of which is $5,879,000 as of the Seventh Amendment Effective Date.</w:t>
      </w:r>
    </w:p>
    <w:p>
      <w:pPr>
        <w:spacing w:after="0" w:line="146" w:lineRule="exact"/>
        <w:rPr>
          <w:rFonts w:ascii="Arial" w:cs="Arial" w:eastAsia="Arial" w:hAnsi="Arial"/>
          <w:sz w:val="17"/>
          <w:szCs w:val="17"/>
          <w:color w:val="auto"/>
        </w:rPr>
      </w:pPr>
    </w:p>
    <w:p>
      <w:pPr>
        <w:jc w:val="both"/>
        <w:ind w:firstLine="656"/>
        <w:spacing w:after="0" w:line="276" w:lineRule="auto"/>
        <w:tabs>
          <w:tab w:leader="none" w:pos="1526" w:val="left"/>
        </w:tabs>
        <w:numPr>
          <w:ilvl w:val="0"/>
          <w:numId w:val="16"/>
        </w:numPr>
        <w:rPr>
          <w:rFonts w:ascii="Arial" w:cs="Arial" w:eastAsia="Arial" w:hAnsi="Arial"/>
          <w:sz w:val="17"/>
          <w:szCs w:val="17"/>
          <w:color w:val="auto"/>
        </w:rPr>
      </w:pPr>
      <w:r>
        <w:rPr>
          <w:rFonts w:ascii="Arial" w:cs="Arial" w:eastAsia="Arial" w:hAnsi="Arial"/>
          <w:sz w:val="17"/>
          <w:szCs w:val="17"/>
          <w:color w:val="auto"/>
        </w:rPr>
        <w:t>On the Seventh Amendment Effective Date (as defined below), but immediately prior to the funding of the Additional Term Loan (as defined below), the outstanding principal balance of the Term Loan was $24,714,453.11 (the “</w:t>
      </w:r>
      <w:r>
        <w:rPr>
          <w:rFonts w:ascii="Arial" w:cs="Arial" w:eastAsia="Arial" w:hAnsi="Arial"/>
          <w:sz w:val="17"/>
          <w:szCs w:val="17"/>
          <w:u w:val="single" w:color="auto"/>
          <w:color w:val="auto"/>
        </w:rPr>
        <w:t>Original Term Loan</w:t>
      </w:r>
      <w:r>
        <w:rPr>
          <w:rFonts w:ascii="Arial" w:cs="Arial" w:eastAsia="Arial" w:hAnsi="Arial"/>
          <w:sz w:val="17"/>
          <w:szCs w:val="17"/>
          <w:color w:val="auto"/>
        </w:rPr>
        <w:t>”). In order to finance a portion of the Mangrove Note Payoff, Borrower has requested that on the Seventh Amendment Effective Date, the Lenders make an additional Term Loan to Borrower in the aggregate amount of $5,000,000 (the “</w:t>
      </w:r>
      <w:r>
        <w:rPr>
          <w:rFonts w:ascii="Arial" w:cs="Arial" w:eastAsia="Arial" w:hAnsi="Arial"/>
          <w:sz w:val="17"/>
          <w:szCs w:val="17"/>
          <w:u w:val="single" w:color="auto"/>
          <w:color w:val="auto"/>
        </w:rPr>
        <w:t>Additional Term Loan</w:t>
      </w:r>
      <w:r>
        <w:rPr>
          <w:rFonts w:ascii="Arial" w:cs="Arial" w:eastAsia="Arial" w:hAnsi="Arial"/>
          <w:sz w:val="17"/>
          <w:szCs w:val="17"/>
          <w:color w:val="auto"/>
        </w:rPr>
        <w:t>” and together with the Original Term Loan, the “</w:t>
      </w:r>
      <w:r>
        <w:rPr>
          <w:rFonts w:ascii="Arial" w:cs="Arial" w:eastAsia="Arial" w:hAnsi="Arial"/>
          <w:sz w:val="17"/>
          <w:szCs w:val="17"/>
          <w:u w:val="single" w:color="auto"/>
          <w:color w:val="auto"/>
        </w:rPr>
        <w:t>Term Loans</w:t>
      </w:r>
      <w:r>
        <w:rPr>
          <w:rFonts w:ascii="Arial" w:cs="Arial" w:eastAsia="Arial" w:hAnsi="Arial"/>
          <w:sz w:val="17"/>
          <w:szCs w:val="17"/>
          <w:color w:val="auto"/>
        </w:rPr>
        <w:t>”) so that after disbursing the proceeds of the Additional Term Loan, the aggregate principal amount of the Term Loans will be $29,714,453.11.</w:t>
      </w:r>
    </w:p>
    <w:p>
      <w:pPr>
        <w:spacing w:after="0" w:line="172" w:lineRule="exact"/>
        <w:rPr>
          <w:rFonts w:ascii="Arial" w:cs="Arial" w:eastAsia="Arial" w:hAnsi="Arial"/>
          <w:sz w:val="17"/>
          <w:szCs w:val="17"/>
          <w:color w:val="auto"/>
        </w:rPr>
      </w:pPr>
    </w:p>
    <w:p>
      <w:pPr>
        <w:ind w:firstLine="656"/>
        <w:spacing w:after="0" w:line="277" w:lineRule="auto"/>
        <w:tabs>
          <w:tab w:leader="none" w:pos="151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Borrower has further requested that Agent and the Lenders amend certain other provisions of the Credit Agreement and consent to the Mangrove Note Payoff. The Lender Group has agreed to such amendments and consent pursuant to the terms hereunder.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NOW, THEREFORE, in consideration of the foregoing and the mutual covenants herein contained, and for other good and valuable consideration, the receipt and sufficiency of which are hereby acknowledged, the parties hereby agree as follows:</w:t>
      </w:r>
    </w:p>
    <w:p>
      <w:pPr>
        <w:spacing w:after="0" w:line="166" w:lineRule="exact"/>
        <w:rPr>
          <w:sz w:val="20"/>
          <w:szCs w:val="20"/>
          <w:color w:val="auto"/>
        </w:rPr>
      </w:pPr>
    </w:p>
    <w:p>
      <w:pPr>
        <w:ind w:left="1360" w:hanging="704"/>
        <w:spacing w:after="0"/>
        <w:tabs>
          <w:tab w:leader="none" w:pos="1360" w:val="left"/>
        </w:tabs>
        <w:numPr>
          <w:ilvl w:val="0"/>
          <w:numId w:val="17"/>
        </w:numPr>
        <w:rPr>
          <w:rFonts w:ascii="Arial" w:cs="Arial" w:eastAsia="Arial" w:hAnsi="Arial"/>
          <w:sz w:val="18"/>
          <w:szCs w:val="18"/>
          <w:color w:val="010000"/>
        </w:rPr>
      </w:pPr>
      <w:r>
        <w:rPr>
          <w:rFonts w:ascii="Arial" w:cs="Arial" w:eastAsia="Arial" w:hAnsi="Arial"/>
          <w:sz w:val="18"/>
          <w:szCs w:val="18"/>
          <w:b w:val="1"/>
          <w:bCs w:val="1"/>
          <w:u w:val="single" w:color="auto"/>
          <w:color w:val="auto"/>
        </w:rPr>
        <w:t>Amendments to Credit Agreement</w:t>
      </w:r>
      <w:r>
        <w:rPr>
          <w:rFonts w:ascii="Arial" w:cs="Arial" w:eastAsia="Arial" w:hAnsi="Arial"/>
          <w:sz w:val="18"/>
          <w:szCs w:val="18"/>
          <w:color w:val="auto"/>
        </w:rPr>
        <w:t>. Effective upon the Seventh Amendment Effective Date (as defined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w:t>
      </w:r>
      <w:r>
        <w:rPr>
          <w:rFonts w:ascii="Arial" w:cs="Arial" w:eastAsia="Arial" w:hAnsi="Arial"/>
          <w:sz w:val="18"/>
          <w:szCs w:val="18"/>
          <w:b w:val="1"/>
          <w:bCs w:val="1"/>
          <w:color w:val="auto"/>
        </w:rPr>
        <w:t xml:space="preserve"> </w:t>
      </w:r>
      <w:r>
        <w:rPr>
          <w:rFonts w:ascii="Arial" w:cs="Arial" w:eastAsia="Arial" w:hAnsi="Arial"/>
          <w:sz w:val="18"/>
          <w:szCs w:val="18"/>
          <w:color w:val="auto"/>
        </w:rPr>
        <w:t>below):</w:t>
      </w:r>
    </w:p>
    <w:p>
      <w:pPr>
        <w:spacing w:after="0" w:line="229" w:lineRule="exact"/>
        <w:rPr>
          <w:rFonts w:ascii="Arial" w:cs="Arial" w:eastAsia="Arial" w:hAnsi="Arial"/>
          <w:sz w:val="18"/>
          <w:szCs w:val="18"/>
          <w:color w:val="010000"/>
        </w:rPr>
      </w:pPr>
    </w:p>
    <w:p>
      <w:pPr>
        <w:ind w:left="1300" w:right="820" w:firstLine="5"/>
        <w:spacing w:after="0" w:line="501" w:lineRule="auto"/>
        <w:tabs>
          <w:tab w:leader="none" w:pos="2035" w:val="left"/>
        </w:tabs>
        <w:numPr>
          <w:ilvl w:val="1"/>
          <w:numId w:val="17"/>
        </w:numPr>
        <w:rPr>
          <w:rFonts w:ascii="Arial" w:cs="Arial" w:eastAsia="Arial" w:hAnsi="Arial"/>
          <w:sz w:val="18"/>
          <w:szCs w:val="18"/>
          <w:color w:val="010000"/>
        </w:rPr>
      </w:pPr>
      <w:r>
        <w:rPr>
          <w:rFonts w:ascii="Arial" w:cs="Arial" w:eastAsia="Arial" w:hAnsi="Arial"/>
          <w:sz w:val="18"/>
          <w:szCs w:val="18"/>
          <w:u w:val="single" w:color="auto"/>
          <w:color w:val="auto"/>
        </w:rPr>
        <w:t>Schedule 1.1</w:t>
      </w:r>
      <w:r>
        <w:rPr>
          <w:rFonts w:ascii="Arial" w:cs="Arial" w:eastAsia="Arial" w:hAnsi="Arial"/>
          <w:sz w:val="18"/>
          <w:szCs w:val="18"/>
          <w:color w:val="auto"/>
        </w:rPr>
        <w:t xml:space="preserve"> of the Credit Agreement is hereby amended by adding the following new definition in alphabetical order: “</w:t>
      </w:r>
      <w:r>
        <w:rPr>
          <w:rFonts w:ascii="Arial" w:cs="Arial" w:eastAsia="Arial" w:hAnsi="Arial"/>
          <w:sz w:val="18"/>
          <w:szCs w:val="18"/>
          <w:u w:val="single" w:color="auto"/>
          <w:color w:val="auto"/>
        </w:rPr>
        <w:t>Seventh Amendment Effective Date</w:t>
      </w:r>
      <w:r>
        <w:rPr>
          <w:rFonts w:ascii="Arial" w:cs="Arial" w:eastAsia="Arial" w:hAnsi="Arial"/>
          <w:sz w:val="18"/>
          <w:szCs w:val="18"/>
          <w:color w:val="auto"/>
        </w:rPr>
        <w:t>” means March 20, 2017.</w:t>
      </w:r>
    </w:p>
    <w:p>
      <w:pPr>
        <w:ind w:left="2300" w:hanging="995"/>
        <w:spacing w:after="0"/>
        <w:tabs>
          <w:tab w:leader="none" w:pos="2300" w:val="left"/>
        </w:tabs>
        <w:numPr>
          <w:ilvl w:val="1"/>
          <w:numId w:val="17"/>
        </w:numPr>
        <w:rPr>
          <w:rFonts w:ascii="Arial" w:cs="Arial" w:eastAsia="Arial" w:hAnsi="Arial"/>
          <w:sz w:val="17"/>
          <w:szCs w:val="17"/>
          <w:color w:val="010000"/>
        </w:rPr>
      </w:pPr>
      <w:r>
        <w:rPr>
          <w:rFonts w:ascii="Arial" w:cs="Arial" w:eastAsia="Arial" w:hAnsi="Arial"/>
          <w:sz w:val="17"/>
          <w:szCs w:val="17"/>
          <w:color w:val="auto"/>
        </w:rPr>
        <w:t xml:space="preserve">The definition of “Credit Amount” set forth in </w:t>
      </w:r>
      <w:r>
        <w:rPr>
          <w:rFonts w:ascii="Arial" w:cs="Arial" w:eastAsia="Arial" w:hAnsi="Arial"/>
          <w:sz w:val="17"/>
          <w:szCs w:val="17"/>
          <w:u w:val="single" w:color="auto"/>
          <w:color w:val="auto"/>
        </w:rPr>
        <w:t>Schedule 1.1</w:t>
      </w:r>
      <w:r>
        <w:rPr>
          <w:rFonts w:ascii="Arial" w:cs="Arial" w:eastAsia="Arial" w:hAnsi="Arial"/>
          <w:sz w:val="17"/>
          <w:szCs w:val="17"/>
          <w:color w:val="auto"/>
        </w:rPr>
        <w:t xml:space="preserve"> of the Credit Agreement is hereby amended and restated in its</w:t>
      </w:r>
    </w:p>
    <w:p>
      <w:pPr>
        <w:spacing w:after="0" w:line="34" w:lineRule="exact"/>
        <w:rPr>
          <w:rFonts w:ascii="Arial" w:cs="Arial" w:eastAsia="Arial" w:hAnsi="Arial"/>
          <w:sz w:val="17"/>
          <w:szCs w:val="17"/>
          <w:color w:val="010000"/>
        </w:rPr>
      </w:pPr>
    </w:p>
    <w:p>
      <w:pPr>
        <w:spacing w:after="0"/>
        <w:rPr>
          <w:rFonts w:ascii="Arial" w:cs="Arial" w:eastAsia="Arial" w:hAnsi="Arial"/>
          <w:sz w:val="17"/>
          <w:szCs w:val="17"/>
          <w:color w:val="010000"/>
        </w:rPr>
      </w:pPr>
      <w:r>
        <w:rPr>
          <w:rFonts w:ascii="Arial" w:cs="Arial" w:eastAsia="Arial" w:hAnsi="Arial"/>
          <w:sz w:val="18"/>
          <w:szCs w:val="18"/>
          <w:color w:val="auto"/>
        </w:rPr>
        <w:t>entirety as follows:</w:t>
      </w:r>
    </w:p>
    <w:p>
      <w:pPr>
        <w:spacing w:after="0" w:line="211" w:lineRule="exact"/>
        <w:rPr>
          <w:sz w:val="20"/>
          <w:szCs w:val="20"/>
          <w:color w:val="auto"/>
        </w:rPr>
      </w:pPr>
    </w:p>
    <w:p>
      <w:pPr>
        <w:ind w:left="1300" w:right="13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Amount</w:t>
      </w:r>
      <w:r>
        <w:rPr>
          <w:rFonts w:ascii="Arial" w:cs="Arial" w:eastAsia="Arial" w:hAnsi="Arial"/>
          <w:sz w:val="18"/>
          <w:szCs w:val="18"/>
          <w:color w:val="auto"/>
        </w:rPr>
        <w:t>” means, as of any date of determination, the result of (a) TTM Recurring Revenue calculated as of the last month for which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58" w:name="page59"/>
    <w:bookmarkEnd w:id="58"/>
    <w:p>
      <w:pPr>
        <w:jc w:val="both"/>
        <w:ind w:left="1300" w:right="1300"/>
        <w:spacing w:after="0" w:line="264" w:lineRule="auto"/>
        <w:rPr>
          <w:sz w:val="20"/>
          <w:szCs w:val="20"/>
          <w:color w:val="auto"/>
        </w:rPr>
      </w:pPr>
      <w:r>
        <w:rPr>
          <w:rFonts w:ascii="Arial" w:cs="Arial" w:eastAsia="Arial" w:hAnsi="Arial"/>
          <w:sz w:val="18"/>
          <w:szCs w:val="18"/>
          <w:color w:val="auto"/>
        </w:rPr>
        <w:t xml:space="preserve">statements have most recently been delivered pursuant to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of the Agreement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the aggregate amount of reserves, if any, established by Agent under </w:t>
      </w:r>
      <w:r>
        <w:rPr>
          <w:rFonts w:ascii="Arial" w:cs="Arial" w:eastAsia="Arial" w:hAnsi="Arial"/>
          <w:sz w:val="18"/>
          <w:szCs w:val="18"/>
          <w:u w:val="single" w:color="auto"/>
          <w:color w:val="auto"/>
        </w:rPr>
        <w:t>Section 2.1(c)</w:t>
      </w:r>
      <w:r>
        <w:rPr>
          <w:rFonts w:ascii="Arial" w:cs="Arial" w:eastAsia="Arial" w:hAnsi="Arial"/>
          <w:sz w:val="18"/>
          <w:szCs w:val="18"/>
          <w:color w:val="auto"/>
        </w:rPr>
        <w:t xml:space="preserve"> of the Agreement, </w:t>
      </w:r>
      <w:r>
        <w:rPr>
          <w:rFonts w:ascii="Arial" w:cs="Arial" w:eastAsia="Arial" w:hAnsi="Arial"/>
          <w:sz w:val="18"/>
          <w:szCs w:val="18"/>
          <w:i w:val="1"/>
          <w:iCs w:val="1"/>
          <w:color w:val="auto"/>
        </w:rPr>
        <w:t>times</w:t>
      </w:r>
      <w:r>
        <w:rPr>
          <w:rFonts w:ascii="Arial" w:cs="Arial" w:eastAsia="Arial" w:hAnsi="Arial"/>
          <w:sz w:val="18"/>
          <w:szCs w:val="18"/>
          <w:color w:val="auto"/>
        </w:rPr>
        <w:t xml:space="preserve"> (b) the applicable amount set forth in the following table for the date set forth opposite thereto:</w:t>
      </w:r>
    </w:p>
    <w:p>
      <w:pPr>
        <w:spacing w:after="0" w:line="176" w:lineRule="exact"/>
        <w:rPr>
          <w:sz w:val="20"/>
          <w:szCs w:val="20"/>
          <w:color w:val="auto"/>
        </w:rPr>
      </w:pPr>
    </w:p>
    <w:tbl>
      <w:tblPr>
        <w:tblLayout w:type="fixed"/>
        <w:tblInd w:w="1730" w:type="dxa"/>
        <w:tblCellMar>
          <w:top w:w="0" w:type="dxa"/>
          <w:left w:w="0" w:type="dxa"/>
          <w:bottom w:w="0" w:type="dxa"/>
          <w:right w:w="0" w:type="dxa"/>
        </w:tblCellMar>
      </w:tblPr>
      <w:tr>
        <w:trPr>
          <w:trHeight w:val="269"/>
        </w:trPr>
        <w:tc>
          <w:tcPr>
            <w:tcW w:w="4580" w:type="dxa"/>
            <w:vAlign w:val="bottom"/>
            <w:tcBorders>
              <w:top w:val="single" w:sz="8" w:color="auto"/>
              <w:left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Applicable amount</w:t>
            </w:r>
          </w:p>
        </w:tc>
        <w:tc>
          <w:tcPr>
            <w:tcW w:w="3420" w:type="dxa"/>
            <w:vAlign w:val="bottom"/>
            <w:tcBorders>
              <w:top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For any date of determination occurring on or</w:t>
            </w:r>
          </w:p>
        </w:tc>
      </w:tr>
      <w:tr>
        <w:trPr>
          <w:trHeight w:val="289"/>
        </w:trPr>
        <w:tc>
          <w:tcPr>
            <w:tcW w:w="4580" w:type="dxa"/>
            <w:vAlign w:val="bottom"/>
            <w:tcBorders>
              <w:left w:val="single" w:sz="8" w:color="auto"/>
              <w:bottom w:val="single" w:sz="8" w:color="CCEEFF"/>
              <w:right w:val="single" w:sz="8" w:color="auto"/>
            </w:tcBorders>
            <w:shd w:val="clear" w:color="auto" w:fill="CCEEFF"/>
          </w:tcPr>
          <w:p>
            <w:pPr>
              <w:spacing w:after="0"/>
              <w:rPr>
                <w:sz w:val="24"/>
                <w:szCs w:val="24"/>
                <w:color w:val="auto"/>
              </w:rPr>
            </w:pPr>
          </w:p>
        </w:tc>
        <w:tc>
          <w:tcPr>
            <w:tcW w:w="34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during the fiscal quarter ending</w:t>
            </w:r>
          </w:p>
        </w:tc>
      </w:tr>
      <w:tr>
        <w:trPr>
          <w:trHeight w:val="264"/>
        </w:trPr>
        <w:tc>
          <w:tcPr>
            <w:tcW w:w="45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1.15</w:t>
            </w:r>
          </w:p>
        </w:tc>
        <w:tc>
          <w:tcPr>
            <w:tcW w:w="34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March 31, 2017</w:t>
            </w:r>
          </w:p>
        </w:tc>
      </w:tr>
      <w:tr>
        <w:trPr>
          <w:trHeight w:val="54"/>
        </w:trPr>
        <w:tc>
          <w:tcPr>
            <w:tcW w:w="4580" w:type="dxa"/>
            <w:vAlign w:val="bottom"/>
            <w:tcBorders>
              <w:left w:val="single" w:sz="8" w:color="auto"/>
              <w:bottom w:val="single" w:sz="8" w:color="auto"/>
              <w:right w:val="single" w:sz="8" w:color="auto"/>
            </w:tcBorders>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r>
      <w:tr>
        <w:trPr>
          <w:trHeight w:val="264"/>
        </w:trPr>
        <w:tc>
          <w:tcPr>
            <w:tcW w:w="45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1.10</w:t>
            </w:r>
          </w:p>
        </w:tc>
        <w:tc>
          <w:tcPr>
            <w:tcW w:w="3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June 30, 2017</w:t>
            </w:r>
          </w:p>
        </w:tc>
      </w:tr>
      <w:tr>
        <w:trPr>
          <w:trHeight w:val="54"/>
        </w:trPr>
        <w:tc>
          <w:tcPr>
            <w:tcW w:w="4580" w:type="dxa"/>
            <w:vAlign w:val="bottom"/>
            <w:tcBorders>
              <w:left w:val="single" w:sz="8" w:color="auto"/>
              <w:bottom w:val="single" w:sz="8" w:color="auto"/>
              <w:right w:val="single" w:sz="8" w:color="auto"/>
            </w:tcBorders>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r>
      <w:tr>
        <w:trPr>
          <w:trHeight w:val="264"/>
        </w:trPr>
        <w:tc>
          <w:tcPr>
            <w:tcW w:w="45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3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September 30, 2017</w:t>
            </w:r>
          </w:p>
        </w:tc>
      </w:tr>
      <w:tr>
        <w:trPr>
          <w:trHeight w:val="54"/>
        </w:trPr>
        <w:tc>
          <w:tcPr>
            <w:tcW w:w="4580" w:type="dxa"/>
            <w:vAlign w:val="bottom"/>
            <w:tcBorders>
              <w:left w:val="single" w:sz="8" w:color="auto"/>
              <w:bottom w:val="single" w:sz="8" w:color="auto"/>
              <w:right w:val="single" w:sz="8" w:color="auto"/>
            </w:tcBorders>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r>
      <w:tr>
        <w:trPr>
          <w:trHeight w:val="264"/>
        </w:trPr>
        <w:tc>
          <w:tcPr>
            <w:tcW w:w="45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3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December 31, 2017</w:t>
            </w:r>
          </w:p>
        </w:tc>
      </w:tr>
      <w:tr>
        <w:trPr>
          <w:trHeight w:val="54"/>
        </w:trPr>
        <w:tc>
          <w:tcPr>
            <w:tcW w:w="4580" w:type="dxa"/>
            <w:vAlign w:val="bottom"/>
            <w:tcBorders>
              <w:left w:val="single" w:sz="8" w:color="auto"/>
              <w:bottom w:val="single" w:sz="8" w:color="auto"/>
              <w:right w:val="single" w:sz="8" w:color="auto"/>
            </w:tcBorders>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r>
      <w:tr>
        <w:trPr>
          <w:trHeight w:val="264"/>
        </w:trPr>
        <w:tc>
          <w:tcPr>
            <w:tcW w:w="45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0.90</w:t>
            </w:r>
          </w:p>
        </w:tc>
        <w:tc>
          <w:tcPr>
            <w:tcW w:w="3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March 31, 2018</w:t>
            </w:r>
          </w:p>
        </w:tc>
      </w:tr>
      <w:tr>
        <w:trPr>
          <w:trHeight w:val="54"/>
        </w:trPr>
        <w:tc>
          <w:tcPr>
            <w:tcW w:w="4580" w:type="dxa"/>
            <w:vAlign w:val="bottom"/>
            <w:tcBorders>
              <w:left w:val="single" w:sz="8" w:color="auto"/>
              <w:bottom w:val="single" w:sz="8" w:color="auto"/>
              <w:right w:val="single" w:sz="8" w:color="auto"/>
            </w:tcBorders>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r>
      <w:tr>
        <w:trPr>
          <w:trHeight w:val="264"/>
        </w:trPr>
        <w:tc>
          <w:tcPr>
            <w:tcW w:w="45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0.80</w:t>
            </w:r>
          </w:p>
        </w:tc>
        <w:tc>
          <w:tcPr>
            <w:tcW w:w="3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June 30, 2018</w:t>
            </w:r>
          </w:p>
        </w:tc>
      </w:tr>
      <w:tr>
        <w:trPr>
          <w:trHeight w:val="54"/>
        </w:trPr>
        <w:tc>
          <w:tcPr>
            <w:tcW w:w="4580" w:type="dxa"/>
            <w:vAlign w:val="bottom"/>
            <w:tcBorders>
              <w:left w:val="single" w:sz="8" w:color="auto"/>
              <w:bottom w:val="single" w:sz="8" w:color="auto"/>
              <w:right w:val="single" w:sz="8" w:color="auto"/>
            </w:tcBorders>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r>
      <w:tr>
        <w:trPr>
          <w:trHeight w:val="264"/>
        </w:trPr>
        <w:tc>
          <w:tcPr>
            <w:tcW w:w="45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0.80</w:t>
            </w:r>
          </w:p>
        </w:tc>
        <w:tc>
          <w:tcPr>
            <w:tcW w:w="3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September 30, 2018</w:t>
            </w:r>
          </w:p>
        </w:tc>
      </w:tr>
      <w:tr>
        <w:trPr>
          <w:trHeight w:val="54"/>
        </w:trPr>
        <w:tc>
          <w:tcPr>
            <w:tcW w:w="4580" w:type="dxa"/>
            <w:vAlign w:val="bottom"/>
            <w:tcBorders>
              <w:left w:val="single" w:sz="8" w:color="auto"/>
              <w:bottom w:val="single" w:sz="8" w:color="auto"/>
              <w:right w:val="single" w:sz="8" w:color="auto"/>
            </w:tcBorders>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r>
      <w:tr>
        <w:trPr>
          <w:trHeight w:val="264"/>
        </w:trPr>
        <w:tc>
          <w:tcPr>
            <w:tcW w:w="45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0.80</w:t>
            </w:r>
          </w:p>
        </w:tc>
        <w:tc>
          <w:tcPr>
            <w:tcW w:w="3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December 31, 2018</w:t>
            </w:r>
          </w:p>
        </w:tc>
      </w:tr>
      <w:tr>
        <w:trPr>
          <w:trHeight w:val="54"/>
        </w:trPr>
        <w:tc>
          <w:tcPr>
            <w:tcW w:w="4580" w:type="dxa"/>
            <w:vAlign w:val="bottom"/>
            <w:tcBorders>
              <w:left w:val="single" w:sz="8" w:color="auto"/>
              <w:bottom w:val="single" w:sz="8" w:color="auto"/>
              <w:right w:val="single" w:sz="8" w:color="auto"/>
            </w:tcBorders>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r>
    </w:tbl>
    <w:p>
      <w:pPr>
        <w:spacing w:after="0" w:line="202" w:lineRule="exact"/>
        <w:rPr>
          <w:sz w:val="20"/>
          <w:szCs w:val="20"/>
          <w:color w:val="auto"/>
        </w:rPr>
      </w:pPr>
    </w:p>
    <w:p>
      <w:pPr>
        <w:ind w:left="2120" w:hanging="815"/>
        <w:spacing w:after="0"/>
        <w:tabs>
          <w:tab w:leader="none" w:pos="2120" w:val="left"/>
        </w:tabs>
        <w:numPr>
          <w:ilvl w:val="0"/>
          <w:numId w:val="18"/>
        </w:numPr>
        <w:rPr>
          <w:rFonts w:ascii="Arial" w:cs="Arial" w:eastAsia="Arial" w:hAnsi="Arial"/>
          <w:sz w:val="16"/>
          <w:szCs w:val="16"/>
          <w:color w:val="010000"/>
        </w:rPr>
      </w:pPr>
      <w:r>
        <w:rPr>
          <w:rFonts w:ascii="Arial" w:cs="Arial" w:eastAsia="Arial" w:hAnsi="Arial"/>
          <w:sz w:val="16"/>
          <w:szCs w:val="16"/>
          <w:color w:val="auto"/>
        </w:rPr>
        <w:t xml:space="preserve">The definition of “EBITDA” set forth in </w:t>
      </w:r>
      <w:r>
        <w:rPr>
          <w:rFonts w:ascii="Arial" w:cs="Arial" w:eastAsia="Arial" w:hAnsi="Arial"/>
          <w:sz w:val="16"/>
          <w:szCs w:val="16"/>
          <w:u w:val="single" w:color="auto"/>
          <w:color w:val="auto"/>
        </w:rPr>
        <w:t>Schedule 1.1</w:t>
      </w:r>
      <w:r>
        <w:rPr>
          <w:rFonts w:ascii="Arial" w:cs="Arial" w:eastAsia="Arial" w:hAnsi="Arial"/>
          <w:sz w:val="16"/>
          <w:szCs w:val="16"/>
          <w:color w:val="auto"/>
        </w:rPr>
        <w:t xml:space="preserve"> of the Credit Agreement is hereby amended and restated in its entirety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EBITDA</w:t>
      </w:r>
      <w:r>
        <w:rPr>
          <w:rFonts w:ascii="Arial" w:cs="Arial" w:eastAsia="Arial" w:hAnsi="Arial"/>
          <w:sz w:val="18"/>
          <w:szCs w:val="18"/>
          <w:color w:val="auto"/>
        </w:rPr>
        <w:t>” means, with respect to any fiscal period:</w:t>
      </w:r>
    </w:p>
    <w:p>
      <w:pPr>
        <w:spacing w:after="0" w:line="225" w:lineRule="exact"/>
        <w:rPr>
          <w:sz w:val="20"/>
          <w:szCs w:val="20"/>
          <w:color w:val="auto"/>
        </w:rPr>
      </w:pPr>
    </w:p>
    <w:p>
      <w:pPr>
        <w:ind w:left="2600" w:right="6500" w:hanging="1295"/>
        <w:spacing w:after="0" w:line="501" w:lineRule="auto"/>
        <w:tabs>
          <w:tab w:leader="none" w:pos="1548"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Borrower’s consolidated net earnings (or loss), </w:t>
      </w:r>
      <w:r>
        <w:rPr>
          <w:rFonts w:ascii="Arial" w:cs="Arial" w:eastAsia="Arial" w:hAnsi="Arial"/>
          <w:sz w:val="18"/>
          <w:szCs w:val="18"/>
          <w:i w:val="1"/>
          <w:iCs w:val="1"/>
          <w:color w:val="auto"/>
        </w:rPr>
        <w:t>minus</w:t>
      </w:r>
    </w:p>
    <w:p>
      <w:pPr>
        <w:ind w:left="1300" w:right="1300" w:firstLine="5"/>
        <w:spacing w:after="0" w:line="277" w:lineRule="auto"/>
        <w:tabs>
          <w:tab w:leader="none" w:pos="1598" w:val="left"/>
        </w:tabs>
        <w:numPr>
          <w:ilvl w:val="0"/>
          <w:numId w:val="19"/>
        </w:numPr>
        <w:rPr>
          <w:rFonts w:ascii="Arial" w:cs="Arial" w:eastAsia="Arial" w:hAnsi="Arial"/>
          <w:sz w:val="18"/>
          <w:szCs w:val="18"/>
          <w:color w:val="auto"/>
        </w:rPr>
      </w:pPr>
      <w:r>
        <w:rPr>
          <w:rFonts w:ascii="Arial" w:cs="Arial" w:eastAsia="Arial" w:hAnsi="Arial"/>
          <w:sz w:val="18"/>
          <w:szCs w:val="18"/>
          <w:color w:val="auto"/>
        </w:rPr>
        <w:t>without duplication, the sum of the following amounts of Borrower for such period to the extent included in determining consolidated net earnings (or loss) for such period:</w:t>
      </w:r>
    </w:p>
    <w:p>
      <w:pPr>
        <w:spacing w:after="0" w:line="170" w:lineRule="exact"/>
        <w:rPr>
          <w:rFonts w:ascii="Arial" w:cs="Arial" w:eastAsia="Arial" w:hAnsi="Arial"/>
          <w:sz w:val="18"/>
          <w:szCs w:val="18"/>
          <w:color w:val="auto"/>
        </w:rPr>
      </w:pPr>
    </w:p>
    <w:p>
      <w:pPr>
        <w:ind w:left="2660" w:hanging="707"/>
        <w:spacing w:after="0"/>
        <w:tabs>
          <w:tab w:leader="none" w:pos="2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extraordinary, unusual, or non-recurring gains,</w:t>
      </w:r>
    </w:p>
    <w:p>
      <w:pPr>
        <w:spacing w:after="0" w:line="225" w:lineRule="exact"/>
        <w:rPr>
          <w:rFonts w:ascii="Arial" w:cs="Arial" w:eastAsia="Arial" w:hAnsi="Arial"/>
          <w:sz w:val="18"/>
          <w:szCs w:val="18"/>
          <w:color w:val="auto"/>
        </w:rPr>
      </w:pPr>
    </w:p>
    <w:p>
      <w:pPr>
        <w:ind w:left="2660" w:hanging="707"/>
        <w:spacing w:after="0"/>
        <w:tabs>
          <w:tab w:leader="none" w:pos="2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interest income,</w:t>
      </w:r>
    </w:p>
    <w:p>
      <w:pPr>
        <w:spacing w:after="0" w:line="225" w:lineRule="exact"/>
        <w:rPr>
          <w:rFonts w:ascii="Arial" w:cs="Arial" w:eastAsia="Arial" w:hAnsi="Arial"/>
          <w:sz w:val="18"/>
          <w:szCs w:val="18"/>
          <w:color w:val="auto"/>
        </w:rPr>
      </w:pPr>
    </w:p>
    <w:p>
      <w:pPr>
        <w:ind w:left="2680" w:hanging="727"/>
        <w:spacing w:after="0"/>
        <w:tabs>
          <w:tab w:leader="none" w:pos="26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software development costs to the extent capitalized during such period,</w:t>
      </w:r>
    </w:p>
    <w:p>
      <w:pPr>
        <w:spacing w:after="0" w:line="225" w:lineRule="exact"/>
        <w:rPr>
          <w:rFonts w:ascii="Arial" w:cs="Arial" w:eastAsia="Arial" w:hAnsi="Arial"/>
          <w:sz w:val="18"/>
          <w:szCs w:val="18"/>
          <w:color w:val="auto"/>
        </w:rPr>
      </w:pPr>
    </w:p>
    <w:p>
      <w:pPr>
        <w:ind w:left="2760" w:hanging="807"/>
        <w:spacing w:after="0"/>
        <w:tabs>
          <w:tab w:leader="none" w:pos="27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exchange, translation or performance gains relating to any hedging transactions or foreign currency</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fluctuations, and</w:t>
      </w:r>
    </w:p>
    <w:p>
      <w:pPr>
        <w:spacing w:after="0" w:line="210" w:lineRule="exact"/>
        <w:rPr>
          <w:rFonts w:ascii="Arial" w:cs="Arial" w:eastAsia="Arial" w:hAnsi="Arial"/>
          <w:sz w:val="18"/>
          <w:szCs w:val="18"/>
          <w:color w:val="auto"/>
        </w:rPr>
      </w:pPr>
    </w:p>
    <w:p>
      <w:pPr>
        <w:ind w:left="2620" w:hanging="667"/>
        <w:spacing w:after="0"/>
        <w:tabs>
          <w:tab w:leader="none" w:pos="26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income arising by reason of the application of FAS 141R,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59" w:name="page60"/>
    <w:bookmarkEnd w:id="59"/>
    <w:p>
      <w:pPr>
        <w:ind w:left="1400"/>
        <w:spacing w:after="0"/>
        <w:rPr>
          <w:sz w:val="20"/>
          <w:szCs w:val="20"/>
          <w:color w:val="auto"/>
        </w:rPr>
      </w:pPr>
      <w:r>
        <w:rPr>
          <w:rFonts w:ascii="Arial" w:cs="Arial" w:eastAsia="Arial" w:hAnsi="Arial"/>
          <w:sz w:val="18"/>
          <w:szCs w:val="18"/>
          <w:i w:val="1"/>
          <w:iCs w:val="1"/>
          <w:color w:val="auto"/>
        </w:rPr>
        <w:t>plus</w:t>
      </w:r>
    </w:p>
    <w:p>
      <w:pPr>
        <w:spacing w:after="0" w:line="225" w:lineRule="exact"/>
        <w:rPr>
          <w:sz w:val="20"/>
          <w:szCs w:val="20"/>
          <w:color w:val="auto"/>
        </w:rPr>
      </w:pPr>
    </w:p>
    <w:p>
      <w:pPr>
        <w:ind w:left="100" w:right="99" w:firstLine="5"/>
        <w:spacing w:after="0" w:line="277" w:lineRule="auto"/>
        <w:tabs>
          <w:tab w:leader="none" w:pos="389" w:val="left"/>
        </w:tabs>
        <w:numPr>
          <w:ilvl w:val="0"/>
          <w:numId w:val="20"/>
        </w:numPr>
        <w:rPr>
          <w:rFonts w:ascii="Arial" w:cs="Arial" w:eastAsia="Arial" w:hAnsi="Arial"/>
          <w:sz w:val="18"/>
          <w:szCs w:val="18"/>
          <w:color w:val="auto"/>
        </w:rPr>
      </w:pPr>
      <w:r>
        <w:rPr>
          <w:rFonts w:ascii="Arial" w:cs="Arial" w:eastAsia="Arial" w:hAnsi="Arial"/>
          <w:sz w:val="18"/>
          <w:szCs w:val="18"/>
          <w:color w:val="auto"/>
        </w:rPr>
        <w:t>without duplication, the sum of the following amounts of Borrower for such period to the extent included in determining consolidated net earnings (or loss) for such period:</w:t>
      </w:r>
    </w:p>
    <w:p>
      <w:pPr>
        <w:spacing w:after="0" w:line="170" w:lineRule="exact"/>
        <w:rPr>
          <w:rFonts w:ascii="Arial" w:cs="Arial" w:eastAsia="Arial" w:hAnsi="Arial"/>
          <w:sz w:val="18"/>
          <w:szCs w:val="18"/>
          <w:color w:val="auto"/>
        </w:rPr>
      </w:pPr>
    </w:p>
    <w:p>
      <w:pPr>
        <w:ind w:left="1460" w:hanging="707"/>
        <w:spacing w:after="0"/>
        <w:tabs>
          <w:tab w:leader="none" w:pos="14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extraordinary, unusual, or non-recurring non-cash losses,</w:t>
      </w:r>
    </w:p>
    <w:p>
      <w:pPr>
        <w:spacing w:after="0" w:line="225" w:lineRule="exact"/>
        <w:rPr>
          <w:rFonts w:ascii="Arial" w:cs="Arial" w:eastAsia="Arial" w:hAnsi="Arial"/>
          <w:sz w:val="18"/>
          <w:szCs w:val="18"/>
          <w:color w:val="auto"/>
        </w:rPr>
      </w:pPr>
    </w:p>
    <w:p>
      <w:pPr>
        <w:ind w:left="1460" w:hanging="707"/>
        <w:spacing w:after="0"/>
        <w:tabs>
          <w:tab w:leader="none" w:pos="14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Interest Expense,</w:t>
      </w:r>
    </w:p>
    <w:p>
      <w:pPr>
        <w:spacing w:after="0" w:line="225" w:lineRule="exact"/>
        <w:rPr>
          <w:rFonts w:ascii="Arial" w:cs="Arial" w:eastAsia="Arial" w:hAnsi="Arial"/>
          <w:sz w:val="18"/>
          <w:szCs w:val="18"/>
          <w:color w:val="auto"/>
        </w:rPr>
      </w:pPr>
    </w:p>
    <w:p>
      <w:pPr>
        <w:jc w:val="both"/>
        <w:ind w:left="100" w:right="99" w:firstLine="653"/>
        <w:spacing w:after="0" w:line="264" w:lineRule="auto"/>
        <w:tabs>
          <w:tab w:leader="none" w:pos="1519" w:val="left"/>
        </w:tabs>
        <w:numPr>
          <w:ilvl w:val="1"/>
          <w:numId w:val="20"/>
        </w:numPr>
        <w:rPr>
          <w:rFonts w:ascii="Arial" w:cs="Arial" w:eastAsia="Arial" w:hAnsi="Arial"/>
          <w:sz w:val="18"/>
          <w:szCs w:val="18"/>
          <w:color w:val="auto"/>
        </w:rPr>
      </w:pPr>
      <w:r>
        <w:rPr>
          <w:rFonts w:ascii="Arial" w:cs="Arial" w:eastAsia="Arial" w:hAnsi="Arial"/>
          <w:sz w:val="18"/>
          <w:szCs w:val="18"/>
          <w:color w:val="auto"/>
        </w:rPr>
        <w:t>tax expense based on income, profits or capital, including federal, foreign, state, franchise and similar taxes (and for the avoidance of doubt, specifically excluding any sales taxes or any other taxes held in trust for a Governmental Authority),</w:t>
      </w:r>
    </w:p>
    <w:p>
      <w:pPr>
        <w:spacing w:after="0" w:line="181" w:lineRule="exact"/>
        <w:rPr>
          <w:rFonts w:ascii="Arial" w:cs="Arial" w:eastAsia="Arial" w:hAnsi="Arial"/>
          <w:sz w:val="18"/>
          <w:szCs w:val="18"/>
          <w:color w:val="auto"/>
        </w:rPr>
      </w:pPr>
    </w:p>
    <w:p>
      <w:pPr>
        <w:ind w:left="1460" w:hanging="707"/>
        <w:spacing w:after="0"/>
        <w:tabs>
          <w:tab w:leader="none" w:pos="14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depreciation and amortization for such period,</w:t>
      </w:r>
    </w:p>
    <w:p>
      <w:pPr>
        <w:spacing w:after="0" w:line="225" w:lineRule="exact"/>
        <w:rPr>
          <w:rFonts w:ascii="Arial" w:cs="Arial" w:eastAsia="Arial" w:hAnsi="Arial"/>
          <w:sz w:val="18"/>
          <w:szCs w:val="18"/>
          <w:color w:val="auto"/>
        </w:rPr>
      </w:pPr>
    </w:p>
    <w:p>
      <w:pPr>
        <w:jc w:val="both"/>
        <w:ind w:left="100" w:right="99" w:firstLine="653"/>
        <w:spacing w:after="0" w:line="289" w:lineRule="auto"/>
        <w:tabs>
          <w:tab w:leader="none" w:pos="1483" w:val="left"/>
        </w:tabs>
        <w:numPr>
          <w:ilvl w:val="1"/>
          <w:numId w:val="20"/>
        </w:numPr>
        <w:rPr>
          <w:rFonts w:ascii="Arial" w:cs="Arial" w:eastAsia="Arial" w:hAnsi="Arial"/>
          <w:sz w:val="16"/>
          <w:szCs w:val="16"/>
          <w:color w:val="auto"/>
        </w:rPr>
      </w:pPr>
      <w:r>
        <w:rPr>
          <w:rFonts w:ascii="Arial" w:cs="Arial" w:eastAsia="Arial" w:hAnsi="Arial"/>
          <w:sz w:val="16"/>
          <w:szCs w:val="16"/>
          <w:color w:val="auto"/>
        </w:rPr>
        <w:t>with respect to any Permitted Acquisition after the Closing Date (other than the Mangrove Acquisition and the January 2017 Acquisitions), costs, fees, charges, or expenses consisting of out-of-pocket expenses owed by Borrower or any of its Subsidiaries to any Person for services performed by such Person in connection with such Permitted Acquisition incurred within 180 days (Borrower may request an addback for such expenses incurred after 180 days but within 365 days in Agent’s sole discretion) of the consummation of such Permitted Acquisition, (i) up to an aggregate amount (for all such items in this clause (v)) for such Permitted Acquisition not to exceed the greater of (1) $500,000 and (2) 5.0% of the Purchase Price of such Permitted Acquisition and (ii) in any amount to the extent such costs, fees, charges, or expenses in this clause (v) are paid with proceeds of new equity investments in exchange for Qualified Equity Interests of Borrower contemporaneously made by Permitted Holders,</w:t>
      </w:r>
    </w:p>
    <w:p>
      <w:pPr>
        <w:spacing w:after="0" w:line="166" w:lineRule="exact"/>
        <w:rPr>
          <w:rFonts w:ascii="Arial" w:cs="Arial" w:eastAsia="Arial" w:hAnsi="Arial"/>
          <w:sz w:val="16"/>
          <w:szCs w:val="16"/>
          <w:color w:val="auto"/>
        </w:rPr>
      </w:pPr>
    </w:p>
    <w:p>
      <w:pPr>
        <w:jc w:val="both"/>
        <w:ind w:left="100" w:right="99" w:firstLine="653"/>
        <w:spacing w:after="0" w:line="291" w:lineRule="auto"/>
        <w:tabs>
          <w:tab w:leader="none" w:pos="1863" w:val="left"/>
        </w:tabs>
        <w:numPr>
          <w:ilvl w:val="1"/>
          <w:numId w:val="20"/>
        </w:numPr>
        <w:rPr>
          <w:rFonts w:ascii="Arial" w:cs="Arial" w:eastAsia="Arial" w:hAnsi="Arial"/>
          <w:sz w:val="16"/>
          <w:szCs w:val="16"/>
          <w:color w:val="auto"/>
        </w:rPr>
      </w:pPr>
      <w:r>
        <w:rPr>
          <w:rFonts w:ascii="Arial" w:cs="Arial" w:eastAsia="Arial" w:hAnsi="Arial"/>
          <w:sz w:val="16"/>
          <w:szCs w:val="16"/>
          <w:color w:val="auto"/>
        </w:rPr>
        <w:t>with respect to any Permitted Acquisitions after the Closing Date: (A) purchase accounting adjustments, including, without limitation, a dollar for dollar adjustment for that portion of revenue that would have been recorded in the relevant period had the balance of deferred revenue (unearned income) recorded on the closing balance sheet and before application of purchase accounting not been adjusted downward to fair value to be recorded on the opening balance sheet in accordance with GAAP purchase accounting rules; and (B) non-cash adjustments in accordance with GAAP purchase accounting rules under FASB Statement No. 141 and EITF Issue No. 01-3, in the event that such an adjustment is required by Borrower’s independent auditors, in each case, as determined in accordance with GAAP,</w:t>
      </w:r>
    </w:p>
    <w:p>
      <w:pPr>
        <w:spacing w:after="0" w:line="167" w:lineRule="exact"/>
        <w:rPr>
          <w:rFonts w:ascii="Arial" w:cs="Arial" w:eastAsia="Arial" w:hAnsi="Arial"/>
          <w:sz w:val="16"/>
          <w:szCs w:val="16"/>
          <w:color w:val="auto"/>
        </w:rPr>
      </w:pPr>
    </w:p>
    <w:p>
      <w:pPr>
        <w:jc w:val="both"/>
        <w:ind w:left="100" w:right="99" w:firstLine="653"/>
        <w:spacing w:after="0" w:line="264" w:lineRule="auto"/>
        <w:tabs>
          <w:tab w:leader="none" w:pos="1553" w:val="left"/>
        </w:tabs>
        <w:numPr>
          <w:ilvl w:val="1"/>
          <w:numId w:val="20"/>
        </w:numPr>
        <w:rPr>
          <w:rFonts w:ascii="Arial" w:cs="Arial" w:eastAsia="Arial" w:hAnsi="Arial"/>
          <w:sz w:val="18"/>
          <w:szCs w:val="18"/>
          <w:color w:val="auto"/>
        </w:rPr>
      </w:pPr>
      <w:r>
        <w:rPr>
          <w:rFonts w:ascii="Arial" w:cs="Arial" w:eastAsia="Arial" w:hAnsi="Arial"/>
          <w:sz w:val="18"/>
          <w:szCs w:val="18"/>
          <w:color w:val="auto"/>
        </w:rPr>
        <w:t>fees, costs, charges and expenses, in respect of Earn-Outs incurred in connection with any Permitted Acquisition to the extent permitted to be incurred under the Agreement that are required by the application of FAS 141R to be and are expensed by Borrower and its Subsidiaries,</w:t>
      </w:r>
    </w:p>
    <w:p>
      <w:pPr>
        <w:spacing w:after="0" w:line="181" w:lineRule="exact"/>
        <w:rPr>
          <w:rFonts w:ascii="Arial" w:cs="Arial" w:eastAsia="Arial" w:hAnsi="Arial"/>
          <w:sz w:val="18"/>
          <w:szCs w:val="18"/>
          <w:color w:val="auto"/>
        </w:rPr>
      </w:pPr>
    </w:p>
    <w:p>
      <w:pPr>
        <w:ind w:left="100" w:right="99" w:firstLine="653"/>
        <w:spacing w:after="0" w:line="277" w:lineRule="auto"/>
        <w:tabs>
          <w:tab w:leader="none" w:pos="1576" w:val="left"/>
        </w:tabs>
        <w:numPr>
          <w:ilvl w:val="1"/>
          <w:numId w:val="20"/>
        </w:numPr>
        <w:rPr>
          <w:rFonts w:ascii="Arial" w:cs="Arial" w:eastAsia="Arial" w:hAnsi="Arial"/>
          <w:sz w:val="18"/>
          <w:szCs w:val="18"/>
          <w:color w:val="auto"/>
        </w:rPr>
      </w:pPr>
      <w:r>
        <w:rPr>
          <w:rFonts w:ascii="Arial" w:cs="Arial" w:eastAsia="Arial" w:hAnsi="Arial"/>
          <w:sz w:val="18"/>
          <w:szCs w:val="18"/>
          <w:color w:val="auto"/>
        </w:rPr>
        <w:t>non-cash compensation expense (including deferred non-cash compensation expense), or other non-cash expenses or charges, arising</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60" w:name="page61"/>
    <w:bookmarkEnd w:id="60"/>
    <w:p>
      <w:pPr>
        <w:jc w:val="both"/>
        <w:ind w:left="1300" w:right="1300"/>
        <w:spacing w:after="0" w:line="279" w:lineRule="auto"/>
        <w:rPr>
          <w:sz w:val="20"/>
          <w:szCs w:val="20"/>
          <w:color w:val="auto"/>
        </w:rPr>
      </w:pPr>
      <w:r>
        <w:rPr>
          <w:rFonts w:ascii="Arial" w:cs="Arial" w:eastAsia="Arial" w:hAnsi="Arial"/>
          <w:sz w:val="17"/>
          <w:szCs w:val="17"/>
          <w:color w:val="auto"/>
        </w:rPr>
        <w:t>from the sale or issuance of Equity Interests, the granting of stock options, and the granting of stock appreciation rights and similar arrangements (including any repricing, amendment, modification, substitution, or change of any such Equity Interests, stock option, stock appreciation rights, or similar arrangements) minus the amount of any such expenses or charges when paid in cash to the extent not deducted in the computation of net earnings (or loss),</w:t>
      </w:r>
    </w:p>
    <w:p>
      <w:pPr>
        <w:spacing w:after="0" w:line="171" w:lineRule="exact"/>
        <w:rPr>
          <w:sz w:val="20"/>
          <w:szCs w:val="20"/>
          <w:color w:val="auto"/>
        </w:rPr>
      </w:pPr>
    </w:p>
    <w:p>
      <w:pPr>
        <w:ind w:left="2660" w:hanging="707"/>
        <w:spacing w:after="0"/>
        <w:tabs>
          <w:tab w:leader="none" w:pos="2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one time non-cash restructuring charges,</w:t>
      </w:r>
    </w:p>
    <w:p>
      <w:pPr>
        <w:spacing w:after="0" w:line="225" w:lineRule="exact"/>
        <w:rPr>
          <w:rFonts w:ascii="Arial" w:cs="Arial" w:eastAsia="Arial" w:hAnsi="Arial"/>
          <w:sz w:val="18"/>
          <w:szCs w:val="18"/>
          <w:color w:val="auto"/>
        </w:rPr>
      </w:pPr>
    </w:p>
    <w:p>
      <w:pPr>
        <w:ind w:left="1300" w:right="1300" w:firstLine="653"/>
        <w:spacing w:after="0" w:line="277" w:lineRule="auto"/>
        <w:tabs>
          <w:tab w:leader="none" w:pos="2744"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non-cash exchange, translation, or performance losses relating to any hedging transactions or foreign currency fluctuations,</w:t>
      </w:r>
    </w:p>
    <w:p>
      <w:pPr>
        <w:spacing w:after="0" w:line="170" w:lineRule="exact"/>
        <w:rPr>
          <w:rFonts w:ascii="Arial" w:cs="Arial" w:eastAsia="Arial" w:hAnsi="Arial"/>
          <w:sz w:val="18"/>
          <w:szCs w:val="18"/>
          <w:color w:val="auto"/>
        </w:rPr>
      </w:pPr>
    </w:p>
    <w:p>
      <w:pPr>
        <w:ind w:left="2660" w:hanging="707"/>
        <w:spacing w:after="0"/>
        <w:tabs>
          <w:tab w:leader="none" w:pos="2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non-cash losses on sales of fixed assets or write-downs of fixed or intangible assets,</w:t>
      </w:r>
    </w:p>
    <w:p>
      <w:pPr>
        <w:spacing w:after="0" w:line="225" w:lineRule="exact"/>
        <w:rPr>
          <w:rFonts w:ascii="Arial" w:cs="Arial" w:eastAsia="Arial" w:hAnsi="Arial"/>
          <w:sz w:val="18"/>
          <w:szCs w:val="18"/>
          <w:color w:val="auto"/>
        </w:rPr>
      </w:pPr>
    </w:p>
    <w:p>
      <w:pPr>
        <w:jc w:val="both"/>
        <w:ind w:left="1300" w:right="1300" w:firstLine="653"/>
        <w:spacing w:after="0" w:line="271" w:lineRule="auto"/>
        <w:tabs>
          <w:tab w:leader="none" w:pos="2704" w:val="left"/>
        </w:tabs>
        <w:numPr>
          <w:ilvl w:val="0"/>
          <w:numId w:val="21"/>
        </w:numPr>
        <w:rPr>
          <w:rFonts w:ascii="Arial" w:cs="Arial" w:eastAsia="Arial" w:hAnsi="Arial"/>
          <w:sz w:val="17"/>
          <w:szCs w:val="17"/>
          <w:color w:val="auto"/>
        </w:rPr>
      </w:pPr>
      <w:r>
        <w:rPr>
          <w:rFonts w:ascii="Arial" w:cs="Arial" w:eastAsia="Arial" w:hAnsi="Arial"/>
          <w:sz w:val="17"/>
          <w:szCs w:val="17"/>
          <w:color w:val="auto"/>
        </w:rPr>
        <w:t>with respect to the January 2017 Acquisitions, one-time acquisition and integration charges consisting of (i) out-of-pocket fees, costs, and expenses owed by Borrower or any of its Subsidiaries to any Person for legal, accounting, valuation or other professional services performed by such Person in connection with the January 2017 Acquisitions, or (ii) employee severance payments and moving costs, and lease terminations and associated relocation charges and costs, incurred as a result of the January 2017 Acquisitions, in each case to the extent incurred within 180 days (Borrower may request an addback for such expenses incurred after 180 days but within 365 days in Agent’s sole discretion) of the consummation of such January 2017 Acquisitions, up to an aggregate amount (for all such items in this clause (xiv)) not to exceed $1,400,000.</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 each case, determined on a consolidated basis in accordance with GAAP.</w:t>
      </w:r>
    </w:p>
    <w:p>
      <w:pPr>
        <w:spacing w:after="0" w:line="225" w:lineRule="exact"/>
        <w:rPr>
          <w:sz w:val="20"/>
          <w:szCs w:val="20"/>
          <w:color w:val="auto"/>
        </w:rPr>
      </w:pPr>
    </w:p>
    <w:p>
      <w:pPr>
        <w:jc w:val="both"/>
        <w:ind w:left="1300" w:right="1300"/>
        <w:spacing w:after="0" w:line="270" w:lineRule="auto"/>
        <w:rPr>
          <w:sz w:val="20"/>
          <w:szCs w:val="20"/>
          <w:color w:val="auto"/>
        </w:rPr>
      </w:pPr>
      <w:r>
        <w:rPr>
          <w:rFonts w:ascii="Arial" w:cs="Arial" w:eastAsia="Arial" w:hAnsi="Arial"/>
          <w:sz w:val="17"/>
          <w:szCs w:val="17"/>
          <w:color w:val="auto"/>
        </w:rPr>
        <w:t>For the purposes of calculating EBITDA for any period of 4 consecutive fiscal quarters (each, a “</w:t>
      </w:r>
      <w:r>
        <w:rPr>
          <w:rFonts w:ascii="Arial" w:cs="Arial" w:eastAsia="Arial" w:hAnsi="Arial"/>
          <w:sz w:val="17"/>
          <w:szCs w:val="17"/>
          <w:u w:val="single" w:color="auto"/>
          <w:color w:val="auto"/>
        </w:rPr>
        <w:t>Reference Period</w:t>
      </w:r>
      <w:r>
        <w:rPr>
          <w:rFonts w:ascii="Arial" w:cs="Arial" w:eastAsia="Arial" w:hAnsi="Arial"/>
          <w:sz w:val="17"/>
          <w:szCs w:val="17"/>
          <w:color w:val="auto"/>
        </w:rPr>
        <w:t xml:space="preserve">”), (a) if at any time during such Reference Period (and after the Closing Date), Borrower or any of its Subsidiaries shall have made a Permitted Acquisition, EBITDA for such Reference Period shall be calculated after giving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effect thereto (including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adjustments arising out of events which are directly attributable to such Permitted Acquisition, are factually supportable, and are expected to have a continuing impact, in each case to be agreed by Agent) or in such other manner acceptable to Agent as if any such Permitted Acquisition or adjustment occurred on the first day of such Reference Period, (b) EBITDA for the fiscal quarter ended March 31, 2016, shall be deemed to be $879,376, (c) EBITDA for the fiscal quarter ended June 30, 2016, shall be deemed to be $2,628,033, (d) EBITDA for the fiscal quarter ended September 30, 2016, shall be deemed to be $2,289,793, and (e) EBITDA for the fiscal quarter ended December 31, 2016, shall be deemed to be $2,217,470.</w:t>
      </w:r>
    </w:p>
    <w:p>
      <w:pPr>
        <w:spacing w:after="0" w:line="178" w:lineRule="exact"/>
        <w:rPr>
          <w:sz w:val="20"/>
          <w:szCs w:val="20"/>
          <w:color w:val="auto"/>
        </w:rPr>
      </w:pPr>
    </w:p>
    <w:p>
      <w:pPr>
        <w:ind w:left="2040" w:hanging="735"/>
        <w:spacing w:after="0"/>
        <w:tabs>
          <w:tab w:leader="none" w:pos="2040" w:val="left"/>
        </w:tabs>
        <w:numPr>
          <w:ilvl w:val="0"/>
          <w:numId w:val="22"/>
        </w:numPr>
        <w:rPr>
          <w:rFonts w:ascii="Arial" w:cs="Arial" w:eastAsia="Arial" w:hAnsi="Arial"/>
          <w:sz w:val="16"/>
          <w:szCs w:val="16"/>
          <w:color w:val="010000"/>
        </w:rPr>
      </w:pPr>
      <w:r>
        <w:rPr>
          <w:rFonts w:ascii="Arial" w:cs="Arial" w:eastAsia="Arial" w:hAnsi="Arial"/>
          <w:sz w:val="16"/>
          <w:szCs w:val="16"/>
          <w:color w:val="auto"/>
        </w:rPr>
        <w:t xml:space="preserve">The definition of “Fixed Charges” set forth in </w:t>
      </w:r>
      <w:r>
        <w:rPr>
          <w:rFonts w:ascii="Arial" w:cs="Arial" w:eastAsia="Arial" w:hAnsi="Arial"/>
          <w:sz w:val="16"/>
          <w:szCs w:val="16"/>
          <w:u w:val="single" w:color="auto"/>
          <w:color w:val="auto"/>
        </w:rPr>
        <w:t>Schedule 1.1</w:t>
      </w:r>
      <w:r>
        <w:rPr>
          <w:rFonts w:ascii="Arial" w:cs="Arial" w:eastAsia="Arial" w:hAnsi="Arial"/>
          <w:sz w:val="16"/>
          <w:szCs w:val="16"/>
          <w:color w:val="auto"/>
        </w:rPr>
        <w:t xml:space="preserve"> of the Credit Agreement is hereby amended and restated in its entirety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follows:</w:t>
      </w:r>
    </w:p>
    <w:p>
      <w:pPr>
        <w:spacing w:after="0" w:line="211" w:lineRule="exact"/>
        <w:rPr>
          <w:sz w:val="20"/>
          <w:szCs w:val="20"/>
          <w:color w:val="auto"/>
        </w:rPr>
      </w:pPr>
    </w:p>
    <w:p>
      <w:pPr>
        <w:ind w:left="1300" w:right="130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Fixed Charges</w:t>
      </w:r>
      <w:r>
        <w:rPr>
          <w:rFonts w:ascii="Arial" w:cs="Arial" w:eastAsia="Arial" w:hAnsi="Arial"/>
          <w:sz w:val="17"/>
          <w:szCs w:val="17"/>
          <w:color w:val="auto"/>
        </w:rPr>
        <w:t>” means, with respect to any fiscal period and with respect to Borrower determined on a consolidated basis in accordance with GAAP, the sum, without duplication, of (a) Interest Expense accrued (other than interest</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61" w:name="page62"/>
    <w:bookmarkEnd w:id="61"/>
    <w:p>
      <w:pPr>
        <w:jc w:val="both"/>
        <w:ind w:left="1300" w:right="1300"/>
        <w:spacing w:after="0" w:line="284" w:lineRule="auto"/>
        <w:rPr>
          <w:sz w:val="20"/>
          <w:szCs w:val="20"/>
          <w:color w:val="auto"/>
        </w:rPr>
      </w:pPr>
      <w:r>
        <w:rPr>
          <w:rFonts w:ascii="Arial" w:cs="Arial" w:eastAsia="Arial" w:hAnsi="Arial"/>
          <w:sz w:val="16"/>
          <w:szCs w:val="16"/>
          <w:color w:val="auto"/>
        </w:rPr>
        <w:t>paid-in-kind, amortization of financing fees, and other non-cash Interest Expense) during such period, (b) principal payments in respect of Indebtedness that are required to be paid during such period, other than regularly scheduled payment (but not payments following acceleration) by Borrower (directly or indirectly) of interest and principal on the CPI Subordinated Note, the PMSI Subordinated Note, and the PSNW Subordinated Note, to the extent such payments are permitted to be made under the CPI Subordination Agreement, the PMSI Subordination Agreement, and the PSNW Subordination Agreement, respectively, and (c) all federal, state, and local income taxes accrued during such period, and</w:t>
      </w:r>
    </w:p>
    <w:p>
      <w:pPr>
        <w:spacing w:after="0" w:line="5" w:lineRule="exact"/>
        <w:rPr>
          <w:sz w:val="20"/>
          <w:szCs w:val="20"/>
          <w:color w:val="auto"/>
        </w:rPr>
      </w:pPr>
    </w:p>
    <w:p>
      <w:pPr>
        <w:jc w:val="both"/>
        <w:ind w:left="1300" w:right="1300" w:firstLine="5"/>
        <w:spacing w:after="0" w:line="302" w:lineRule="auto"/>
        <w:tabs>
          <w:tab w:leader="none" w:pos="1583" w:val="left"/>
        </w:tabs>
        <w:numPr>
          <w:ilvl w:val="0"/>
          <w:numId w:val="23"/>
        </w:numPr>
        <w:rPr>
          <w:rFonts w:ascii="Arial" w:cs="Arial" w:eastAsia="Arial" w:hAnsi="Arial"/>
          <w:sz w:val="16"/>
          <w:szCs w:val="16"/>
          <w:color w:val="auto"/>
        </w:rPr>
      </w:pPr>
      <w:r>
        <w:rPr>
          <w:rFonts w:ascii="Arial" w:cs="Arial" w:eastAsia="Arial" w:hAnsi="Arial"/>
          <w:sz w:val="16"/>
          <w:szCs w:val="16"/>
          <w:color w:val="auto"/>
        </w:rPr>
        <w:t xml:space="preserve">all Restricted Payments paid (whether in cash or other property, other than common Equity Interest) during such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amounts corresponding to clauses (a) and (b) of this definition shall be annualized during the period of time from the Seventh Amendment Effective Date through the fiscal quarter ending September 30, 2017.</w:t>
      </w:r>
    </w:p>
    <w:p>
      <w:pPr>
        <w:spacing w:after="0" w:line="155" w:lineRule="exact"/>
        <w:rPr>
          <w:rFonts w:ascii="Arial" w:cs="Arial" w:eastAsia="Arial" w:hAnsi="Arial"/>
          <w:sz w:val="16"/>
          <w:szCs w:val="16"/>
          <w:color w:val="auto"/>
        </w:rPr>
      </w:pPr>
    </w:p>
    <w:p>
      <w:pPr>
        <w:ind w:left="2180" w:hanging="875"/>
        <w:spacing w:after="0"/>
        <w:tabs>
          <w:tab w:leader="none" w:pos="2180" w:val="left"/>
        </w:tabs>
        <w:numPr>
          <w:ilvl w:val="0"/>
          <w:numId w:val="23"/>
        </w:numPr>
        <w:rPr>
          <w:rFonts w:ascii="Arial" w:cs="Arial" w:eastAsia="Arial" w:hAnsi="Arial"/>
          <w:sz w:val="16"/>
          <w:szCs w:val="16"/>
          <w:color w:val="010000"/>
        </w:rPr>
      </w:pPr>
      <w:r>
        <w:rPr>
          <w:rFonts w:ascii="Arial" w:cs="Arial" w:eastAsia="Arial" w:hAnsi="Arial"/>
          <w:sz w:val="16"/>
          <w:szCs w:val="16"/>
          <w:color w:val="auto"/>
        </w:rPr>
        <w:t xml:space="preserve">The definition of “Term Loan Amount” set forth in </w:t>
      </w:r>
      <w:r>
        <w:rPr>
          <w:rFonts w:ascii="Arial" w:cs="Arial" w:eastAsia="Arial" w:hAnsi="Arial"/>
          <w:sz w:val="16"/>
          <w:szCs w:val="16"/>
          <w:u w:val="single" w:color="auto"/>
          <w:color w:val="auto"/>
        </w:rPr>
        <w:t>Schedule 1.1</w:t>
      </w:r>
      <w:r>
        <w:rPr>
          <w:rFonts w:ascii="Arial" w:cs="Arial" w:eastAsia="Arial" w:hAnsi="Arial"/>
          <w:sz w:val="16"/>
          <w:szCs w:val="16"/>
          <w:color w:val="auto"/>
        </w:rPr>
        <w:t xml:space="preserve"> of the Credit Agreement is hereby amended and restated in its</w:t>
      </w:r>
    </w:p>
    <w:p>
      <w:pPr>
        <w:spacing w:after="0" w:line="46" w:lineRule="exact"/>
        <w:rPr>
          <w:rFonts w:ascii="Arial" w:cs="Arial" w:eastAsia="Arial" w:hAnsi="Arial"/>
          <w:sz w:val="16"/>
          <w:szCs w:val="16"/>
          <w:color w:val="010000"/>
        </w:rPr>
      </w:pPr>
    </w:p>
    <w:p>
      <w:pPr>
        <w:spacing w:after="0"/>
        <w:rPr>
          <w:rFonts w:ascii="Arial" w:cs="Arial" w:eastAsia="Arial" w:hAnsi="Arial"/>
          <w:sz w:val="16"/>
          <w:szCs w:val="16"/>
          <w:color w:val="010000"/>
        </w:rPr>
      </w:pPr>
      <w:r>
        <w:rPr>
          <w:rFonts w:ascii="Arial" w:cs="Arial" w:eastAsia="Arial" w:hAnsi="Arial"/>
          <w:sz w:val="18"/>
          <w:szCs w:val="18"/>
          <w:color w:val="auto"/>
        </w:rPr>
        <w:t>entirety as follows:</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Amount</w:t>
      </w:r>
      <w:r>
        <w:rPr>
          <w:rFonts w:ascii="Arial" w:cs="Arial" w:eastAsia="Arial" w:hAnsi="Arial"/>
          <w:sz w:val="18"/>
          <w:szCs w:val="18"/>
          <w:color w:val="auto"/>
        </w:rPr>
        <w:t>” means $29,714,453.11.</w:t>
      </w:r>
    </w:p>
    <w:p>
      <w:pPr>
        <w:spacing w:after="0" w:line="225" w:lineRule="exact"/>
        <w:rPr>
          <w:sz w:val="20"/>
          <w:szCs w:val="20"/>
          <w:color w:val="auto"/>
        </w:rPr>
      </w:pPr>
    </w:p>
    <w:p>
      <w:pPr>
        <w:ind w:left="2060" w:hanging="755"/>
        <w:spacing w:after="0"/>
        <w:tabs>
          <w:tab w:leader="none" w:pos="2060" w:val="left"/>
        </w:tabs>
        <w:numPr>
          <w:ilvl w:val="0"/>
          <w:numId w:val="24"/>
        </w:numPr>
        <w:rPr>
          <w:rFonts w:ascii="Arial" w:cs="Arial" w:eastAsia="Arial" w:hAnsi="Arial"/>
          <w:sz w:val="18"/>
          <w:szCs w:val="18"/>
          <w:color w:val="010000"/>
        </w:rPr>
      </w:pP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of the Credit Agreement is hereby amended and restated in its entirety as follows:</w:t>
      </w:r>
    </w:p>
    <w:p>
      <w:pPr>
        <w:spacing w:after="0" w:line="221" w:lineRule="exact"/>
        <w:rPr>
          <w:sz w:val="20"/>
          <w:szCs w:val="20"/>
          <w:color w:val="auto"/>
        </w:rPr>
      </w:pPr>
    </w:p>
    <w:p>
      <w:pPr>
        <w:jc w:val="both"/>
        <w:ind w:left="1300" w:right="1300"/>
        <w:spacing w:after="0" w:line="281"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b w:val="1"/>
          <w:bCs w:val="1"/>
          <w:u w:val="single" w:color="auto"/>
          <w:color w:val="auto"/>
        </w:rPr>
        <w:t>Term Loan</w:t>
      </w:r>
      <w:r>
        <w:rPr>
          <w:rFonts w:ascii="Arial" w:cs="Arial" w:eastAsia="Arial" w:hAnsi="Arial"/>
          <w:sz w:val="17"/>
          <w:szCs w:val="17"/>
          <w:color w:val="auto"/>
        </w:rPr>
        <w:t>. Subject to the terms and conditions of this Agreement, on the Seventh Amendment Effective Date each Lender with a Term Loan Commitment agrees (severally, not jointly or jointly and severally) to make term loans (collectively, the “</w:t>
      </w:r>
      <w:r>
        <w:rPr>
          <w:rFonts w:ascii="Arial" w:cs="Arial" w:eastAsia="Arial" w:hAnsi="Arial"/>
          <w:sz w:val="17"/>
          <w:szCs w:val="17"/>
          <w:u w:val="single" w:color="auto"/>
          <w:color w:val="auto"/>
        </w:rPr>
        <w:t>Term Loan</w:t>
      </w:r>
      <w:r>
        <w:rPr>
          <w:rFonts w:ascii="Arial" w:cs="Arial" w:eastAsia="Arial" w:hAnsi="Arial"/>
          <w:sz w:val="17"/>
          <w:szCs w:val="17"/>
          <w:color w:val="auto"/>
        </w:rPr>
        <w:t>”) to Borrower in an amount equal to such Lender’s Pro Rata Share of the Term Loan Amount. The principal of the Term Loan shall be repaid on the following dates and in the following amounts:</w:t>
      </w:r>
    </w:p>
    <w:p>
      <w:pPr>
        <w:spacing w:after="0" w:line="163" w:lineRule="exact"/>
        <w:rPr>
          <w:sz w:val="20"/>
          <w:szCs w:val="20"/>
          <w:color w:val="auto"/>
        </w:rPr>
      </w:pPr>
    </w:p>
    <w:tbl>
      <w:tblPr>
        <w:tblLayout w:type="fixed"/>
        <w:tblInd w:w="1510" w:type="dxa"/>
        <w:tblCellMar>
          <w:top w:w="0" w:type="dxa"/>
          <w:left w:w="0" w:type="dxa"/>
          <w:bottom w:w="0" w:type="dxa"/>
          <w:right w:w="0" w:type="dxa"/>
        </w:tblCellMar>
      </w:tblPr>
      <w:tr>
        <w:trPr>
          <w:trHeight w:val="343"/>
        </w:trPr>
        <w:tc>
          <w:tcPr>
            <w:tcW w:w="4400" w:type="dxa"/>
            <w:vAlign w:val="bottom"/>
            <w:tcBorders>
              <w:top w:val="single" w:sz="8" w:color="auto"/>
              <w:left w:val="single" w:sz="8" w:color="auto"/>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Date</w:t>
            </w:r>
          </w:p>
        </w:tc>
        <w:tc>
          <w:tcPr>
            <w:tcW w:w="4040" w:type="dxa"/>
            <w:vAlign w:val="bottom"/>
            <w:tcBorders>
              <w:top w:val="single" w:sz="8" w:color="auto"/>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Installment Amount</w:t>
            </w:r>
          </w:p>
        </w:tc>
      </w:tr>
      <w:tr>
        <w:trPr>
          <w:trHeight w:val="249"/>
        </w:trPr>
        <w:tc>
          <w:tcPr>
            <w:tcW w:w="44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June 30, 2017 and the last day of each fiscal quarter</w:t>
            </w:r>
          </w:p>
        </w:tc>
        <w:tc>
          <w:tcPr>
            <w:tcW w:w="4040" w:type="dxa"/>
            <w:vAlign w:val="bottom"/>
            <w:tcBorders>
              <w:top w:val="single" w:sz="8" w:color="auto"/>
              <w:right w:val="single" w:sz="8" w:color="auto"/>
            </w:tcBorders>
          </w:tcPr>
          <w:p>
            <w:pPr>
              <w:jc w:val="right"/>
              <w:ind w:right="1490"/>
              <w:spacing w:after="0"/>
              <w:rPr>
                <w:sz w:val="20"/>
                <w:szCs w:val="20"/>
                <w:color w:val="auto"/>
              </w:rPr>
            </w:pPr>
            <w:r>
              <w:rPr>
                <w:rFonts w:ascii="Arial" w:cs="Arial" w:eastAsia="Arial" w:hAnsi="Arial"/>
                <w:sz w:val="18"/>
                <w:szCs w:val="18"/>
                <w:color w:val="auto"/>
              </w:rPr>
              <w:t>$742,861.33</w:t>
            </w:r>
          </w:p>
        </w:tc>
      </w:tr>
      <w:tr>
        <w:trPr>
          <w:trHeight w:val="230"/>
        </w:trPr>
        <w:tc>
          <w:tcPr>
            <w:tcW w:w="44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thereafter</w:t>
            </w:r>
          </w:p>
        </w:tc>
        <w:tc>
          <w:tcPr>
            <w:tcW w:w="4040" w:type="dxa"/>
            <w:vAlign w:val="bottom"/>
            <w:tcBorders>
              <w:right w:val="single" w:sz="8" w:color="auto"/>
            </w:tcBorders>
          </w:tcPr>
          <w:p>
            <w:pPr>
              <w:spacing w:after="0"/>
              <w:rPr>
                <w:sz w:val="20"/>
                <w:szCs w:val="20"/>
                <w:color w:val="auto"/>
              </w:rPr>
            </w:pPr>
          </w:p>
        </w:tc>
      </w:tr>
      <w:tr>
        <w:trPr>
          <w:trHeight w:val="54"/>
        </w:trPr>
        <w:tc>
          <w:tcPr>
            <w:tcW w:w="4400" w:type="dxa"/>
            <w:vAlign w:val="bottom"/>
            <w:tcBorders>
              <w:left w:val="single" w:sz="8" w:color="auto"/>
              <w:bottom w:val="single" w:sz="8" w:color="auto"/>
              <w:right w:val="single" w:sz="8" w:color="auto"/>
            </w:tcBorders>
          </w:tcPr>
          <w:p>
            <w:pPr>
              <w:spacing w:after="0"/>
              <w:rPr>
                <w:sz w:val="4"/>
                <w:szCs w:val="4"/>
                <w:color w:val="auto"/>
              </w:rPr>
            </w:pPr>
          </w:p>
        </w:tc>
        <w:tc>
          <w:tcPr>
            <w:tcW w:w="4040" w:type="dxa"/>
            <w:vAlign w:val="bottom"/>
            <w:tcBorders>
              <w:bottom w:val="single" w:sz="8" w:color="auto"/>
              <w:right w:val="single" w:sz="8" w:color="auto"/>
            </w:tcBorders>
          </w:tcPr>
          <w:p>
            <w:pPr>
              <w:spacing w:after="0"/>
              <w:rPr>
                <w:sz w:val="4"/>
                <w:szCs w:val="4"/>
                <w:color w:val="auto"/>
              </w:rPr>
            </w:pPr>
          </w:p>
        </w:tc>
      </w:tr>
    </w:tbl>
    <w:p>
      <w:pPr>
        <w:spacing w:after="0" w:line="202" w:lineRule="exact"/>
        <w:rPr>
          <w:sz w:val="20"/>
          <w:szCs w:val="20"/>
          <w:color w:val="auto"/>
        </w:rPr>
      </w:pPr>
    </w:p>
    <w:p>
      <w:pPr>
        <w:jc w:val="both"/>
        <w:ind w:left="1300" w:right="1300"/>
        <w:spacing w:after="0" w:line="302" w:lineRule="auto"/>
        <w:rPr>
          <w:sz w:val="20"/>
          <w:szCs w:val="20"/>
          <w:color w:val="auto"/>
        </w:rPr>
      </w:pPr>
      <w:r>
        <w:rPr>
          <w:rFonts w:ascii="Arial" w:cs="Arial" w:eastAsia="Arial" w:hAnsi="Arial"/>
          <w:sz w:val="16"/>
          <w:szCs w:val="16"/>
          <w:color w:val="auto"/>
        </w:rPr>
        <w:t>The outstanding unpaid principal balance and all accrued and unpaid interest on the Term Loan shall be due and payable on the earlier of (i) the Maturity Date, and (ii) the date of the acceleration of the Term Loan in accordance with the terms hereof. Any principal amount of the Term Loan that is repaid or prepaid may not be reborrowed. All principal of, interest on, and other amounts payable in respect of the Term Loan shall constitute Obligations hereunder.</w:t>
      </w:r>
    </w:p>
    <w:p>
      <w:pPr>
        <w:spacing w:after="0" w:line="154" w:lineRule="exact"/>
        <w:rPr>
          <w:sz w:val="20"/>
          <w:szCs w:val="20"/>
          <w:color w:val="auto"/>
        </w:rPr>
      </w:pPr>
    </w:p>
    <w:p>
      <w:pPr>
        <w:ind w:left="2040" w:hanging="735"/>
        <w:spacing w:after="0"/>
        <w:tabs>
          <w:tab w:leader="none" w:pos="2040" w:val="left"/>
        </w:tabs>
        <w:numPr>
          <w:ilvl w:val="0"/>
          <w:numId w:val="25"/>
        </w:numPr>
        <w:rPr>
          <w:rFonts w:ascii="Arial" w:cs="Arial" w:eastAsia="Arial" w:hAnsi="Arial"/>
          <w:sz w:val="18"/>
          <w:szCs w:val="18"/>
          <w:color w:val="010000"/>
        </w:rPr>
      </w:pP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of the Credit Agreement is hereby amended and restated in its entirety as follows:</w:t>
      </w:r>
    </w:p>
    <w:p>
      <w:pPr>
        <w:spacing w:after="0" w:line="221" w:lineRule="exact"/>
        <w:rPr>
          <w:sz w:val="20"/>
          <w:szCs w:val="20"/>
          <w:color w:val="auto"/>
        </w:rPr>
      </w:pPr>
    </w:p>
    <w:p>
      <w:pPr>
        <w:ind w:left="2020" w:hanging="715"/>
        <w:spacing w:after="0"/>
        <w:tabs>
          <w:tab w:leader="none" w:pos="202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COVENANTS.</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Borrower covenants and agrees that, until termination of all of the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62" w:name="page63"/>
    <w:bookmarkEnd w:id="62"/>
    <w:p>
      <w:pPr>
        <w:ind w:left="1280"/>
        <w:spacing w:after="0"/>
        <w:rPr>
          <w:sz w:val="20"/>
          <w:szCs w:val="20"/>
          <w:color w:val="auto"/>
        </w:rPr>
      </w:pPr>
      <w:r>
        <w:rPr>
          <w:rFonts w:ascii="Arial" w:cs="Arial" w:eastAsia="Arial" w:hAnsi="Arial"/>
          <w:sz w:val="18"/>
          <w:szCs w:val="18"/>
          <w:color w:val="auto"/>
        </w:rPr>
        <w:t>Commitments and payment in full of the Obligations, Borrower will:</w:t>
      </w:r>
    </w:p>
    <w:p>
      <w:pPr>
        <w:spacing w:after="0" w:line="221" w:lineRule="exact"/>
        <w:rPr>
          <w:sz w:val="20"/>
          <w:szCs w:val="20"/>
          <w:color w:val="auto"/>
        </w:rPr>
      </w:pPr>
    </w:p>
    <w:p>
      <w:pPr>
        <w:ind w:left="1280" w:right="1300" w:firstLine="5"/>
        <w:spacing w:after="0" w:line="313" w:lineRule="auto"/>
        <w:tabs>
          <w:tab w:leader="none" w:pos="2047" w:val="left"/>
        </w:tabs>
        <w:numPr>
          <w:ilvl w:val="0"/>
          <w:numId w:val="27"/>
        </w:numPr>
        <w:rPr>
          <w:rFonts w:ascii="Arial" w:cs="Arial" w:eastAsia="Arial" w:hAnsi="Arial"/>
          <w:sz w:val="17"/>
          <w:szCs w:val="17"/>
          <w:color w:val="auto"/>
        </w:rPr>
      </w:pPr>
      <w:r>
        <w:rPr>
          <w:rFonts w:ascii="Arial" w:cs="Arial" w:eastAsia="Arial" w:hAnsi="Arial"/>
          <w:sz w:val="17"/>
          <w:szCs w:val="17"/>
          <w:b w:val="1"/>
          <w:bCs w:val="1"/>
          <w:color w:val="auto"/>
        </w:rPr>
        <w:t>Fixed Charge Coverage Ratio</w:t>
      </w:r>
      <w:r>
        <w:rPr>
          <w:rFonts w:ascii="Arial" w:cs="Arial" w:eastAsia="Arial" w:hAnsi="Arial"/>
          <w:sz w:val="17"/>
          <w:szCs w:val="17"/>
          <w:color w:val="auto"/>
        </w:rPr>
        <w:t>. Have a Fixed Charge Coverage Ratio, measured on a quarter-end basis, of not</w:t>
      </w:r>
      <w:r>
        <w:rPr>
          <w:rFonts w:ascii="Arial" w:cs="Arial" w:eastAsia="Arial" w:hAnsi="Arial"/>
          <w:sz w:val="17"/>
          <w:szCs w:val="17"/>
          <w:b w:val="1"/>
          <w:bCs w:val="1"/>
          <w:color w:val="auto"/>
        </w:rPr>
        <w:t xml:space="preserve"> </w:t>
      </w:r>
      <w:r>
        <w:rPr>
          <w:rFonts w:ascii="Arial" w:cs="Arial" w:eastAsia="Arial" w:hAnsi="Arial"/>
          <w:sz w:val="17"/>
          <w:szCs w:val="17"/>
          <w:color w:val="auto"/>
        </w:rPr>
        <w:t>less than the applicable ratio set forth in the following table for the applicable date set forth opposite thereto:</w:t>
      </w:r>
    </w:p>
    <w:p>
      <w:pPr>
        <w:spacing w:after="0" w:line="137" w:lineRule="exact"/>
        <w:rPr>
          <w:sz w:val="20"/>
          <w:szCs w:val="20"/>
          <w:color w:val="auto"/>
        </w:rPr>
      </w:pPr>
    </w:p>
    <w:tbl>
      <w:tblPr>
        <w:tblLayout w:type="fixed"/>
        <w:tblInd w:w="1490" w:type="dxa"/>
        <w:tblCellMar>
          <w:top w:w="0" w:type="dxa"/>
          <w:left w:w="0" w:type="dxa"/>
          <w:bottom w:w="0" w:type="dxa"/>
          <w:right w:w="0" w:type="dxa"/>
        </w:tblCellMar>
      </w:tblPr>
      <w:tr>
        <w:trPr>
          <w:trHeight w:val="343"/>
        </w:trPr>
        <w:tc>
          <w:tcPr>
            <w:tcW w:w="4820" w:type="dxa"/>
            <w:vAlign w:val="bottom"/>
            <w:tcBorders>
              <w:top w:val="single" w:sz="8" w:color="auto"/>
              <w:left w:val="single" w:sz="8" w:color="auto"/>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Applicable Ratio</w:t>
            </w:r>
          </w:p>
        </w:tc>
        <w:tc>
          <w:tcPr>
            <w:tcW w:w="3620" w:type="dxa"/>
            <w:vAlign w:val="bottom"/>
            <w:tcBorders>
              <w:top w:val="single" w:sz="8" w:color="auto"/>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Applicable Date(s)</w:t>
            </w:r>
          </w:p>
        </w:tc>
      </w:tr>
      <w:tr>
        <w:trPr>
          <w:trHeight w:val="249"/>
        </w:trPr>
        <w:tc>
          <w:tcPr>
            <w:tcW w:w="48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1.25:1.00</w:t>
            </w:r>
          </w:p>
        </w:tc>
        <w:tc>
          <w:tcPr>
            <w:tcW w:w="3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March 31, 2017, June 30, 2017, September 30,</w:t>
            </w:r>
          </w:p>
        </w:tc>
      </w:tr>
      <w:tr>
        <w:trPr>
          <w:trHeight w:val="230"/>
        </w:trPr>
        <w:tc>
          <w:tcPr>
            <w:tcW w:w="4820" w:type="dxa"/>
            <w:vAlign w:val="bottom"/>
            <w:tcBorders>
              <w:left w:val="single" w:sz="8" w:color="auto"/>
              <w:right w:val="single" w:sz="8" w:color="auto"/>
            </w:tcBorders>
          </w:tcPr>
          <w:p>
            <w:pPr>
              <w:spacing w:after="0"/>
              <w:rPr>
                <w:sz w:val="20"/>
                <w:szCs w:val="20"/>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2017, and December 31, 2017</w:t>
            </w:r>
          </w:p>
        </w:tc>
      </w:tr>
      <w:tr>
        <w:trPr>
          <w:trHeight w:val="54"/>
        </w:trPr>
        <w:tc>
          <w:tcPr>
            <w:tcW w:w="4820" w:type="dxa"/>
            <w:vAlign w:val="bottom"/>
            <w:tcBorders>
              <w:left w:val="single" w:sz="8" w:color="auto"/>
              <w:bottom w:val="single" w:sz="8" w:color="auto"/>
              <w:right w:val="single" w:sz="8" w:color="auto"/>
            </w:tcBorders>
          </w:tcPr>
          <w:p>
            <w:pPr>
              <w:spacing w:after="0"/>
              <w:rPr>
                <w:sz w:val="4"/>
                <w:szCs w:val="4"/>
                <w:color w:val="auto"/>
              </w:rPr>
            </w:pPr>
          </w:p>
        </w:tc>
        <w:tc>
          <w:tcPr>
            <w:tcW w:w="3620" w:type="dxa"/>
            <w:vAlign w:val="bottom"/>
            <w:tcBorders>
              <w:bottom w:val="single" w:sz="8" w:color="auto"/>
              <w:right w:val="single" w:sz="8" w:color="auto"/>
            </w:tcBorders>
          </w:tcPr>
          <w:p>
            <w:pPr>
              <w:spacing w:after="0"/>
              <w:rPr>
                <w:sz w:val="4"/>
                <w:szCs w:val="4"/>
                <w:color w:val="auto"/>
              </w:rPr>
            </w:pPr>
          </w:p>
        </w:tc>
      </w:tr>
      <w:tr>
        <w:trPr>
          <w:trHeight w:val="249"/>
        </w:trPr>
        <w:tc>
          <w:tcPr>
            <w:tcW w:w="48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1.50:1.00</w:t>
            </w: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March 31, 2018, June 30, 2018, September 30,</w:t>
            </w:r>
          </w:p>
        </w:tc>
      </w:tr>
      <w:tr>
        <w:trPr>
          <w:trHeight w:val="230"/>
        </w:trPr>
        <w:tc>
          <w:tcPr>
            <w:tcW w:w="4820" w:type="dxa"/>
            <w:vAlign w:val="bottom"/>
            <w:tcBorders>
              <w:left w:val="single" w:sz="8" w:color="auto"/>
              <w:right w:val="single" w:sz="8" w:color="auto"/>
            </w:tcBorders>
          </w:tcPr>
          <w:p>
            <w:pPr>
              <w:spacing w:after="0"/>
              <w:rPr>
                <w:sz w:val="20"/>
                <w:szCs w:val="20"/>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2018, and December 31, 2018</w:t>
            </w:r>
          </w:p>
        </w:tc>
      </w:tr>
      <w:tr>
        <w:trPr>
          <w:trHeight w:val="54"/>
        </w:trPr>
        <w:tc>
          <w:tcPr>
            <w:tcW w:w="4820" w:type="dxa"/>
            <w:vAlign w:val="bottom"/>
            <w:tcBorders>
              <w:left w:val="single" w:sz="8" w:color="auto"/>
              <w:bottom w:val="single" w:sz="8" w:color="auto"/>
              <w:right w:val="single" w:sz="8" w:color="auto"/>
            </w:tcBorders>
          </w:tcPr>
          <w:p>
            <w:pPr>
              <w:spacing w:after="0"/>
              <w:rPr>
                <w:sz w:val="4"/>
                <w:szCs w:val="4"/>
                <w:color w:val="auto"/>
              </w:rPr>
            </w:pPr>
          </w:p>
        </w:tc>
        <w:tc>
          <w:tcPr>
            <w:tcW w:w="3620" w:type="dxa"/>
            <w:vAlign w:val="bottom"/>
            <w:tcBorders>
              <w:bottom w:val="single" w:sz="8" w:color="auto"/>
              <w:right w:val="single" w:sz="8" w:color="auto"/>
            </w:tcBorders>
          </w:tcPr>
          <w:p>
            <w:pPr>
              <w:spacing w:after="0"/>
              <w:rPr>
                <w:sz w:val="4"/>
                <w:szCs w:val="4"/>
                <w:color w:val="auto"/>
              </w:rPr>
            </w:pPr>
          </w:p>
        </w:tc>
      </w:tr>
    </w:tbl>
    <w:p>
      <w:pPr>
        <w:spacing w:after="0" w:line="198" w:lineRule="exact"/>
        <w:rPr>
          <w:sz w:val="20"/>
          <w:szCs w:val="20"/>
          <w:color w:val="auto"/>
        </w:rPr>
      </w:pPr>
    </w:p>
    <w:p>
      <w:pPr>
        <w:ind w:left="1280" w:right="1300" w:firstLine="5"/>
        <w:spacing w:after="0" w:line="282" w:lineRule="auto"/>
        <w:tabs>
          <w:tab w:leader="none" w:pos="2138"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Leverage Ratio</w:t>
      </w:r>
      <w:r>
        <w:rPr>
          <w:rFonts w:ascii="Arial" w:cs="Arial" w:eastAsia="Arial" w:hAnsi="Arial"/>
          <w:sz w:val="18"/>
          <w:szCs w:val="18"/>
          <w:color w:val="auto"/>
        </w:rPr>
        <w:t>. Have a Leverage Ratio, measured on a quarter-end basis, of not greater than the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ratio set forth in the following table for the applicable date set forth opposite thereto:</w:t>
      </w:r>
    </w:p>
    <w:p>
      <w:pPr>
        <w:spacing w:after="0" w:line="160" w:lineRule="exact"/>
        <w:rPr>
          <w:sz w:val="20"/>
          <w:szCs w:val="20"/>
          <w:color w:val="auto"/>
        </w:rPr>
      </w:pPr>
    </w:p>
    <w:tbl>
      <w:tblPr>
        <w:tblLayout w:type="fixed"/>
        <w:tblInd w:w="1490" w:type="dxa"/>
        <w:tblCellMar>
          <w:top w:w="0" w:type="dxa"/>
          <w:left w:w="0" w:type="dxa"/>
          <w:bottom w:w="0" w:type="dxa"/>
          <w:right w:w="0" w:type="dxa"/>
        </w:tblCellMar>
      </w:tblPr>
      <w:tr>
        <w:trPr>
          <w:trHeight w:val="343"/>
        </w:trPr>
        <w:tc>
          <w:tcPr>
            <w:tcW w:w="4820" w:type="dxa"/>
            <w:vAlign w:val="bottom"/>
            <w:tcBorders>
              <w:top w:val="single" w:sz="8" w:color="auto"/>
              <w:left w:val="single" w:sz="8" w:color="auto"/>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Applicable Ratio</w:t>
            </w:r>
          </w:p>
        </w:tc>
        <w:tc>
          <w:tcPr>
            <w:tcW w:w="3620" w:type="dxa"/>
            <w:vAlign w:val="bottom"/>
            <w:tcBorders>
              <w:top w:val="single" w:sz="8" w:color="auto"/>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Applicable Date(s)</w:t>
            </w:r>
          </w:p>
        </w:tc>
      </w:tr>
      <w:tr>
        <w:trPr>
          <w:trHeight w:val="264"/>
        </w:trPr>
        <w:tc>
          <w:tcPr>
            <w:tcW w:w="48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4.25:1.00</w:t>
            </w:r>
          </w:p>
        </w:tc>
        <w:tc>
          <w:tcPr>
            <w:tcW w:w="3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March 31, 2017</w:t>
            </w:r>
          </w:p>
        </w:tc>
      </w:tr>
      <w:tr>
        <w:trPr>
          <w:trHeight w:val="54"/>
        </w:trPr>
        <w:tc>
          <w:tcPr>
            <w:tcW w:w="4820" w:type="dxa"/>
            <w:vAlign w:val="bottom"/>
            <w:tcBorders>
              <w:left w:val="single" w:sz="8" w:color="auto"/>
              <w:bottom w:val="single" w:sz="8" w:color="auto"/>
              <w:right w:val="single" w:sz="8" w:color="auto"/>
            </w:tcBorders>
          </w:tcPr>
          <w:p>
            <w:pPr>
              <w:spacing w:after="0"/>
              <w:rPr>
                <w:sz w:val="4"/>
                <w:szCs w:val="4"/>
                <w:color w:val="auto"/>
              </w:rPr>
            </w:pPr>
          </w:p>
        </w:tc>
        <w:tc>
          <w:tcPr>
            <w:tcW w:w="3620" w:type="dxa"/>
            <w:vAlign w:val="bottom"/>
            <w:tcBorders>
              <w:bottom w:val="single" w:sz="8" w:color="auto"/>
              <w:right w:val="single" w:sz="8" w:color="auto"/>
            </w:tcBorders>
          </w:tcPr>
          <w:p>
            <w:pPr>
              <w:spacing w:after="0"/>
              <w:rPr>
                <w:sz w:val="4"/>
                <w:szCs w:val="4"/>
                <w:color w:val="auto"/>
              </w:rPr>
            </w:pPr>
          </w:p>
        </w:tc>
      </w:tr>
      <w:tr>
        <w:trPr>
          <w:trHeight w:val="264"/>
        </w:trPr>
        <w:tc>
          <w:tcPr>
            <w:tcW w:w="48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4.25:1.00</w:t>
            </w: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June 30, 2017</w:t>
            </w:r>
          </w:p>
        </w:tc>
      </w:tr>
      <w:tr>
        <w:trPr>
          <w:trHeight w:val="54"/>
        </w:trPr>
        <w:tc>
          <w:tcPr>
            <w:tcW w:w="4820" w:type="dxa"/>
            <w:vAlign w:val="bottom"/>
            <w:tcBorders>
              <w:left w:val="single" w:sz="8" w:color="auto"/>
              <w:bottom w:val="single" w:sz="8" w:color="auto"/>
              <w:right w:val="single" w:sz="8" w:color="auto"/>
            </w:tcBorders>
          </w:tcPr>
          <w:p>
            <w:pPr>
              <w:spacing w:after="0"/>
              <w:rPr>
                <w:sz w:val="4"/>
                <w:szCs w:val="4"/>
                <w:color w:val="auto"/>
              </w:rPr>
            </w:pPr>
          </w:p>
        </w:tc>
        <w:tc>
          <w:tcPr>
            <w:tcW w:w="3620" w:type="dxa"/>
            <w:vAlign w:val="bottom"/>
            <w:tcBorders>
              <w:bottom w:val="single" w:sz="8" w:color="auto"/>
              <w:right w:val="single" w:sz="8" w:color="auto"/>
            </w:tcBorders>
          </w:tcPr>
          <w:p>
            <w:pPr>
              <w:spacing w:after="0"/>
              <w:rPr>
                <w:sz w:val="4"/>
                <w:szCs w:val="4"/>
                <w:color w:val="auto"/>
              </w:rPr>
            </w:pPr>
          </w:p>
        </w:tc>
      </w:tr>
      <w:tr>
        <w:trPr>
          <w:trHeight w:val="264"/>
        </w:trPr>
        <w:tc>
          <w:tcPr>
            <w:tcW w:w="48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4.25:1.00</w:t>
            </w: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September 30, 2017</w:t>
            </w:r>
          </w:p>
        </w:tc>
      </w:tr>
      <w:tr>
        <w:trPr>
          <w:trHeight w:val="54"/>
        </w:trPr>
        <w:tc>
          <w:tcPr>
            <w:tcW w:w="4820" w:type="dxa"/>
            <w:vAlign w:val="bottom"/>
            <w:tcBorders>
              <w:left w:val="single" w:sz="8" w:color="auto"/>
              <w:bottom w:val="single" w:sz="8" w:color="auto"/>
              <w:right w:val="single" w:sz="8" w:color="auto"/>
            </w:tcBorders>
          </w:tcPr>
          <w:p>
            <w:pPr>
              <w:spacing w:after="0"/>
              <w:rPr>
                <w:sz w:val="4"/>
                <w:szCs w:val="4"/>
                <w:color w:val="auto"/>
              </w:rPr>
            </w:pPr>
          </w:p>
        </w:tc>
        <w:tc>
          <w:tcPr>
            <w:tcW w:w="3620" w:type="dxa"/>
            <w:vAlign w:val="bottom"/>
            <w:tcBorders>
              <w:bottom w:val="single" w:sz="8" w:color="auto"/>
              <w:right w:val="single" w:sz="8" w:color="auto"/>
            </w:tcBorders>
          </w:tcPr>
          <w:p>
            <w:pPr>
              <w:spacing w:after="0"/>
              <w:rPr>
                <w:sz w:val="4"/>
                <w:szCs w:val="4"/>
                <w:color w:val="auto"/>
              </w:rPr>
            </w:pPr>
          </w:p>
        </w:tc>
      </w:tr>
      <w:tr>
        <w:trPr>
          <w:trHeight w:val="264"/>
        </w:trPr>
        <w:tc>
          <w:tcPr>
            <w:tcW w:w="48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4.00:1.00</w:t>
            </w: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December 31, 2017</w:t>
            </w:r>
          </w:p>
        </w:tc>
      </w:tr>
      <w:tr>
        <w:trPr>
          <w:trHeight w:val="54"/>
        </w:trPr>
        <w:tc>
          <w:tcPr>
            <w:tcW w:w="4820" w:type="dxa"/>
            <w:vAlign w:val="bottom"/>
            <w:tcBorders>
              <w:left w:val="single" w:sz="8" w:color="auto"/>
              <w:bottom w:val="single" w:sz="8" w:color="auto"/>
              <w:right w:val="single" w:sz="8" w:color="auto"/>
            </w:tcBorders>
          </w:tcPr>
          <w:p>
            <w:pPr>
              <w:spacing w:after="0"/>
              <w:rPr>
                <w:sz w:val="4"/>
                <w:szCs w:val="4"/>
                <w:color w:val="auto"/>
              </w:rPr>
            </w:pPr>
          </w:p>
        </w:tc>
        <w:tc>
          <w:tcPr>
            <w:tcW w:w="3620" w:type="dxa"/>
            <w:vAlign w:val="bottom"/>
            <w:tcBorders>
              <w:bottom w:val="single" w:sz="8" w:color="auto"/>
              <w:right w:val="single" w:sz="8" w:color="auto"/>
            </w:tcBorders>
          </w:tcPr>
          <w:p>
            <w:pPr>
              <w:spacing w:after="0"/>
              <w:rPr>
                <w:sz w:val="4"/>
                <w:szCs w:val="4"/>
                <w:color w:val="auto"/>
              </w:rPr>
            </w:pPr>
          </w:p>
        </w:tc>
      </w:tr>
      <w:tr>
        <w:trPr>
          <w:trHeight w:val="264"/>
        </w:trPr>
        <w:tc>
          <w:tcPr>
            <w:tcW w:w="48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3.75:1.00</w:t>
            </w: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March 31, 2018</w:t>
            </w:r>
          </w:p>
        </w:tc>
      </w:tr>
      <w:tr>
        <w:trPr>
          <w:trHeight w:val="54"/>
        </w:trPr>
        <w:tc>
          <w:tcPr>
            <w:tcW w:w="4820" w:type="dxa"/>
            <w:vAlign w:val="bottom"/>
            <w:tcBorders>
              <w:left w:val="single" w:sz="8" w:color="auto"/>
              <w:bottom w:val="single" w:sz="8" w:color="auto"/>
              <w:right w:val="single" w:sz="8" w:color="auto"/>
            </w:tcBorders>
          </w:tcPr>
          <w:p>
            <w:pPr>
              <w:spacing w:after="0"/>
              <w:rPr>
                <w:sz w:val="4"/>
                <w:szCs w:val="4"/>
                <w:color w:val="auto"/>
              </w:rPr>
            </w:pPr>
          </w:p>
        </w:tc>
        <w:tc>
          <w:tcPr>
            <w:tcW w:w="3620" w:type="dxa"/>
            <w:vAlign w:val="bottom"/>
            <w:tcBorders>
              <w:bottom w:val="single" w:sz="8" w:color="auto"/>
              <w:right w:val="single" w:sz="8" w:color="auto"/>
            </w:tcBorders>
          </w:tcPr>
          <w:p>
            <w:pPr>
              <w:spacing w:after="0"/>
              <w:rPr>
                <w:sz w:val="4"/>
                <w:szCs w:val="4"/>
                <w:color w:val="auto"/>
              </w:rPr>
            </w:pPr>
          </w:p>
        </w:tc>
      </w:tr>
      <w:tr>
        <w:trPr>
          <w:trHeight w:val="264"/>
        </w:trPr>
        <w:tc>
          <w:tcPr>
            <w:tcW w:w="48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3.50:1.00</w:t>
            </w: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June 30, 2018</w:t>
            </w:r>
          </w:p>
        </w:tc>
      </w:tr>
      <w:tr>
        <w:trPr>
          <w:trHeight w:val="54"/>
        </w:trPr>
        <w:tc>
          <w:tcPr>
            <w:tcW w:w="4820" w:type="dxa"/>
            <w:vAlign w:val="bottom"/>
            <w:tcBorders>
              <w:left w:val="single" w:sz="8" w:color="auto"/>
              <w:bottom w:val="single" w:sz="8" w:color="auto"/>
              <w:right w:val="single" w:sz="8" w:color="auto"/>
            </w:tcBorders>
          </w:tcPr>
          <w:p>
            <w:pPr>
              <w:spacing w:after="0"/>
              <w:rPr>
                <w:sz w:val="4"/>
                <w:szCs w:val="4"/>
                <w:color w:val="auto"/>
              </w:rPr>
            </w:pPr>
          </w:p>
        </w:tc>
        <w:tc>
          <w:tcPr>
            <w:tcW w:w="3620" w:type="dxa"/>
            <w:vAlign w:val="bottom"/>
            <w:tcBorders>
              <w:bottom w:val="single" w:sz="8" w:color="auto"/>
              <w:right w:val="single" w:sz="8" w:color="auto"/>
            </w:tcBorders>
          </w:tcPr>
          <w:p>
            <w:pPr>
              <w:spacing w:after="0"/>
              <w:rPr>
                <w:sz w:val="4"/>
                <w:szCs w:val="4"/>
                <w:color w:val="auto"/>
              </w:rPr>
            </w:pPr>
          </w:p>
        </w:tc>
      </w:tr>
      <w:tr>
        <w:trPr>
          <w:trHeight w:val="264"/>
        </w:trPr>
        <w:tc>
          <w:tcPr>
            <w:tcW w:w="48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3.25:1.00</w:t>
            </w: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September 30, 2018</w:t>
            </w:r>
          </w:p>
        </w:tc>
      </w:tr>
      <w:tr>
        <w:trPr>
          <w:trHeight w:val="54"/>
        </w:trPr>
        <w:tc>
          <w:tcPr>
            <w:tcW w:w="4820" w:type="dxa"/>
            <w:vAlign w:val="bottom"/>
            <w:tcBorders>
              <w:left w:val="single" w:sz="8" w:color="auto"/>
              <w:bottom w:val="single" w:sz="8" w:color="auto"/>
              <w:right w:val="single" w:sz="8" w:color="auto"/>
            </w:tcBorders>
          </w:tcPr>
          <w:p>
            <w:pPr>
              <w:spacing w:after="0"/>
              <w:rPr>
                <w:sz w:val="4"/>
                <w:szCs w:val="4"/>
                <w:color w:val="auto"/>
              </w:rPr>
            </w:pPr>
          </w:p>
        </w:tc>
        <w:tc>
          <w:tcPr>
            <w:tcW w:w="3620" w:type="dxa"/>
            <w:vAlign w:val="bottom"/>
            <w:tcBorders>
              <w:bottom w:val="single" w:sz="8" w:color="auto"/>
              <w:right w:val="single" w:sz="8" w:color="auto"/>
            </w:tcBorders>
          </w:tcPr>
          <w:p>
            <w:pPr>
              <w:spacing w:after="0"/>
              <w:rPr>
                <w:sz w:val="4"/>
                <w:szCs w:val="4"/>
                <w:color w:val="auto"/>
              </w:rPr>
            </w:pPr>
          </w:p>
        </w:tc>
      </w:tr>
      <w:tr>
        <w:trPr>
          <w:trHeight w:val="264"/>
        </w:trPr>
        <w:tc>
          <w:tcPr>
            <w:tcW w:w="48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3.00:1.00</w:t>
            </w: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December 31, 2018</w:t>
            </w:r>
          </w:p>
        </w:tc>
      </w:tr>
      <w:tr>
        <w:trPr>
          <w:trHeight w:val="54"/>
        </w:trPr>
        <w:tc>
          <w:tcPr>
            <w:tcW w:w="4820" w:type="dxa"/>
            <w:vAlign w:val="bottom"/>
            <w:tcBorders>
              <w:left w:val="single" w:sz="8" w:color="auto"/>
              <w:bottom w:val="single" w:sz="8" w:color="auto"/>
              <w:right w:val="single" w:sz="8" w:color="auto"/>
            </w:tcBorders>
          </w:tcPr>
          <w:p>
            <w:pPr>
              <w:spacing w:after="0"/>
              <w:rPr>
                <w:sz w:val="4"/>
                <w:szCs w:val="4"/>
                <w:color w:val="auto"/>
              </w:rPr>
            </w:pPr>
          </w:p>
        </w:tc>
        <w:tc>
          <w:tcPr>
            <w:tcW w:w="3620" w:type="dxa"/>
            <w:vAlign w:val="bottom"/>
            <w:tcBorders>
              <w:bottom w:val="single" w:sz="8" w:color="auto"/>
              <w:right w:val="single" w:sz="8" w:color="auto"/>
            </w:tcBorders>
          </w:tcPr>
          <w:p>
            <w:pPr>
              <w:spacing w:after="0"/>
              <w:rPr>
                <w:sz w:val="4"/>
                <w:szCs w:val="4"/>
                <w:color w:val="auto"/>
              </w:rPr>
            </w:pPr>
          </w:p>
        </w:tc>
      </w:tr>
    </w:tbl>
    <w:p>
      <w:pPr>
        <w:spacing w:after="0" w:line="202" w:lineRule="exact"/>
        <w:rPr>
          <w:sz w:val="20"/>
          <w:szCs w:val="20"/>
          <w:color w:val="auto"/>
        </w:rPr>
      </w:pPr>
    </w:p>
    <w:p>
      <w:pPr>
        <w:ind w:left="2020" w:hanging="735"/>
        <w:spacing w:after="0"/>
        <w:tabs>
          <w:tab w:leader="none" w:pos="2020" w:val="left"/>
        </w:tabs>
        <w:numPr>
          <w:ilvl w:val="1"/>
          <w:numId w:val="29"/>
        </w:numPr>
        <w:rPr>
          <w:rFonts w:ascii="Arial" w:cs="Arial" w:eastAsia="Arial" w:hAnsi="Arial"/>
          <w:sz w:val="16"/>
          <w:szCs w:val="16"/>
          <w:color w:val="010000"/>
        </w:rPr>
      </w:pPr>
      <w:r>
        <w:rPr>
          <w:rFonts w:ascii="Arial" w:cs="Arial" w:eastAsia="Arial" w:hAnsi="Arial"/>
          <w:sz w:val="16"/>
          <w:szCs w:val="16"/>
          <w:u w:val="single" w:color="auto"/>
          <w:color w:val="auto"/>
        </w:rPr>
        <w:t>Schedule C-1</w:t>
      </w:r>
      <w:r>
        <w:rPr>
          <w:rFonts w:ascii="Arial" w:cs="Arial" w:eastAsia="Arial" w:hAnsi="Arial"/>
          <w:sz w:val="16"/>
          <w:szCs w:val="16"/>
          <w:color w:val="auto"/>
        </w:rPr>
        <w:t xml:space="preserve"> to the Credit Agreement is hereby amended and restated in its entirety to read as </w:t>
      </w:r>
      <w:r>
        <w:rPr>
          <w:rFonts w:ascii="Arial" w:cs="Arial" w:eastAsia="Arial" w:hAnsi="Arial"/>
          <w:sz w:val="16"/>
          <w:szCs w:val="16"/>
          <w:u w:val="single" w:color="auto"/>
          <w:color w:val="auto"/>
        </w:rPr>
        <w:t>Schedule C-1</w:t>
      </w:r>
      <w:r>
        <w:rPr>
          <w:rFonts w:ascii="Arial" w:cs="Arial" w:eastAsia="Arial" w:hAnsi="Arial"/>
          <w:sz w:val="16"/>
          <w:szCs w:val="16"/>
          <w:color w:val="auto"/>
        </w:rPr>
        <w:t xml:space="preserve"> attached hereto.</w:t>
      </w:r>
    </w:p>
    <w:p>
      <w:pPr>
        <w:spacing w:after="0" w:line="244" w:lineRule="exact"/>
        <w:rPr>
          <w:rFonts w:ascii="Arial" w:cs="Arial" w:eastAsia="Arial" w:hAnsi="Arial"/>
          <w:sz w:val="16"/>
          <w:szCs w:val="16"/>
          <w:color w:val="010000"/>
        </w:rPr>
      </w:pPr>
    </w:p>
    <w:p>
      <w:pPr>
        <w:jc w:val="both"/>
        <w:ind w:left="-20" w:firstLine="656"/>
        <w:spacing w:after="0" w:line="298" w:lineRule="auto"/>
        <w:tabs>
          <w:tab w:leader="none" w:pos="1388" w:val="left"/>
        </w:tabs>
        <w:numPr>
          <w:ilvl w:val="0"/>
          <w:numId w:val="30"/>
        </w:numPr>
        <w:rPr>
          <w:rFonts w:ascii="Arial" w:cs="Arial" w:eastAsia="Arial" w:hAnsi="Arial"/>
          <w:sz w:val="16"/>
          <w:szCs w:val="16"/>
          <w:color w:val="010000"/>
        </w:rPr>
      </w:pPr>
      <w:r>
        <w:rPr>
          <w:rFonts w:ascii="Arial" w:cs="Arial" w:eastAsia="Arial" w:hAnsi="Arial"/>
          <w:sz w:val="16"/>
          <w:szCs w:val="16"/>
          <w:b w:val="1"/>
          <w:bCs w:val="1"/>
          <w:u w:val="single" w:color="auto"/>
          <w:color w:val="auto"/>
        </w:rPr>
        <w:t>Consent</w:t>
      </w:r>
      <w:r>
        <w:rPr>
          <w:rFonts w:ascii="Arial" w:cs="Arial" w:eastAsia="Arial" w:hAnsi="Arial"/>
          <w:sz w:val="16"/>
          <w:szCs w:val="16"/>
          <w:color w:val="auto"/>
        </w:rPr>
        <w:t>. Under the terms of the Mangrove Subordinated Note, the first payment of principal in an amount equal to $3,000,000 is due and</w:t>
      </w:r>
      <w:r>
        <w:rPr>
          <w:rFonts w:ascii="Arial" w:cs="Arial" w:eastAsia="Arial" w:hAnsi="Arial"/>
          <w:sz w:val="16"/>
          <w:szCs w:val="16"/>
          <w:b w:val="1"/>
          <w:bCs w:val="1"/>
          <w:color w:val="auto"/>
        </w:rPr>
        <w:t xml:space="preserve"> </w:t>
      </w:r>
      <w:r>
        <w:rPr>
          <w:rFonts w:ascii="Arial" w:cs="Arial" w:eastAsia="Arial" w:hAnsi="Arial"/>
          <w:sz w:val="16"/>
          <w:szCs w:val="16"/>
          <w:color w:val="auto"/>
        </w:rPr>
        <w:t>payable on March 18, 2017, and the second payment of the remaining principal balance, together with all accrued and unpaid interest, is due on March 18, 2018 (such second payment, the “</w:t>
      </w:r>
      <w:r>
        <w:rPr>
          <w:rFonts w:ascii="Arial" w:cs="Arial" w:eastAsia="Arial" w:hAnsi="Arial"/>
          <w:sz w:val="16"/>
          <w:szCs w:val="16"/>
          <w:u w:val="single" w:color="auto"/>
          <w:color w:val="auto"/>
        </w:rPr>
        <w:t>Second Payment</w:t>
      </w:r>
      <w:r>
        <w:rPr>
          <w:rFonts w:ascii="Arial" w:cs="Arial" w:eastAsia="Arial" w:hAnsi="Arial"/>
          <w:sz w:val="16"/>
          <w:szCs w:val="16"/>
          <w:color w:val="auto"/>
        </w:rPr>
        <w:t xml:space="preserve">”). The Second Payment would not be permitted to be made prior to March 18, 2018 under </w:t>
      </w:r>
      <w:r>
        <w:rPr>
          <w:rFonts w:ascii="Arial" w:cs="Arial" w:eastAsia="Arial" w:hAnsi="Arial"/>
          <w:sz w:val="16"/>
          <w:szCs w:val="16"/>
          <w:u w:val="single" w:color="auto"/>
          <w:color w:val="auto"/>
        </w:rPr>
        <w:t>Section 6.4</w:t>
      </w:r>
      <w:r>
        <w:rPr>
          <w:rFonts w:ascii="Arial" w:cs="Arial" w:eastAsia="Arial" w:hAnsi="Arial"/>
          <w:sz w:val="16"/>
          <w:szCs w:val="16"/>
          <w:color w:val="auto"/>
        </w:rPr>
        <w:t xml:space="preserve"> (Disposal of Assets) of the Credit Agreement, </w:t>
      </w:r>
      <w:r>
        <w:rPr>
          <w:rFonts w:ascii="Arial" w:cs="Arial" w:eastAsia="Arial" w:hAnsi="Arial"/>
          <w:sz w:val="16"/>
          <w:szCs w:val="16"/>
          <w:u w:val="single" w:color="auto"/>
          <w:color w:val="auto"/>
        </w:rPr>
        <w:t>Section 6.6</w:t>
      </w:r>
      <w:r>
        <w:rPr>
          <w:rFonts w:ascii="Arial" w:cs="Arial" w:eastAsia="Arial" w:hAnsi="Arial"/>
          <w:sz w:val="16"/>
          <w:szCs w:val="16"/>
          <w:color w:val="auto"/>
        </w:rPr>
        <w:t xml:space="preserve"> (Prepayments and Amendments) of the Credit Agreement, or under the Mangrove Subordination Agreement because such payment constitutes a prepayment of the Indebtedness owing under the Mangrove Subordinated Note, and because such</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881" w:right="239" w:bottom="1440" w:gutter="0" w:footer="0" w:header="0"/>
        </w:sectPr>
      </w:pPr>
    </w:p>
    <w:bookmarkStart w:id="63" w:name="page64"/>
    <w:bookmarkEnd w:id="63"/>
    <w:p>
      <w:pPr>
        <w:jc w:val="both"/>
        <w:spacing w:after="0" w:line="264" w:lineRule="auto"/>
        <w:rPr>
          <w:sz w:val="20"/>
          <w:szCs w:val="20"/>
          <w:color w:val="auto"/>
        </w:rPr>
      </w:pPr>
      <w:r>
        <w:rPr>
          <w:rFonts w:ascii="Arial" w:cs="Arial" w:eastAsia="Arial" w:hAnsi="Arial"/>
          <w:sz w:val="18"/>
          <w:szCs w:val="18"/>
          <w:color w:val="auto"/>
        </w:rPr>
        <w:t>payment does not constitute a “Permitted Disposition” under clause (r) of the definition thereof. In light of the foregoing, Borrower has requested that Agent and the Lenders consent to the making of the Second Payment in connection with the Mangrove Note Payoff, notwithstanding the limitations described above.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Agent and the Lenders hereby consent to the Second Payment subject to the satisfaction of each of the following conditions:</w:t>
      </w:r>
    </w:p>
    <w:p>
      <w:pPr>
        <w:spacing w:after="0" w:line="225" w:lineRule="exact"/>
        <w:rPr>
          <w:sz w:val="20"/>
          <w:szCs w:val="20"/>
          <w:color w:val="auto"/>
        </w:rPr>
      </w:pPr>
    </w:p>
    <w:p>
      <w:pPr>
        <w:ind w:left="1300" w:hanging="320"/>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Borrower shall have delivered to Agent a certificate from an Authorized Person, in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aggregate amount of the Mangrove Note Payoff shall not exceed $5,879,000.</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Mangrove Note Payoff shall be consummated on or before March 20, 2017.</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proceeds of the Additional Term Loan shall be used to finance a portion of the Mangrove Note Payoff.</w:t>
      </w:r>
    </w:p>
    <w:p>
      <w:pPr>
        <w:spacing w:after="0" w:line="225" w:lineRule="exact"/>
        <w:rPr>
          <w:rFonts w:ascii="Arial" w:cs="Arial" w:eastAsia="Arial" w:hAnsi="Arial"/>
          <w:sz w:val="18"/>
          <w:szCs w:val="18"/>
          <w:color w:val="auto"/>
        </w:rPr>
      </w:pPr>
    </w:p>
    <w:p>
      <w:pPr>
        <w:jc w:val="both"/>
        <w:ind w:firstLine="980"/>
        <w:spacing w:after="0" w:line="286" w:lineRule="auto"/>
        <w:tabs>
          <w:tab w:leader="none" w:pos="1356" w:val="left"/>
        </w:tabs>
        <w:numPr>
          <w:ilvl w:val="0"/>
          <w:numId w:val="31"/>
        </w:numPr>
        <w:rPr>
          <w:rFonts w:ascii="Arial" w:cs="Arial" w:eastAsia="Arial" w:hAnsi="Arial"/>
          <w:sz w:val="17"/>
          <w:szCs w:val="17"/>
          <w:color w:val="auto"/>
        </w:rPr>
      </w:pPr>
      <w:r>
        <w:rPr>
          <w:rFonts w:ascii="Arial" w:cs="Arial" w:eastAsia="Arial" w:hAnsi="Arial"/>
          <w:sz w:val="17"/>
          <w:szCs w:val="17"/>
          <w:color w:val="auto"/>
        </w:rPr>
        <w:t>Agent shall have received a duly executed payoff letter in respect of the Indebtedness owing under the Mangrove Subordinated Note, and such other releases, documents and agreements as Agent may reasonably request to evidence the release of any collateral securing payment of the Indebtedness owing under the Mangrove Subordinated Note, in each case, in form and substance satisfactory to Agent.</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limited consent set forth herein shall be limited precisely as written and shall not be deemed to be (a) a waiver, consent or modification of any other term or condition of the Credit Agreement or (b) prejudice any right or remedy which Agent or the Lenders may now or in the future have under or in connection with the Credit Agreement.</w:t>
      </w:r>
    </w:p>
    <w:p>
      <w:pPr>
        <w:spacing w:after="0" w:line="177" w:lineRule="exact"/>
        <w:rPr>
          <w:sz w:val="20"/>
          <w:szCs w:val="20"/>
          <w:color w:val="auto"/>
        </w:rPr>
      </w:pPr>
    </w:p>
    <w:p>
      <w:pPr>
        <w:ind w:firstLine="656"/>
        <w:spacing w:after="0" w:line="313" w:lineRule="auto"/>
        <w:tabs>
          <w:tab w:leader="none" w:pos="1584" w:val="left"/>
        </w:tabs>
        <w:numPr>
          <w:ilvl w:val="0"/>
          <w:numId w:val="32"/>
        </w:numPr>
        <w:rPr>
          <w:rFonts w:ascii="Arial" w:cs="Arial" w:eastAsia="Arial" w:hAnsi="Arial"/>
          <w:sz w:val="17"/>
          <w:szCs w:val="17"/>
          <w:color w:val="010000"/>
        </w:rPr>
      </w:pPr>
      <w:r>
        <w:rPr>
          <w:rFonts w:ascii="Arial" w:cs="Arial" w:eastAsia="Arial" w:hAnsi="Arial"/>
          <w:sz w:val="17"/>
          <w:szCs w:val="17"/>
          <w:b w:val="1"/>
          <w:bCs w:val="1"/>
          <w:u w:val="single" w:color="auto"/>
          <w:color w:val="auto"/>
        </w:rPr>
        <w:t>Conditions Precedent to Amendment Number Seven</w:t>
      </w:r>
      <w:r>
        <w:rPr>
          <w:rFonts w:ascii="Arial" w:cs="Arial" w:eastAsia="Arial" w:hAnsi="Arial"/>
          <w:sz w:val="17"/>
          <w:szCs w:val="17"/>
          <w:color w:val="auto"/>
        </w:rPr>
        <w:t>. This Amendment shall become effective as of the date hereof (such date, the</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u w:val="single" w:color="auto"/>
          <w:color w:val="auto"/>
        </w:rPr>
        <w:t>Seventh Amendment Effective Date</w:t>
      </w:r>
      <w:r>
        <w:rPr>
          <w:rFonts w:ascii="Arial" w:cs="Arial" w:eastAsia="Arial" w:hAnsi="Arial"/>
          <w:sz w:val="17"/>
          <w:szCs w:val="17"/>
          <w:color w:val="auto"/>
        </w:rPr>
        <w:t>”) upon satisfaction or waiver by the Lender Group of each of the following conditions precedent:</w:t>
      </w:r>
    </w:p>
    <w:p>
      <w:pPr>
        <w:spacing w:after="0" w:line="142" w:lineRule="exact"/>
        <w:rPr>
          <w:rFonts w:ascii="Arial" w:cs="Arial" w:eastAsia="Arial" w:hAnsi="Arial"/>
          <w:sz w:val="17"/>
          <w:szCs w:val="17"/>
          <w:color w:val="010000"/>
        </w:rPr>
      </w:pPr>
    </w:p>
    <w:p>
      <w:pPr>
        <w:ind w:firstLine="1305"/>
        <w:spacing w:after="0" w:line="277" w:lineRule="auto"/>
        <w:tabs>
          <w:tab w:leader="none" w:pos="2302" w:val="left"/>
        </w:tabs>
        <w:numPr>
          <w:ilvl w:val="1"/>
          <w:numId w:val="32"/>
        </w:numPr>
        <w:rPr>
          <w:rFonts w:ascii="Arial" w:cs="Arial" w:eastAsia="Arial" w:hAnsi="Arial"/>
          <w:sz w:val="18"/>
          <w:szCs w:val="18"/>
          <w:color w:val="010000"/>
        </w:rPr>
      </w:pPr>
      <w:r>
        <w:rPr>
          <w:rFonts w:ascii="Arial" w:cs="Arial" w:eastAsia="Arial" w:hAnsi="Arial"/>
          <w:sz w:val="18"/>
          <w:szCs w:val="18"/>
          <w:u w:val="single" w:color="auto"/>
          <w:color w:val="auto"/>
        </w:rPr>
        <w:t>This Amendment</w:t>
      </w:r>
      <w:r>
        <w:rPr>
          <w:rFonts w:ascii="Arial" w:cs="Arial" w:eastAsia="Arial" w:hAnsi="Arial"/>
          <w:sz w:val="18"/>
          <w:szCs w:val="18"/>
          <w:color w:val="auto"/>
        </w:rPr>
        <w:t>. Agent shall have received (i) this Amendment, duly executed by Borrower, and (ii) the Reaffirmation of Guaranty attached hereto, duly executed by each Guarantor;</w:t>
      </w:r>
    </w:p>
    <w:p>
      <w:pPr>
        <w:spacing w:after="0" w:line="170" w:lineRule="exact"/>
        <w:rPr>
          <w:rFonts w:ascii="Arial" w:cs="Arial" w:eastAsia="Arial" w:hAnsi="Arial"/>
          <w:sz w:val="18"/>
          <w:szCs w:val="18"/>
          <w:color w:val="010000"/>
        </w:rPr>
      </w:pPr>
    </w:p>
    <w:p>
      <w:pPr>
        <w:ind w:firstLine="1305"/>
        <w:spacing w:after="0" w:line="277" w:lineRule="auto"/>
        <w:tabs>
          <w:tab w:leader="none" w:pos="2082" w:val="left"/>
        </w:tabs>
        <w:numPr>
          <w:ilvl w:val="1"/>
          <w:numId w:val="32"/>
        </w:numPr>
        <w:rPr>
          <w:rFonts w:ascii="Arial" w:cs="Arial" w:eastAsia="Arial" w:hAnsi="Arial"/>
          <w:sz w:val="18"/>
          <w:szCs w:val="18"/>
          <w:color w:val="010000"/>
        </w:rPr>
      </w:pPr>
      <w:r>
        <w:rPr>
          <w:rFonts w:ascii="Arial" w:cs="Arial" w:eastAsia="Arial" w:hAnsi="Arial"/>
          <w:sz w:val="18"/>
          <w:szCs w:val="18"/>
          <w:u w:val="single" w:color="auto"/>
          <w:color w:val="auto"/>
        </w:rPr>
        <w:t>Fee Letter</w:t>
      </w:r>
      <w:r>
        <w:rPr>
          <w:rFonts w:ascii="Arial" w:cs="Arial" w:eastAsia="Arial" w:hAnsi="Arial"/>
          <w:sz w:val="18"/>
          <w:szCs w:val="18"/>
          <w:color w:val="auto"/>
        </w:rPr>
        <w:t>. Agent shall have received that certain Third Amended and Restated Fee Letter, by and between Borrower and Agent, dated as of even date herewith (the “</w:t>
      </w:r>
      <w:r>
        <w:rPr>
          <w:rFonts w:ascii="Arial" w:cs="Arial" w:eastAsia="Arial" w:hAnsi="Arial"/>
          <w:sz w:val="18"/>
          <w:szCs w:val="18"/>
          <w:u w:val="single" w:color="auto"/>
          <w:color w:val="auto"/>
        </w:rPr>
        <w:t>Third Amended and Restated Fee Letter</w:t>
      </w:r>
      <w:r>
        <w:rPr>
          <w:rFonts w:ascii="Arial" w:cs="Arial" w:eastAsia="Arial" w:hAnsi="Arial"/>
          <w:sz w:val="18"/>
          <w:szCs w:val="18"/>
          <w:color w:val="auto"/>
        </w:rPr>
        <w:t>”), duly executed by Borrower;</w:t>
      </w:r>
    </w:p>
    <w:p>
      <w:pPr>
        <w:spacing w:after="0" w:line="170" w:lineRule="exact"/>
        <w:rPr>
          <w:rFonts w:ascii="Arial" w:cs="Arial" w:eastAsia="Arial" w:hAnsi="Arial"/>
          <w:sz w:val="18"/>
          <w:szCs w:val="18"/>
          <w:color w:val="010000"/>
        </w:rPr>
      </w:pPr>
    </w:p>
    <w:p>
      <w:pPr>
        <w:ind w:left="2040" w:hanging="735"/>
        <w:spacing w:after="0"/>
        <w:tabs>
          <w:tab w:leader="none" w:pos="2040" w:val="left"/>
        </w:tabs>
        <w:numPr>
          <w:ilvl w:val="1"/>
          <w:numId w:val="32"/>
        </w:numPr>
        <w:rPr>
          <w:rFonts w:ascii="Arial" w:cs="Arial" w:eastAsia="Arial" w:hAnsi="Arial"/>
          <w:sz w:val="18"/>
          <w:szCs w:val="18"/>
          <w:color w:val="010000"/>
        </w:rPr>
      </w:pPr>
      <w:r>
        <w:rPr>
          <w:rFonts w:ascii="Arial" w:cs="Arial" w:eastAsia="Arial" w:hAnsi="Arial"/>
          <w:sz w:val="18"/>
          <w:szCs w:val="18"/>
          <w:u w:val="single" w:color="auto"/>
          <w:color w:val="auto"/>
        </w:rPr>
        <w:t>Opinion Letter</w:t>
      </w:r>
      <w:r>
        <w:rPr>
          <w:rFonts w:ascii="Arial" w:cs="Arial" w:eastAsia="Arial" w:hAnsi="Arial"/>
          <w:sz w:val="18"/>
          <w:szCs w:val="18"/>
          <w:color w:val="auto"/>
        </w:rPr>
        <w:t>. Agent shall have received a satisfactory opinion of Borrower’s and Guarantors’ counsel;</w:t>
      </w:r>
    </w:p>
    <w:p>
      <w:pPr>
        <w:spacing w:after="0" w:line="225" w:lineRule="exact"/>
        <w:rPr>
          <w:rFonts w:ascii="Arial" w:cs="Arial" w:eastAsia="Arial" w:hAnsi="Arial"/>
          <w:sz w:val="18"/>
          <w:szCs w:val="18"/>
          <w:color w:val="010000"/>
        </w:rPr>
      </w:pPr>
    </w:p>
    <w:p>
      <w:pPr>
        <w:jc w:val="both"/>
        <w:ind w:firstLine="1305"/>
        <w:spacing w:after="0" w:line="259" w:lineRule="auto"/>
        <w:tabs>
          <w:tab w:leader="none" w:pos="2082" w:val="left"/>
        </w:tabs>
        <w:numPr>
          <w:ilvl w:val="1"/>
          <w:numId w:val="32"/>
        </w:numPr>
        <w:rPr>
          <w:rFonts w:ascii="Arial" w:cs="Arial" w:eastAsia="Arial" w:hAnsi="Arial"/>
          <w:sz w:val="18"/>
          <w:szCs w:val="18"/>
          <w:color w:val="010000"/>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xml:space="preserve">. Immediately after giving effect to this Amendment, except to the extent any such representation and warranty solely relates to an earlier specified date, the representations and warranties contained in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below shall be true and correct in all material respects (except that such materiality qualifier shall not be applicable to any portion of any representation and warranty that already is qualified or modified by materiality in the text thereof); and</w:t>
      </w:r>
    </w:p>
    <w:p>
      <w:pPr>
        <w:spacing w:after="0" w:line="186" w:lineRule="exact"/>
        <w:rPr>
          <w:rFonts w:ascii="Arial" w:cs="Arial" w:eastAsia="Arial" w:hAnsi="Arial"/>
          <w:sz w:val="18"/>
          <w:szCs w:val="18"/>
          <w:color w:val="010000"/>
        </w:rPr>
      </w:pPr>
    </w:p>
    <w:p>
      <w:pPr>
        <w:jc w:val="both"/>
        <w:ind w:firstLine="1305"/>
        <w:spacing w:after="0" w:line="264" w:lineRule="auto"/>
        <w:tabs>
          <w:tab w:leader="none" w:pos="2121" w:val="left"/>
        </w:tabs>
        <w:numPr>
          <w:ilvl w:val="1"/>
          <w:numId w:val="32"/>
        </w:numPr>
        <w:rPr>
          <w:rFonts w:ascii="Arial" w:cs="Arial" w:eastAsia="Arial" w:hAnsi="Arial"/>
          <w:sz w:val="18"/>
          <w:szCs w:val="18"/>
          <w:color w:val="010000"/>
        </w:rPr>
      </w:pPr>
      <w:r>
        <w:rPr>
          <w:rFonts w:ascii="Arial" w:cs="Arial" w:eastAsia="Arial" w:hAnsi="Arial"/>
          <w:sz w:val="18"/>
          <w:szCs w:val="18"/>
          <w:u w:val="single" w:color="auto"/>
          <w:color w:val="auto"/>
        </w:rPr>
        <w:t>Fees and Expenses Paid</w:t>
      </w:r>
      <w:r>
        <w:rPr>
          <w:rFonts w:ascii="Arial" w:cs="Arial" w:eastAsia="Arial" w:hAnsi="Arial"/>
          <w:sz w:val="18"/>
          <w:szCs w:val="18"/>
          <w:color w:val="auto"/>
        </w:rPr>
        <w:t>. There shall have been paid to Agent for the account of Agent, all fees and expenses (including fees and expenses of counsel to Agent) incurred in connection with this Amendment and the transactions contemplated hereby, and all other fees and expenses due and payable on or before the date hereof under any Loan Document.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64" w:name="page65"/>
    <w:bookmarkEnd w:id="64"/>
    <w:p>
      <w:pPr>
        <w:ind w:left="1380" w:hanging="724"/>
        <w:spacing w:after="0"/>
        <w:tabs>
          <w:tab w:leader="none" w:pos="1380" w:val="left"/>
        </w:tabs>
        <w:numPr>
          <w:ilvl w:val="1"/>
          <w:numId w:val="33"/>
        </w:numPr>
        <w:rPr>
          <w:rFonts w:ascii="Arial" w:cs="Arial" w:eastAsia="Arial" w:hAnsi="Arial"/>
          <w:sz w:val="18"/>
          <w:szCs w:val="18"/>
          <w:color w:val="010000"/>
        </w:rPr>
      </w:pPr>
      <w:r>
        <w:rPr>
          <w:rFonts w:ascii="Arial" w:cs="Arial" w:eastAsia="Arial" w:hAnsi="Arial"/>
          <w:sz w:val="18"/>
          <w:szCs w:val="18"/>
          <w:b w:val="1"/>
          <w:bCs w:val="1"/>
          <w:u w:val="single" w:color="auto"/>
          <w:color w:val="auto"/>
        </w:rPr>
        <w:t>Representations and Warranties</w:t>
      </w:r>
      <w:r>
        <w:rPr>
          <w:rFonts w:ascii="Arial" w:cs="Arial" w:eastAsia="Arial" w:hAnsi="Arial"/>
          <w:sz w:val="18"/>
          <w:szCs w:val="18"/>
          <w:color w:val="auto"/>
        </w:rPr>
        <w:t>. Borrower represents and warrants as follows:</w:t>
      </w:r>
    </w:p>
    <w:p>
      <w:pPr>
        <w:spacing w:after="0" w:line="229" w:lineRule="exact"/>
        <w:rPr>
          <w:rFonts w:ascii="Arial" w:cs="Arial" w:eastAsia="Arial" w:hAnsi="Arial"/>
          <w:sz w:val="18"/>
          <w:szCs w:val="18"/>
          <w:color w:val="010000"/>
        </w:rPr>
      </w:pPr>
    </w:p>
    <w:p>
      <w:pPr>
        <w:jc w:val="both"/>
        <w:ind w:firstLine="1305"/>
        <w:spacing w:after="0" w:line="257" w:lineRule="auto"/>
        <w:tabs>
          <w:tab w:leader="none" w:pos="2315" w:val="left"/>
        </w:tabs>
        <w:numPr>
          <w:ilvl w:val="2"/>
          <w:numId w:val="33"/>
        </w:numPr>
        <w:rPr>
          <w:rFonts w:ascii="Arial" w:cs="Arial" w:eastAsia="Arial" w:hAnsi="Arial"/>
          <w:sz w:val="18"/>
          <w:szCs w:val="18"/>
          <w:color w:val="010000"/>
        </w:rPr>
      </w:pPr>
      <w:r>
        <w:rPr>
          <w:rFonts w:ascii="Arial" w:cs="Arial" w:eastAsia="Arial" w:hAnsi="Arial"/>
          <w:sz w:val="18"/>
          <w:szCs w:val="18"/>
          <w:u w:val="single" w:color="auto"/>
          <w:color w:val="auto"/>
        </w:rPr>
        <w:t>Authority</w:t>
      </w:r>
      <w:r>
        <w:rPr>
          <w:rFonts w:ascii="Arial" w:cs="Arial" w:eastAsia="Arial" w:hAnsi="Arial"/>
          <w:sz w:val="18"/>
          <w:szCs w:val="18"/>
          <w:color w:val="auto"/>
        </w:rPr>
        <w:t>. Borrower has the requisite corporate power and authority to execute and deliver this Amendment and the Third Amended and Restated Fee Letter, and to perform its obligations hereunder and under the Loan Documents (as amended hereby) to which it is a party. The execution, delivery and performance by Borrower of this Amendment and the Third Amended and Restated Fee Letter have been duly approved by all necessary corporate action, have received all necessary governmental approval, if any, and do not contravene any law or any contractual restrictions binding on Borrower.</w:t>
      </w:r>
    </w:p>
    <w:p>
      <w:pPr>
        <w:spacing w:after="0" w:line="188" w:lineRule="exact"/>
        <w:rPr>
          <w:rFonts w:ascii="Arial" w:cs="Arial" w:eastAsia="Arial" w:hAnsi="Arial"/>
          <w:sz w:val="18"/>
          <w:szCs w:val="18"/>
          <w:color w:val="010000"/>
        </w:rPr>
      </w:pPr>
    </w:p>
    <w:p>
      <w:pPr>
        <w:jc w:val="both"/>
        <w:ind w:firstLine="1305"/>
        <w:spacing w:after="0" w:line="288" w:lineRule="auto"/>
        <w:tabs>
          <w:tab w:leader="none" w:pos="2136" w:val="left"/>
        </w:tabs>
        <w:numPr>
          <w:ilvl w:val="2"/>
          <w:numId w:val="33"/>
        </w:numPr>
        <w:rPr>
          <w:rFonts w:ascii="Arial" w:cs="Arial" w:eastAsia="Arial" w:hAnsi="Arial"/>
          <w:sz w:val="16"/>
          <w:szCs w:val="16"/>
          <w:color w:val="010000"/>
        </w:rPr>
      </w:pPr>
      <w:r>
        <w:rPr>
          <w:rFonts w:ascii="Arial" w:cs="Arial" w:eastAsia="Arial" w:hAnsi="Arial"/>
          <w:sz w:val="16"/>
          <w:szCs w:val="16"/>
          <w:u w:val="single" w:color="auto"/>
          <w:color w:val="auto"/>
        </w:rPr>
        <w:t>Enforceability</w:t>
      </w:r>
      <w:r>
        <w:rPr>
          <w:rFonts w:ascii="Arial" w:cs="Arial" w:eastAsia="Arial" w:hAnsi="Arial"/>
          <w:sz w:val="16"/>
          <w:szCs w:val="16"/>
          <w:color w:val="auto"/>
        </w:rPr>
        <w:t>. Each of this Amendment and the Third Amended and Restated Fee Letter has been duly executed and delivered by Borrower. Each of this Amendment, the Third Amended and Restated Fee Letter and the Credit Agreement (as amended or modified hereby) is the legal, valid and binding obligation of Borrower, enforceable against Borrower in accordance with its terms, and is in full force and effect, except to the extent that</w:t>
      </w:r>
    </w:p>
    <w:p>
      <w:pPr>
        <w:jc w:val="both"/>
        <w:ind w:firstLine="8"/>
        <w:spacing w:after="0" w:line="255" w:lineRule="auto"/>
        <w:tabs>
          <w:tab w:leader="none" w:pos="247"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enforceability thereof may be limited by bankruptcy, insolvency, reorganization, moratorium or other laws relating to or affecting generally the enforcement of creditors’ rights or general principles of equity or (ii) the availability of the remedies of specific performance or injunctive relief are subject to the discretion of the court before which any proceeding therefor may be brought.</w:t>
      </w:r>
    </w:p>
    <w:p>
      <w:pPr>
        <w:spacing w:after="0" w:line="190" w:lineRule="exact"/>
        <w:rPr>
          <w:rFonts w:ascii="Arial" w:cs="Arial" w:eastAsia="Arial" w:hAnsi="Arial"/>
          <w:sz w:val="18"/>
          <w:szCs w:val="18"/>
          <w:color w:val="auto"/>
        </w:rPr>
      </w:pPr>
    </w:p>
    <w:p>
      <w:pPr>
        <w:jc w:val="both"/>
        <w:ind w:firstLine="1305"/>
        <w:spacing w:after="0" w:line="264" w:lineRule="auto"/>
        <w:tabs>
          <w:tab w:leader="none" w:pos="2059" w:val="left"/>
        </w:tabs>
        <w:numPr>
          <w:ilvl w:val="2"/>
          <w:numId w:val="34"/>
        </w:numPr>
        <w:rPr>
          <w:rFonts w:ascii="Arial" w:cs="Arial" w:eastAsia="Arial" w:hAnsi="Arial"/>
          <w:sz w:val="18"/>
          <w:szCs w:val="18"/>
          <w:color w:val="010000"/>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Immediately after giving effect to this Amendment, the representations and warranties contained in the Credit Agreement are true, complete and accurate in all respects as of the date hereof, except for representations and warranties which relate exclusively to an earlier date, which shall be true and correct in all respects as of such earlier date.</w:t>
      </w:r>
    </w:p>
    <w:p>
      <w:pPr>
        <w:spacing w:after="0" w:line="181" w:lineRule="exact"/>
        <w:rPr>
          <w:rFonts w:ascii="Arial" w:cs="Arial" w:eastAsia="Arial" w:hAnsi="Arial"/>
          <w:sz w:val="18"/>
          <w:szCs w:val="18"/>
          <w:color w:val="010000"/>
        </w:rPr>
      </w:pPr>
    </w:p>
    <w:p>
      <w:pPr>
        <w:ind w:left="2040" w:hanging="735"/>
        <w:spacing w:after="0"/>
        <w:tabs>
          <w:tab w:leader="none" w:pos="2040" w:val="left"/>
        </w:tabs>
        <w:numPr>
          <w:ilvl w:val="2"/>
          <w:numId w:val="34"/>
        </w:numPr>
        <w:rPr>
          <w:rFonts w:ascii="Arial" w:cs="Arial" w:eastAsia="Arial" w:hAnsi="Arial"/>
          <w:sz w:val="18"/>
          <w:szCs w:val="18"/>
          <w:color w:val="010000"/>
        </w:rPr>
      </w:pPr>
      <w:r>
        <w:rPr>
          <w:rFonts w:ascii="Arial" w:cs="Arial" w:eastAsia="Arial" w:hAnsi="Arial"/>
          <w:sz w:val="18"/>
          <w:szCs w:val="18"/>
          <w:u w:val="single" w:color="auto"/>
          <w:color w:val="auto"/>
        </w:rPr>
        <w:t>No Default</w:t>
      </w:r>
      <w:r>
        <w:rPr>
          <w:rFonts w:ascii="Arial" w:cs="Arial" w:eastAsia="Arial" w:hAnsi="Arial"/>
          <w:sz w:val="18"/>
          <w:szCs w:val="18"/>
          <w:color w:val="auto"/>
        </w:rPr>
        <w:t>. Immediately after giving effect to this Amendment, no Default or Event of Default exists or is continuing.</w:t>
      </w:r>
    </w:p>
    <w:p>
      <w:pPr>
        <w:spacing w:after="0" w:line="221" w:lineRule="exact"/>
        <w:rPr>
          <w:rFonts w:ascii="Arial" w:cs="Arial" w:eastAsia="Arial" w:hAnsi="Arial"/>
          <w:sz w:val="18"/>
          <w:szCs w:val="18"/>
          <w:color w:val="010000"/>
        </w:rPr>
      </w:pPr>
    </w:p>
    <w:p>
      <w:pPr>
        <w:jc w:val="both"/>
        <w:ind w:firstLine="656"/>
        <w:spacing w:after="0" w:line="266" w:lineRule="auto"/>
        <w:tabs>
          <w:tab w:leader="none" w:pos="1543" w:val="left"/>
        </w:tabs>
        <w:numPr>
          <w:ilvl w:val="1"/>
          <w:numId w:val="34"/>
        </w:numPr>
        <w:rPr>
          <w:rFonts w:ascii="Arial" w:cs="Arial" w:eastAsia="Arial" w:hAnsi="Arial"/>
          <w:sz w:val="18"/>
          <w:szCs w:val="18"/>
          <w:color w:val="010000"/>
        </w:rPr>
      </w:pPr>
      <w:r>
        <w:rPr>
          <w:rFonts w:ascii="Arial" w:cs="Arial" w:eastAsia="Arial" w:hAnsi="Arial"/>
          <w:sz w:val="18"/>
          <w:szCs w:val="18"/>
          <w:b w:val="1"/>
          <w:bCs w:val="1"/>
          <w:u w:val="single" w:color="auto"/>
          <w:color w:val="auto"/>
        </w:rPr>
        <w:t>No Waiver</w:t>
      </w:r>
      <w:r>
        <w:rPr>
          <w:rFonts w:ascii="Arial" w:cs="Arial" w:eastAsia="Arial" w:hAnsi="Arial"/>
          <w:sz w:val="18"/>
          <w:szCs w:val="18"/>
          <w:color w:val="auto"/>
        </w:rPr>
        <w:t>. The execution of this Amendment and any documents related hereto shall not be deemed to be a waiver of any Default or</w:t>
      </w:r>
      <w:r>
        <w:rPr>
          <w:rFonts w:ascii="Arial" w:cs="Arial" w:eastAsia="Arial" w:hAnsi="Arial"/>
          <w:sz w:val="18"/>
          <w:szCs w:val="18"/>
          <w:b w:val="1"/>
          <w:bCs w:val="1"/>
          <w:color w:val="auto"/>
        </w:rPr>
        <w:t xml:space="preserve"> </w:t>
      </w:r>
      <w:r>
        <w:rPr>
          <w:rFonts w:ascii="Arial" w:cs="Arial" w:eastAsia="Arial" w:hAnsi="Arial"/>
          <w:sz w:val="18"/>
          <w:szCs w:val="18"/>
          <w:color w:val="auto"/>
        </w:rPr>
        <w:t>Event of Default under the Credit Agreement or breach, default or event of default under any Loan Document, whether or not known to Agent or any of the Lenders and whether or not existing as of the date hereof.</w:t>
      </w:r>
    </w:p>
    <w:p>
      <w:pPr>
        <w:spacing w:after="0" w:line="176" w:lineRule="exact"/>
        <w:rPr>
          <w:rFonts w:ascii="Arial" w:cs="Arial" w:eastAsia="Arial" w:hAnsi="Arial"/>
          <w:sz w:val="18"/>
          <w:szCs w:val="18"/>
          <w:color w:val="010000"/>
        </w:rPr>
      </w:pPr>
    </w:p>
    <w:p>
      <w:pPr>
        <w:ind w:left="1380" w:hanging="724"/>
        <w:spacing w:after="0"/>
        <w:tabs>
          <w:tab w:leader="none" w:pos="1380" w:val="left"/>
        </w:tabs>
        <w:numPr>
          <w:ilvl w:val="1"/>
          <w:numId w:val="34"/>
        </w:numPr>
        <w:rPr>
          <w:rFonts w:ascii="Arial" w:cs="Arial" w:eastAsia="Arial" w:hAnsi="Arial"/>
          <w:sz w:val="18"/>
          <w:szCs w:val="18"/>
          <w:color w:val="010000"/>
        </w:rPr>
      </w:pPr>
      <w:r>
        <w:rPr>
          <w:rFonts w:ascii="Arial" w:cs="Arial" w:eastAsia="Arial" w:hAnsi="Arial"/>
          <w:sz w:val="18"/>
          <w:szCs w:val="18"/>
          <w:b w:val="1"/>
          <w:bCs w:val="1"/>
          <w:u w:val="single" w:color="auto"/>
          <w:color w:val="auto"/>
        </w:rPr>
        <w:t>Release</w:t>
      </w:r>
      <w:r>
        <w:rPr>
          <w:rFonts w:ascii="Arial" w:cs="Arial" w:eastAsia="Arial" w:hAnsi="Arial"/>
          <w:sz w:val="18"/>
          <w:szCs w:val="18"/>
          <w:color w:val="auto"/>
        </w:rPr>
        <w:t>.</w:t>
      </w:r>
    </w:p>
    <w:p>
      <w:pPr>
        <w:spacing w:after="0" w:line="229" w:lineRule="exact"/>
        <w:rPr>
          <w:rFonts w:ascii="Arial" w:cs="Arial" w:eastAsia="Arial" w:hAnsi="Arial"/>
          <w:sz w:val="18"/>
          <w:szCs w:val="18"/>
          <w:color w:val="010000"/>
        </w:rPr>
      </w:pPr>
    </w:p>
    <w:p>
      <w:pPr>
        <w:jc w:val="both"/>
        <w:ind w:firstLine="1305"/>
        <w:spacing w:after="0" w:line="269" w:lineRule="auto"/>
        <w:tabs>
          <w:tab w:leader="none" w:pos="2207" w:val="left"/>
        </w:tabs>
        <w:numPr>
          <w:ilvl w:val="2"/>
          <w:numId w:val="35"/>
        </w:numPr>
        <w:rPr>
          <w:rFonts w:ascii="Arial" w:cs="Arial" w:eastAsia="Arial" w:hAnsi="Arial"/>
          <w:sz w:val="17"/>
          <w:szCs w:val="17"/>
          <w:color w:val="010000"/>
        </w:rPr>
      </w:pPr>
      <w:r>
        <w:rPr>
          <w:rFonts w:ascii="Arial" w:cs="Arial" w:eastAsia="Arial" w:hAnsi="Arial"/>
          <w:sz w:val="17"/>
          <w:szCs w:val="17"/>
          <w:color w:val="auto"/>
        </w:rPr>
        <w:t>In consideration of the agreements of Agent and Lenders contained herein and for other good and valuable consideration, the receipt and sufficiency of which is hereby acknowledged, Borrower, on behalf of itself, and its successors, assigns and other legal representatives (Borrower and all such other persons being hereinafter referred to collectively as “</w:t>
      </w:r>
      <w:r>
        <w:rPr>
          <w:rFonts w:ascii="Arial" w:cs="Arial" w:eastAsia="Arial" w:hAnsi="Arial"/>
          <w:sz w:val="17"/>
          <w:szCs w:val="17"/>
          <w:u w:val="single" w:color="auto"/>
          <w:color w:val="auto"/>
        </w:rPr>
        <w:t>Releasors</w:t>
      </w:r>
      <w:r>
        <w:rPr>
          <w:rFonts w:ascii="Arial" w:cs="Arial" w:eastAsia="Arial" w:hAnsi="Arial"/>
          <w:sz w:val="17"/>
          <w:szCs w:val="17"/>
          <w:color w:val="auto"/>
        </w:rPr>
        <w:t>” and individually as a “</w:t>
      </w:r>
      <w:r>
        <w:rPr>
          <w:rFonts w:ascii="Arial" w:cs="Arial" w:eastAsia="Arial" w:hAnsi="Arial"/>
          <w:sz w:val="17"/>
          <w:szCs w:val="17"/>
          <w:u w:val="single" w:color="auto"/>
          <w:color w:val="auto"/>
        </w:rPr>
        <w:t>Releasor</w:t>
      </w:r>
      <w:r>
        <w:rPr>
          <w:rFonts w:ascii="Arial" w:cs="Arial" w:eastAsia="Arial" w:hAnsi="Arial"/>
          <w:sz w:val="17"/>
          <w:szCs w:val="17"/>
          <w:color w:val="auto"/>
        </w:rPr>
        <w:t>”), hereby absolutely, unconditionally and irrevocably releases, remises and forever discharges Agent, each Lender, and its successors and assigns, and its present and former shareholders, affiliates, subsidiaries, divisions, predecessors, directors, officers, attorneys, employees, agents and other representatives (Agent, each Lender and all such other persons being hereinafter referred to collectively as “</w:t>
      </w:r>
      <w:r>
        <w:rPr>
          <w:rFonts w:ascii="Arial" w:cs="Arial" w:eastAsia="Arial" w:hAnsi="Arial"/>
          <w:sz w:val="17"/>
          <w:szCs w:val="17"/>
          <w:u w:val="single" w:color="auto"/>
          <w:color w:val="auto"/>
        </w:rPr>
        <w:t>Releasees</w:t>
      </w:r>
      <w:r>
        <w:rPr>
          <w:rFonts w:ascii="Arial" w:cs="Arial" w:eastAsia="Arial" w:hAnsi="Arial"/>
          <w:sz w:val="17"/>
          <w:szCs w:val="17"/>
          <w:color w:val="auto"/>
        </w:rPr>
        <w:t>” and individually as a “</w:t>
      </w:r>
      <w:r>
        <w:rPr>
          <w:rFonts w:ascii="Arial" w:cs="Arial" w:eastAsia="Arial" w:hAnsi="Arial"/>
          <w:sz w:val="17"/>
          <w:szCs w:val="17"/>
          <w:u w:val="single" w:color="auto"/>
          <w:color w:val="auto"/>
        </w:rPr>
        <w:t>Releasee</w:t>
      </w:r>
      <w:r>
        <w:rPr>
          <w:rFonts w:ascii="Arial" w:cs="Arial" w:eastAsia="Arial" w:hAnsi="Arial"/>
          <w:sz w:val="17"/>
          <w:szCs w:val="17"/>
          <w:color w:val="auto"/>
        </w:rPr>
        <w:t>”), of and from all demands, actions, causes of action, suits, covenants, contracts, controversies, agreements, promises, sums of money, accounts, bills, reckonings, damages and any and all other claims, counterclaims, defenses, rights of set off, demands and liabilities whatsoever (individually, an “</w:t>
      </w:r>
      <w:r>
        <w:rPr>
          <w:rFonts w:ascii="Arial" w:cs="Arial" w:eastAsia="Arial" w:hAnsi="Arial"/>
          <w:sz w:val="17"/>
          <w:szCs w:val="17"/>
          <w:u w:val="single" w:color="auto"/>
          <w:color w:val="auto"/>
        </w:rPr>
        <w:t>Indemnified Claim</w:t>
      </w:r>
      <w:r>
        <w:rPr>
          <w:rFonts w:ascii="Arial" w:cs="Arial" w:eastAsia="Arial" w:hAnsi="Arial"/>
          <w:sz w:val="17"/>
          <w:szCs w:val="17"/>
          <w:color w:val="auto"/>
        </w:rPr>
        <w:t>” and collectively, “</w:t>
      </w:r>
      <w:r>
        <w:rPr>
          <w:rFonts w:ascii="Arial" w:cs="Arial" w:eastAsia="Arial" w:hAnsi="Arial"/>
          <w:sz w:val="17"/>
          <w:szCs w:val="17"/>
          <w:u w:val="single" w:color="auto"/>
          <w:color w:val="auto"/>
        </w:rPr>
        <w:t>Indemnified Claims</w:t>
      </w:r>
      <w:r>
        <w:rPr>
          <w:rFonts w:ascii="Arial" w:cs="Arial" w:eastAsia="Arial" w:hAnsi="Arial"/>
          <w:sz w:val="17"/>
          <w:szCs w:val="17"/>
          <w:color w:val="auto"/>
        </w:rPr>
        <w:t>”) of every name and nature, known or unknown, suspected or unsuspected, both at law and in equity, which Releasors may now or hereafter own, hold, have or claim to have against Releasees or any of them for, upon, or by reason of any circumstance, action, cause or thing whatsoever which arises at any time on or prior to the day and date of this Amendment, for or on account of, or in relation to, or in any way in connection with any of the Agreement or any of the other Loan Documents or transactions thereunder or related thereto.</w:t>
      </w:r>
    </w:p>
    <w:p>
      <w:pPr>
        <w:spacing w:after="0" w:line="179" w:lineRule="exact"/>
        <w:rPr>
          <w:rFonts w:ascii="Arial" w:cs="Arial" w:eastAsia="Arial" w:hAnsi="Arial"/>
          <w:sz w:val="17"/>
          <w:szCs w:val="17"/>
          <w:color w:val="010000"/>
        </w:rPr>
      </w:pPr>
    </w:p>
    <w:p>
      <w:pPr>
        <w:ind w:firstLine="1305"/>
        <w:spacing w:after="0" w:line="277" w:lineRule="auto"/>
        <w:tabs>
          <w:tab w:leader="none" w:pos="2204" w:val="left"/>
        </w:tabs>
        <w:numPr>
          <w:ilvl w:val="2"/>
          <w:numId w:val="35"/>
        </w:numPr>
        <w:rPr>
          <w:rFonts w:ascii="Arial" w:cs="Arial" w:eastAsia="Arial" w:hAnsi="Arial"/>
          <w:sz w:val="18"/>
          <w:szCs w:val="18"/>
          <w:color w:val="010000"/>
        </w:rPr>
      </w:pPr>
      <w:r>
        <w:rPr>
          <w:rFonts w:ascii="Arial" w:cs="Arial" w:eastAsia="Arial" w:hAnsi="Arial"/>
          <w:sz w:val="18"/>
          <w:szCs w:val="18"/>
          <w:color w:val="auto"/>
        </w:rPr>
        <w:t>It is the intention of Borrower that this Amendment and the release set forth above shall constitute a full and final accord and satisfaction of all claims that may have or hereafter be deemed to have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65" w:name="page66"/>
    <w:bookmarkEnd w:id="65"/>
    <w:p>
      <w:pPr>
        <w:jc w:val="both"/>
        <w:spacing w:after="0" w:line="286" w:lineRule="auto"/>
        <w:rPr>
          <w:sz w:val="20"/>
          <w:szCs w:val="20"/>
          <w:color w:val="auto"/>
        </w:rPr>
      </w:pPr>
      <w:r>
        <w:rPr>
          <w:rFonts w:ascii="Arial" w:cs="Arial" w:eastAsia="Arial" w:hAnsi="Arial"/>
          <w:sz w:val="16"/>
          <w:szCs w:val="16"/>
          <w:color w:val="auto"/>
        </w:rPr>
        <w:t>against Releasees as set forth herein. In furtherance of this intention, Borrower, on behalf of itself and each other Releasor, expressly waives any statutory or common law provision that would otherwise prevent the release set forth above from extending to claims that are not currently known or suspected to exist in any Releasor’s favor at the time of executing this Amendment and which, if known by Releasors, might have materially affected the agreement as provided for hereunder. Borrower, on behalf of itself and each other Releasor, acknowledges that it is familiar with Section 1542 of California Civil Code:</w:t>
      </w:r>
    </w:p>
    <w:p>
      <w:pPr>
        <w:spacing w:after="0" w:line="2" w:lineRule="exact"/>
        <w:rPr>
          <w:sz w:val="20"/>
          <w:szCs w:val="20"/>
          <w:color w:val="auto"/>
        </w:rPr>
      </w:pPr>
    </w:p>
    <w:p>
      <w:pPr>
        <w:jc w:val="both"/>
        <w:ind w:left="1300" w:right="1300"/>
        <w:spacing w:after="0" w:line="254" w:lineRule="auto"/>
        <w:rPr>
          <w:sz w:val="20"/>
          <w:szCs w:val="20"/>
          <w:color w:val="auto"/>
        </w:rPr>
      </w:pPr>
      <w:r>
        <w:rPr>
          <w:rFonts w:ascii="Arial" w:cs="Arial" w:eastAsia="Arial" w:hAnsi="Arial"/>
          <w:sz w:val="18"/>
          <w:szCs w:val="18"/>
          <w:color w:val="auto"/>
        </w:rPr>
        <w:t>“A GENERAL RELEASE DOES NOT EXTEND TO CLAIMS WHICH THE CREDITOR DOES NOT KNOW OR SUSPECT TO EXIST IN HIS OR HER FAVOR AT THE TIME OF EXECUTING THE RELEASE, WHICH IF KNOWN BY HIM OR HER MUST HAVE MATERIALLY AFFECTED HIS OR HER SETTLEMENT WITH THE DEBTOR.”</w:t>
      </w:r>
    </w:p>
    <w:p>
      <w:pPr>
        <w:spacing w:after="0" w:line="190" w:lineRule="exact"/>
        <w:rPr>
          <w:sz w:val="20"/>
          <w:szCs w:val="20"/>
          <w:color w:val="auto"/>
        </w:rPr>
      </w:pPr>
    </w:p>
    <w:p>
      <w:pPr>
        <w:jc w:val="both"/>
        <w:ind w:firstLine="1305"/>
        <w:spacing w:after="0" w:line="259" w:lineRule="auto"/>
        <w:tabs>
          <w:tab w:leader="none" w:pos="2045" w:val="left"/>
        </w:tabs>
        <w:numPr>
          <w:ilvl w:val="1"/>
          <w:numId w:val="36"/>
        </w:numPr>
        <w:rPr>
          <w:rFonts w:ascii="Arial" w:cs="Arial" w:eastAsia="Arial" w:hAnsi="Arial"/>
          <w:sz w:val="18"/>
          <w:szCs w:val="18"/>
          <w:color w:val="010000"/>
        </w:rPr>
      </w:pPr>
      <w:r>
        <w:rPr>
          <w:rFonts w:ascii="Arial" w:cs="Arial" w:eastAsia="Arial" w:hAnsi="Arial"/>
          <w:sz w:val="18"/>
          <w:szCs w:val="18"/>
          <w:color w:val="auto"/>
        </w:rPr>
        <w:t>Borrower, on behalf of itself and each other Releasor, waives and releases any rights or benefits that they may have under Section 1542 to the full extent that they may lawfully waive such rights and benefits, and Borrower, on behalf of itself and each other Releasor, acknowledges that it understands the significance and consequences of the waiver of the provisions of Section 1542 and that it has been advised by counsel as to the significance and consequences of this waiver.</w:t>
      </w:r>
    </w:p>
    <w:p>
      <w:pPr>
        <w:spacing w:after="0" w:line="186" w:lineRule="exact"/>
        <w:rPr>
          <w:rFonts w:ascii="Arial" w:cs="Arial" w:eastAsia="Arial" w:hAnsi="Arial"/>
          <w:sz w:val="18"/>
          <w:szCs w:val="18"/>
          <w:color w:val="010000"/>
        </w:rPr>
      </w:pPr>
    </w:p>
    <w:p>
      <w:pPr>
        <w:jc w:val="both"/>
        <w:ind w:firstLine="1305"/>
        <w:spacing w:after="0" w:line="264" w:lineRule="auto"/>
        <w:tabs>
          <w:tab w:leader="none" w:pos="2136" w:val="left"/>
        </w:tabs>
        <w:numPr>
          <w:ilvl w:val="1"/>
          <w:numId w:val="36"/>
        </w:numPr>
        <w:rPr>
          <w:rFonts w:ascii="Arial" w:cs="Arial" w:eastAsia="Arial" w:hAnsi="Arial"/>
          <w:sz w:val="18"/>
          <w:szCs w:val="18"/>
          <w:color w:val="010000"/>
        </w:rPr>
      </w:pPr>
      <w:r>
        <w:rPr>
          <w:rFonts w:ascii="Arial" w:cs="Arial" w:eastAsia="Arial" w:hAnsi="Arial"/>
          <w:sz w:val="18"/>
          <w:szCs w:val="18"/>
          <w:color w:val="auto"/>
        </w:rPr>
        <w:t>Borrower understands, acknowledges and agrees that the release set forth above may be pleaded as a full and complete defense and may be used as a basis for an injunction against any action, suit or other proceeding which may be instituted, prosecuted or attempted in breach of the provisions of such release.</w:t>
      </w:r>
    </w:p>
    <w:p>
      <w:pPr>
        <w:spacing w:after="0" w:line="181" w:lineRule="exact"/>
        <w:rPr>
          <w:rFonts w:ascii="Arial" w:cs="Arial" w:eastAsia="Arial" w:hAnsi="Arial"/>
          <w:sz w:val="18"/>
          <w:szCs w:val="18"/>
          <w:color w:val="010000"/>
        </w:rPr>
      </w:pPr>
    </w:p>
    <w:p>
      <w:pPr>
        <w:ind w:right="20" w:firstLine="1305"/>
        <w:spacing w:after="0" w:line="277" w:lineRule="auto"/>
        <w:tabs>
          <w:tab w:leader="none" w:pos="2162" w:val="left"/>
        </w:tabs>
        <w:numPr>
          <w:ilvl w:val="1"/>
          <w:numId w:val="36"/>
        </w:numPr>
        <w:rPr>
          <w:rFonts w:ascii="Arial" w:cs="Arial" w:eastAsia="Arial" w:hAnsi="Arial"/>
          <w:sz w:val="18"/>
          <w:szCs w:val="18"/>
          <w:color w:val="010000"/>
        </w:rPr>
      </w:pPr>
      <w:r>
        <w:rPr>
          <w:rFonts w:ascii="Arial" w:cs="Arial" w:eastAsia="Arial" w:hAnsi="Arial"/>
          <w:sz w:val="18"/>
          <w:szCs w:val="18"/>
          <w:color w:val="auto"/>
        </w:rPr>
        <w:t>Borrower agrees that no fact, event, circumstance, evidence or transaction which could now be asserted or which may hereafter be discovered shall affect in any manner the final, absolute and unconditional nature of the release set forth above.</w:t>
      </w:r>
    </w:p>
    <w:p>
      <w:pPr>
        <w:spacing w:after="0" w:line="166" w:lineRule="exact"/>
        <w:rPr>
          <w:rFonts w:ascii="Arial" w:cs="Arial" w:eastAsia="Arial" w:hAnsi="Arial"/>
          <w:sz w:val="18"/>
          <w:szCs w:val="18"/>
          <w:color w:val="010000"/>
        </w:rPr>
      </w:pPr>
    </w:p>
    <w:p>
      <w:pPr>
        <w:jc w:val="both"/>
        <w:ind w:firstLine="656"/>
        <w:spacing w:after="0" w:line="266" w:lineRule="auto"/>
        <w:tabs>
          <w:tab w:leader="none" w:pos="1494" w:val="left"/>
        </w:tabs>
        <w:numPr>
          <w:ilvl w:val="0"/>
          <w:numId w:val="37"/>
        </w:numPr>
        <w:rPr>
          <w:rFonts w:ascii="Arial" w:cs="Arial" w:eastAsia="Arial" w:hAnsi="Arial"/>
          <w:sz w:val="18"/>
          <w:szCs w:val="18"/>
          <w:color w:val="010000"/>
        </w:rPr>
      </w:pPr>
      <w:r>
        <w:rPr>
          <w:rFonts w:ascii="Arial" w:cs="Arial" w:eastAsia="Arial" w:hAnsi="Arial"/>
          <w:sz w:val="18"/>
          <w:szCs w:val="18"/>
          <w:b w:val="1"/>
          <w:bCs w:val="1"/>
          <w:u w:val="single" w:color="auto"/>
          <w:color w:val="auto"/>
        </w:rPr>
        <w:t>Choice of Law and Venue; Jury Trial Waiver</w:t>
      </w:r>
      <w:r>
        <w:rPr>
          <w:rFonts w:ascii="Arial" w:cs="Arial" w:eastAsia="Arial" w:hAnsi="Arial"/>
          <w:sz w:val="18"/>
          <w:szCs w:val="18"/>
          <w:color w:val="auto"/>
        </w:rPr>
        <w:t>. THIS AMENDMENT SHALL BE SUBJECT TO THE PROVISIONS REGARDING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CHOICE OF LAW AND VENUE, JURY TRIAL WAIVER, AND JUDICIAL REFERENCE SET FORTH IN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OF THE CREDIT AGREEMENT, AND SUCH PROVISIONS ARE INCORPORATED HEREIN BY THIS REFERENCE, MUTATIS MUTANDIS.</w:t>
      </w:r>
    </w:p>
    <w:p>
      <w:pPr>
        <w:spacing w:after="0" w:line="176" w:lineRule="exact"/>
        <w:rPr>
          <w:rFonts w:ascii="Arial" w:cs="Arial" w:eastAsia="Arial" w:hAnsi="Arial"/>
          <w:sz w:val="18"/>
          <w:szCs w:val="18"/>
          <w:color w:val="010000"/>
        </w:rPr>
      </w:pPr>
    </w:p>
    <w:p>
      <w:pPr>
        <w:jc w:val="both"/>
        <w:ind w:firstLine="656"/>
        <w:spacing w:after="0" w:line="261" w:lineRule="auto"/>
        <w:tabs>
          <w:tab w:leader="none" w:pos="1350" w:val="left"/>
        </w:tabs>
        <w:numPr>
          <w:ilvl w:val="0"/>
          <w:numId w:val="37"/>
        </w:numPr>
        <w:rPr>
          <w:rFonts w:ascii="Arial" w:cs="Arial" w:eastAsia="Arial" w:hAnsi="Arial"/>
          <w:sz w:val="18"/>
          <w:szCs w:val="18"/>
          <w:color w:val="010000"/>
        </w:rPr>
      </w:pP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Amendment may be executed in any number of counterparts and by different parties and separate counterparts, each of</w:t>
      </w:r>
      <w:r>
        <w:rPr>
          <w:rFonts w:ascii="Arial" w:cs="Arial" w:eastAsia="Arial" w:hAnsi="Arial"/>
          <w:sz w:val="18"/>
          <w:szCs w:val="18"/>
          <w:b w:val="1"/>
          <w:bCs w:val="1"/>
          <w:color w:val="auto"/>
        </w:rPr>
        <w:t xml:space="preserve"> </w:t>
      </w:r>
      <w:r>
        <w:rPr>
          <w:rFonts w:ascii="Arial" w:cs="Arial" w:eastAsia="Arial" w:hAnsi="Arial"/>
          <w:sz w:val="18"/>
          <w:szCs w:val="18"/>
          <w:color w:val="auto"/>
        </w:rPr>
        <w:t>which when so executed and delivered, shall be deemed an original, and all of which, when taken together, shall constitute one and the same instrument. Delivery of an executed counterpart of a signature page to this Amendment by telefacsimile or other electronic method of transmission shall be effective as delivery of a manually executed counterpart of this Amendment.</w:t>
      </w:r>
    </w:p>
    <w:p>
      <w:pPr>
        <w:spacing w:after="0" w:line="180" w:lineRule="exact"/>
        <w:rPr>
          <w:rFonts w:ascii="Arial" w:cs="Arial" w:eastAsia="Arial" w:hAnsi="Arial"/>
          <w:sz w:val="18"/>
          <w:szCs w:val="18"/>
          <w:color w:val="010000"/>
        </w:rPr>
      </w:pPr>
    </w:p>
    <w:p>
      <w:pPr>
        <w:ind w:left="1380" w:hanging="724"/>
        <w:spacing w:after="0"/>
        <w:tabs>
          <w:tab w:leader="none" w:pos="1380" w:val="left"/>
        </w:tabs>
        <w:numPr>
          <w:ilvl w:val="0"/>
          <w:numId w:val="37"/>
        </w:numPr>
        <w:rPr>
          <w:rFonts w:ascii="Arial" w:cs="Arial" w:eastAsia="Arial" w:hAnsi="Arial"/>
          <w:sz w:val="18"/>
          <w:szCs w:val="18"/>
          <w:color w:val="010000"/>
        </w:rPr>
      </w:pPr>
      <w:r>
        <w:rPr>
          <w:rFonts w:ascii="Arial" w:cs="Arial" w:eastAsia="Arial" w:hAnsi="Arial"/>
          <w:sz w:val="18"/>
          <w:szCs w:val="18"/>
          <w:b w:val="1"/>
          <w:bCs w:val="1"/>
          <w:u w:val="single" w:color="auto"/>
          <w:color w:val="auto"/>
        </w:rPr>
        <w:t>Reference to and Effect on the Loan Documents</w:t>
      </w:r>
      <w:r>
        <w:rPr>
          <w:rFonts w:ascii="Arial" w:cs="Arial" w:eastAsia="Arial" w:hAnsi="Arial"/>
          <w:sz w:val="18"/>
          <w:szCs w:val="18"/>
          <w:color w:val="auto"/>
        </w:rPr>
        <w:t>.</w:t>
      </w:r>
    </w:p>
    <w:p>
      <w:pPr>
        <w:spacing w:after="0" w:line="229" w:lineRule="exact"/>
        <w:rPr>
          <w:rFonts w:ascii="Arial" w:cs="Arial" w:eastAsia="Arial" w:hAnsi="Arial"/>
          <w:sz w:val="18"/>
          <w:szCs w:val="18"/>
          <w:color w:val="010000"/>
        </w:rPr>
      </w:pPr>
    </w:p>
    <w:p>
      <w:pPr>
        <w:jc w:val="both"/>
        <w:ind w:firstLine="1305"/>
        <w:spacing w:after="0" w:line="312" w:lineRule="auto"/>
        <w:tabs>
          <w:tab w:leader="none" w:pos="2113" w:val="left"/>
        </w:tabs>
        <w:numPr>
          <w:ilvl w:val="1"/>
          <w:numId w:val="37"/>
        </w:numPr>
        <w:rPr>
          <w:rFonts w:ascii="Arial" w:cs="Arial" w:eastAsia="Arial" w:hAnsi="Arial"/>
          <w:sz w:val="16"/>
          <w:szCs w:val="16"/>
          <w:color w:val="010000"/>
        </w:rPr>
      </w:pPr>
      <w:r>
        <w:rPr>
          <w:rFonts w:ascii="Arial" w:cs="Arial" w:eastAsia="Arial" w:hAnsi="Arial"/>
          <w:sz w:val="16"/>
          <w:szCs w:val="16"/>
          <w:color w:val="auto"/>
        </w:rPr>
        <w:t>Upon and after the effectiveness of this Amendment, each reference in the Credit Agreement to “this Agreement”, “hereunder”, “hereof” or words of like import referring to the Credit Agreement, and each reference in the other Loan Documents to “the Credit Agreement”, “thereof” or words of like import referring to the Credit Agreement, shall mean and be a reference to the Credit Agreement as modified and amended hereby.</w:t>
      </w:r>
    </w:p>
    <w:p>
      <w:pPr>
        <w:spacing w:after="0" w:line="146" w:lineRule="exact"/>
        <w:rPr>
          <w:rFonts w:ascii="Arial" w:cs="Arial" w:eastAsia="Arial" w:hAnsi="Arial"/>
          <w:sz w:val="16"/>
          <w:szCs w:val="16"/>
          <w:color w:val="010000"/>
        </w:rPr>
      </w:pPr>
    </w:p>
    <w:p>
      <w:pPr>
        <w:jc w:val="both"/>
        <w:ind w:firstLine="1305"/>
        <w:spacing w:after="0" w:line="264" w:lineRule="auto"/>
        <w:tabs>
          <w:tab w:leader="none" w:pos="2136" w:val="left"/>
        </w:tabs>
        <w:numPr>
          <w:ilvl w:val="1"/>
          <w:numId w:val="37"/>
        </w:numPr>
        <w:rPr>
          <w:rFonts w:ascii="Arial" w:cs="Arial" w:eastAsia="Arial" w:hAnsi="Arial"/>
          <w:sz w:val="18"/>
          <w:szCs w:val="18"/>
          <w:color w:val="010000"/>
        </w:rPr>
      </w:pPr>
      <w:r>
        <w:rPr>
          <w:rFonts w:ascii="Arial" w:cs="Arial" w:eastAsia="Arial" w:hAnsi="Arial"/>
          <w:sz w:val="18"/>
          <w:szCs w:val="18"/>
          <w:color w:val="auto"/>
        </w:rPr>
        <w:t>Except as specifically amended above, the Credit Agreement and all other Loan Documents, are and shall continue to be in full force and effect and are hereby in all respects ratified and confirmed and shall constitute the legal, valid, binding and enforceable obligations of Borrower without defense, offset, claim or contribution.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66" w:name="page67"/>
    <w:bookmarkEnd w:id="66"/>
    <w:p>
      <w:pPr>
        <w:ind w:firstLine="1305"/>
        <w:spacing w:after="0" w:line="342" w:lineRule="auto"/>
        <w:tabs>
          <w:tab w:leader="none" w:pos="2099" w:val="left"/>
        </w:tabs>
        <w:numPr>
          <w:ilvl w:val="1"/>
          <w:numId w:val="38"/>
        </w:numPr>
        <w:rPr>
          <w:rFonts w:ascii="Arial" w:cs="Arial" w:eastAsia="Arial" w:hAnsi="Arial"/>
          <w:sz w:val="16"/>
          <w:szCs w:val="16"/>
          <w:color w:val="010000"/>
        </w:rPr>
      </w:pPr>
      <w:r>
        <w:rPr>
          <w:rFonts w:ascii="Arial" w:cs="Arial" w:eastAsia="Arial" w:hAnsi="Arial"/>
          <w:sz w:val="16"/>
          <w:szCs w:val="16"/>
          <w:color w:val="auto"/>
        </w:rPr>
        <w:t>The execution, delivery and effectiveness of this Amendment shall not, except as expressly provided herein, operate as a waiver of any right, power or remedy of Agent under any of the Loan Documents, nor constitute a waiver of any provision of any of the Loan Documents.</w:t>
      </w:r>
    </w:p>
    <w:p>
      <w:pPr>
        <w:spacing w:after="0" w:line="123" w:lineRule="exact"/>
        <w:rPr>
          <w:rFonts w:ascii="Arial" w:cs="Arial" w:eastAsia="Arial" w:hAnsi="Arial"/>
          <w:sz w:val="16"/>
          <w:szCs w:val="16"/>
          <w:color w:val="010000"/>
        </w:rPr>
      </w:pPr>
    </w:p>
    <w:p>
      <w:pPr>
        <w:jc w:val="both"/>
        <w:ind w:firstLine="1305"/>
        <w:spacing w:after="0" w:line="264" w:lineRule="auto"/>
        <w:tabs>
          <w:tab w:leader="none" w:pos="2204" w:val="left"/>
        </w:tabs>
        <w:numPr>
          <w:ilvl w:val="1"/>
          <w:numId w:val="38"/>
        </w:numPr>
        <w:rPr>
          <w:rFonts w:ascii="Arial" w:cs="Arial" w:eastAsia="Arial" w:hAnsi="Arial"/>
          <w:sz w:val="18"/>
          <w:szCs w:val="18"/>
          <w:color w:val="010000"/>
        </w:rPr>
      </w:pPr>
      <w:r>
        <w:rPr>
          <w:rFonts w:ascii="Arial" w:cs="Arial" w:eastAsia="Arial" w:hAnsi="Arial"/>
          <w:sz w:val="18"/>
          <w:szCs w:val="18"/>
          <w:color w:val="auto"/>
        </w:rPr>
        <w:t>To the extent that any terms and conditions in any of the Loan Documents shall contradict or be in conflict with any terms or conditions of the Credit Agreement, after giving effect to this Amendment, such terms and conditions are hereby deemed modified or amended accordingly to reflect the terms and conditions of the Credit Agreement as modified or amended hereby.</w:t>
      </w:r>
    </w:p>
    <w:p>
      <w:pPr>
        <w:spacing w:after="0" w:line="177" w:lineRule="exact"/>
        <w:rPr>
          <w:rFonts w:ascii="Arial" w:cs="Arial" w:eastAsia="Arial" w:hAnsi="Arial"/>
          <w:sz w:val="18"/>
          <w:szCs w:val="18"/>
          <w:color w:val="010000"/>
        </w:rPr>
      </w:pPr>
    </w:p>
    <w:p>
      <w:pPr>
        <w:ind w:right="20" w:firstLine="656"/>
        <w:spacing w:after="0" w:line="282" w:lineRule="auto"/>
        <w:tabs>
          <w:tab w:leader="none" w:pos="1566" w:val="left"/>
        </w:tabs>
        <w:numPr>
          <w:ilvl w:val="0"/>
          <w:numId w:val="39"/>
        </w:numPr>
        <w:rPr>
          <w:rFonts w:ascii="Arial" w:cs="Arial" w:eastAsia="Arial" w:hAnsi="Arial"/>
          <w:sz w:val="18"/>
          <w:szCs w:val="18"/>
          <w:color w:val="010000"/>
        </w:rPr>
      </w:pPr>
      <w:r>
        <w:rPr>
          <w:rFonts w:ascii="Arial" w:cs="Arial" w:eastAsia="Arial" w:hAnsi="Arial"/>
          <w:sz w:val="18"/>
          <w:szCs w:val="18"/>
          <w:b w:val="1"/>
          <w:bCs w:val="1"/>
          <w:u w:val="single" w:color="auto"/>
          <w:color w:val="auto"/>
        </w:rPr>
        <w:t>Ratification</w:t>
      </w:r>
      <w:r>
        <w:rPr>
          <w:rFonts w:ascii="Arial" w:cs="Arial" w:eastAsia="Arial" w:hAnsi="Arial"/>
          <w:sz w:val="18"/>
          <w:szCs w:val="18"/>
          <w:color w:val="auto"/>
        </w:rPr>
        <w:t>. Borrower hereby restates, ratifies and reaffirms each and every term and condition set forth in the Credit Agreement, as</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hereby, and the Loan Documents effective as of the date hereof.</w:t>
      </w:r>
    </w:p>
    <w:p>
      <w:pPr>
        <w:spacing w:after="0" w:line="161" w:lineRule="exact"/>
        <w:rPr>
          <w:rFonts w:ascii="Arial" w:cs="Arial" w:eastAsia="Arial" w:hAnsi="Arial"/>
          <w:sz w:val="18"/>
          <w:szCs w:val="18"/>
          <w:color w:val="010000"/>
        </w:rPr>
      </w:pPr>
    </w:p>
    <w:p>
      <w:pPr>
        <w:jc w:val="both"/>
        <w:ind w:firstLine="656"/>
        <w:spacing w:after="0" w:line="261" w:lineRule="auto"/>
        <w:tabs>
          <w:tab w:leader="none" w:pos="1559" w:val="left"/>
        </w:tabs>
        <w:numPr>
          <w:ilvl w:val="0"/>
          <w:numId w:val="39"/>
        </w:numPr>
        <w:rPr>
          <w:rFonts w:ascii="Arial" w:cs="Arial" w:eastAsia="Arial" w:hAnsi="Arial"/>
          <w:sz w:val="18"/>
          <w:szCs w:val="18"/>
          <w:color w:val="010000"/>
        </w:rPr>
      </w:pPr>
      <w:r>
        <w:rPr>
          <w:rFonts w:ascii="Arial" w:cs="Arial" w:eastAsia="Arial" w:hAnsi="Arial"/>
          <w:sz w:val="18"/>
          <w:szCs w:val="18"/>
          <w:b w:val="1"/>
          <w:bCs w:val="1"/>
          <w:u w:val="single" w:color="auto"/>
          <w:color w:val="auto"/>
        </w:rPr>
        <w:t>Estoppel</w:t>
      </w:r>
      <w:r>
        <w:rPr>
          <w:rFonts w:ascii="Arial" w:cs="Arial" w:eastAsia="Arial" w:hAnsi="Arial"/>
          <w:sz w:val="18"/>
          <w:szCs w:val="18"/>
          <w:color w:val="auto"/>
        </w:rPr>
        <w:t>. To induce Agent to enter into this Amendment and to continue to make advances to Borrower under the Credit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hereby acknowledges and agrees that, immediately before and after giving effect to this Amendment, as of the date hereof, there exists no Default or Event of Default and no right of offset, defense, counterclaim or objection in favor of Borrower or any Guarantor as against Agent or any Lender with respect to the Obligations.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remainder of the page is intentionally left blank.]</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67" w:name="page68"/>
    <w:bookmarkEnd w:id="67"/>
    <w:p>
      <w:pPr>
        <w:spacing w:after="0"/>
        <w:rPr>
          <w:sz w:val="20"/>
          <w:szCs w:val="20"/>
          <w:color w:val="auto"/>
        </w:rPr>
      </w:pPr>
      <w:r>
        <w:rPr>
          <w:rFonts w:ascii="Arial" w:cs="Arial" w:eastAsia="Arial" w:hAnsi="Arial"/>
          <w:sz w:val="16"/>
          <w:szCs w:val="16"/>
          <w:color w:val="auto"/>
        </w:rPr>
        <w:t>IN WITNESS WHEREOF, the parties have entered into this Amendment as of the date first above written.</w:t>
      </w:r>
    </w:p>
    <w:p>
      <w:pPr>
        <w:spacing w:after="0" w:line="244" w:lineRule="exact"/>
        <w:rPr>
          <w:sz w:val="20"/>
          <w:szCs w:val="20"/>
          <w:color w:val="auto"/>
        </w:rPr>
      </w:pPr>
    </w:p>
    <w:p>
      <w:pPr>
        <w:ind w:left="5060"/>
        <w:spacing w:after="0"/>
        <w:rPr>
          <w:sz w:val="20"/>
          <w:szCs w:val="20"/>
          <w:color w:val="auto"/>
        </w:rPr>
      </w:pPr>
      <w:r>
        <w:rPr>
          <w:rFonts w:ascii="Arial" w:cs="Arial" w:eastAsia="Arial" w:hAnsi="Arial"/>
          <w:sz w:val="18"/>
          <w:szCs w:val="18"/>
          <w:b w:val="1"/>
          <w:bCs w:val="1"/>
          <w:u w:val="single" w:color="auto"/>
          <w:color w:val="auto"/>
        </w:rPr>
        <w:t>BORROWER</w:t>
      </w:r>
      <w:r>
        <w:rPr>
          <w:rFonts w:ascii="Arial" w:cs="Arial" w:eastAsia="Arial" w:hAnsi="Arial"/>
          <w:sz w:val="18"/>
          <w:szCs w:val="18"/>
          <w:b w:val="1"/>
          <w:bCs w:val="1"/>
          <w:color w:val="auto"/>
        </w:rPr>
        <w:t>:</w:t>
      </w:r>
    </w:p>
    <w:p>
      <w:pPr>
        <w:spacing w:after="0" w:line="225"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a Delaware corporation</w:t>
      </w:r>
    </w:p>
    <w:p>
      <w:pPr>
        <w:spacing w:after="0" w:line="211"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3651250</wp:posOffset>
            </wp:positionH>
            <wp:positionV relativeFrom="paragraph">
              <wp:posOffset>-130810</wp:posOffset>
            </wp:positionV>
            <wp:extent cx="318135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jc w:val="center"/>
        <w:ind w:right="-9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3651250</wp:posOffset>
            </wp:positionH>
            <wp:positionV relativeFrom="paragraph">
              <wp:posOffset>22860</wp:posOffset>
            </wp:positionV>
            <wp:extent cx="318135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181350" cy="8890"/>
                    </a:xfrm>
                    <a:prstGeom prst="rect">
                      <a:avLst/>
                    </a:prstGeom>
                    <a:noFill/>
                  </pic:spPr>
                </pic:pic>
              </a:graphicData>
            </a:graphic>
          </wp:anchor>
        </w:drawing>
        <w:drawing>
          <wp:anchor simplePos="0" relativeHeight="251657728" behindDoc="1" locked="0" layoutInCell="0" allowOverlap="1">
            <wp:simplePos x="0" y="0"/>
            <wp:positionH relativeFrom="column">
              <wp:posOffset>3651250</wp:posOffset>
            </wp:positionH>
            <wp:positionV relativeFrom="paragraph">
              <wp:posOffset>-121920</wp:posOffset>
            </wp:positionV>
            <wp:extent cx="318135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231"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Amendment Number Seven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426720</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559"/>
          </w:cols>
          <w:pgMar w:left="900" w:top="881" w:right="1440" w:bottom="1440" w:gutter="0" w:footer="0" w:header="0"/>
        </w:sectPr>
      </w:pPr>
    </w:p>
    <w:bookmarkStart w:id="68" w:name="page69"/>
    <w:bookmarkEnd w:id="68"/>
    <w:p>
      <w:pPr>
        <w:ind w:left="4520"/>
        <w:spacing w:after="0"/>
        <w:rPr>
          <w:sz w:val="20"/>
          <w:szCs w:val="20"/>
          <w:color w:val="auto"/>
        </w:rPr>
      </w:pPr>
      <w:r>
        <w:rPr>
          <w:rFonts w:ascii="Arial" w:cs="Arial" w:eastAsia="Arial" w:hAnsi="Arial"/>
          <w:sz w:val="17"/>
          <w:szCs w:val="17"/>
          <w:b w:val="1"/>
          <w:bCs w:val="1"/>
          <w:color w:val="auto"/>
        </w:rPr>
        <w:t>WELLS FARGO BANK, NATIONAL ASSOCIATION,</w:t>
      </w:r>
    </w:p>
    <w:p>
      <w:pPr>
        <w:spacing w:after="0" w:line="39"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a national banking association, as Agent and sole Lender</w:t>
      </w:r>
    </w:p>
    <w:p>
      <w:pPr>
        <w:spacing w:after="0" w:line="23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3308350</wp:posOffset>
            </wp:positionH>
            <wp:positionV relativeFrom="paragraph">
              <wp:posOffset>-130810</wp:posOffset>
            </wp:positionV>
            <wp:extent cx="318135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jc w:val="center"/>
        <w:ind w:right="-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3308350</wp:posOffset>
            </wp:positionH>
            <wp:positionV relativeFrom="paragraph">
              <wp:posOffset>22860</wp:posOffset>
            </wp:positionV>
            <wp:extent cx="318135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181350" cy="8890"/>
                    </a:xfrm>
                    <a:prstGeom prst="rect">
                      <a:avLst/>
                    </a:prstGeom>
                    <a:noFill/>
                  </pic:spPr>
                </pic:pic>
              </a:graphicData>
            </a:graphic>
          </wp:anchor>
        </w:drawing>
        <w:drawing>
          <wp:anchor simplePos="0" relativeHeight="251657728" behindDoc="1" locked="0" layoutInCell="0" allowOverlap="1">
            <wp:simplePos x="0" y="0"/>
            <wp:positionH relativeFrom="column">
              <wp:posOffset>3308350</wp:posOffset>
            </wp:positionH>
            <wp:positionV relativeFrom="paragraph">
              <wp:posOffset>-121920</wp:posOffset>
            </wp:positionV>
            <wp:extent cx="318135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Amendment Number Seven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441325</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878" w:right="1440"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CERTIFICATE OF AUTHORIZED PERSON</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[on Borrower’s letterhead]</w:t>
      </w:r>
    </w:p>
    <w:p>
      <w:pPr>
        <w:sectPr>
          <w:pgSz w:w="11900" w:h="16838" w:orient="portrait"/>
          <w:cols w:equalWidth="0" w:num="1">
            <w:col w:w="11420"/>
          </w:cols>
          <w:pgMar w:left="240" w:top="877" w:right="2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Wells Fargo Bank, National Association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2450 Colorado Avenue, Suite 3000 West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Santa Monica, California 90404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Technology Finance Manager</w:t>
      </w:r>
    </w:p>
    <w:p>
      <w:pPr>
        <w:spacing w:after="0" w:line="200" w:lineRule="exact"/>
        <w:rPr>
          <w:sz w:val="20"/>
          <w:szCs w:val="20"/>
          <w:color w:val="auto"/>
        </w:rPr>
      </w:pPr>
    </w:p>
    <w:p>
      <w:pPr>
        <w:sectPr>
          <w:pgSz w:w="11900" w:h="16838" w:orient="portrait"/>
          <w:cols w:equalWidth="0" w:num="2">
            <w:col w:w="240" w:space="420"/>
            <w:col w:w="10760"/>
          </w:cols>
          <w:pgMar w:left="240" w:top="877" w:right="239" w:bottom="1440" w:gutter="0" w:footer="0" w:header="0"/>
          <w:type w:val="continuous"/>
        </w:sectPr>
      </w:pPr>
    </w:p>
    <w:p>
      <w:pPr>
        <w:spacing w:after="0" w:line="11" w:lineRule="exact"/>
        <w:rPr>
          <w:sz w:val="20"/>
          <w:szCs w:val="20"/>
          <w:color w:val="auto"/>
        </w:rPr>
      </w:pPr>
    </w:p>
    <w:p>
      <w:pPr>
        <w:ind w:left="660"/>
        <w:spacing w:after="0"/>
        <w:rPr>
          <w:sz w:val="20"/>
          <w:szCs w:val="20"/>
          <w:color w:val="auto"/>
        </w:rPr>
      </w:pPr>
      <w:r>
        <w:rPr>
          <w:rFonts w:ascii="Arial" w:cs="Arial" w:eastAsia="Arial" w:hAnsi="Arial"/>
          <w:sz w:val="15"/>
          <w:szCs w:val="15"/>
          <w:color w:val="auto"/>
        </w:rPr>
        <w:t>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Certificate dated March 20, 2017</w:t>
      </w:r>
    </w:p>
    <w:p>
      <w:pPr>
        <w:spacing w:after="0" w:line="200" w:lineRule="exact"/>
        <w:rPr>
          <w:sz w:val="20"/>
          <w:szCs w:val="20"/>
          <w:color w:val="auto"/>
        </w:rPr>
      </w:pPr>
    </w:p>
    <w:p>
      <w:pPr>
        <w:sectPr>
          <w:pgSz w:w="11900" w:h="16838" w:orient="portrait"/>
          <w:cols w:equalWidth="0" w:num="2">
            <w:col w:w="900" w:space="400"/>
            <w:col w:w="10120"/>
          </w:cols>
          <w:pgMar w:left="240" w:top="877"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Reference is hereby made to that certain Credit Agreement, dated as of March 20, 2014 (as amended restated,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the lenders identified on the signature pages of the Credit Agreement (each of such lenders, together with its successors and permitted assigns, is referred to hereinafter individually, as a “</w:t>
      </w:r>
      <w:r>
        <w:rPr>
          <w:rFonts w:ascii="Arial" w:cs="Arial" w:eastAsia="Arial" w:hAnsi="Arial"/>
          <w:sz w:val="18"/>
          <w:szCs w:val="18"/>
          <w:u w:val="single" w:color="auto"/>
          <w:color w:val="auto"/>
        </w:rPr>
        <w:t>Lender</w:t>
      </w:r>
      <w:r>
        <w:rPr>
          <w:rFonts w:ascii="Arial" w:cs="Arial" w:eastAsia="Arial" w:hAnsi="Arial"/>
          <w:sz w:val="18"/>
          <w:szCs w:val="18"/>
          <w:color w:val="auto"/>
        </w:rPr>
        <w:t>”, and collectively, as “</w:t>
      </w:r>
      <w:r>
        <w:rPr>
          <w:rFonts w:ascii="Arial" w:cs="Arial" w:eastAsia="Arial" w:hAnsi="Arial"/>
          <w:sz w:val="18"/>
          <w:szCs w:val="18"/>
          <w:u w:val="single" w:color="auto"/>
          <w:color w:val="auto"/>
        </w:rPr>
        <w:t>Lenders</w:t>
      </w:r>
      <w:r>
        <w:rPr>
          <w:rFonts w:ascii="Arial" w:cs="Arial" w:eastAsia="Arial" w:hAnsi="Arial"/>
          <w:sz w:val="18"/>
          <w:szCs w:val="18"/>
          <w:color w:val="auto"/>
        </w:rPr>
        <w:t>”), Wells Fargo Bank, National Association, as administrative agent for the Lenders (in such capacity, together with its successors and permitted assigns in such capacity, “</w:t>
      </w:r>
      <w:r>
        <w:rPr>
          <w:rFonts w:ascii="Arial" w:cs="Arial" w:eastAsia="Arial" w:hAnsi="Arial"/>
          <w:sz w:val="18"/>
          <w:szCs w:val="18"/>
          <w:u w:val="single" w:color="auto"/>
          <w:color w:val="auto"/>
        </w:rPr>
        <w:t>Agent</w:t>
      </w:r>
      <w:r>
        <w:rPr>
          <w:rFonts w:ascii="Arial" w:cs="Arial" w:eastAsia="Arial" w:hAnsi="Arial"/>
          <w:sz w:val="18"/>
          <w:szCs w:val="18"/>
          <w:color w:val="auto"/>
        </w:rPr>
        <w:t>”), and Asure Software, Inc., a Delaware corporation (“</w:t>
      </w:r>
      <w:r>
        <w:rPr>
          <w:rFonts w:ascii="Arial" w:cs="Arial" w:eastAsia="Arial" w:hAnsi="Arial"/>
          <w:sz w:val="18"/>
          <w:szCs w:val="18"/>
          <w:u w:val="single" w:color="auto"/>
          <w:color w:val="auto"/>
        </w:rPr>
        <w:t>Borrower</w:t>
      </w:r>
      <w:r>
        <w:rPr>
          <w:rFonts w:ascii="Arial" w:cs="Arial" w:eastAsia="Arial" w:hAnsi="Arial"/>
          <w:sz w:val="18"/>
          <w:szCs w:val="18"/>
          <w:color w:val="auto"/>
        </w:rPr>
        <w:t>”). Initially capitalized terms used in this certificate (this “</w:t>
      </w:r>
      <w:r>
        <w:rPr>
          <w:rFonts w:ascii="Arial" w:cs="Arial" w:eastAsia="Arial" w:hAnsi="Arial"/>
          <w:sz w:val="18"/>
          <w:szCs w:val="18"/>
          <w:u w:val="single" w:color="auto"/>
          <w:color w:val="auto"/>
        </w:rPr>
        <w:t>Certificate</w:t>
      </w:r>
      <w:r>
        <w:rPr>
          <w:rFonts w:ascii="Arial" w:cs="Arial" w:eastAsia="Arial" w:hAnsi="Arial"/>
          <w:sz w:val="18"/>
          <w:szCs w:val="18"/>
          <w:color w:val="auto"/>
        </w:rPr>
        <w:t>”) but not defined herein shall have the meaning ascribed to such terms in the Credit Agreement.</w:t>
      </w:r>
    </w:p>
    <w:p>
      <w:pPr>
        <w:spacing w:after="0" w:line="19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Pursuant to that certain Amendment Number Seven to Credit Agreement, dated as of March 20, 2017, between Agent and Borrower (the “</w:t>
      </w:r>
      <w:r>
        <w:rPr>
          <w:rFonts w:ascii="Arial" w:cs="Arial" w:eastAsia="Arial" w:hAnsi="Arial"/>
          <w:sz w:val="18"/>
          <w:szCs w:val="18"/>
          <w:u w:val="single" w:color="auto"/>
          <w:color w:val="auto"/>
        </w:rPr>
        <w:t>Amendment</w:t>
      </w:r>
      <w:r>
        <w:rPr>
          <w:rFonts w:ascii="Arial" w:cs="Arial" w:eastAsia="Arial" w:hAnsi="Arial"/>
          <w:sz w:val="18"/>
          <w:szCs w:val="18"/>
          <w:color w:val="auto"/>
        </w:rPr>
        <w:t>”), the undersigned Authorized Person of Borrower hereby certifies as of the date hereof</w:t>
      </w:r>
      <w:r>
        <w:rPr>
          <w:rFonts w:ascii="Arial" w:cs="Arial" w:eastAsia="Arial" w:hAnsi="Arial"/>
          <w:sz w:val="30"/>
          <w:szCs w:val="30"/>
          <w:color w:val="auto"/>
          <w:vertAlign w:val="superscript"/>
        </w:rPr>
        <w:t>1</w:t>
      </w:r>
      <w:r>
        <w:rPr>
          <w:rFonts w:ascii="Arial" w:cs="Arial" w:eastAsia="Arial" w:hAnsi="Arial"/>
          <w:sz w:val="18"/>
          <w:szCs w:val="18"/>
          <w:color w:val="auto"/>
        </w:rPr>
        <w:t xml:space="preserve"> that:</w:t>
      </w:r>
    </w:p>
    <w:p>
      <w:pPr>
        <w:spacing w:after="0" w:line="27" w:lineRule="exact"/>
        <w:rPr>
          <w:sz w:val="20"/>
          <w:szCs w:val="20"/>
          <w:color w:val="auto"/>
        </w:rPr>
      </w:pPr>
    </w:p>
    <w:p>
      <w:pPr>
        <w:ind w:left="980" w:right="20" w:hanging="324"/>
        <w:spacing w:after="0" w:line="277"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no Default or Event of Default has occurred and is continuing as of the date hereof or (after giving effect to the consent contained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of the Amendment) would result as a consequence of the Mangrove Note Payoff (as defined in the Amendment);</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Borrower is projected to be in compliance with each financial covenant in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of the Credit Agreement as of each of the next 4 fiscal quarter periods, after giving effect to the Mangrove Note Payoff;</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after giving effect to the Mangrove Note Payoff, Borrower has Liquidity of at least $4,000,000;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Borrower is Solvent both before and after giving effect to the Mangrove Note Payoff.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Follows]</w:t>
      </w:r>
    </w:p>
    <w:p>
      <w:pPr>
        <w:spacing w:after="0" w:line="225" w:lineRule="exact"/>
        <w:rPr>
          <w:sz w:val="20"/>
          <w:szCs w:val="20"/>
          <w:color w:val="auto"/>
        </w:rPr>
      </w:pPr>
    </w:p>
    <w:p>
      <w:pPr>
        <w:ind w:left="5360" w:right="4320" w:hanging="5352"/>
        <w:spacing w:after="0" w:line="418" w:lineRule="auto"/>
        <w:tabs>
          <w:tab w:leader="none" w:pos="126" w:val="left"/>
        </w:tabs>
        <w:numPr>
          <w:ilvl w:val="0"/>
          <w:numId w:val="41"/>
        </w:numPr>
        <w:rPr>
          <w:rFonts w:ascii="Arial" w:cs="Arial" w:eastAsia="Arial" w:hAnsi="Arial"/>
          <w:sz w:val="28"/>
          <w:szCs w:val="28"/>
          <w:color w:val="auto"/>
          <w:vertAlign w:val="superscript"/>
        </w:rPr>
      </w:pPr>
      <w:r>
        <w:rPr>
          <w:rFonts w:ascii="Arial" w:cs="Arial" w:eastAsia="Arial" w:hAnsi="Arial"/>
          <w:sz w:val="17"/>
          <w:szCs w:val="17"/>
          <w:color w:val="auto"/>
        </w:rPr>
        <w:t>This certificate is to be dated as of, and delivered in connection with, the Mangrove Note Payoff. 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type w:val="continuous"/>
        </w:sectPr>
      </w:pPr>
    </w:p>
    <w:bookmarkStart w:id="70" w:name="page71"/>
    <w:bookmarkEnd w:id="70"/>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this Certificate is executed by the undersigned as of the date first above written.</w:t>
      </w:r>
    </w:p>
    <w:p>
      <w:pPr>
        <w:spacing w:after="0" w:line="248"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a Delaware corporation</w:t>
      </w:r>
    </w:p>
    <w:p>
      <w:pPr>
        <w:spacing w:after="0" w:line="211"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3651250</wp:posOffset>
            </wp:positionH>
            <wp:positionV relativeFrom="paragraph">
              <wp:posOffset>-130810</wp:posOffset>
            </wp:positionV>
            <wp:extent cx="318135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ind w:left="50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3651250</wp:posOffset>
            </wp:positionH>
            <wp:positionV relativeFrom="paragraph">
              <wp:posOffset>22860</wp:posOffset>
            </wp:positionV>
            <wp:extent cx="318135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181350" cy="8890"/>
                    </a:xfrm>
                    <a:prstGeom prst="rect">
                      <a:avLst/>
                    </a:prstGeom>
                    <a:noFill/>
                  </pic:spPr>
                </pic:pic>
              </a:graphicData>
            </a:graphic>
          </wp:anchor>
        </w:drawing>
        <w:drawing>
          <wp:anchor simplePos="0" relativeHeight="251657728" behindDoc="1" locked="0" layoutInCell="0" allowOverlap="1">
            <wp:simplePos x="0" y="0"/>
            <wp:positionH relativeFrom="column">
              <wp:posOffset>3651250</wp:posOffset>
            </wp:positionH>
            <wp:positionV relativeFrom="paragraph">
              <wp:posOffset>-121920</wp:posOffset>
            </wp:positionV>
            <wp:extent cx="318135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231"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426720</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559"/>
          </w:cols>
          <w:pgMar w:left="900" w:top="877" w:right="1440"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u w:val="single" w:color="auto"/>
          <w:color w:val="auto"/>
        </w:rPr>
        <w:t>Schedule C-1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Commitments as of the Seventh Amendment Effective Date</w:t>
      </w:r>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265"/>
        </w:trPr>
        <w:tc>
          <w:tcPr>
            <w:tcW w:w="2880" w:type="dxa"/>
            <w:vAlign w:val="bottom"/>
            <w:tcBorders>
              <w:top w:val="single" w:sz="8" w:color="auto"/>
              <w:left w:val="single" w:sz="8" w:color="auto"/>
              <w:right w:val="single" w:sz="8" w:color="auto"/>
            </w:tcBorders>
            <w:shd w:val="clear" w:color="auto" w:fill="CCEEFF"/>
          </w:tcPr>
          <w:p>
            <w:pPr>
              <w:spacing w:after="0"/>
              <w:rPr>
                <w:sz w:val="23"/>
                <w:szCs w:val="23"/>
                <w:color w:val="auto"/>
              </w:rPr>
            </w:pPr>
          </w:p>
        </w:tc>
        <w:tc>
          <w:tcPr>
            <w:tcW w:w="2840" w:type="dxa"/>
            <w:vAlign w:val="bottom"/>
            <w:tcBorders>
              <w:top w:val="single" w:sz="8" w:color="auto"/>
              <w:right w:val="single" w:sz="8" w:color="auto"/>
            </w:tcBorders>
            <w:shd w:val="clear" w:color="auto" w:fill="CCEEFF"/>
          </w:tcPr>
          <w:p>
            <w:pPr>
              <w:spacing w:after="0"/>
              <w:rPr>
                <w:sz w:val="23"/>
                <w:szCs w:val="23"/>
                <w:color w:val="auto"/>
              </w:rPr>
            </w:pPr>
          </w:p>
        </w:tc>
        <w:tc>
          <w:tcPr>
            <w:tcW w:w="2860" w:type="dxa"/>
            <w:vAlign w:val="bottom"/>
            <w:tcBorders>
              <w:top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3"/>
              </w:rPr>
              <w:t>Term Loan</w:t>
            </w:r>
          </w:p>
        </w:tc>
        <w:tc>
          <w:tcPr>
            <w:tcW w:w="2840" w:type="dxa"/>
            <w:vAlign w:val="bottom"/>
            <w:tcBorders>
              <w:top w:val="single" w:sz="8" w:color="auto"/>
              <w:right w:val="single" w:sz="8" w:color="auto"/>
            </w:tcBorders>
            <w:shd w:val="clear" w:color="auto" w:fill="CCEEFF"/>
          </w:tcPr>
          <w:p>
            <w:pPr>
              <w:spacing w:after="0"/>
              <w:rPr>
                <w:sz w:val="23"/>
                <w:szCs w:val="23"/>
                <w:color w:val="auto"/>
              </w:rPr>
            </w:pPr>
          </w:p>
        </w:tc>
      </w:tr>
      <w:tr>
        <w:trPr>
          <w:trHeight w:val="293"/>
        </w:trPr>
        <w:tc>
          <w:tcPr>
            <w:tcW w:w="2880" w:type="dxa"/>
            <w:vAlign w:val="bottom"/>
            <w:tcBorders>
              <w:left w:val="single" w:sz="8" w:color="auto"/>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3"/>
              </w:rPr>
              <w:t>Lender</w:t>
            </w:r>
          </w:p>
        </w:tc>
        <w:tc>
          <w:tcPr>
            <w:tcW w:w="28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Revolver Commitment</w:t>
            </w:r>
          </w:p>
        </w:tc>
        <w:tc>
          <w:tcPr>
            <w:tcW w:w="28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2"/>
              </w:rPr>
              <w:t>Commitment</w:t>
            </w:r>
          </w:p>
        </w:tc>
        <w:tc>
          <w:tcPr>
            <w:tcW w:w="28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2"/>
              </w:rPr>
              <w:t>Total Commitment</w:t>
            </w:r>
          </w:p>
        </w:tc>
      </w:tr>
      <w:tr>
        <w:trPr>
          <w:trHeight w:val="249"/>
        </w:trPr>
        <w:tc>
          <w:tcPr>
            <w:tcW w:w="28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Wells Fargo Bank,</w:t>
            </w:r>
          </w:p>
        </w:tc>
        <w:tc>
          <w:tcPr>
            <w:tcW w:w="2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$3,000,000</w:t>
            </w:r>
          </w:p>
        </w:tc>
        <w:tc>
          <w:tcPr>
            <w:tcW w:w="2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$29,714,453.11</w:t>
            </w:r>
          </w:p>
        </w:tc>
        <w:tc>
          <w:tcPr>
            <w:tcW w:w="2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$32,714,453.11</w:t>
            </w:r>
          </w:p>
        </w:tc>
      </w:tr>
      <w:tr>
        <w:trPr>
          <w:trHeight w:val="230"/>
        </w:trPr>
        <w:tc>
          <w:tcPr>
            <w:tcW w:w="2880" w:type="dxa"/>
            <w:vAlign w:val="bottom"/>
            <w:tcBorders>
              <w:left w:val="single" w:sz="8" w:color="auto"/>
              <w:right w:val="single" w:sz="8" w:color="auto"/>
            </w:tcBorders>
          </w:tcPr>
          <w:p>
            <w:pPr>
              <w:ind w:left="600"/>
              <w:spacing w:after="0"/>
              <w:rPr>
                <w:sz w:val="20"/>
                <w:szCs w:val="20"/>
                <w:color w:val="auto"/>
              </w:rPr>
            </w:pPr>
            <w:r>
              <w:rPr>
                <w:rFonts w:ascii="Arial" w:cs="Arial" w:eastAsia="Arial" w:hAnsi="Arial"/>
                <w:sz w:val="18"/>
                <w:szCs w:val="18"/>
                <w:color w:val="auto"/>
              </w:rPr>
              <w:t>National Association</w:t>
            </w:r>
          </w:p>
        </w:tc>
        <w:tc>
          <w:tcPr>
            <w:tcW w:w="284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tcPr>
          <w:p>
            <w:pPr>
              <w:spacing w:after="0"/>
              <w:rPr>
                <w:sz w:val="20"/>
                <w:szCs w:val="20"/>
                <w:color w:val="auto"/>
              </w:rPr>
            </w:pPr>
          </w:p>
        </w:tc>
        <w:tc>
          <w:tcPr>
            <w:tcW w:w="2840" w:type="dxa"/>
            <w:vAlign w:val="bottom"/>
            <w:tcBorders>
              <w:right w:val="single" w:sz="8" w:color="auto"/>
            </w:tcBorders>
          </w:tcPr>
          <w:p>
            <w:pPr>
              <w:spacing w:after="0"/>
              <w:rPr>
                <w:sz w:val="20"/>
                <w:szCs w:val="20"/>
                <w:color w:val="auto"/>
              </w:rPr>
            </w:pPr>
          </w:p>
        </w:tc>
      </w:tr>
      <w:tr>
        <w:trPr>
          <w:trHeight w:val="54"/>
        </w:trPr>
        <w:tc>
          <w:tcPr>
            <w:tcW w:w="2880" w:type="dxa"/>
            <w:vAlign w:val="bottom"/>
            <w:tcBorders>
              <w:left w:val="single" w:sz="8" w:color="auto"/>
              <w:bottom w:val="single" w:sz="8" w:color="auto"/>
              <w:right w:val="single" w:sz="8" w:color="auto"/>
            </w:tcBorders>
          </w:tcPr>
          <w:p>
            <w:pPr>
              <w:spacing w:after="0"/>
              <w:rPr>
                <w:sz w:val="4"/>
                <w:szCs w:val="4"/>
                <w:color w:val="auto"/>
              </w:rPr>
            </w:pPr>
          </w:p>
        </w:tc>
        <w:tc>
          <w:tcPr>
            <w:tcW w:w="2840" w:type="dxa"/>
            <w:vAlign w:val="bottom"/>
            <w:tcBorders>
              <w:bottom w:val="single" w:sz="8" w:color="auto"/>
              <w:right w:val="single" w:sz="8" w:color="auto"/>
            </w:tcBorders>
          </w:tcPr>
          <w:p>
            <w:pPr>
              <w:spacing w:after="0"/>
              <w:rPr>
                <w:sz w:val="4"/>
                <w:szCs w:val="4"/>
                <w:color w:val="auto"/>
              </w:rPr>
            </w:pPr>
          </w:p>
        </w:tc>
        <w:tc>
          <w:tcPr>
            <w:tcW w:w="2860" w:type="dxa"/>
            <w:vAlign w:val="bottom"/>
            <w:tcBorders>
              <w:bottom w:val="single" w:sz="8" w:color="auto"/>
              <w:right w:val="single" w:sz="8" w:color="auto"/>
            </w:tcBorders>
          </w:tcPr>
          <w:p>
            <w:pPr>
              <w:spacing w:after="0"/>
              <w:rPr>
                <w:sz w:val="4"/>
                <w:szCs w:val="4"/>
                <w:color w:val="auto"/>
              </w:rPr>
            </w:pPr>
          </w:p>
        </w:tc>
        <w:tc>
          <w:tcPr>
            <w:tcW w:w="2840" w:type="dxa"/>
            <w:vAlign w:val="bottom"/>
            <w:tcBorders>
              <w:bottom w:val="single" w:sz="8" w:color="auto"/>
              <w:right w:val="single" w:sz="8" w:color="auto"/>
            </w:tcBorders>
          </w:tcPr>
          <w:p>
            <w:pPr>
              <w:spacing w:after="0"/>
              <w:rPr>
                <w:sz w:val="4"/>
                <w:szCs w:val="4"/>
                <w:color w:val="auto"/>
              </w:rPr>
            </w:pPr>
          </w:p>
        </w:tc>
      </w:tr>
      <w:tr>
        <w:trPr>
          <w:trHeight w:val="264"/>
        </w:trPr>
        <w:tc>
          <w:tcPr>
            <w:tcW w:w="28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All Lenders</w:t>
            </w:r>
          </w:p>
        </w:tc>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$3,000,000</w:t>
            </w:r>
          </w:p>
        </w:tc>
        <w:tc>
          <w:tcPr>
            <w:tcW w:w="28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$29,714,453.11</w:t>
            </w:r>
          </w:p>
        </w:tc>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$32,714,453.11</w:t>
            </w:r>
          </w:p>
        </w:tc>
      </w:tr>
      <w:tr>
        <w:trPr>
          <w:trHeight w:val="54"/>
        </w:trPr>
        <w:tc>
          <w:tcPr>
            <w:tcW w:w="2880" w:type="dxa"/>
            <w:vAlign w:val="bottom"/>
            <w:tcBorders>
              <w:left w:val="single" w:sz="8" w:color="auto"/>
              <w:bottom w:val="single" w:sz="8" w:color="auto"/>
              <w:right w:val="single" w:sz="8" w:color="auto"/>
            </w:tcBorders>
          </w:tcPr>
          <w:p>
            <w:pPr>
              <w:spacing w:after="0"/>
              <w:rPr>
                <w:sz w:val="4"/>
                <w:szCs w:val="4"/>
                <w:color w:val="auto"/>
              </w:rPr>
            </w:pPr>
          </w:p>
        </w:tc>
        <w:tc>
          <w:tcPr>
            <w:tcW w:w="2840" w:type="dxa"/>
            <w:vAlign w:val="bottom"/>
            <w:tcBorders>
              <w:bottom w:val="single" w:sz="8" w:color="auto"/>
              <w:right w:val="single" w:sz="8" w:color="auto"/>
            </w:tcBorders>
          </w:tcPr>
          <w:p>
            <w:pPr>
              <w:spacing w:after="0"/>
              <w:rPr>
                <w:sz w:val="4"/>
                <w:szCs w:val="4"/>
                <w:color w:val="auto"/>
              </w:rPr>
            </w:pPr>
          </w:p>
        </w:tc>
        <w:tc>
          <w:tcPr>
            <w:tcW w:w="2860" w:type="dxa"/>
            <w:vAlign w:val="bottom"/>
            <w:tcBorders>
              <w:bottom w:val="single" w:sz="8" w:color="auto"/>
              <w:right w:val="single" w:sz="8" w:color="auto"/>
            </w:tcBorders>
          </w:tcPr>
          <w:p>
            <w:pPr>
              <w:spacing w:after="0"/>
              <w:rPr>
                <w:sz w:val="4"/>
                <w:szCs w:val="4"/>
                <w:color w:val="auto"/>
              </w:rPr>
            </w:pPr>
          </w:p>
        </w:tc>
        <w:tc>
          <w:tcPr>
            <w:tcW w:w="2840" w:type="dxa"/>
            <w:vAlign w:val="bottom"/>
            <w:tcBorders>
              <w:bottom w:val="single" w:sz="8" w:color="auto"/>
              <w:right w:val="single" w:sz="8" w:color="auto"/>
            </w:tcBorders>
          </w:tcPr>
          <w:p>
            <w:pPr>
              <w:spacing w:after="0"/>
              <w:rPr>
                <w:sz w:val="4"/>
                <w:szCs w:val="4"/>
                <w:color w:val="auto"/>
              </w:rPr>
            </w:pPr>
          </w:p>
        </w:tc>
      </w:tr>
      <w:tr>
        <w:trPr>
          <w:trHeight w:val="649"/>
        </w:trPr>
        <w:tc>
          <w:tcPr>
            <w:tcW w:w="288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094"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REAFFIRMATION OF GUARANTY</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March 20, 2017</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Each of the undersigned (each a “</w:t>
      </w:r>
      <w:r>
        <w:rPr>
          <w:rFonts w:ascii="Arial" w:cs="Arial" w:eastAsia="Arial" w:hAnsi="Arial"/>
          <w:sz w:val="16"/>
          <w:szCs w:val="16"/>
          <w:u w:val="single" w:color="auto"/>
          <w:color w:val="auto"/>
        </w:rPr>
        <w:t>Guarantor</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Guarantors</w:t>
      </w:r>
      <w:r>
        <w:rPr>
          <w:rFonts w:ascii="Arial" w:cs="Arial" w:eastAsia="Arial" w:hAnsi="Arial"/>
          <w:sz w:val="16"/>
          <w:szCs w:val="16"/>
          <w:color w:val="auto"/>
        </w:rPr>
        <w:t>”), has executed the Guaranty and Security Agreement, dated as of March 20, 2014 (the “</w:t>
      </w:r>
      <w:r>
        <w:rPr>
          <w:rFonts w:ascii="Arial" w:cs="Arial" w:eastAsia="Arial" w:hAnsi="Arial"/>
          <w:sz w:val="16"/>
          <w:szCs w:val="16"/>
          <w:u w:val="single" w:color="auto"/>
          <w:color w:val="auto"/>
        </w:rPr>
        <w:t>Guaranty</w:t>
      </w:r>
      <w:r>
        <w:rPr>
          <w:rFonts w:ascii="Arial" w:cs="Arial" w:eastAsia="Arial" w:hAnsi="Arial"/>
          <w:sz w:val="16"/>
          <w:szCs w:val="16"/>
          <w:color w:val="auto"/>
        </w:rPr>
        <w:t>”), in favor of Wells Fargo Bank, National Association, a national banking association (“</w:t>
      </w:r>
      <w:r>
        <w:rPr>
          <w:rFonts w:ascii="Arial" w:cs="Arial" w:eastAsia="Arial" w:hAnsi="Arial"/>
          <w:sz w:val="16"/>
          <w:szCs w:val="16"/>
          <w:u w:val="single" w:color="auto"/>
          <w:color w:val="auto"/>
        </w:rPr>
        <w:t>Agent</w:t>
      </w:r>
      <w:r>
        <w:rPr>
          <w:rFonts w:ascii="Arial" w:cs="Arial" w:eastAsia="Arial" w:hAnsi="Arial"/>
          <w:sz w:val="16"/>
          <w:szCs w:val="16"/>
          <w:color w:val="auto"/>
        </w:rPr>
        <w:t>”), respecting the obligations of Asure Software, Inc., a Delaware corporation (“</w:t>
      </w:r>
      <w:r>
        <w:rPr>
          <w:rFonts w:ascii="Arial" w:cs="Arial" w:eastAsia="Arial" w:hAnsi="Arial"/>
          <w:sz w:val="16"/>
          <w:szCs w:val="16"/>
          <w:u w:val="single" w:color="auto"/>
          <w:color w:val="auto"/>
        </w:rPr>
        <w:t>Borrower</w:t>
      </w:r>
      <w:r>
        <w:rPr>
          <w:rFonts w:ascii="Arial" w:cs="Arial" w:eastAsia="Arial" w:hAnsi="Arial"/>
          <w:sz w:val="16"/>
          <w:szCs w:val="16"/>
          <w:color w:val="auto"/>
        </w:rPr>
        <w:t>”), under that certain Credit Agreement dated as of March 20, 2014, by and between Borrower, the Lenders signatory thereto and Agent, owing to the Lender Group under and pursuant to the Loan Documents (as that term is defined in the Credit Agreement). Concurrently herewith, the terms of the Credit Agreement are being amended pursuant to that certain Amendment Number Seven to Credit Agreement attached hereto (the “</w:t>
      </w:r>
      <w:r>
        <w:rPr>
          <w:rFonts w:ascii="Arial" w:cs="Arial" w:eastAsia="Arial" w:hAnsi="Arial"/>
          <w:sz w:val="16"/>
          <w:szCs w:val="16"/>
          <w:u w:val="single" w:color="auto"/>
          <w:color w:val="auto"/>
        </w:rPr>
        <w:t>Amendment</w:t>
      </w:r>
      <w:r>
        <w:rPr>
          <w:rFonts w:ascii="Arial" w:cs="Arial" w:eastAsia="Arial" w:hAnsi="Arial"/>
          <w:sz w:val="16"/>
          <w:szCs w:val="16"/>
          <w:color w:val="auto"/>
        </w:rPr>
        <w:t>”). Each Guarantor acknowledges the terms of the Amendment and reaffirms and agrees that: (a) its Guaranty remains in full force and effect; (b) nothing in such Guaranty obligates Agent to notify the undersigned of any changes in the loans and financial accommodations made available to Borrower (as that term is defined in the Amendment) or to seek reaffirmation of such Guaranty; and (c) no requirement to so notify any of the undersigned or to seek reaffirmation in the future shall be implied by the execution of this reaffirmation.</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7"/>
              </w:rPr>
              <w:t>GUARANTORS:</w:t>
            </w:r>
          </w:p>
        </w:tc>
        <w:tc>
          <w:tcPr>
            <w:tcW w:w="10080" w:type="dxa"/>
            <w:vAlign w:val="bottom"/>
            <w:gridSpan w:val="2"/>
          </w:tcPr>
          <w:p>
            <w:pPr>
              <w:ind w:left="4380"/>
              <w:spacing w:after="0"/>
              <w:rPr>
                <w:sz w:val="20"/>
                <w:szCs w:val="20"/>
                <w:color w:val="auto"/>
              </w:rPr>
            </w:pPr>
            <w:r>
              <w:rPr>
                <w:rFonts w:ascii="Arial" w:cs="Arial" w:eastAsia="Arial" w:hAnsi="Arial"/>
                <w:sz w:val="18"/>
                <w:szCs w:val="18"/>
                <w:b w:val="1"/>
                <w:bCs w:val="1"/>
                <w:color w:val="auto"/>
              </w:rPr>
              <w:t>ASURE COBRASOURCE, LLC,</w:t>
            </w:r>
          </w:p>
        </w:tc>
      </w:tr>
      <w:tr>
        <w:trPr>
          <w:trHeight w:val="237"/>
        </w:trPr>
        <w:tc>
          <w:tcPr>
            <w:tcW w:w="1340" w:type="dxa"/>
            <w:vAlign w:val="bottom"/>
          </w:tcPr>
          <w:p>
            <w:pPr>
              <w:spacing w:after="0"/>
              <w:rPr>
                <w:sz w:val="20"/>
                <w:szCs w:val="20"/>
                <w:color w:val="auto"/>
              </w:rPr>
            </w:pPr>
          </w:p>
        </w:tc>
        <w:tc>
          <w:tcPr>
            <w:tcW w:w="10080" w:type="dxa"/>
            <w:vAlign w:val="bottom"/>
            <w:gridSpan w:val="2"/>
          </w:tcPr>
          <w:p>
            <w:pPr>
              <w:ind w:left="4380"/>
              <w:spacing w:after="0"/>
              <w:rPr>
                <w:sz w:val="20"/>
                <w:szCs w:val="20"/>
                <w:color w:val="auto"/>
              </w:rPr>
            </w:pPr>
            <w:r>
              <w:rPr>
                <w:rFonts w:ascii="Arial" w:cs="Arial" w:eastAsia="Arial" w:hAnsi="Arial"/>
                <w:sz w:val="18"/>
                <w:szCs w:val="18"/>
                <w:color w:val="auto"/>
              </w:rPr>
              <w:t>a Delaware limited liability company</w:t>
            </w:r>
          </w:p>
        </w:tc>
      </w:tr>
      <w:tr>
        <w:trPr>
          <w:trHeight w:val="432"/>
        </w:trPr>
        <w:tc>
          <w:tcPr>
            <w:tcW w:w="1340" w:type="dxa"/>
            <w:vAlign w:val="bottom"/>
          </w:tcPr>
          <w:p>
            <w:pPr>
              <w:spacing w:after="0"/>
              <w:rPr>
                <w:sz w:val="24"/>
                <w:szCs w:val="24"/>
                <w:color w:val="auto"/>
              </w:rPr>
            </w:pPr>
          </w:p>
        </w:tc>
        <w:tc>
          <w:tcPr>
            <w:tcW w:w="10080" w:type="dxa"/>
            <w:vAlign w:val="bottom"/>
            <w:gridSpan w:val="2"/>
          </w:tcPr>
          <w:p>
            <w:pPr>
              <w:ind w:left="4380"/>
              <w:spacing w:after="0"/>
              <w:rPr>
                <w:sz w:val="20"/>
                <w:szCs w:val="20"/>
                <w:color w:val="auto"/>
              </w:rPr>
            </w:pPr>
            <w:r>
              <w:rPr>
                <w:rFonts w:ascii="Arial" w:cs="Arial" w:eastAsia="Arial" w:hAnsi="Arial"/>
                <w:sz w:val="18"/>
                <w:szCs w:val="18"/>
                <w:color w:val="auto"/>
              </w:rPr>
              <w:t>By:</w:t>
            </w:r>
          </w:p>
        </w:tc>
      </w:tr>
      <w:tr>
        <w:trPr>
          <w:trHeight w:val="210"/>
        </w:trPr>
        <w:tc>
          <w:tcPr>
            <w:tcW w:w="1340" w:type="dxa"/>
            <w:vAlign w:val="bottom"/>
          </w:tcPr>
          <w:p>
            <w:pPr>
              <w:spacing w:after="0"/>
              <w:rPr>
                <w:sz w:val="18"/>
                <w:szCs w:val="18"/>
                <w:color w:val="auto"/>
              </w:rPr>
            </w:pPr>
          </w:p>
        </w:tc>
        <w:tc>
          <w:tcPr>
            <w:tcW w:w="5060" w:type="dxa"/>
            <w:vAlign w:val="bottom"/>
          </w:tcPr>
          <w:p>
            <w:pPr>
              <w:ind w:left="4380"/>
              <w:spacing w:after="0"/>
              <w:rPr>
                <w:sz w:val="20"/>
                <w:szCs w:val="20"/>
                <w:color w:val="auto"/>
              </w:rPr>
            </w:pPr>
            <w:r>
              <w:rPr>
                <w:rFonts w:ascii="Arial" w:cs="Arial" w:eastAsia="Arial" w:hAnsi="Arial"/>
                <w:sz w:val="18"/>
                <w:szCs w:val="18"/>
                <w:color w:val="auto"/>
              </w:rPr>
              <w:t>Name:</w:t>
            </w:r>
          </w:p>
        </w:tc>
        <w:tc>
          <w:tcPr>
            <w:tcW w:w="5020" w:type="dxa"/>
            <w:vAlign w:val="bottom"/>
            <w:tcBorders>
              <w:top w:val="single" w:sz="8" w:color="auto"/>
              <w:bottom w:val="single" w:sz="8" w:color="auto"/>
            </w:tcBorders>
          </w:tcPr>
          <w:p>
            <w:pPr>
              <w:spacing w:after="0"/>
              <w:rPr>
                <w:sz w:val="18"/>
                <w:szCs w:val="18"/>
                <w:color w:val="auto"/>
              </w:rPr>
            </w:pPr>
          </w:p>
        </w:tc>
      </w:tr>
      <w:tr>
        <w:trPr>
          <w:trHeight w:val="210"/>
        </w:trPr>
        <w:tc>
          <w:tcPr>
            <w:tcW w:w="1340" w:type="dxa"/>
            <w:vAlign w:val="bottom"/>
          </w:tcPr>
          <w:p>
            <w:pPr>
              <w:spacing w:after="0"/>
              <w:rPr>
                <w:sz w:val="18"/>
                <w:szCs w:val="18"/>
                <w:color w:val="auto"/>
              </w:rPr>
            </w:pPr>
          </w:p>
        </w:tc>
        <w:tc>
          <w:tcPr>
            <w:tcW w:w="5060" w:type="dxa"/>
            <w:vAlign w:val="bottom"/>
          </w:tcPr>
          <w:p>
            <w:pPr>
              <w:ind w:left="4380"/>
              <w:spacing w:after="0"/>
              <w:rPr>
                <w:sz w:val="20"/>
                <w:szCs w:val="20"/>
                <w:color w:val="auto"/>
              </w:rPr>
            </w:pPr>
            <w:r>
              <w:rPr>
                <w:rFonts w:ascii="Arial" w:cs="Arial" w:eastAsia="Arial" w:hAnsi="Arial"/>
                <w:sz w:val="18"/>
                <w:szCs w:val="18"/>
                <w:color w:val="auto"/>
              </w:rPr>
              <w:t>Title:</w:t>
            </w:r>
          </w:p>
        </w:tc>
        <w:tc>
          <w:tcPr>
            <w:tcW w:w="5020" w:type="dxa"/>
            <w:vAlign w:val="bottom"/>
            <w:tcBorders>
              <w:bottom w:val="single" w:sz="8" w:color="auto"/>
            </w:tcBorders>
          </w:tcPr>
          <w:p>
            <w:pPr>
              <w:spacing w:after="0"/>
              <w:rPr>
                <w:sz w:val="18"/>
                <w:szCs w:val="18"/>
                <w:color w:val="auto"/>
              </w:rPr>
            </w:pPr>
          </w:p>
        </w:tc>
      </w:tr>
    </w:tbl>
    <w:p>
      <w:pPr>
        <w:spacing w:after="0" w:line="198"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MANGROVE EMPLOYER SERVICES, INC.,</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 Florida corporation</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-130810</wp:posOffset>
            </wp:positionV>
            <wp:extent cx="318135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22860</wp:posOffset>
            </wp:positionV>
            <wp:extent cx="318135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181350" cy="8890"/>
                    </a:xfrm>
                    <a:prstGeom prst="rect">
                      <a:avLst/>
                    </a:prstGeom>
                    <a:noFill/>
                  </pic:spPr>
                </pic:pic>
              </a:graphicData>
            </a:graphic>
          </wp:anchor>
        </w:drawing>
        <w:drawing>
          <wp:anchor simplePos="0" relativeHeight="251657728" behindDoc="1" locked="0" layoutInCell="0" allowOverlap="1">
            <wp:simplePos x="0" y="0"/>
            <wp:positionH relativeFrom="column">
              <wp:posOffset>4070350</wp:posOffset>
            </wp:positionH>
            <wp:positionV relativeFrom="paragraph">
              <wp:posOffset>-121920</wp:posOffset>
            </wp:positionV>
            <wp:extent cx="318135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MANGROVE PAYROLL SERVICES, INC.,</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 Florida corporation</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-130810</wp:posOffset>
            </wp:positionV>
            <wp:extent cx="318135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jc w:val="center"/>
        <w:ind w:left="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22860</wp:posOffset>
            </wp:positionV>
            <wp:extent cx="318135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181350" cy="8890"/>
                    </a:xfrm>
                    <a:prstGeom prst="rect">
                      <a:avLst/>
                    </a:prstGeom>
                    <a:noFill/>
                  </pic:spPr>
                </pic:pic>
              </a:graphicData>
            </a:graphic>
          </wp:anchor>
        </w:drawing>
        <w:drawing>
          <wp:anchor simplePos="0" relativeHeight="251657728" behindDoc="1" locked="0" layoutInCell="0" allowOverlap="1">
            <wp:simplePos x="0" y="0"/>
            <wp:positionH relativeFrom="column">
              <wp:posOffset>4070350</wp:posOffset>
            </wp:positionH>
            <wp:positionV relativeFrom="paragraph">
              <wp:posOffset>-121920</wp:posOffset>
            </wp:positionV>
            <wp:extent cx="318135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Reaffirmation of Guaranty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73" w:name="page74"/>
    <w:bookmarkEnd w:id="73"/>
    <w:p>
      <w:pPr>
        <w:ind w:left="4520"/>
        <w:spacing w:after="0"/>
        <w:rPr>
          <w:sz w:val="20"/>
          <w:szCs w:val="20"/>
          <w:color w:val="auto"/>
        </w:rPr>
      </w:pPr>
      <w:r>
        <w:rPr>
          <w:rFonts w:ascii="Arial" w:cs="Arial" w:eastAsia="Arial" w:hAnsi="Arial"/>
          <w:sz w:val="18"/>
          <w:szCs w:val="18"/>
          <w:b w:val="1"/>
          <w:bCs w:val="1"/>
          <w:color w:val="auto"/>
        </w:rPr>
        <w:t>MANGROVE SOFTWARE, INC.,</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 Florida corporation</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3308350</wp:posOffset>
            </wp:positionH>
            <wp:positionV relativeFrom="paragraph">
              <wp:posOffset>-130810</wp:posOffset>
            </wp:positionV>
            <wp:extent cx="318135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3308350</wp:posOffset>
            </wp:positionH>
            <wp:positionV relativeFrom="paragraph">
              <wp:posOffset>22860</wp:posOffset>
            </wp:positionV>
            <wp:extent cx="318135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181350" cy="8890"/>
                    </a:xfrm>
                    <a:prstGeom prst="rect">
                      <a:avLst/>
                    </a:prstGeom>
                    <a:noFill/>
                  </pic:spPr>
                </pic:pic>
              </a:graphicData>
            </a:graphic>
          </wp:anchor>
        </w:drawing>
        <w:drawing>
          <wp:anchor simplePos="0" relativeHeight="251657728" behindDoc="1" locked="0" layoutInCell="0" allowOverlap="1">
            <wp:simplePos x="0" y="0"/>
            <wp:positionH relativeFrom="column">
              <wp:posOffset>3308350</wp:posOffset>
            </wp:positionH>
            <wp:positionV relativeFrom="paragraph">
              <wp:posOffset>-121920</wp:posOffset>
            </wp:positionV>
            <wp:extent cx="318135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7"/>
          <w:szCs w:val="17"/>
          <w:b w:val="1"/>
          <w:bCs w:val="1"/>
          <w:color w:val="auto"/>
        </w:rPr>
        <w:t>PERSONNEL MANAGEMENT SYSTEMS, INC.,</w:t>
      </w:r>
    </w:p>
    <w:p>
      <w:pPr>
        <w:spacing w:after="0" w:line="3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 Washington corporation</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3308350</wp:posOffset>
            </wp:positionH>
            <wp:positionV relativeFrom="paragraph">
              <wp:posOffset>-130810</wp:posOffset>
            </wp:positionV>
            <wp:extent cx="318135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jc w:val="center"/>
        <w:ind w:right="-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3308350</wp:posOffset>
            </wp:positionH>
            <wp:positionV relativeFrom="paragraph">
              <wp:posOffset>22860</wp:posOffset>
            </wp:positionV>
            <wp:extent cx="318135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181350" cy="8890"/>
                    </a:xfrm>
                    <a:prstGeom prst="rect">
                      <a:avLst/>
                    </a:prstGeom>
                    <a:noFill/>
                  </pic:spPr>
                </pic:pic>
              </a:graphicData>
            </a:graphic>
          </wp:anchor>
        </w:drawing>
        <w:drawing>
          <wp:anchor simplePos="0" relativeHeight="251657728" behindDoc="1" locked="0" layoutInCell="0" allowOverlap="1">
            <wp:simplePos x="0" y="0"/>
            <wp:positionH relativeFrom="column">
              <wp:posOffset>3308350</wp:posOffset>
            </wp:positionH>
            <wp:positionV relativeFrom="paragraph">
              <wp:posOffset>-121920</wp:posOffset>
            </wp:positionV>
            <wp:extent cx="318135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Reaffirmation of Guaranty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201295</wp:posOffset>
            </wp:positionV>
            <wp:extent cx="724662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9019"/>
          </w:cols>
          <w:pgMar w:left="1440" w:top="1094" w:right="1440"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21</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LIST OF SUBSIDIARIES</w:t>
      </w:r>
    </w:p>
    <w:p>
      <w:pPr>
        <w:spacing w:after="0" w:line="225" w:lineRule="exact"/>
        <w:rPr>
          <w:sz w:val="20"/>
          <w:szCs w:val="20"/>
          <w:color w:val="auto"/>
        </w:rPr>
      </w:pPr>
    </w:p>
    <w:tbl>
      <w:tblPr>
        <w:tblLayout w:type="fixed"/>
        <w:tblInd w:w="166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r>
              <w:rPr>
                <w:rFonts w:ascii="Arial" w:cs="Arial" w:eastAsia="Arial" w:hAnsi="Arial"/>
                <w:sz w:val="18"/>
                <w:szCs w:val="18"/>
                <w:b w:val="1"/>
                <w:bCs w:val="1"/>
                <w:color w:val="auto"/>
              </w:rPr>
              <w:t>Subsidiary</w:t>
            </w:r>
          </w:p>
        </w:tc>
        <w:tc>
          <w:tcPr>
            <w:tcW w:w="2300" w:type="dxa"/>
            <w:vAlign w:val="bottom"/>
            <w:gridSpan w:val="2"/>
          </w:tcPr>
          <w:p>
            <w:pPr>
              <w:ind w:left="100"/>
              <w:spacing w:after="0"/>
              <w:rPr>
                <w:sz w:val="20"/>
                <w:szCs w:val="20"/>
                <w:color w:val="auto"/>
              </w:rPr>
            </w:pPr>
            <w:r>
              <w:rPr>
                <w:rFonts w:ascii="Arial" w:cs="Arial" w:eastAsia="Arial" w:hAnsi="Arial"/>
                <w:sz w:val="18"/>
                <w:szCs w:val="18"/>
                <w:b w:val="1"/>
                <w:bCs w:val="1"/>
                <w:color w:val="auto"/>
              </w:rPr>
              <w:t>Location</w:t>
            </w:r>
          </w:p>
        </w:tc>
      </w:tr>
      <w:tr>
        <w:trPr>
          <w:trHeight w:val="27"/>
        </w:trPr>
        <w:tc>
          <w:tcPr>
            <w:tcW w:w="3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180" w:type="dxa"/>
            <w:vAlign w:val="bottom"/>
            <w:shd w:val="clear" w:color="auto" w:fill="000000"/>
          </w:tcPr>
          <w:p>
            <w:pPr>
              <w:spacing w:after="0"/>
              <w:rPr>
                <w:sz w:val="2"/>
                <w:szCs w:val="2"/>
                <w:color w:val="auto"/>
              </w:rPr>
            </w:pPr>
          </w:p>
        </w:tc>
      </w:tr>
      <w:tr>
        <w:trPr>
          <w:trHeight w:val="418"/>
        </w:trPr>
        <w:tc>
          <w:tcPr>
            <w:tcW w:w="3420" w:type="dxa"/>
            <w:vAlign w:val="bottom"/>
          </w:tcPr>
          <w:p>
            <w:pPr>
              <w:spacing w:after="0"/>
              <w:rPr>
                <w:sz w:val="20"/>
                <w:szCs w:val="20"/>
                <w:color w:val="auto"/>
              </w:rPr>
            </w:pPr>
            <w:r>
              <w:rPr>
                <w:rFonts w:ascii="Arial" w:cs="Arial" w:eastAsia="Arial" w:hAnsi="Arial"/>
                <w:sz w:val="18"/>
                <w:szCs w:val="18"/>
                <w:color w:val="auto"/>
              </w:rPr>
              <w:t>Asure Software UK Ltd.</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United Kingdom</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Asure COBRASource, LLC</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Delaware</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Mangrove Employer Services, Inc</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Florida</w:t>
            </w:r>
          </w:p>
        </w:tc>
      </w:t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Personnel Management Systems, Inc.</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Washington</w:t>
            </w:r>
          </w:p>
        </w:tc>
      </w:tr>
    </w:tbl>
    <w:p>
      <w:pPr>
        <w:sectPr>
          <w:pgSz w:w="11900" w:h="16838" w:orient="portrait"/>
          <w:cols w:equalWidth="0" w:num="1">
            <w:col w:w="10220"/>
          </w:cols>
          <w:pgMar w:left="1440" w:top="121"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REGISTERED PUBLIC ACCOUNTING FIRM’S CONSENT</w:t>
      </w:r>
    </w:p>
    <w:p>
      <w:pPr>
        <w:spacing w:after="0" w:line="229" w:lineRule="exact"/>
        <w:rPr>
          <w:sz w:val="20"/>
          <w:szCs w:val="20"/>
          <w:color w:val="auto"/>
        </w:rPr>
      </w:pPr>
    </w:p>
    <w:p>
      <w:pPr>
        <w:jc w:val="both"/>
        <w:ind w:firstLine="709"/>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Statements of Asure Software, Inc. on Form S-3 (File Nos. 333-182828, 333-212317 and 333-216075) and Form S-8 (File Nos. 333-175186 and 333-215097) of our report dated March 20, 2017, with respect to our audit of the consolidated financial statements of Asure Software, Inc. as of December 31, 2016 and for the year then ended, which report is included in this Annual Report on Form 10-K of Asure Software, Inc. for the year ended December 31, 2016.</w:t>
      </w:r>
    </w:p>
    <w:p>
      <w:pPr>
        <w:spacing w:after="0" w:line="200" w:lineRule="exact"/>
        <w:rPr>
          <w:sz w:val="20"/>
          <w:szCs w:val="20"/>
          <w:color w:val="auto"/>
        </w:rPr>
      </w:pPr>
    </w:p>
    <w:p>
      <w:pPr>
        <w:spacing w:after="0" w:line="230"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u w:val="single" w:color="auto"/>
          <w:color w:val="auto"/>
        </w:rPr>
        <w:t>/s/</w:t>
      </w:r>
      <w:r>
        <w:rPr>
          <w:sz w:val="20"/>
          <w:szCs w:val="20"/>
          <w:color w:val="auto"/>
        </w:rPr>
        <w:tab/>
      </w:r>
      <w:r>
        <w:rPr>
          <w:rFonts w:ascii="Arial" w:cs="Arial" w:eastAsia="Arial" w:hAnsi="Arial"/>
          <w:sz w:val="17"/>
          <w:szCs w:val="17"/>
          <w:u w:val="single" w:color="auto"/>
          <w:color w:val="auto"/>
        </w:rPr>
        <w:t>Marcum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Marcum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Irvine,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20, 2017</w:t>
      </w:r>
    </w:p>
    <w:p>
      <w:pPr>
        <w:sectPr>
          <w:pgSz w:w="11900" w:h="16838" w:orient="portrait"/>
          <w:cols w:equalWidth="0" w:num="1">
            <w:col w:w="11420"/>
          </w:cols>
          <w:pgMar w:left="240" w:top="121" w:right="2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ind w:firstLine="860"/>
        <w:spacing w:after="0" w:line="312" w:lineRule="auto"/>
        <w:rPr>
          <w:sz w:val="20"/>
          <w:szCs w:val="20"/>
          <w:color w:val="auto"/>
        </w:rPr>
      </w:pPr>
      <w:r>
        <w:rPr>
          <w:rFonts w:ascii="Arial" w:cs="Arial" w:eastAsia="Arial" w:hAnsi="Arial"/>
          <w:sz w:val="16"/>
          <w:szCs w:val="16"/>
          <w:color w:val="auto"/>
        </w:rPr>
        <w:t>We consent to the incorporation by reference in the following registration statements, and in the related prospectuses thereto, of Asure Software, Inc. (Form S-3 Nos. 333-182828, 333-212317 and 333-216075 and Form S-8 Nos. 333-175186 and 333-215097) of our report dated March 30, 2016, with respect to the consolidated financial statements of Asure Software, Inc. included in this Annual Report (Form 10-K) for the year ended December 31, 2015.</w:t>
      </w:r>
    </w:p>
    <w:p>
      <w:pPr>
        <w:spacing w:after="0" w:line="390" w:lineRule="exact"/>
        <w:rPr>
          <w:sz w:val="20"/>
          <w:szCs w:val="20"/>
          <w:color w:val="auto"/>
        </w:rPr>
      </w:pPr>
    </w:p>
    <w:p>
      <w:pPr>
        <w:ind w:left="7140"/>
        <w:spacing w:after="0"/>
        <w:tabs>
          <w:tab w:leader="none" w:pos="7460" w:val="left"/>
        </w:tabs>
        <w:rPr>
          <w:sz w:val="20"/>
          <w:szCs w:val="20"/>
          <w:color w:val="auto"/>
        </w:rPr>
      </w:pPr>
      <w:r>
        <w:rPr>
          <w:rFonts w:ascii="Arial" w:cs="Arial" w:eastAsia="Arial" w:hAnsi="Arial"/>
          <w:sz w:val="18"/>
          <w:szCs w:val="18"/>
          <w:u w:val="single" w:color="auto"/>
          <w:color w:val="auto"/>
        </w:rPr>
        <w:t>/s/</w:t>
      </w:r>
      <w:r>
        <w:rPr>
          <w:sz w:val="20"/>
          <w:szCs w:val="20"/>
          <w:color w:val="auto"/>
        </w:rPr>
        <w:tab/>
      </w:r>
      <w:r>
        <w:rPr>
          <w:rFonts w:ascii="Arial" w:cs="Arial" w:eastAsia="Arial" w:hAnsi="Arial"/>
          <w:sz w:val="17"/>
          <w:szCs w:val="17"/>
          <w:u w:val="single" w:color="auto"/>
          <w:color w:val="auto"/>
        </w:rPr>
        <w:t>Ernst &amp; Young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20, 2017</w:t>
      </w:r>
    </w:p>
    <w:p>
      <w:pPr>
        <w:sectPr>
          <w:pgSz w:w="11900" w:h="16838" w:orient="portrait"/>
          <w:cols w:equalWidth="0" w:num="1">
            <w:col w:w="11420"/>
          </w:cols>
          <w:pgMar w:left="240" w:top="121" w:right="2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Patrick Goepel, certify that:</w:t>
      </w:r>
    </w:p>
    <w:p>
      <w:pPr>
        <w:spacing w:after="0" w:line="252" w:lineRule="exact"/>
        <w:rPr>
          <w:sz w:val="20"/>
          <w:szCs w:val="20"/>
          <w:color w:val="auto"/>
        </w:rPr>
      </w:pPr>
    </w:p>
    <w:p>
      <w:pPr>
        <w:ind w:left="700" w:hanging="341"/>
        <w:spacing w:after="0"/>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the Annual Report on Form 10-K of the Company for the calendar year ended December 31, 2016 (the “Report”);</w:t>
      </w:r>
    </w:p>
    <w:p>
      <w:pPr>
        <w:spacing w:after="0" w:line="252" w:lineRule="exact"/>
        <w:rPr>
          <w:rFonts w:ascii="Arial" w:cs="Arial" w:eastAsia="Arial" w:hAnsi="Arial"/>
          <w:sz w:val="18"/>
          <w:szCs w:val="18"/>
          <w:color w:val="auto"/>
        </w:rPr>
      </w:pPr>
    </w:p>
    <w:p>
      <w:pPr>
        <w:jc w:val="both"/>
        <w:ind w:left="700" w:right="20" w:hanging="341"/>
        <w:spacing w:after="0" w:line="264" w:lineRule="auto"/>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the Report does not contain any untrue statement of a material fact or omit to state a material fact necessary to make the statements made, in light of the circumstances under which such statements were made, not misleading with respect to the periods covered by this Report;</w:t>
      </w:r>
    </w:p>
    <w:p>
      <w:pPr>
        <w:spacing w:after="0" w:line="208" w:lineRule="exact"/>
        <w:rPr>
          <w:rFonts w:ascii="Arial" w:cs="Arial" w:eastAsia="Arial" w:hAnsi="Arial"/>
          <w:sz w:val="18"/>
          <w:szCs w:val="18"/>
          <w:color w:val="auto"/>
        </w:rPr>
      </w:pPr>
    </w:p>
    <w:p>
      <w:pPr>
        <w:ind w:left="700" w:right="40" w:hanging="341"/>
        <w:spacing w:after="0" w:line="308" w:lineRule="auto"/>
        <w:tabs>
          <w:tab w:leader="none" w:pos="7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the Report, fairly present in all material respects the financial condition, results of operations and cash flows of the Company as of, and for, the periods presented in the Report;</w:t>
      </w:r>
    </w:p>
    <w:p>
      <w:pPr>
        <w:spacing w:after="0" w:line="173" w:lineRule="exact"/>
        <w:rPr>
          <w:rFonts w:ascii="Arial" w:cs="Arial" w:eastAsia="Arial" w:hAnsi="Arial"/>
          <w:sz w:val="17"/>
          <w:szCs w:val="17"/>
          <w:color w:val="auto"/>
        </w:rPr>
      </w:pPr>
    </w:p>
    <w:p>
      <w:pPr>
        <w:jc w:val="both"/>
        <w:ind w:left="700" w:right="40" w:hanging="341"/>
        <w:spacing w:after="0" w:line="264" w:lineRule="auto"/>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we have:</w:t>
      </w:r>
    </w:p>
    <w:p>
      <w:pPr>
        <w:spacing w:after="0" w:line="208" w:lineRule="exact"/>
        <w:rPr>
          <w:rFonts w:ascii="Arial" w:cs="Arial" w:eastAsia="Arial" w:hAnsi="Arial"/>
          <w:sz w:val="18"/>
          <w:szCs w:val="18"/>
          <w:color w:val="auto"/>
        </w:rPr>
      </w:pPr>
    </w:p>
    <w:p>
      <w:pPr>
        <w:jc w:val="both"/>
        <w:ind w:left="1160" w:right="20" w:hanging="342"/>
        <w:spacing w:after="0" w:line="264" w:lineRule="auto"/>
        <w:tabs>
          <w:tab w:leader="none" w:pos="11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these entities, particularly during the period in which the Report is being prepared;</w:t>
      </w:r>
    </w:p>
    <w:p>
      <w:pPr>
        <w:spacing w:after="0" w:line="208" w:lineRule="exact"/>
        <w:rPr>
          <w:rFonts w:ascii="Arial" w:cs="Arial" w:eastAsia="Arial" w:hAnsi="Arial"/>
          <w:sz w:val="18"/>
          <w:szCs w:val="18"/>
          <w:color w:val="auto"/>
        </w:rPr>
      </w:pPr>
    </w:p>
    <w:p>
      <w:pPr>
        <w:jc w:val="both"/>
        <w:ind w:left="1160" w:right="20" w:hanging="342"/>
        <w:spacing w:after="0" w:line="264" w:lineRule="auto"/>
        <w:tabs>
          <w:tab w:leader="none" w:pos="11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1160" w:right="40" w:hanging="342"/>
        <w:spacing w:after="0" w:line="342" w:lineRule="auto"/>
        <w:tabs>
          <w:tab w:leader="none" w:pos="1160" w:val="left"/>
        </w:tabs>
        <w:numPr>
          <w:ilvl w:val="1"/>
          <w:numId w:val="42"/>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the Report our conclusions about the effectiveness of the disclosure controls and procedures, as of the end of the period covered by the Report based on such evaluation; and</w:t>
      </w:r>
    </w:p>
    <w:p>
      <w:pPr>
        <w:spacing w:after="0" w:line="150" w:lineRule="exact"/>
        <w:rPr>
          <w:rFonts w:ascii="Arial" w:cs="Arial" w:eastAsia="Arial" w:hAnsi="Arial"/>
          <w:sz w:val="16"/>
          <w:szCs w:val="16"/>
          <w:color w:val="auto"/>
        </w:rPr>
      </w:pPr>
    </w:p>
    <w:p>
      <w:pPr>
        <w:jc w:val="both"/>
        <w:ind w:left="1160" w:right="40" w:hanging="342"/>
        <w:spacing w:after="0" w:line="264" w:lineRule="auto"/>
        <w:tabs>
          <w:tab w:leader="none" w:pos="11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the Report any change in the Company’s internal control over financial reporting that occurred during the Company’s most recent calendar year ended December 31, 2016 that has materially affected, or is reasonably likely to materially affect, the Company’s internal control over financial reporting; and</w:t>
      </w:r>
    </w:p>
    <w:p>
      <w:pPr>
        <w:spacing w:after="0" w:line="208" w:lineRule="exact"/>
        <w:rPr>
          <w:rFonts w:ascii="Arial" w:cs="Arial" w:eastAsia="Arial" w:hAnsi="Arial"/>
          <w:sz w:val="18"/>
          <w:szCs w:val="18"/>
          <w:color w:val="auto"/>
        </w:rPr>
      </w:pPr>
    </w:p>
    <w:p>
      <w:pPr>
        <w:ind w:left="700" w:right="40" w:hanging="341"/>
        <w:spacing w:after="0" w:line="277" w:lineRule="auto"/>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Company’s other certifying officer and I have disclosed, based on our most recent evaluation of internal control over financial reporting, to the Company’s auditors and to the Audit Committee of the Board of Directors:</w:t>
      </w:r>
    </w:p>
    <w:p>
      <w:pPr>
        <w:spacing w:after="0" w:line="197" w:lineRule="exact"/>
        <w:rPr>
          <w:rFonts w:ascii="Arial" w:cs="Arial" w:eastAsia="Arial" w:hAnsi="Arial"/>
          <w:sz w:val="18"/>
          <w:szCs w:val="18"/>
          <w:color w:val="auto"/>
        </w:rPr>
      </w:pPr>
    </w:p>
    <w:p>
      <w:pPr>
        <w:ind w:left="1160" w:right="40" w:hanging="342"/>
        <w:spacing w:after="0" w:line="277" w:lineRule="auto"/>
        <w:tabs>
          <w:tab w:leader="none" w:pos="11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All significant deficiencies or material weaknesses in the design or operation of internal control over financial reporting which are reasonably likely to adversely affect the Company’s ability to record, process, summarize and report financial information; and</w:t>
      </w:r>
    </w:p>
    <w:p>
      <w:pPr>
        <w:spacing w:after="0" w:line="197" w:lineRule="exact"/>
        <w:rPr>
          <w:rFonts w:ascii="Arial" w:cs="Arial" w:eastAsia="Arial" w:hAnsi="Arial"/>
          <w:sz w:val="18"/>
          <w:szCs w:val="18"/>
          <w:color w:val="auto"/>
        </w:rPr>
      </w:pPr>
    </w:p>
    <w:p>
      <w:pPr>
        <w:ind w:left="1160" w:right="40" w:hanging="342"/>
        <w:spacing w:after="0" w:line="277" w:lineRule="auto"/>
        <w:tabs>
          <w:tab w:leader="none" w:pos="11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 PATRICK GOEPEL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4985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64985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Patrick Goepel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20, 2017</w:t>
      </w:r>
    </w:p>
    <w:p>
      <w:pPr>
        <w:sectPr>
          <w:pgSz w:w="11900" w:h="16838" w:orient="portrait"/>
          <w:cols w:equalWidth="0" w:num="1">
            <w:col w:w="11420"/>
          </w:cols>
          <w:pgMar w:left="240" w:top="121" w:right="2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Brad Wolfe, certify that:</w:t>
      </w:r>
    </w:p>
    <w:p>
      <w:pPr>
        <w:spacing w:after="0" w:line="252" w:lineRule="exact"/>
        <w:rPr>
          <w:sz w:val="20"/>
          <w:szCs w:val="20"/>
          <w:color w:val="auto"/>
        </w:rPr>
      </w:pPr>
    </w:p>
    <w:p>
      <w:pPr>
        <w:ind w:left="700" w:hanging="341"/>
        <w:spacing w:after="0"/>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the Annual Report on Form 10-K of the Company for the calendar year ended December 31, 2016 (the “Report”);</w:t>
      </w:r>
    </w:p>
    <w:p>
      <w:pPr>
        <w:spacing w:after="0" w:line="252" w:lineRule="exact"/>
        <w:rPr>
          <w:rFonts w:ascii="Arial" w:cs="Arial" w:eastAsia="Arial" w:hAnsi="Arial"/>
          <w:sz w:val="18"/>
          <w:szCs w:val="18"/>
          <w:color w:val="auto"/>
        </w:rPr>
      </w:pPr>
    </w:p>
    <w:p>
      <w:pPr>
        <w:jc w:val="both"/>
        <w:ind w:left="700" w:right="20" w:hanging="341"/>
        <w:spacing w:after="0" w:line="264" w:lineRule="auto"/>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the Report does not contain any untrue statement of a material fact or omit to state a material fact necessary to make the statements made, in light of the circumstances under which such statements were made, not misleading with respect to the periods covered by this Report;</w:t>
      </w:r>
    </w:p>
    <w:p>
      <w:pPr>
        <w:spacing w:after="0" w:line="208" w:lineRule="exact"/>
        <w:rPr>
          <w:rFonts w:ascii="Arial" w:cs="Arial" w:eastAsia="Arial" w:hAnsi="Arial"/>
          <w:sz w:val="18"/>
          <w:szCs w:val="18"/>
          <w:color w:val="auto"/>
        </w:rPr>
      </w:pPr>
    </w:p>
    <w:p>
      <w:pPr>
        <w:ind w:left="700" w:right="40" w:hanging="341"/>
        <w:spacing w:after="0" w:line="308" w:lineRule="auto"/>
        <w:tabs>
          <w:tab w:leader="none" w:pos="7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the Report, fairly present in all material respects the financial condition, results of operations and cash flows of the Company as of, and for, the periods presented in the Report;</w:t>
      </w:r>
    </w:p>
    <w:p>
      <w:pPr>
        <w:spacing w:after="0" w:line="173" w:lineRule="exact"/>
        <w:rPr>
          <w:rFonts w:ascii="Arial" w:cs="Arial" w:eastAsia="Arial" w:hAnsi="Arial"/>
          <w:sz w:val="17"/>
          <w:szCs w:val="17"/>
          <w:color w:val="auto"/>
        </w:rPr>
      </w:pPr>
    </w:p>
    <w:p>
      <w:pPr>
        <w:jc w:val="both"/>
        <w:ind w:left="700" w:right="40" w:hanging="341"/>
        <w:spacing w:after="0" w:line="264" w:lineRule="auto"/>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we have:</w:t>
      </w:r>
    </w:p>
    <w:p>
      <w:pPr>
        <w:spacing w:after="0" w:line="208" w:lineRule="exact"/>
        <w:rPr>
          <w:rFonts w:ascii="Arial" w:cs="Arial" w:eastAsia="Arial" w:hAnsi="Arial"/>
          <w:sz w:val="18"/>
          <w:szCs w:val="18"/>
          <w:color w:val="auto"/>
        </w:rPr>
      </w:pPr>
    </w:p>
    <w:p>
      <w:pPr>
        <w:jc w:val="both"/>
        <w:ind w:left="1160" w:right="20" w:hanging="342"/>
        <w:spacing w:after="0" w:line="264" w:lineRule="auto"/>
        <w:tabs>
          <w:tab w:leader="none" w:pos="11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these entities, particularly during the period in which the Report is being prepared;</w:t>
      </w:r>
    </w:p>
    <w:p>
      <w:pPr>
        <w:spacing w:after="0" w:line="208" w:lineRule="exact"/>
        <w:rPr>
          <w:rFonts w:ascii="Arial" w:cs="Arial" w:eastAsia="Arial" w:hAnsi="Arial"/>
          <w:sz w:val="18"/>
          <w:szCs w:val="18"/>
          <w:color w:val="auto"/>
        </w:rPr>
      </w:pPr>
    </w:p>
    <w:p>
      <w:pPr>
        <w:jc w:val="both"/>
        <w:ind w:left="1160" w:right="20" w:hanging="342"/>
        <w:spacing w:after="0" w:line="264" w:lineRule="auto"/>
        <w:tabs>
          <w:tab w:leader="none" w:pos="11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1160" w:right="40" w:hanging="342"/>
        <w:spacing w:after="0" w:line="342" w:lineRule="auto"/>
        <w:tabs>
          <w:tab w:leader="none" w:pos="1160" w:val="left"/>
        </w:tabs>
        <w:numPr>
          <w:ilvl w:val="1"/>
          <w:numId w:val="43"/>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the Report our conclusions about the effectiveness of the disclosure controls and procedures, as of the end of the period covered by the Report based on such evaluation; and</w:t>
      </w:r>
    </w:p>
    <w:p>
      <w:pPr>
        <w:spacing w:after="0" w:line="150" w:lineRule="exact"/>
        <w:rPr>
          <w:rFonts w:ascii="Arial" w:cs="Arial" w:eastAsia="Arial" w:hAnsi="Arial"/>
          <w:sz w:val="16"/>
          <w:szCs w:val="16"/>
          <w:color w:val="auto"/>
        </w:rPr>
      </w:pPr>
    </w:p>
    <w:p>
      <w:pPr>
        <w:jc w:val="both"/>
        <w:ind w:left="1160" w:right="40" w:hanging="342"/>
        <w:spacing w:after="0" w:line="264" w:lineRule="auto"/>
        <w:tabs>
          <w:tab w:leader="none" w:pos="11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the Report any change in the Company’s internal control over financial reporting that occurred during the Company’s most recent calendar year ended December 31, 2016 that has materially affected, or is reasonably likely to materially affect, the Company’s internal control over financial reporting; and</w:t>
      </w:r>
    </w:p>
    <w:p>
      <w:pPr>
        <w:spacing w:after="0" w:line="208" w:lineRule="exact"/>
        <w:rPr>
          <w:rFonts w:ascii="Arial" w:cs="Arial" w:eastAsia="Arial" w:hAnsi="Arial"/>
          <w:sz w:val="18"/>
          <w:szCs w:val="18"/>
          <w:color w:val="auto"/>
        </w:rPr>
      </w:pPr>
    </w:p>
    <w:p>
      <w:pPr>
        <w:ind w:left="700" w:right="40" w:hanging="341"/>
        <w:spacing w:after="0" w:line="277" w:lineRule="auto"/>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Company’s other certifying officer and I have disclosed, based on our most recent evaluation of internal control over financial reporting, to the Company’s auditors and to the Audit Committee of the Board of Directors:</w:t>
      </w:r>
    </w:p>
    <w:p>
      <w:pPr>
        <w:spacing w:after="0" w:line="197" w:lineRule="exact"/>
        <w:rPr>
          <w:rFonts w:ascii="Arial" w:cs="Arial" w:eastAsia="Arial" w:hAnsi="Arial"/>
          <w:sz w:val="18"/>
          <w:szCs w:val="18"/>
          <w:color w:val="auto"/>
        </w:rPr>
      </w:pPr>
    </w:p>
    <w:p>
      <w:pPr>
        <w:ind w:left="1160" w:right="40" w:hanging="342"/>
        <w:spacing w:after="0" w:line="277" w:lineRule="auto"/>
        <w:tabs>
          <w:tab w:leader="none" w:pos="11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All significant deficiencies or material weaknesses in the design or operation of internal control over financial reporting which are reasonably likely to adversely affect the Company’s ability to record, process, summarize and report financial information; and</w:t>
      </w:r>
    </w:p>
    <w:p>
      <w:pPr>
        <w:spacing w:after="0" w:line="197" w:lineRule="exact"/>
        <w:rPr>
          <w:rFonts w:ascii="Arial" w:cs="Arial" w:eastAsia="Arial" w:hAnsi="Arial"/>
          <w:sz w:val="18"/>
          <w:szCs w:val="18"/>
          <w:color w:val="auto"/>
        </w:rPr>
      </w:pPr>
    </w:p>
    <w:p>
      <w:pPr>
        <w:ind w:left="1160" w:right="40" w:hanging="342"/>
        <w:spacing w:after="0" w:line="277" w:lineRule="auto"/>
        <w:tabs>
          <w:tab w:leader="none" w:pos="11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 BRAD WOLFE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730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5730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Brad Wolfe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20, 2017</w:t>
      </w:r>
    </w:p>
    <w:p>
      <w:pPr>
        <w:sectPr>
          <w:pgSz w:w="11900" w:h="16838" w:orient="portrait"/>
          <w:cols w:equalWidth="0" w:num="1">
            <w:col w:w="11420"/>
          </w:cols>
          <w:pgMar w:left="240" w:top="121"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Patrick Goepel, do hereby certify, pursuant to 18 U.S.C. Section 1350, as adopted by Section 906 of the Sarbanes-Oxley Act of 2002, that:</w:t>
      </w:r>
    </w:p>
    <w:p>
      <w:pPr>
        <w:spacing w:after="0" w:line="252" w:lineRule="exact"/>
        <w:rPr>
          <w:sz w:val="20"/>
          <w:szCs w:val="20"/>
          <w:color w:val="auto"/>
        </w:rPr>
      </w:pPr>
    </w:p>
    <w:p>
      <w:pPr>
        <w:ind w:left="700" w:right="40" w:hanging="341"/>
        <w:spacing w:after="0" w:line="277" w:lineRule="auto"/>
        <w:tabs>
          <w:tab w:leader="none" w:pos="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calendar year ended December 31, 2016 (the “Report”) fully complies with the requirements of section 13(a) or 15(d) of the Securities Exchange Act of 1934 as amended, and</w:t>
      </w:r>
    </w:p>
    <w:p>
      <w:pPr>
        <w:spacing w:after="0" w:line="197" w:lineRule="exact"/>
        <w:rPr>
          <w:rFonts w:ascii="Arial" w:cs="Arial" w:eastAsia="Arial" w:hAnsi="Arial"/>
          <w:sz w:val="18"/>
          <w:szCs w:val="18"/>
          <w:color w:val="auto"/>
        </w:rPr>
      </w:pPr>
    </w:p>
    <w:p>
      <w:pPr>
        <w:ind w:left="700" w:hanging="341"/>
        <w:spacing w:after="0"/>
        <w:tabs>
          <w:tab w:leader="none" w:pos="7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1"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/s/ PATRICK GOEPEL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14605</wp:posOffset>
            </wp:positionV>
            <wp:extent cx="227266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272665" cy="17145"/>
                    </a:xfrm>
                    <a:prstGeom prst="rect">
                      <a:avLst/>
                    </a:prstGeom>
                    <a:noFill/>
                  </pic:spPr>
                </pic:pic>
              </a:graphicData>
            </a:graphic>
          </wp:anchor>
        </w:drawing>
      </w:r>
    </w:p>
    <w:p>
      <w:pPr>
        <w:spacing w:after="0" w:line="16"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Patrick Goepel</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March 20, 2017</w:t>
      </w:r>
    </w:p>
    <w:p>
      <w:pPr>
        <w:spacing w:after="0" w:line="200" w:lineRule="exact"/>
        <w:rPr>
          <w:sz w:val="20"/>
          <w:szCs w:val="20"/>
          <w:color w:val="auto"/>
        </w:rPr>
      </w:pPr>
    </w:p>
    <w:p>
      <w:pPr>
        <w:spacing w:after="0" w:line="2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signed original of this written statement required by Section 906 has been provided to Asure Software, Inc. and will be retained by Asure Software, Inc. and furnished to the Securities and Exchange Commission or its staff upon request. The foregoing certification is being furnished solely pursuant to 18 U.S.C. Section 1350 and is not being filed as part of the Report or as a separate disclosure document.</w:t>
      </w:r>
    </w:p>
    <w:p>
      <w:pPr>
        <w:sectPr>
          <w:pgSz w:w="11900" w:h="16838" w:orient="portrait"/>
          <w:cols w:equalWidth="0" w:num="1">
            <w:col w:w="11420"/>
          </w:cols>
          <w:pgMar w:left="240" w:top="364"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Brad Wolfe, do hereby certify, pursuant to 18 U.S.C. Section 1350, as adopted by Section 906 of the Sarbanes-Oxley Act of 2002, that:</w:t>
      </w:r>
    </w:p>
    <w:p>
      <w:pPr>
        <w:spacing w:after="0" w:line="252" w:lineRule="exact"/>
        <w:rPr>
          <w:sz w:val="20"/>
          <w:szCs w:val="20"/>
          <w:color w:val="auto"/>
        </w:rPr>
      </w:pPr>
    </w:p>
    <w:p>
      <w:pPr>
        <w:ind w:left="700" w:right="40" w:hanging="341"/>
        <w:spacing w:after="0" w:line="277" w:lineRule="auto"/>
        <w:tabs>
          <w:tab w:leader="none" w:pos="7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fiscal year ended December 31, 2016 (the “Report”) fully complies with the requirements of section 13(a) or 15(d) of the Securities Exchange Act of 1934 as amended, and</w:t>
      </w:r>
    </w:p>
    <w:p>
      <w:pPr>
        <w:spacing w:after="0" w:line="197" w:lineRule="exact"/>
        <w:rPr>
          <w:rFonts w:ascii="Arial" w:cs="Arial" w:eastAsia="Arial" w:hAnsi="Arial"/>
          <w:sz w:val="18"/>
          <w:szCs w:val="18"/>
          <w:color w:val="auto"/>
        </w:rPr>
      </w:pPr>
    </w:p>
    <w:p>
      <w:pPr>
        <w:ind w:left="700" w:hanging="341"/>
        <w:spacing w:after="0"/>
        <w:tabs>
          <w:tab w:leader="none" w:pos="7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1"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/s/ BRAD WOLFE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14605</wp:posOffset>
            </wp:positionV>
            <wp:extent cx="227266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272665" cy="17145"/>
                    </a:xfrm>
                    <a:prstGeom prst="rect">
                      <a:avLst/>
                    </a:prstGeom>
                    <a:noFill/>
                  </pic:spPr>
                </pic:pic>
              </a:graphicData>
            </a:graphic>
          </wp:anchor>
        </w:drawing>
      </w:r>
    </w:p>
    <w:p>
      <w:pPr>
        <w:spacing w:after="0" w:line="16"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Brad Wolfe</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March 20, 2017</w:t>
      </w:r>
    </w:p>
    <w:p>
      <w:pPr>
        <w:spacing w:after="0" w:line="200" w:lineRule="exact"/>
        <w:rPr>
          <w:sz w:val="20"/>
          <w:szCs w:val="20"/>
          <w:color w:val="auto"/>
        </w:rPr>
      </w:pPr>
    </w:p>
    <w:p>
      <w:pPr>
        <w:spacing w:after="0" w:line="2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signed original of this written statement required by Section 906 has been provided to Asure Software, Inc. and will be retained by Asure Software, Inc. and furnished to the Securities and Exchange Commission or its staff upon request. The foregoing certification is being furnished solely pursuant to 18 U.S.C. Section 1350 and is not being filed as part of the Report or as a separate disclosure document.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1)"/>
      <w:numFmt w:val="lowerRoman"/>
      <w:start w:val="2"/>
    </w:lvl>
  </w:abstractNum>
  <w:abstractNum w:abstractNumId="3">
    <w:nsid w:val="8EDBDAB"/>
    <w:multiLevelType w:val="hybridMultilevel"/>
    <w:lvl w:ilvl="0">
      <w:lvlJc w:val="left"/>
      <w:lvlText w:val="(%1)"/>
      <w:numFmt w:val="decimal"/>
      <w:start w:val="1"/>
    </w:lvl>
  </w:abstractNum>
  <w:abstractNum w:abstractNumId="4">
    <w:nsid w:val="79838CB2"/>
    <w:multiLevelType w:val="hybridMultilevel"/>
    <w:lvl w:ilvl="0">
      <w:lvlJc w:val="left"/>
      <w:lvlText w:val="(%1)"/>
      <w:numFmt w:val="lowerRoman"/>
      <w:start w:val="3"/>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1)"/>
      <w:numFmt w:val="lowerRoman"/>
      <w:start w:val="1"/>
    </w:lvl>
  </w:abstractNum>
  <w:abstractNum w:abstractNumId="7">
    <w:nsid w:val="189A769B"/>
    <w:multiLevelType w:val="hybridMultilevel"/>
    <w:lvl w:ilvl="0">
      <w:lvlJc w:val="left"/>
      <w:lvlText w:val="(%1)"/>
      <w:numFmt w:val="lowerLetter"/>
      <w:start w:val="1"/>
    </w:lvl>
    <w:lvl w:ilvl="1">
      <w:lvlJc w:val="left"/>
      <w:lvlText w:val="(%2)"/>
      <w:numFmt w:val="decimal"/>
      <w:start w:val="1"/>
    </w:lvl>
  </w:abstractNum>
  <w:abstractNum w:abstractNumId="8">
    <w:nsid w:val="54E49EB4"/>
    <w:multiLevelType w:val="hybridMultilevel"/>
    <w:lvl w:ilvl="0">
      <w:lvlJc w:val="left"/>
      <w:lvlText w:val="(%1)"/>
      <w:numFmt w:val="lowerLetter"/>
      <w:start w:val="2"/>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
      <w:numFmt w:val="bullet"/>
      <w:start w:val="1"/>
    </w:lvl>
  </w:abstractNum>
  <w:abstractNum w:abstractNumId="11">
    <w:nsid w:val="836C40E"/>
    <w:multiLevelType w:val="hybridMultilevel"/>
    <w:lvl w:ilvl="0">
      <w:lvlJc w:val="left"/>
      <w:lvlText w:val="•"/>
      <w:numFmt w:val="bullet"/>
      <w:start w:val="1"/>
    </w:lvl>
  </w:abstractNum>
  <w:abstractNum w:abstractNumId="12">
    <w:nsid w:val="2901D82"/>
    <w:multiLevelType w:val="hybridMultilevel"/>
    <w:lvl w:ilvl="0">
      <w:lvlJc w:val="left"/>
      <w:lvlText w:val="%1"/>
      <w:numFmt w:val="decimal"/>
      <w:start w:val="21"/>
    </w:lvl>
  </w:abstractNum>
  <w:abstractNum w:abstractNumId="13">
    <w:nsid w:val="3A95F874"/>
    <w:multiLevelType w:val="hybridMultilevel"/>
    <w:lvl w:ilvl="0">
      <w:lvlJc w:val="left"/>
      <w:lvlText w:val="%1"/>
      <w:numFmt w:val="decimal"/>
      <w:start w:val="101"/>
    </w:lvl>
  </w:abstractNum>
  <w:abstractNum w:abstractNumId="14">
    <w:nsid w:val="8138641"/>
    <w:multiLevelType w:val="hybridMultilevel"/>
    <w:lvl w:ilvl="0">
      <w:lvlJc w:val="left"/>
      <w:lvlText w:val="(%1)"/>
      <w:numFmt w:val="decimal"/>
      <w:start w:val="1"/>
    </w:lvl>
  </w:abstractNum>
  <w:abstractNum w:abstractNumId="15">
    <w:nsid w:val="1E7FF521"/>
    <w:multiLevelType w:val="hybridMultilevel"/>
    <w:lvl w:ilvl="0">
      <w:lvlJc w:val="left"/>
      <w:lvlText w:val="%1."/>
      <w:numFmt w:val="upperLetter"/>
      <w:start w:val="1"/>
    </w:lvl>
  </w:abstractNum>
  <w:abstractNum w:abstractNumId="16">
    <w:nsid w:val="7C3DBD3D"/>
    <w:multiLevelType w:val="hybridMultilevel"/>
    <w:lvl w:ilvl="0">
      <w:lvlJc w:val="left"/>
      <w:lvlText w:val="%1."/>
      <w:numFmt w:val="decimal"/>
      <w:start w:val="1"/>
    </w:lvl>
    <w:lvl w:ilvl="1">
      <w:lvlJc w:val="left"/>
      <w:lvlText w:val="(%2)"/>
      <w:numFmt w:val="lowerLetter"/>
      <w:start w:val="1"/>
    </w:lvl>
  </w:abstractNum>
  <w:abstractNum w:abstractNumId="17">
    <w:nsid w:val="737B8DDC"/>
    <w:multiLevelType w:val="hybridMultilevel"/>
    <w:lvl w:ilvl="0">
      <w:lvlJc w:val="left"/>
      <w:lvlText w:val="(%1)"/>
      <w:numFmt w:val="lowerLetter"/>
      <w:start w:val="3"/>
    </w:lvl>
  </w:abstractNum>
  <w:abstractNum w:abstractNumId="18">
    <w:nsid w:val="6CEAF087"/>
    <w:multiLevelType w:val="hybridMultilevel"/>
    <w:lvl w:ilvl="0">
      <w:lvlJc w:val="left"/>
      <w:lvlText w:val="(%1)"/>
      <w:numFmt w:val="lowerLetter"/>
      <w:start w:val="1"/>
    </w:lvl>
    <w:lvl w:ilvl="1">
      <w:lvlJc w:val="left"/>
      <w:lvlText w:val="(%2)"/>
      <w:numFmt w:val="lowerRoman"/>
      <w:start w:val="1"/>
    </w:lvl>
  </w:abstractNum>
  <w:abstractNum w:abstractNumId="19">
    <w:nsid w:val="22221A70"/>
    <w:multiLevelType w:val="hybridMultilevel"/>
    <w:lvl w:ilvl="0">
      <w:lvlJc w:val="left"/>
      <w:lvlText w:val="(%1)"/>
      <w:numFmt w:val="lowerLetter"/>
      <w:start w:val="3"/>
    </w:lvl>
    <w:lvl w:ilvl="1">
      <w:lvlJc w:val="left"/>
      <w:lvlText w:val="(%2)"/>
      <w:numFmt w:val="lowerRoman"/>
      <w:start w:val="1"/>
    </w:lvl>
  </w:abstractNum>
  <w:abstractNum w:abstractNumId="20">
    <w:nsid w:val="4516DDE9"/>
    <w:multiLevelType w:val="hybridMultilevel"/>
    <w:lvl w:ilvl="0">
      <w:lvlJc w:val="left"/>
      <w:lvlText w:val="(%1)"/>
      <w:numFmt w:val="lowerRoman"/>
      <w:start w:val="9"/>
    </w:lvl>
  </w:abstractNum>
  <w:abstractNum w:abstractNumId="21">
    <w:nsid w:val="3006C83E"/>
    <w:multiLevelType w:val="hybridMultilevel"/>
    <w:lvl w:ilvl="0">
      <w:lvlJc w:val="left"/>
      <w:lvlText w:val="(%1)"/>
      <w:numFmt w:val="lowerLetter"/>
      <w:start w:val="4"/>
    </w:lvl>
  </w:abstractNum>
  <w:abstractNum w:abstractNumId="22">
    <w:nsid w:val="614FD4A1"/>
    <w:multiLevelType w:val="hybridMultilevel"/>
    <w:lvl w:ilvl="0">
      <w:lvlJc w:val="left"/>
      <w:lvlText w:val="(%1)"/>
      <w:numFmt w:val="lowerLetter"/>
      <w:start w:val="4"/>
    </w:lvl>
  </w:abstractNum>
  <w:abstractNum w:abstractNumId="23">
    <w:nsid w:val="419AC241"/>
    <w:multiLevelType w:val="hybridMultilevel"/>
    <w:lvl w:ilvl="0">
      <w:lvlJc w:val="left"/>
      <w:lvlText w:val="(%1)"/>
      <w:numFmt w:val="lowerLetter"/>
      <w:start w:val="6"/>
    </w:lvl>
  </w:abstractNum>
  <w:abstractNum w:abstractNumId="24">
    <w:nsid w:val="5577F8E1"/>
    <w:multiLevelType w:val="hybridMultilevel"/>
    <w:lvl w:ilvl="0">
      <w:lvlJc w:val="left"/>
      <w:lvlText w:val="(%1)"/>
      <w:numFmt w:val="lowerLetter"/>
      <w:start w:val="7"/>
    </w:lvl>
  </w:abstractNum>
  <w:abstractNum w:abstractNumId="25">
    <w:nsid w:val="440BADFC"/>
    <w:multiLevelType w:val="hybridMultilevel"/>
    <w:lvl w:ilvl="0">
      <w:lvlJc w:val="left"/>
      <w:lvlText w:val="%1."/>
      <w:numFmt w:val="decimal"/>
      <w:start w:val="7"/>
    </w:lvl>
  </w:abstractNum>
  <w:abstractNum w:abstractNumId="26">
    <w:nsid w:val="5072367"/>
    <w:multiLevelType w:val="hybridMultilevel"/>
    <w:lvl w:ilvl="0">
      <w:lvlJc w:val="left"/>
      <w:lvlText w:val="(%1)"/>
      <w:numFmt w:val="lowerLetter"/>
      <w:start w:val="1"/>
    </w:lvl>
  </w:abstractNum>
  <w:abstractNum w:abstractNumId="27">
    <w:nsid w:val="3804823E"/>
    <w:multiLevelType w:val="hybridMultilevel"/>
    <w:lvl w:ilvl="0">
      <w:lvlJc w:val="left"/>
      <w:lvlText w:val="(%1)"/>
      <w:numFmt w:val="lowerLetter"/>
      <w:start w:val="2"/>
    </w:lvl>
  </w:abstractNum>
  <w:abstractNum w:abstractNumId="28">
    <w:nsid w:val="77465F01"/>
    <w:multiLevelType w:val="hybridMultilevel"/>
    <w:lvl w:ilvl="0">
      <w:lvlJc w:val="left"/>
      <w:lvlText w:val="%1"/>
      <w:numFmt w:val="decimal"/>
      <w:start w:val="1"/>
    </w:lvl>
    <w:lvl w:ilvl="1">
      <w:lvlJc w:val="left"/>
      <w:lvlText w:val="(%2)"/>
      <w:numFmt w:val="lowerLetter"/>
      <w:start w:val="8"/>
    </w:lvl>
  </w:abstractNum>
  <w:abstractNum w:abstractNumId="29">
    <w:nsid w:val="7724C67E"/>
    <w:multiLevelType w:val="hybridMultilevel"/>
    <w:lvl w:ilvl="0">
      <w:lvlJc w:val="left"/>
      <w:lvlText w:val="%1."/>
      <w:numFmt w:val="decimal"/>
      <w:start w:val="2"/>
    </w:lvl>
    <w:lvl w:ilvl="1">
      <w:lvlJc w:val="left"/>
      <w:lvlText w:val="%2"/>
      <w:numFmt w:val="lowerLetter"/>
      <w:start w:val="1"/>
    </w:lvl>
  </w:abstractNum>
  <w:abstractNum w:abstractNumId="30">
    <w:nsid w:val="5C482A97"/>
    <w:multiLevelType w:val="hybridMultilevel"/>
    <w:lvl w:ilvl="0">
      <w:lvlJc w:val="left"/>
      <w:lvlText w:val="(%1)"/>
      <w:numFmt w:val="lowerLetter"/>
      <w:start w:val="1"/>
    </w:lvl>
  </w:abstractNum>
  <w:abstractNum w:abstractNumId="31">
    <w:nsid w:val="2463B9EA"/>
    <w:multiLevelType w:val="hybridMultilevel"/>
    <w:lvl w:ilvl="0">
      <w:lvlJc w:val="left"/>
      <w:lvlText w:val="%1."/>
      <w:numFmt w:val="decimal"/>
      <w:start w:val="3"/>
    </w:lvl>
    <w:lvl w:ilvl="1">
      <w:lvlJc w:val="left"/>
      <w:lvlText w:val="(%2)"/>
      <w:numFmt w:val="lowerLetter"/>
      <w:start w:val="1"/>
    </w:lvl>
  </w:abstractNum>
  <w:abstractNum w:abstractNumId="32">
    <w:nsid w:val="5E884ADC"/>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33">
    <w:nsid w:val="51EAD36B"/>
    <w:multiLevelType w:val="hybridMultilevel"/>
    <w:lvl w:ilvl="0">
      <w:lvlJc w:val="left"/>
      <w:lvlText w:val="(%1)"/>
      <w:numFmt w:val="lowerLetter"/>
      <w:start w:val="9"/>
    </w:lvl>
    <w:lvl w:ilvl="1">
      <w:lvlJc w:val="left"/>
      <w:lvlText w:val="%2."/>
      <w:numFmt w:val="decimal"/>
      <w:start w:val="4"/>
    </w:lvl>
    <w:lvl w:ilvl="2">
      <w:lvlJc w:val="left"/>
      <w:lvlText w:val="(%3)"/>
      <w:numFmt w:val="lowerLetter"/>
      <w:start w:val="3"/>
    </w:lvl>
  </w:abstractNum>
  <w:abstractNum w:abstractNumId="34">
    <w:nsid w:val="2D517796"/>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35">
    <w:nsid w:val="580BD78F"/>
    <w:multiLevelType w:val="hybridMultilevel"/>
    <w:lvl w:ilvl="0">
      <w:lvlJc w:val="left"/>
      <w:lvlText w:val="%1"/>
      <w:numFmt w:val="decimal"/>
      <w:start w:val="1"/>
    </w:lvl>
    <w:lvl w:ilvl="1">
      <w:lvlJc w:val="left"/>
      <w:lvlText w:val="(%2)"/>
      <w:numFmt w:val="lowerLetter"/>
      <w:start w:val="3"/>
    </w:lvl>
  </w:abstractNum>
  <w:abstractNum w:abstractNumId="36">
    <w:nsid w:val="153EA438"/>
    <w:multiLevelType w:val="hybridMultilevel"/>
    <w:lvl w:ilvl="0">
      <w:lvlJc w:val="left"/>
      <w:lvlText w:val="%1."/>
      <w:numFmt w:val="decimal"/>
      <w:start w:val="7"/>
    </w:lvl>
    <w:lvl w:ilvl="1">
      <w:lvlJc w:val="left"/>
      <w:lvlText w:val="(%2)"/>
      <w:numFmt w:val="lowerLetter"/>
      <w:start w:val="1"/>
    </w:lvl>
  </w:abstractNum>
  <w:abstractNum w:abstractNumId="37">
    <w:nsid w:val="3855585C"/>
    <w:multiLevelType w:val="hybridMultilevel"/>
    <w:lvl w:ilvl="0">
      <w:lvlJc w:val="left"/>
      <w:lvlText w:val="%1"/>
      <w:numFmt w:val="decimal"/>
      <w:start w:val="1"/>
    </w:lvl>
    <w:lvl w:ilvl="1">
      <w:lvlJc w:val="left"/>
      <w:lvlText w:val="(%2)"/>
      <w:numFmt w:val="lowerLetter"/>
      <w:start w:val="3"/>
    </w:lvl>
  </w:abstractNum>
  <w:abstractNum w:abstractNumId="38">
    <w:nsid w:val="70A64E2A"/>
    <w:multiLevelType w:val="hybridMultilevel"/>
    <w:lvl w:ilvl="0">
      <w:lvlJc w:val="left"/>
      <w:lvlText w:val="%1."/>
      <w:numFmt w:val="decimal"/>
      <w:start w:val="10"/>
    </w:lvl>
    <w:lvl w:ilvl="1">
      <w:lvlJc w:val="left"/>
      <w:lvlText w:val="%2"/>
      <w:numFmt w:val="lowerLetter"/>
      <w:start w:val="1"/>
    </w:lvl>
  </w:abstractNum>
  <w:abstractNum w:abstractNumId="39">
    <w:nsid w:val="6A2342EC"/>
    <w:multiLevelType w:val="hybridMultilevel"/>
    <w:lvl w:ilvl="0">
      <w:lvlJc w:val="left"/>
      <w:lvlText w:val="%1."/>
      <w:numFmt w:val="decimal"/>
      <w:start w:val="1"/>
    </w:lvl>
  </w:abstractNum>
  <w:abstractNum w:abstractNumId="40">
    <w:nsid w:val="2A487CB0"/>
    <w:multiLevelType w:val="hybridMultilevel"/>
    <w:lvl w:ilvl="0">
      <w:lvlJc w:val="left"/>
      <w:lvlText w:val="1"/>
      <w:numFmt w:val="bullet"/>
      <w:start w:val="1"/>
    </w:lvl>
  </w:abstractNum>
  <w:abstractNum w:abstractNumId="41">
    <w:nsid w:val="1D4ED43B"/>
    <w:multiLevelType w:val="hybridMultilevel"/>
    <w:lvl w:ilvl="0">
      <w:lvlJc w:val="left"/>
      <w:lvlText w:val="%1."/>
      <w:numFmt w:val="decimal"/>
      <w:start w:val="1"/>
    </w:lvl>
    <w:lvl w:ilvl="1">
      <w:lvlJc w:val="left"/>
      <w:lvlText w:val="(%2)"/>
      <w:numFmt w:val="lowerLetter"/>
      <w:start w:val="1"/>
    </w:lvl>
  </w:abstractNum>
  <w:abstractNum w:abstractNumId="42">
    <w:nsid w:val="725A06FB"/>
    <w:multiLevelType w:val="hybridMultilevel"/>
    <w:lvl w:ilvl="0">
      <w:lvlJc w:val="left"/>
      <w:lvlText w:val="%1."/>
      <w:numFmt w:val="decimal"/>
      <w:start w:val="1"/>
    </w:lvl>
    <w:lvl w:ilvl="1">
      <w:lvlJc w:val="left"/>
      <w:lvlText w:val="(%2)"/>
      <w:numFmt w:val="lowerLetter"/>
      <w:start w:val="1"/>
    </w:lvl>
  </w:abstractNum>
  <w:abstractNum w:abstractNumId="43">
    <w:nsid w:val="2CD89A32"/>
    <w:multiLevelType w:val="hybridMultilevel"/>
    <w:lvl w:ilvl="0">
      <w:lvlJc w:val="left"/>
      <w:lvlText w:val="%1."/>
      <w:numFmt w:val="decimal"/>
      <w:start w:val="1"/>
    </w:lvl>
  </w:abstractNum>
  <w:abstractNum w:abstractNumId="44">
    <w:nsid w:val="57E4CC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2019-12-29T06:44:16Z</dcterms:created>
  <dcterms:modified xsi:type="dcterms:W3CDTF">2019-12-29T06:44:16Z</dcterms:modified>
</cp:coreProperties>
</file>