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5.3.0 -->
  <w:body>
    <w:p w:rsidR="00A77B3E">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0" w:name="Section1"/>
      <w:bookmarkEnd w:id="0"/>
      <w:r>
        <w:rPr>
          <w:rFonts w:ascii="Times New Roman" w:eastAsia="Times New Roman" w:hAnsi="Times New Roman" w:cs="Times New Roman"/>
          <w:b/>
          <w:i w:val="0"/>
          <w:sz w:val="20"/>
        </w:rPr>
        <w:t>UNITED STATES</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SECURITIES AND EXCHANGE COMMISSION</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WASHINGTON, D.C. 20549</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FORM </w:t>
      </w:r>
      <w:r>
        <w:rPr>
          <w:rFonts w:ascii="Times New Roman" w:eastAsia="Times New Roman" w:hAnsi="Times New Roman" w:cs="Times New Roman"/>
          <w:b/>
          <w:i w:val="0"/>
          <w:color w:val="000000"/>
          <w:sz w:val="20"/>
          <w:u w:val="none"/>
        </w:rPr>
        <w:t>10-Q</w:t>
      </w:r>
    </w:p>
    <w:p w:rsidR="00A77B3E">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tbl>
      <w:tblPr>
        <w:tblW w:w="1152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5"/>
        <w:gridCol w:w="11115"/>
      </w:tblGrid>
      <w:tr>
        <w:tblPrEx>
          <w:tblW w:w="11520" w:type="dxa"/>
          <w:tblInd w:w="0" w:type="dxa"/>
          <w:tblLayout w:type="fixed"/>
        </w:tblPrEx>
        <w:trPr>
          <w:cantSplit/>
          <w:trHeight w:hRule="exact" w:val="480"/>
        </w:trPr>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1111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Quarterly Report Pursuant to Section 13 or 15(d) of the Securities Exchange Act of 1934 for the quarterly period ended September 30, 2025</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10"/>
        </w:rPr>
      </w:pPr>
    </w:p>
    <w:tbl>
      <w:tblPr>
        <w:tblW w:w="1152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5"/>
        <w:gridCol w:w="11115"/>
      </w:tblGrid>
      <w:tr>
        <w:tblPrEx>
          <w:tblW w:w="11520" w:type="dxa"/>
          <w:tblInd w:w="0" w:type="dxa"/>
          <w:tblLayout w:type="fixed"/>
        </w:tblPrEx>
        <w:trPr>
          <w:cantSplit/>
          <w:trHeight w:hRule="exact" w:val="285"/>
        </w:trPr>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1111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Transition Report Pursuant to Section 13 or 15(d) of the Securities Exchange Act of 1934 for the transition period from __ to __</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0"/>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520"/>
      </w:tblGrid>
      <w:tr>
        <w:tblPrEx>
          <w:tblW w:w="11520" w:type="dxa"/>
          <w:tblLayout w:type="fixed"/>
        </w:tblPrEx>
        <w:trPr>
          <w:cantSplit/>
          <w:trHeight w:hRule="exact" w:val="285"/>
        </w:trPr>
        <w:tc>
          <w:tcPr>
            <w:tcW w:w="1152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Commission File Number: 1-34522</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40.5pt">
            <v:imagedata r:id="rId7" o:title=""/>
            <o:lock v:ext="edit" aspectratio="t"/>
          </v:shape>
        </w:pic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single"/>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(Exact name of registrant as specified in its charter)</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85"/>
        <w:gridCol w:w="105"/>
        <w:gridCol w:w="2340"/>
        <w:gridCol w:w="105"/>
        <w:gridCol w:w="4485"/>
      </w:tblGrid>
      <w:tr>
        <w:tblPrEx>
          <w:tblW w:w="11520" w:type="dxa"/>
          <w:tblLayout w:type="fixed"/>
        </w:tblPrEx>
        <w:trPr>
          <w:cantSplit/>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Delaware</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74-2415696</w:t>
            </w:r>
          </w:p>
        </w:tc>
      </w:tr>
      <w:tr>
        <w:tblPrEx>
          <w:tblW w:w="11520" w:type="dxa"/>
          <w:tblLayout w:type="fixed"/>
        </w:tblPrEx>
        <w:trPr>
          <w:cantSplit/>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(State or other jurisdiction of incorporation)</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(I.R.S. Employer Identification No.)</w:t>
            </w:r>
          </w:p>
        </w:tc>
      </w:tr>
      <w:tr>
        <w:tblPrEx>
          <w:tblW w:w="11520" w:type="dxa"/>
          <w:tblLayout w:type="fixed"/>
        </w:tblPrEx>
        <w:trPr>
          <w:cantSplit/>
          <w:trHeight w:hRule="exact" w:val="315"/>
        </w:trPr>
        <w:tc>
          <w:tcPr>
            <w:tcW w:w="44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Layout w:type="fixed"/>
        </w:tblPrEx>
        <w:trPr>
          <w:cantSplit/>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405 Colorado Street, Suite 1800, Austin, Texas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78701</w:t>
            </w:r>
          </w:p>
        </w:tc>
      </w:tr>
      <w:tr>
        <w:tblPrEx>
          <w:tblW w:w="11520" w:type="dxa"/>
          <w:tblLayout w:type="fixed"/>
        </w:tblPrEx>
        <w:trPr>
          <w:cantSplit/>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pageBreakBefore w:val="0"/>
              <w:spacing w:before="33" w:after="30" w:line="240" w:lineRule="auto"/>
              <w:jc w:val="center"/>
            </w:pPr>
            <w:r>
              <w:rPr>
                <w:rFonts w:ascii="Times New Roman" w:eastAsia="Times New Roman" w:hAnsi="Times New Roman" w:cs="Times New Roman"/>
                <w:b w:val="0"/>
                <w:i w:val="0"/>
                <w:color w:val="000000"/>
                <w:sz w:val="20"/>
                <w:u w:val="none"/>
              </w:rPr>
              <w:t>(Address of principal executive offices)</w:t>
            </w: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3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pageBreakBefore w:val="0"/>
              <w:spacing w:before="33" w:after="30" w:line="240" w:lineRule="auto"/>
              <w:jc w:val="center"/>
            </w:pPr>
            <w:r>
              <w:rPr>
                <w:rFonts w:ascii="Times New Roman" w:eastAsia="Times New Roman" w:hAnsi="Times New Roman" w:cs="Times New Roman"/>
                <w:b w:val="0"/>
                <w:i w:val="0"/>
                <w:color w:val="000000"/>
                <w:sz w:val="20"/>
                <w:u w:val="none"/>
              </w:rPr>
              <w:t>(Zip Code)</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10"/>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520"/>
      </w:tblGrid>
      <w:tr>
        <w:tblPrEx>
          <w:tblW w:w="11520" w:type="dxa"/>
          <w:tblLayout w:type="fixed"/>
        </w:tblPrEx>
        <w:trPr>
          <w:cantSplit/>
          <w:trHeight w:hRule="exact" w:val="315"/>
        </w:trPr>
        <w:tc>
          <w:tcPr>
            <w:tcW w:w="1152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512-437-2700</w:t>
            </w:r>
          </w:p>
        </w:tc>
      </w:tr>
      <w:tr>
        <w:tblPrEx>
          <w:tblW w:w="11520" w:type="dxa"/>
          <w:tblLayout w:type="fixed"/>
        </w:tblPrEx>
        <w:trPr>
          <w:cantSplit/>
          <w:trHeight w:hRule="exact" w:val="315"/>
        </w:trPr>
        <w:tc>
          <w:tcPr>
            <w:tcW w:w="115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(Registrant’s Telephone Number, including Area Code)</w:t>
            </w:r>
          </w:p>
        </w:tc>
      </w:tr>
      <w:tr>
        <w:tblPrEx>
          <w:tblW w:w="11520" w:type="dxa"/>
          <w:tblLayout w:type="fixed"/>
        </w:tblPrEx>
        <w:trPr>
          <w:cantSplit/>
          <w:trHeight w:hRule="exact" w:val="465"/>
        </w:trPr>
        <w:tc>
          <w:tcPr>
            <w:tcW w:w="115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None</w:t>
            </w:r>
          </w:p>
        </w:tc>
      </w:tr>
      <w:tr>
        <w:tblPrEx>
          <w:tblW w:w="11520" w:type="dxa"/>
          <w:tblLayout w:type="fixed"/>
        </w:tblPrEx>
        <w:trPr>
          <w:cantSplit/>
          <w:trHeight w:hRule="exact" w:val="315"/>
        </w:trPr>
        <w:tc>
          <w:tcPr>
            <w:tcW w:w="115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val="0"/>
                <w:i w:val="0"/>
                <w:color w:val="000000"/>
                <w:sz w:val="20"/>
                <w:u w:val="none"/>
              </w:rPr>
              <w:t>(Former name, former address and former fiscal year, if changed since last report)</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Securities registered pursuant to Section 12(b) of the Act: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tbl>
      <w:tblPr>
        <w:tblW w:w="1152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85"/>
        <w:gridCol w:w="105"/>
        <w:gridCol w:w="2340"/>
        <w:gridCol w:w="105"/>
        <w:gridCol w:w="4485"/>
      </w:tblGrid>
      <w:tr>
        <w:tblPrEx>
          <w:tblW w:w="11520" w:type="dxa"/>
          <w:tblInd w:w="0" w:type="dxa"/>
          <w:tblLayout w:type="fixed"/>
        </w:tblPrEx>
        <w:trPr>
          <w:cantSplit/>
          <w:trHeight w:hRule="exact" w:val="315"/>
        </w:trPr>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Title of each class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Trading Symbol(s)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Name of each exchange on which registered</w:t>
            </w:r>
          </w:p>
        </w:tc>
      </w:tr>
      <w:tr>
        <w:tblPrEx>
          <w:tblW w:w="11520" w:type="dxa"/>
          <w:tblInd w:w="0" w:type="dxa"/>
          <w:tblLayout w:type="fixed"/>
        </w:tblPrEx>
        <w:trPr>
          <w:cantSplit/>
          <w:trHeight w:hRule="exact" w:val="315"/>
        </w:trPr>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Common Stock, $0.01 par value</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40" w:type="dxa"/>
            <w:tcBorders>
              <w:top w:val="single" w:sz="8" w:space="0" w:color="000000"/>
              <w:left w:val="nil"/>
              <w:bottom w:val="nil"/>
              <w:right w:val="nil"/>
            </w:tcBorders>
            <w:tcMar>
              <w:top w:w="0" w:type="dxa"/>
              <w:left w:w="53" w:type="dxa"/>
              <w:bottom w:w="0" w:type="dxa"/>
              <w:right w:w="53" w:type="dxa"/>
            </w:tcMar>
            <w:vAlign w:val="top"/>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ASUR</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485" w:type="dxa"/>
            <w:tcBorders>
              <w:top w:val="single" w:sz="8" w:space="0" w:color="000000"/>
              <w:left w:val="nil"/>
              <w:bottom w:val="nil"/>
              <w:right w:val="nil"/>
            </w:tcBorders>
            <w:tcMar>
              <w:top w:w="0" w:type="dxa"/>
              <w:left w:w="53" w:type="dxa"/>
              <w:bottom w:w="0" w:type="dxa"/>
              <w:right w:w="53" w:type="dxa"/>
            </w:tcMar>
            <w:vAlign w:val="top"/>
          </w:tcPr>
          <w:p>
            <w:pPr>
              <w:keepNext/>
              <w:pageBreakBefore w:val="0"/>
              <w:numPr>
                <w:ilvl w:val="0"/>
                <w:numId w:val="0"/>
              </w:numPr>
              <w:spacing w:before="33" w:after="3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The Nasdaq Capital Market</w:t>
            </w:r>
          </w:p>
        </w:tc>
      </w:tr>
      <w:tr>
        <w:tblPrEx>
          <w:tblW w:w="11520" w:type="dxa"/>
          <w:tblInd w:w="0" w:type="dxa"/>
          <w:tblLayout w:type="fixed"/>
        </w:tblPrEx>
        <w:trPr>
          <w:cantSplit/>
          <w:trHeight w:hRule="exact" w:val="465"/>
        </w:trPr>
        <w:tc>
          <w:tcPr>
            <w:tcW w:w="448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i w:val="0"/>
                <w:color w:val="000000"/>
                <w:sz w:val="20"/>
                <w:u w:val="none"/>
              </w:rPr>
              <w:t>Series A Junior Participating Preferred Share Purchase Rights</w:t>
            </w: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34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48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Times New Roman" w:eastAsia="Times New Roman" w:hAnsi="Times New Roman" w:cs="Times New Roman"/>
                <w:b/>
                <w:i w:val="0"/>
                <w:color w:val="000000"/>
                <w:sz w:val="20"/>
                <w:u w:val="none"/>
              </w:rPr>
              <w:t>N/A</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tbl>
      <w:tblPr>
        <w:tblW w:w="11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360"/>
        <w:gridCol w:w="360"/>
        <w:gridCol w:w="720"/>
        <w:gridCol w:w="360"/>
        <w:gridCol w:w="720"/>
      </w:tblGrid>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0"/>
        </w:rPr>
      </w:pPr>
    </w:p>
    <w:tbl>
      <w:tblPr>
        <w:tblW w:w="11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95"/>
        <w:gridCol w:w="360"/>
        <w:gridCol w:w="3105"/>
        <w:gridCol w:w="2295"/>
        <w:gridCol w:w="360"/>
        <w:gridCol w:w="3105"/>
      </w:tblGrid>
      <w:tr>
        <w:tblPrEx>
          <w:tblW w:w="11520" w:type="dxa"/>
          <w:tblInd w:w="0" w:type="dxa"/>
          <w:tblLayout w:type="fixed"/>
        </w:tblPrEx>
        <w:trPr>
          <w:cantSplit/>
          <w:trHeight w:hRule="exact" w:val="315"/>
        </w:trPr>
        <w:tc>
          <w:tcPr>
            <w:tcW w:w="11520" w:type="dxa"/>
            <w:gridSpan w:val="6"/>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tc>
      </w:tr>
      <w:tr>
        <w:tblPrEx>
          <w:tblW w:w="11520" w:type="dxa"/>
          <w:tblInd w:w="0" w:type="dxa"/>
          <w:tblLayout w:type="fixed"/>
        </w:tblPrEx>
        <w:trPr>
          <w:cantSplit/>
          <w:trHeight w:hRule="exact" w:val="315"/>
        </w:trPr>
        <w:tc>
          <w:tcPr>
            <w:tcW w:w="11520" w:type="dxa"/>
            <w:gridSpan w:val="6"/>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Large 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Non-accelerated filer</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Smaller reporting company</w:t>
            </w: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22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229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Emerging growth company</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3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10"/>
        </w:rPr>
      </w:pPr>
    </w:p>
    <w:tbl>
      <w:tblPr>
        <w:tblW w:w="115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360"/>
        <w:gridCol w:w="360"/>
        <w:gridCol w:w="720"/>
        <w:gridCol w:w="360"/>
        <w:gridCol w:w="720"/>
      </w:tblGrid>
      <w:tr>
        <w:tblPrEx>
          <w:tblW w:w="11520" w:type="dxa"/>
          <w:tblInd w:w="0" w:type="dxa"/>
          <w:tblLayout w:type="fixed"/>
        </w:tblPrEx>
        <w:trPr>
          <w:cantSplit/>
          <w:trHeight w:hRule="exact" w:val="315"/>
        </w:trPr>
        <w:tc>
          <w:tcPr>
            <w:tcW w:w="11520" w:type="dxa"/>
            <w:gridSpan w:val="5"/>
            <w:vMerge w:val="restart"/>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If an emerging growth company, indicate by check mark if the registrant has elected not to use the extended transition period for complying with any new or revised financial accounting standards provided pursuant to Section 13(a) of the Exchange Act.</w:t>
            </w:r>
          </w:p>
        </w:tc>
      </w:tr>
      <w:tr>
        <w:tblPrEx>
          <w:tblW w:w="11520" w:type="dxa"/>
          <w:tblInd w:w="0" w:type="dxa"/>
          <w:tblLayout w:type="fixed"/>
        </w:tblPrEx>
        <w:trPr>
          <w:cantSplit/>
          <w:trHeight w:hRule="exact" w:val="315"/>
        </w:trPr>
        <w:tc>
          <w:tcPr>
            <w:tcW w:w="11520" w:type="dxa"/>
            <w:gridSpan w:val="5"/>
            <w:vMerge/>
            <w:tcBorders>
              <w:top w:val="nil"/>
              <w:left w:val="nil"/>
              <w:bottom w:val="nil"/>
              <w:right w:val="nil"/>
            </w:tcBorders>
          </w:tcPr>
          <w:p>
            <w:pPr>
              <w:keepNext/>
              <w:pageBreakBefore w:val="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Indicate by check mark whether the registrant is a shell company (as defined in Rule 12b-2 of the Exchange Act).</w:t>
            </w: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2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1520" w:type="dxa"/>
          <w:tblInd w:w="0" w:type="dxa"/>
          <w:tblLayout w:type="fixed"/>
        </w:tblPrEx>
        <w:trPr>
          <w:cantSplit/>
          <w:trHeight w:hRule="exact" w:val="315"/>
        </w:trPr>
        <w:tc>
          <w:tcPr>
            <w:tcW w:w="93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Yes</w:t>
            </w:r>
          </w:p>
        </w:tc>
        <w:tc>
          <w:tcPr>
            <w:tcW w:w="36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center"/>
            </w:pPr>
            <w:r>
              <w:rPr>
                <w:rFonts w:ascii="Wingdings" w:eastAsia="Wingdings" w:hAnsi="Wingdings" w:cs="Wingdings"/>
                <w:b w:val="0"/>
                <w:i w:val="0"/>
                <w:color w:val="000000"/>
                <w:sz w:val="20"/>
                <w:u w:val="none"/>
              </w:rPr>
              <w:t>☒</w:t>
            </w:r>
          </w:p>
        </w:tc>
        <w:tc>
          <w:tcPr>
            <w:tcW w:w="72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No</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As of October 29, 2025, 27,763,877 shares of the registrant’s Common Stock, $0.01 par value, were outstanding.</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sectPr>
          <w:headerReference w:type="default" r:id="rId8"/>
          <w:footerReference w:type="default" r:id="rId9"/>
          <w:headerReference w:type="first" r:id="rId10"/>
          <w:footerReference w:type="first" r:id="rId11"/>
          <w:type w:val="continuous"/>
          <w:pgSz w:w="12240" w:h="15840"/>
          <w:pgMar w:top="495" w:right="360" w:bottom="495" w:left="360" w:header="0" w:footer="0" w:gutter="0"/>
          <w:cols w:space="708"/>
          <w:titlePg/>
          <w:docGrid w:linePitch="360"/>
        </w:sectPr>
      </w:pPr>
    </w:p>
    <w:p>
      <w:pPr>
        <w:keepNext w:val="0"/>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1" w:name="Section2"/>
      <w:bookmarkEnd w:id="1"/>
      <w:r>
        <w:rPr>
          <w:rFonts w:ascii="Times New Roman" w:eastAsia="Times New Roman" w:hAnsi="Times New Roman" w:cs="Times New Roman"/>
          <w:b/>
          <w:i w:val="0"/>
          <w:sz w:val="20"/>
        </w:rPr>
        <w:t>TABLE OF CONTENTS</w:t>
      </w: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960"/>
        <w:gridCol w:w="8340"/>
        <w:gridCol w:w="945"/>
      </w:tblGrid>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Page</w:t>
            </w:r>
          </w:p>
        </w:tc>
      </w:tr>
      <w:tr>
        <w:tblPrEx>
          <w:tblW w:w="10245" w:type="dxa"/>
          <w:tblInd w:w="0" w:type="dxa"/>
          <w:tblLayout w:type="fixed"/>
        </w:tblPrEx>
        <w:trPr>
          <w:cantSplit/>
          <w:trHeight w:hRule="exact" w:val="285"/>
        </w:trPr>
        <w:tc>
          <w:tcPr>
            <w:tcW w:w="10245" w:type="dxa"/>
            <w:gridSpan w:val="3"/>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3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 w:history="1">
              <w:r>
                <w:rPr>
                  <w:rFonts w:ascii="Times New Roman" w:eastAsia="Times New Roman" w:hAnsi="Times New Roman" w:cs="Times New Roman"/>
                  <w:b/>
                  <w:i w:val="0"/>
                  <w:color w:val="000000"/>
                  <w:sz w:val="20"/>
                  <w:u w:val="none"/>
                  <w:shd w:val="clear" w:color="auto" w:fill="auto"/>
                </w:rPr>
                <w:t>PART I. FINANCIAL INFORMATION</w:t>
              </w:r>
            </w:hyperlink>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1.</w:t>
            </w:r>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4" w:history="1">
              <w:r>
                <w:rPr>
                  <w:rFonts w:ascii="Times New Roman" w:eastAsia="Times New Roman" w:hAnsi="Times New Roman" w:cs="Times New Roman"/>
                  <w:b/>
                  <w:i w:val="0"/>
                  <w:color w:val="0000FF"/>
                  <w:sz w:val="20"/>
                  <w:u w:val="single"/>
                  <w:shd w:val="clear" w:color="auto" w:fill="auto"/>
                </w:rPr>
                <w:t>Financial Statements (Unaudited)</w:t>
              </w:r>
            </w:hyperlink>
          </w:p>
        </w:tc>
        <w:tc>
          <w:tcPr>
            <w:tcW w:w="9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Section4</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1</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5" w:history="1">
              <w:r>
                <w:rPr>
                  <w:rFonts w:ascii="Times New Roman" w:eastAsia="Times New Roman" w:hAnsi="Times New Roman" w:cs="Times New Roman"/>
                  <w:b w:val="0"/>
                  <w:i w:val="0"/>
                  <w:color w:val="0000FF"/>
                  <w:sz w:val="20"/>
                  <w:u w:val="single"/>
                  <w:shd w:val="clear" w:color="auto" w:fill="auto"/>
                </w:rPr>
                <w:t>Condensed Consolidated Balance Sheets as of September 30, 2025, and December 31, 2024</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1</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46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6" w:history="1">
              <w:r>
                <w:rPr>
                  <w:rFonts w:ascii="Times New Roman" w:eastAsia="Times New Roman" w:hAnsi="Times New Roman" w:cs="Times New Roman"/>
                  <w:b w:val="0"/>
                  <w:i w:val="0"/>
                  <w:color w:val="0000FF"/>
                  <w:sz w:val="20"/>
                  <w:u w:val="single"/>
                  <w:shd w:val="clear" w:color="auto" w:fill="auto"/>
                </w:rPr>
                <w:t>Condensed Consolidated Statements of Comprehensive Loss for the Three and Nine Months Ended September 30, 2025, and September 30, 2024</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Section6</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46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7" w:history="1">
              <w:r>
                <w:rPr>
                  <w:rFonts w:ascii="Times New Roman" w:eastAsia="Times New Roman" w:hAnsi="Times New Roman" w:cs="Times New Roman"/>
                  <w:b w:val="0"/>
                  <w:i w:val="0"/>
                  <w:color w:val="0000FF"/>
                  <w:sz w:val="20"/>
                  <w:u w:val="single"/>
                  <w:shd w:val="clear" w:color="auto" w:fill="auto"/>
                </w:rPr>
                <w:t>Condensed Consolidated Statements of Changes in Stockholders’ Equity for the Three and Nine Months Ended September 30, 2025, and September 30, 2024</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Section7</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46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8" w:history="1">
              <w:r>
                <w:rPr>
                  <w:rFonts w:ascii="Times New Roman" w:eastAsia="Times New Roman" w:hAnsi="Times New Roman" w:cs="Times New Roman"/>
                  <w:b w:val="0"/>
                  <w:i w:val="0"/>
                  <w:color w:val="0000FF"/>
                  <w:sz w:val="20"/>
                  <w:u w:val="single"/>
                  <w:shd w:val="clear" w:color="auto" w:fill="auto"/>
                </w:rPr>
                <w:t xml:space="preserve">Condensed Consolidated Statements of Cash Flows for the Nine Months Ended September 30, 2025, and September 30, 2024 </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Section8</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5</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w:anchor="Section9" w:history="1">
              <w:r>
                <w:rPr>
                  <w:rFonts w:ascii="Times New Roman" w:eastAsia="Times New Roman" w:hAnsi="Times New Roman" w:cs="Times New Roman"/>
                  <w:b w:val="0"/>
                  <w:i w:val="0"/>
                  <w:color w:val="0000FF"/>
                  <w:sz w:val="20"/>
                  <w:u w:val="single"/>
                  <w:shd w:val="clear" w:color="auto" w:fill="auto"/>
                </w:rPr>
                <w:t>Notes to Condensed Consolidated Financial Statements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Section9</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7</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2.</w:t>
            </w:r>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22" w:history="1">
              <w:r>
                <w:rPr>
                  <w:rFonts w:ascii="Times New Roman" w:eastAsia="Times New Roman" w:hAnsi="Times New Roman" w:cs="Times New Roman"/>
                  <w:b/>
                  <w:i w:val="0"/>
                  <w:color w:val="0000FF"/>
                  <w:sz w:val="20"/>
                  <w:u w:val="single"/>
                  <w:shd w:val="clear" w:color="auto" w:fill="auto"/>
                </w:rPr>
                <w:t>Management’s Discussion and Analysis of Financial Condition and Results of Operations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Section22</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21</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 xml:space="preserve">Item 3. </w:t>
            </w:r>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28" w:history="1">
              <w:r>
                <w:rPr>
                  <w:rFonts w:ascii="Times New Roman" w:eastAsia="Times New Roman" w:hAnsi="Times New Roman" w:cs="Times New Roman"/>
                  <w:b/>
                  <w:i w:val="0"/>
                  <w:color w:val="0000FF"/>
                  <w:sz w:val="20"/>
                  <w:u w:val="single"/>
                  <w:shd w:val="clear" w:color="auto" w:fill="auto"/>
                </w:rPr>
                <w:t>Quantitative and Qualitative Disclosures About Market Risk</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Section28</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30</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4.</w:t>
            </w:r>
          </w:p>
        </w:tc>
        <w:tc>
          <w:tcPr>
            <w:tcW w:w="8340"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29" w:history="1">
              <w:r>
                <w:rPr>
                  <w:rFonts w:ascii="Times New Roman" w:eastAsia="Times New Roman" w:hAnsi="Times New Roman" w:cs="Times New Roman"/>
                  <w:b/>
                  <w:i w:val="0"/>
                  <w:color w:val="0000FF"/>
                  <w:sz w:val="20"/>
                  <w:u w:val="single"/>
                  <w:shd w:val="clear" w:color="auto" w:fill="auto"/>
                </w:rPr>
                <w:t>Controls and Procedures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Section29</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30</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10245" w:type="dxa"/>
            <w:gridSpan w:val="3"/>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0" w:history="1">
              <w:r>
                <w:rPr>
                  <w:rFonts w:ascii="Times New Roman" w:eastAsia="Times New Roman" w:hAnsi="Times New Roman" w:cs="Times New Roman"/>
                  <w:b/>
                  <w:i w:val="0"/>
                  <w:color w:val="000000"/>
                  <w:sz w:val="20"/>
                  <w:u w:val="none"/>
                  <w:shd w:val="clear" w:color="auto" w:fill="auto"/>
                </w:rPr>
                <w:t>PART II - OTHER INFORMATION</w:t>
              </w:r>
            </w:hyperlink>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1.</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1" w:history="1">
              <w:r>
                <w:rPr>
                  <w:rFonts w:ascii="Times New Roman" w:eastAsia="Times New Roman" w:hAnsi="Times New Roman" w:cs="Times New Roman"/>
                  <w:b/>
                  <w:i w:val="0"/>
                  <w:color w:val="0000FF"/>
                  <w:sz w:val="20"/>
                  <w:u w:val="single"/>
                  <w:shd w:val="clear" w:color="auto" w:fill="auto"/>
                </w:rPr>
                <w:t>Legal Proceedings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Section31</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32</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1A.</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2" w:history="1">
              <w:r>
                <w:rPr>
                  <w:rFonts w:ascii="Times New Roman" w:eastAsia="Times New Roman" w:hAnsi="Times New Roman" w:cs="Times New Roman"/>
                  <w:b/>
                  <w:i w:val="0"/>
                  <w:color w:val="0000FF"/>
                  <w:sz w:val="20"/>
                  <w:u w:val="single"/>
                  <w:shd w:val="clear" w:color="auto" w:fill="auto"/>
                </w:rPr>
                <w:t>Risk Factors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Section32</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32</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46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2.</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3" w:history="1">
              <w:r>
                <w:rPr>
                  <w:rFonts w:ascii="Times New Roman" w:eastAsia="Times New Roman" w:hAnsi="Times New Roman" w:cs="Times New Roman"/>
                  <w:b/>
                  <w:i w:val="0"/>
                  <w:color w:val="0000FF"/>
                  <w:sz w:val="20"/>
                  <w:u w:val="single"/>
                  <w:shd w:val="clear" w:color="auto" w:fill="auto"/>
                </w:rPr>
                <w:t>Unregistered Sales of Equity Securities and Use of Proceeds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Section33</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33</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3.</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4" w:history="1">
              <w:r>
                <w:rPr>
                  <w:rFonts w:ascii="Times New Roman" w:eastAsia="Times New Roman" w:hAnsi="Times New Roman" w:cs="Times New Roman"/>
                  <w:b/>
                  <w:i w:val="0"/>
                  <w:color w:val="0000FF"/>
                  <w:sz w:val="20"/>
                  <w:u w:val="single"/>
                  <w:shd w:val="clear" w:color="auto" w:fill="auto"/>
                </w:rPr>
                <w:t>Defaults upon Senior Securities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Section34</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33</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4.</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5" w:history="1">
              <w:r>
                <w:rPr>
                  <w:rFonts w:ascii="Times New Roman" w:eastAsia="Times New Roman" w:hAnsi="Times New Roman" w:cs="Times New Roman"/>
                  <w:b/>
                  <w:i w:val="0"/>
                  <w:color w:val="0000FF"/>
                  <w:sz w:val="20"/>
                  <w:u w:val="single"/>
                  <w:shd w:val="clear" w:color="auto" w:fill="auto"/>
                </w:rPr>
                <w:t>Mine Safety Disclosures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Section35</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33</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5.</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6" w:history="1">
              <w:r>
                <w:rPr>
                  <w:rFonts w:ascii="Times New Roman" w:eastAsia="Times New Roman" w:hAnsi="Times New Roman" w:cs="Times New Roman"/>
                  <w:b/>
                  <w:i w:val="0"/>
                  <w:color w:val="0000FF"/>
                  <w:sz w:val="20"/>
                  <w:u w:val="single"/>
                  <w:shd w:val="clear" w:color="auto" w:fill="auto"/>
                </w:rPr>
                <w:t>Other Information</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Section36</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34</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spacing w:before="53" w:after="30" w:line="240" w:lineRule="auto"/>
              <w:jc w:val="both"/>
            </w:pPr>
            <w:r>
              <w:rPr>
                <w:rFonts w:ascii="Times New Roman" w:eastAsia="Times New Roman" w:hAnsi="Times New Roman" w:cs="Times New Roman"/>
                <w:b/>
                <w:i w:val="0"/>
                <w:color w:val="000000"/>
                <w:sz w:val="20"/>
                <w:u w:val="none"/>
              </w:rPr>
              <w:t>Item 6.</w:t>
            </w: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sz w:val="20"/>
                <w:shd w:val="clear" w:color="auto" w:fill="auto"/>
              </w:rPr>
            </w:pPr>
            <w:hyperlink w:anchor="Section37" w:history="1">
              <w:r>
                <w:rPr>
                  <w:rFonts w:ascii="Times New Roman" w:eastAsia="Times New Roman" w:hAnsi="Times New Roman" w:cs="Times New Roman"/>
                  <w:b/>
                  <w:i w:val="0"/>
                  <w:color w:val="0000FF"/>
                  <w:sz w:val="20"/>
                  <w:u w:val="single"/>
                  <w:shd w:val="clear" w:color="auto" w:fill="auto"/>
                </w:rPr>
                <w:t>Exhibits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Section37</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35</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i w:val="0"/>
                <w:color w:val="000000"/>
                <w:sz w:val="20"/>
                <w:u w:val="single"/>
                <w:shd w:val="clear" w:color="auto" w:fill="auto"/>
              </w:rPr>
            </w:pPr>
            <w:hyperlink w:anchor="Section38" w:history="1">
              <w:r>
                <w:rPr>
                  <w:rFonts w:ascii="Times New Roman" w:eastAsia="Times New Roman" w:hAnsi="Times New Roman" w:cs="Times New Roman"/>
                  <w:b/>
                  <w:i w:val="0"/>
                  <w:color w:val="0000FF"/>
                  <w:sz w:val="20"/>
                  <w:u w:val="single"/>
                  <w:shd w:val="clear" w:color="auto" w:fill="auto"/>
                </w:rPr>
                <w:t>Signatures</w:t>
              </w:r>
            </w:hyperlink>
          </w:p>
        </w:tc>
        <w:tc>
          <w:tcPr>
            <w:tcW w:w="945" w:type="dxa"/>
            <w:tcBorders>
              <w:top w:val="nil"/>
              <w:left w:val="nil"/>
              <w:bottom w:val="nil"/>
              <w:right w:val="nil"/>
            </w:tcBorders>
            <w:shd w:val="clear" w:color="auto" w:fill="FFFFFF"/>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righ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color w:val="0000FF"/>
                <w:sz w:val="20"/>
                <w:u w:val="single"/>
              </w:rPr>
              <w:fldChar w:fldCharType="begin"/>
            </w:r>
            <w:r>
              <w:rPr>
                <w:rFonts w:ascii="Times New Roman" w:eastAsia="Times New Roman" w:hAnsi="Times New Roman" w:cs="Times New Roman"/>
                <w:b w:val="0"/>
                <w:i w:val="0"/>
                <w:color w:val="0000FF"/>
                <w:sz w:val="20"/>
                <w:u w:val="single"/>
              </w:rPr>
              <w:instrText xml:space="preserve"> PAGEREF </w:instrText>
            </w:r>
            <w:r>
              <w:rPr>
                <w:rFonts w:ascii="Times New Roman" w:eastAsia="Times New Roman" w:hAnsi="Times New Roman" w:cs="Times New Roman"/>
                <w:b w:val="0"/>
                <w:i w:val="0"/>
                <w:color w:val="0000FF"/>
                <w:sz w:val="20"/>
                <w:u w:val="single"/>
              </w:rPr>
              <w:instrText xml:space="preserve"> </w:instrText>
            </w:r>
            <w:r>
              <w:rPr>
                <w:rFonts w:ascii="Times New Roman" w:eastAsia="Times New Roman" w:hAnsi="Times New Roman" w:cs="Times New Roman"/>
                <w:b w:val="0"/>
                <w:i w:val="0"/>
                <w:color w:val="0000FF"/>
                <w:sz w:val="20"/>
                <w:u w:val="single"/>
              </w:rPr>
              <w:instrText>Section38</w:instrText>
            </w:r>
            <w:r>
              <w:rPr>
                <w:rFonts w:ascii="Times New Roman" w:eastAsia="Times New Roman" w:hAnsi="Times New Roman" w:cs="Times New Roman"/>
                <w:b w:val="0"/>
                <w:i w:val="0"/>
                <w:color w:val="0000FF"/>
                <w:sz w:val="20"/>
                <w:u w:val="single"/>
              </w:rPr>
              <w:instrText xml:space="preserve"> \h</w:instrText>
            </w:r>
            <w:r>
              <w:rPr>
                <w:rFonts w:ascii="Times New Roman" w:eastAsia="Times New Roman" w:hAnsi="Times New Roman" w:cs="Times New Roman"/>
                <w:b w:val="0"/>
                <w:i w:val="0"/>
                <w:color w:val="0000FF"/>
                <w:sz w:val="20"/>
                <w:u w:val="single"/>
              </w:rPr>
              <w:fldChar w:fldCharType="separate"/>
            </w:r>
            <w:r>
              <w:rPr>
                <w:rFonts w:ascii="Times New Roman" w:eastAsia="Times New Roman" w:hAnsi="Times New Roman" w:cs="Times New Roman"/>
                <w:b w:val="0"/>
                <w:i w:val="0"/>
                <w:color w:val="0000FF"/>
                <w:sz w:val="20"/>
                <w:u w:val="single"/>
              </w:rPr>
              <w:t>36</w:t>
            </w:r>
            <w:r>
              <w:rPr>
                <w:rFonts w:ascii="Times New Roman" w:eastAsia="Times New Roman" w:hAnsi="Times New Roman" w:cs="Times New Roman"/>
                <w:b w:val="0"/>
                <w:i w:val="0"/>
                <w:color w:val="0000FF"/>
                <w:sz w:val="20"/>
                <w:u w:val="single"/>
              </w:rPr>
              <w:fldChar w:fldCharType="end"/>
            </w: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85"/>
        </w:trPr>
        <w:tc>
          <w:tcPr>
            <w:tcW w:w="9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3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94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sectPr>
          <w:headerReference w:type="default" r:id="rId12"/>
          <w:footerReference w:type="default" r:id="rId13"/>
          <w:pgSz w:w="12240" w:h="15840"/>
          <w:pgMar w:top="765" w:right="990" w:bottom="855" w:left="990" w:header="270" w:footer="0"/>
          <w:cols w:space="708"/>
        </w:sectPr>
      </w:pPr>
    </w:p>
    <w:p>
      <w:pPr>
        <w:keepNext w:val="0"/>
        <w:keepLines/>
        <w:pageBreakBefore w:val="0"/>
        <w:widowControl w:val="0"/>
        <w:numPr>
          <w:ilvl w:val="0"/>
          <w:numId w:val="0"/>
        </w:numPr>
        <w:spacing w:before="0" w:after="0" w:line="240" w:lineRule="exact"/>
        <w:ind w:left="0" w:right="0" w:firstLine="0"/>
        <w:jc w:val="center"/>
        <w:outlineLvl w:val="0"/>
        <w:rPr>
          <w:rFonts w:ascii="Times New Roman" w:eastAsia="Times New Roman" w:hAnsi="Times New Roman" w:cs="Times New Roman"/>
          <w:b/>
          <w:i w:val="0"/>
          <w:sz w:val="20"/>
        </w:rPr>
      </w:pPr>
      <w:bookmarkStart w:id="2" w:name="Section3"/>
      <w:bookmarkEnd w:id="2"/>
      <w:r>
        <w:rPr>
          <w:rFonts w:ascii="Times New Roman" w:eastAsia="Times New Roman" w:hAnsi="Times New Roman" w:cs="Times New Roman"/>
          <w:b/>
          <w:i w:val="0"/>
          <w:sz w:val="20"/>
        </w:rPr>
        <w:t>PART I</w:t>
      </w:r>
    </w:p>
    <w:p>
      <w:pPr>
        <w:keepNext w:val="0"/>
        <w:keepLines/>
        <w:pageBreakBefore w:val="0"/>
        <w:widowControl w:val="0"/>
        <w:numPr>
          <w:ilvl w:val="0"/>
          <w:numId w:val="0"/>
        </w:numPr>
        <w:spacing w:before="0" w:after="0" w:line="240" w:lineRule="exact"/>
        <w:ind w:left="0" w:right="0" w:firstLine="0"/>
        <w:jc w:val="center"/>
        <w:outlineLvl w:val="0"/>
        <w:sectPr>
          <w:headerReference w:type="default" r:id="rId14"/>
          <w:footerReference w:type="default" r:id="rId15"/>
          <w:pgSz w:w="12240" w:h="15840"/>
          <w:pgMar w:top="855" w:right="990" w:bottom="855" w:left="990" w:header="270" w:footer="270"/>
          <w:pgNumType w:start="1"/>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3" w:name="Section4"/>
      <w:bookmarkEnd w:id="3"/>
    </w:p>
    <w:p>
      <w:pPr>
        <w:keepNext w:val="0"/>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ITEM 1. FINANCIAL STATEMENTS </w:t>
      </w:r>
    </w:p>
    <w:p>
      <w:pPr>
        <w:keepNext w:val="0"/>
        <w:keepLines/>
        <w:pageBreakBefore w:val="0"/>
        <w:widowControl w:val="0"/>
        <w:numPr>
          <w:ilvl w:val="0"/>
          <w:numId w:val="0"/>
        </w:numPr>
        <w:spacing w:before="0" w:after="0" w:line="288" w:lineRule="auto"/>
        <w:ind w:left="0" w:right="0" w:firstLine="0"/>
        <w:jc w:val="left"/>
        <w:outlineLvl w:val="1"/>
        <w:sectPr>
          <w:footerReference w:type="default" r:id="rId16"/>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bookmarkStart w:id="4" w:name="Section5"/>
      <w:bookmarkEnd w:id="4"/>
    </w:p>
    <w:p>
      <w:pPr>
        <w:keepNext/>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40" w:lineRule="exact"/>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BALANCE SHEETS</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 except per share amounts)</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260"/>
        <w:gridCol w:w="1455"/>
        <w:gridCol w:w="75"/>
        <w:gridCol w:w="1455"/>
      </w:tblGrid>
      <w:tr>
        <w:tblPrEx>
          <w:tblW w:w="10245" w:type="dxa"/>
          <w:tblInd w:w="0" w:type="dxa"/>
          <w:tblLayout w:type="fixed"/>
        </w:tblPrEx>
        <w:trPr>
          <w:cantSplit/>
          <w:trHeight w:hRule="exact" w:val="495"/>
        </w:trPr>
        <w:tc>
          <w:tcPr>
            <w:tcW w:w="72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September 30, 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December 31, 2024</w:t>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i w:val="0"/>
                <w:color w:val="000000"/>
                <w:sz w:val="16"/>
                <w:u w:val="none"/>
              </w:rPr>
              <w:t>ASSETS</w:t>
            </w: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Current assets:</w:t>
            </w:r>
          </w:p>
        </w:tc>
        <w:tc>
          <w:tcPr>
            <w:tcW w:w="14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Cash and cash equivalents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w:t>
              <w:tab/>
              <w:t>21,520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w:t>
              <w:tab/>
              <w:t>21,425</w:t>
              <w:tab/>
            </w:r>
          </w:p>
        </w:tc>
      </w:tr>
      <w:tr>
        <w:tblPrEx>
          <w:tblW w:w="10245" w:type="dxa"/>
          <w:tblInd w:w="0" w:type="dxa"/>
          <w:tblLayout w:type="fixed"/>
        </w:tblPrEx>
        <w:trPr>
          <w:cantSplit/>
          <w:trHeight w:hRule="exact" w:val="435"/>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192" w:lineRule="exact"/>
              <w:ind w:left="630" w:right="0" w:hanging="18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Accounts receivable, net of allowance for credit losses of $7,625 and $6,328 at September 30, 2025, and December 31, 2024, respectively</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14,563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18,154</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Inventory</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2,304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195</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Prepaid expenses and other current assets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6,368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4,888</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assets before funds held for clients</w:t>
            </w: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44,755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44,662</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Funds held for clients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148,338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192,615</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assets</w:t>
            </w: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193,093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237,277</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Property and equipment, net</w:t>
            </w:r>
          </w:p>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25,740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19,669</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Goodwill</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115,759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94,724</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Intangible assets, net</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92,231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69,114</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Operating lease assets, net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5,626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4,041</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Other assets, net</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14,627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11,813</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assets</w:t>
            </w:r>
          </w:p>
        </w:tc>
        <w:tc>
          <w:tcPr>
            <w:tcW w:w="145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w:t>
              <w:tab/>
              <w:t>447,076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w:t>
              <w:tab/>
              <w:t>436,638</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0" w:after="30" w:line="288" w:lineRule="auto"/>
              <w:ind w:left="0" w:right="0" w:firstLine="0"/>
              <w:jc w:val="left"/>
              <w:outlineLvl w:val="9"/>
              <w:rPr>
                <w:rFonts w:ascii="Times New Roman" w:eastAsia="Times New Roman" w:hAnsi="Times New Roman" w:cs="Times New Roman"/>
                <w:b/>
                <w:i w:val="0"/>
                <w:sz w:val="16"/>
              </w:rPr>
            </w:pPr>
            <w:r>
              <w:rPr>
                <w:rFonts w:ascii="Times New Roman" w:eastAsia="Times New Roman" w:hAnsi="Times New Roman" w:cs="Times New Roman"/>
                <w:b/>
                <w:i w:val="0"/>
                <w:sz w:val="16"/>
              </w:rPr>
              <w:t>LIABILITIES AND STOCKHOLDERS</w:t>
            </w:r>
            <w:r>
              <w:rPr>
                <w:rFonts w:ascii="Times New Roman" w:eastAsia="Times New Roman" w:hAnsi="Times New Roman" w:cs="Times New Roman"/>
                <w:b w:val="0"/>
                <w:i w:val="0"/>
                <w:sz w:val="16"/>
              </w:rPr>
              <w:t>’</w:t>
            </w:r>
            <w:r>
              <w:rPr>
                <w:rFonts w:ascii="Times New Roman" w:eastAsia="Times New Roman" w:hAnsi="Times New Roman" w:cs="Times New Roman"/>
                <w:b/>
                <w:i w:val="0"/>
                <w:sz w:val="16"/>
              </w:rPr>
              <w:t xml:space="preserve"> EQUITY</w:t>
            </w:r>
          </w:p>
        </w:tc>
        <w:tc>
          <w:tcPr>
            <w:tcW w:w="145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Current liabilities:</w:t>
            </w:r>
          </w:p>
        </w:tc>
        <w:tc>
          <w:tcPr>
            <w:tcW w:w="145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Current portion of notes payable</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w:t>
              <w:tab/>
              <w:t>6,213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w:t>
              <w:tab/>
              <w:t>7,008</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Accounts payable</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2,567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1,364</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Accrued compensation and benefits</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3,401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4,485</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Lease liabilities, current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1,871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1,438</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Other accrued liabilities</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8,240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6,600</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Deferred revenue</w:t>
            </w: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7,090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8,363</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liabilities before client fund obligations</w:t>
            </w:r>
          </w:p>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29,382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29,258</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Client fund obligations</w:t>
            </w: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148,873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194,378</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current liabilities</w:t>
            </w:r>
          </w:p>
        </w:tc>
        <w:tc>
          <w:tcPr>
            <w:tcW w:w="14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178,255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223,636</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Long-term liabilities:</w:t>
            </w: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Deferred revenue</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2,267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3,430</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Deferred tax liability</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4,115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2,612</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Notes payable, net of current portion</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96"/>
                <w:tab w:val="left" w:pos="1387"/>
              </w:tabs>
              <w:spacing w:before="53" w:after="30" w:line="288" w:lineRule="auto"/>
              <w:jc w:val="right"/>
            </w:pPr>
            <w:r>
              <w:rPr>
                <w:rFonts w:ascii="Times New Roman" w:eastAsia="Times New Roman" w:hAnsi="Times New Roman" w:cs="Times New Roman"/>
                <w:b w:val="0"/>
                <w:i w:val="0"/>
                <w:color w:val="000000"/>
                <w:sz w:val="16"/>
                <w:u w:val="none"/>
              </w:rPr>
              <w:tab/>
              <w:t>64,157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5,709</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Lease liabilities, noncurrent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4,925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76"/>
                <w:tab w:val="left" w:pos="1387"/>
              </w:tabs>
              <w:spacing w:before="53" w:after="30" w:line="288" w:lineRule="auto"/>
              <w:jc w:val="right"/>
            </w:pPr>
            <w:r>
              <w:rPr>
                <w:rFonts w:ascii="Times New Roman" w:eastAsia="Times New Roman" w:hAnsi="Times New Roman" w:cs="Times New Roman"/>
                <w:b w:val="0"/>
                <w:i w:val="0"/>
                <w:color w:val="000000"/>
                <w:sz w:val="16"/>
                <w:u w:val="none"/>
              </w:rPr>
              <w:tab/>
              <w:t>3,578</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Other liabilities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270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358</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long-term liabilities</w:t>
            </w: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75,734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96"/>
                <w:tab w:val="left" w:pos="1387"/>
              </w:tabs>
              <w:spacing w:before="33" w:after="30" w:line="288" w:lineRule="auto"/>
              <w:jc w:val="right"/>
            </w:pPr>
            <w:r>
              <w:rPr>
                <w:rFonts w:ascii="Times New Roman" w:eastAsia="Times New Roman" w:hAnsi="Times New Roman" w:cs="Times New Roman"/>
                <w:b w:val="0"/>
                <w:i w:val="0"/>
                <w:color w:val="000000"/>
                <w:sz w:val="16"/>
                <w:u w:val="none"/>
              </w:rPr>
              <w:tab/>
              <w:t>15,687</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liabilities</w:t>
            </w:r>
          </w:p>
        </w:tc>
        <w:tc>
          <w:tcPr>
            <w:tcW w:w="14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253,989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239,323</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Commitments and contingencies - Note 8</w:t>
            </w: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Stockholders’ equity:</w:t>
            </w:r>
          </w:p>
        </w:tc>
        <w:tc>
          <w:tcPr>
            <w:tcW w:w="14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53" w:after="30" w:line="288" w:lineRule="auto"/>
              <w:ind w:left="630" w:right="0" w:hanging="18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Preferred stock, $0.01 par value; 1,500 shares authorized; none issued or outstanding</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 w:val="left" w:pos="138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 w:val="left" w:pos="138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cantSplit/>
          <w:trHeight w:hRule="exact" w:val="42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88" w:lineRule="auto"/>
              <w:ind w:left="630" w:right="0" w:hanging="18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Common stock, $0.01 par value; 44,000 shares authorized; 27,727 and 26,671 shares issued, 27,727 and 26,671 shares outstanding at September 30, 2025, and December 31, 2024, respectively</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277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267</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53" w:after="30" w:line="288" w:lineRule="auto"/>
              <w:ind w:left="630" w:right="0" w:hanging="18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Treasury stock at cost, zero</w:t>
            </w:r>
            <w:r>
              <w:rPr>
                <w:rFonts w:ascii="Times New Roman" w:eastAsia="Times New Roman" w:hAnsi="Times New Roman" w:cs="Times New Roman"/>
                <w:b w:val="0"/>
                <w:i w:val="0"/>
                <w:sz w:val="16"/>
                <w:vertAlign w:val="superscript"/>
              </w:rPr>
              <w:t>(1)</w:t>
            </w:r>
            <w:r>
              <w:rPr>
                <w:rFonts w:ascii="Times New Roman" w:eastAsia="Times New Roman" w:hAnsi="Times New Roman" w:cs="Times New Roman"/>
                <w:b w:val="0"/>
                <w:i w:val="0"/>
                <w:sz w:val="16"/>
              </w:rPr>
              <w:t xml:space="preserve"> shares at September 30, 2025, and December 31, 2024</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 w:val="left" w:pos="138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 w:val="left" w:pos="138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Additional paid-in capital</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513,587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53" w:after="30" w:line="288" w:lineRule="auto"/>
              <w:jc w:val="right"/>
            </w:pPr>
            <w:r>
              <w:rPr>
                <w:rFonts w:ascii="Times New Roman" w:eastAsia="Times New Roman" w:hAnsi="Times New Roman" w:cs="Times New Roman"/>
                <w:b w:val="0"/>
                <w:i w:val="0"/>
                <w:color w:val="000000"/>
                <w:sz w:val="16"/>
                <w:u w:val="none"/>
              </w:rPr>
              <w:tab/>
              <w:t>504,849</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Accumulated deficit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2"/>
              </w:tabs>
              <w:spacing w:before="53" w:after="30" w:line="288" w:lineRule="auto"/>
              <w:jc w:val="right"/>
            </w:pPr>
            <w:r>
              <w:rPr>
                <w:rFonts w:ascii="Times New Roman" w:eastAsia="Times New Roman" w:hAnsi="Times New Roman" w:cs="Times New Roman"/>
                <w:b w:val="0"/>
                <w:i w:val="0"/>
                <w:color w:val="000000"/>
                <w:sz w:val="16"/>
                <w:u w:val="none"/>
              </w:rPr>
              <w:tab/>
              <w:t>(321,109)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2"/>
              </w:tabs>
              <w:spacing w:before="53" w:after="30" w:line="288" w:lineRule="auto"/>
              <w:jc w:val="right"/>
            </w:pPr>
            <w:r>
              <w:rPr>
                <w:rFonts w:ascii="Times New Roman" w:eastAsia="Times New Roman" w:hAnsi="Times New Roman" w:cs="Times New Roman"/>
                <w:b w:val="0"/>
                <w:i w:val="0"/>
                <w:color w:val="000000"/>
                <w:sz w:val="16"/>
                <w:u w:val="none"/>
              </w:rPr>
              <w:tab/>
              <w:t>(307,226)</w:t>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30" w:hanging="180"/>
              <w:jc w:val="left"/>
            </w:pPr>
            <w:r>
              <w:rPr>
                <w:rFonts w:ascii="Times New Roman" w:eastAsia="Times New Roman" w:hAnsi="Times New Roman" w:cs="Times New Roman"/>
                <w:b w:val="0"/>
                <w:i w:val="0"/>
                <w:color w:val="000000"/>
                <w:sz w:val="16"/>
                <w:u w:val="none"/>
              </w:rPr>
              <w:t>Accumulated other comprehensive income (loss)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96"/>
                <w:tab w:val="left" w:pos="1387"/>
              </w:tabs>
              <w:spacing w:before="53" w:after="30" w:line="288" w:lineRule="auto"/>
              <w:jc w:val="right"/>
            </w:pPr>
            <w:r>
              <w:rPr>
                <w:rFonts w:ascii="Times New Roman" w:eastAsia="Times New Roman" w:hAnsi="Times New Roman" w:cs="Times New Roman"/>
                <w:b w:val="0"/>
                <w:i w:val="0"/>
                <w:color w:val="000000"/>
                <w:sz w:val="16"/>
                <w:u w:val="none"/>
              </w:rPr>
              <w:tab/>
              <w:t>332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22"/>
              </w:tabs>
              <w:spacing w:before="53" w:after="30" w:line="288" w:lineRule="auto"/>
              <w:jc w:val="right"/>
            </w:pPr>
            <w:r>
              <w:rPr>
                <w:rFonts w:ascii="Times New Roman" w:eastAsia="Times New Roman" w:hAnsi="Times New Roman" w:cs="Times New Roman"/>
                <w:b w:val="0"/>
                <w:i w:val="0"/>
                <w:color w:val="000000"/>
                <w:sz w:val="16"/>
                <w:u w:val="none"/>
              </w:rPr>
              <w:tab/>
              <w:t>(575)</w:t>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left="240"/>
              <w:jc w:val="left"/>
            </w:pPr>
            <w:r>
              <w:rPr>
                <w:rFonts w:ascii="Times New Roman" w:eastAsia="Times New Roman" w:hAnsi="Times New Roman" w:cs="Times New Roman"/>
                <w:b w:val="0"/>
                <w:i w:val="0"/>
                <w:color w:val="000000"/>
                <w:sz w:val="16"/>
                <w:u w:val="none"/>
              </w:rPr>
              <w:t>Total stockholders’ equity</w:t>
            </w: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193,087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ab/>
              <w:t>197,315</w:t>
              <w:tab/>
            </w:r>
          </w:p>
        </w:tc>
      </w:tr>
      <w:tr>
        <w:tblPrEx>
          <w:tblW w:w="10245" w:type="dxa"/>
          <w:tblInd w:w="0" w:type="dxa"/>
          <w:tblLayout w:type="fixed"/>
        </w:tblPrEx>
        <w:trPr>
          <w:cantSplit/>
          <w:trHeight w:hRule="exact" w:val="240"/>
        </w:trPr>
        <w:tc>
          <w:tcPr>
            <w:tcW w:w="72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liabilities and stockholders’ equity</w:t>
            </w:r>
          </w:p>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w:t>
              <w:tab/>
              <w:t>447,076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16"/>
                <w:tab w:val="left" w:pos="1387"/>
              </w:tabs>
              <w:spacing w:before="33" w:after="30" w:line="288" w:lineRule="auto"/>
              <w:jc w:val="right"/>
            </w:pPr>
            <w:r>
              <w:rPr>
                <w:rFonts w:ascii="Times New Roman" w:eastAsia="Times New Roman" w:hAnsi="Times New Roman" w:cs="Times New Roman"/>
                <w:b w:val="0"/>
                <w:i w:val="0"/>
                <w:color w:val="000000"/>
                <w:sz w:val="16"/>
                <w:u w:val="none"/>
              </w:rPr>
              <w:t>$</w:t>
              <w:tab/>
              <w:t>436,638</w:t>
              <w:tab/>
            </w:r>
          </w:p>
        </w:tc>
      </w:tr>
      <w:tr>
        <w:tblPrEx>
          <w:tblW w:w="10245" w:type="dxa"/>
          <w:tblInd w:w="0" w:type="dxa"/>
          <w:tblLayout w:type="fixed"/>
        </w:tblPrEx>
        <w:trPr>
          <w:cantSplit/>
          <w:trHeight w:hRule="exact" w:val="405"/>
        </w:trPr>
        <w:tc>
          <w:tcPr>
            <w:tcW w:w="10245" w:type="dxa"/>
            <w:gridSpan w:val="4"/>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0" w:line="288" w:lineRule="auto"/>
              <w:jc w:val="left"/>
            </w:pPr>
            <w:r>
              <w:rPr>
                <w:rFonts w:ascii="Times New Roman" w:eastAsia="Times New Roman" w:hAnsi="Times New Roman" w:cs="Times New Roman"/>
                <w:b w:val="0"/>
                <w:i w:val="0"/>
                <w:color w:val="000000"/>
                <w:sz w:val="14"/>
                <w:u w:val="none"/>
              </w:rPr>
              <w:t xml:space="preserve">  (1)    The aggregate Treasury stock of prior repurchases of our own common stock was retired and subsequently issued effective January 1, 2024. See the Condensed</w:t>
            </w:r>
          </w:p>
          <w:p>
            <w:pPr>
              <w:spacing w:after="30" w:line="288" w:lineRule="auto"/>
              <w:jc w:val="left"/>
            </w:pPr>
            <w:r>
              <w:rPr>
                <w:rFonts w:ascii="Times New Roman" w:eastAsia="Times New Roman" w:hAnsi="Times New Roman" w:cs="Times New Roman"/>
                <w:b w:val="0"/>
                <w:i w:val="0"/>
                <w:color w:val="000000"/>
                <w:sz w:val="14"/>
                <w:u w:val="none"/>
              </w:rPr>
              <w:t xml:space="preserve">           Consolidated Statement of Changes in Stockholders' Equity for the impact of this transaction.</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footerReference w:type="default" r:id="rId17"/>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5" w:name="Section6"/>
      <w:bookmarkEnd w:id="5"/>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color w:val="000000"/>
          <w:sz w:val="20"/>
          <w:u w:val="none"/>
          <w:shd w:val="clear" w:color="auto" w:fill="FFFFFF"/>
        </w:rPr>
      </w:pPr>
      <w:r>
        <w:rPr>
          <w:rFonts w:ascii="Times New Roman" w:eastAsia="Times New Roman" w:hAnsi="Times New Roman" w:cs="Times New Roman"/>
          <w:b/>
          <w:i w:val="0"/>
          <w:color w:val="000000"/>
          <w:sz w:val="20"/>
          <w:u w:val="none"/>
          <w:shd w:val="clear" w:color="auto" w:fill="FFFFFF"/>
        </w:rPr>
        <w:t xml:space="preserve">CONDENSED CONSOLIDATED STATEMENTS OF COMPREHENSIVE </w:t>
      </w:r>
      <w:r>
        <w:rPr>
          <w:rFonts w:ascii="Times New Roman" w:eastAsia="Times New Roman" w:hAnsi="Times New Roman" w:cs="Times New Roman"/>
          <w:b/>
          <w:i w:val="0"/>
          <w:sz w:val="20"/>
        </w:rPr>
        <w:t>LOSS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 except per share amounts)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W w:w="991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60"/>
        <w:gridCol w:w="1140"/>
        <w:gridCol w:w="75"/>
        <w:gridCol w:w="1140"/>
        <w:gridCol w:w="345"/>
        <w:gridCol w:w="1140"/>
        <w:gridCol w:w="75"/>
        <w:gridCol w:w="1140"/>
      </w:tblGrid>
      <w:tr>
        <w:tblPrEx>
          <w:tblW w:w="9915" w:type="dxa"/>
          <w:tblInd w:w="0" w:type="dxa"/>
          <w:tblLayout w:type="fixed"/>
        </w:tblPrEx>
        <w:trPr>
          <w:cantSplit/>
          <w:trHeight w:hRule="exact" w:val="480"/>
        </w:trPr>
        <w:tc>
          <w:tcPr>
            <w:tcW w:w="48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55"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20"/>
                <w:u w:val="none"/>
              </w:rPr>
              <w:t>Three Months Ended September 30,</w:t>
            </w:r>
          </w:p>
        </w:tc>
        <w:tc>
          <w:tcPr>
            <w:tcW w:w="3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355"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line="288" w:lineRule="auto"/>
              <w:jc w:val="center"/>
            </w:pPr>
            <w:r>
              <w:rPr>
                <w:rFonts w:ascii="Times New Roman" w:eastAsia="Times New Roman" w:hAnsi="Times New Roman" w:cs="Times New Roman"/>
                <w:b/>
                <w:i w:val="0"/>
                <w:color w:val="000000"/>
                <w:sz w:val="20"/>
                <w:u w:val="none"/>
              </w:rPr>
              <w:t>Nine Months Ended</w:t>
            </w:r>
          </w:p>
          <w:p>
            <w:pPr>
              <w:spacing w:after="30" w:line="288" w:lineRule="auto"/>
              <w:jc w:val="center"/>
            </w:pPr>
            <w:r>
              <w:rPr>
                <w:rFonts w:ascii="Times New Roman" w:eastAsia="Times New Roman" w:hAnsi="Times New Roman" w:cs="Times New Roman"/>
                <w:b/>
                <w:i w:val="0"/>
                <w:color w:val="000000"/>
                <w:sz w:val="20"/>
                <w:u w:val="none"/>
              </w:rPr>
              <w:t>September 30,</w:t>
            </w:r>
          </w:p>
        </w:tc>
      </w:tr>
      <w:tr>
        <w:tblPrEx>
          <w:tblW w:w="9915" w:type="dxa"/>
          <w:tblInd w:w="0" w:type="dxa"/>
          <w:tblLayout w:type="fixed"/>
        </w:tblPrEx>
        <w:trPr>
          <w:cantSplit/>
          <w:trHeight w:hRule="exact" w:val="300"/>
        </w:trPr>
        <w:tc>
          <w:tcPr>
            <w:tcW w:w="48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20"/>
                <w:u w:val="none"/>
              </w:rPr>
              <w:t>2024</w:t>
            </w:r>
          </w:p>
        </w:tc>
        <w:tc>
          <w:tcPr>
            <w:tcW w:w="3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20"/>
                <w:u w:val="none"/>
              </w:rPr>
              <w:t>2024</w:t>
            </w:r>
          </w:p>
        </w:tc>
      </w:tr>
      <w:tr>
        <w:tblPrEx>
          <w:tblW w:w="9915" w:type="dxa"/>
          <w:tblInd w:w="0" w:type="dxa"/>
          <w:tblLayout w:type="fixed"/>
        </w:tblPrEx>
        <w:trPr>
          <w:cantSplit/>
          <w:trHeight w:hRule="exact" w:val="285"/>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Revenue:</w:t>
            </w: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Recurring</w:t>
            </w: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w:t>
              <w:tab/>
              <w:t>31,841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w:t>
              <w:tab/>
              <w:t>28,626</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w:t>
              <w:tab/>
              <w:t>93,624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w:t>
              <w:tab/>
              <w:t>85,950</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Professional services, hardware and other</w:t>
            </w: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4,411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7"/>
                <w:tab w:val="left" w:pos="1072"/>
              </w:tabs>
              <w:spacing w:before="53" w:after="30" w:line="288" w:lineRule="auto"/>
              <w:jc w:val="right"/>
            </w:pPr>
            <w:r>
              <w:rPr>
                <w:rFonts w:ascii="Times New Roman" w:eastAsia="Times New Roman" w:hAnsi="Times New Roman" w:cs="Times New Roman"/>
                <w:b w:val="0"/>
                <w:i w:val="0"/>
                <w:color w:val="000000"/>
                <w:sz w:val="20"/>
                <w:u w:val="none"/>
              </w:rPr>
              <w:tab/>
              <w:t>678</w:t>
              <w:tab/>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7,606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3,050</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Total revenue</w:t>
            </w: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36,252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29,304</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357"/>
                <w:tab w:val="left" w:pos="1072"/>
              </w:tabs>
              <w:spacing w:before="33" w:after="30" w:line="288" w:lineRule="auto"/>
              <w:jc w:val="right"/>
            </w:pPr>
            <w:r>
              <w:rPr>
                <w:rFonts w:ascii="Times New Roman" w:eastAsia="Times New Roman" w:hAnsi="Times New Roman" w:cs="Times New Roman"/>
                <w:b w:val="0"/>
                <w:i w:val="0"/>
                <w:color w:val="000000"/>
                <w:sz w:val="20"/>
                <w:u w:val="none"/>
              </w:rPr>
              <w:tab/>
              <w:t>101,230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89,000</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Cost of Sales</w:t>
            </w: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13,110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9,600</w:t>
              <w:tab/>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33,569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27,821</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left="345"/>
              <w:jc w:val="left"/>
            </w:pPr>
            <w:r>
              <w:rPr>
                <w:rFonts w:ascii="Times New Roman" w:eastAsia="Times New Roman" w:hAnsi="Times New Roman" w:cs="Times New Roman"/>
                <w:b w:val="0"/>
                <w:i w:val="0"/>
                <w:color w:val="000000"/>
                <w:sz w:val="20"/>
                <w:u w:val="none"/>
              </w:rPr>
              <w:t>Gross profit</w:t>
            </w: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23,142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19,704</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67,661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61,179</w:t>
              <w:tab/>
            </w:r>
          </w:p>
        </w:tc>
      </w:tr>
      <w:tr>
        <w:tblPrEx>
          <w:tblW w:w="9915" w:type="dxa"/>
          <w:tblInd w:w="0" w:type="dxa"/>
          <w:tblLayout w:type="fixed"/>
        </w:tblPrEx>
        <w:trPr>
          <w:cantSplit/>
          <w:trHeight w:hRule="exact" w:val="285"/>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Operating expenses:</w:t>
            </w: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Sales and marketing</w:t>
            </w: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9,043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6,680</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25,578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21,371</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General and administrative</w:t>
            </w: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11,655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10,378</w:t>
              <w:tab/>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34,523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30,559</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Research and development</w:t>
            </w: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1,174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1,973</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4,476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5,704</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Amortization of intangible assets</w:t>
            </w: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4,769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4,295</w:t>
              <w:tab/>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13,250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11,790</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Total operating expenses</w:t>
            </w: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26,641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23,326</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77,827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457"/>
                <w:tab w:val="left" w:pos="1072"/>
              </w:tabs>
              <w:spacing w:before="33" w:after="30" w:line="288" w:lineRule="auto"/>
              <w:jc w:val="right"/>
            </w:pPr>
            <w:r>
              <w:rPr>
                <w:rFonts w:ascii="Times New Roman" w:eastAsia="Times New Roman" w:hAnsi="Times New Roman" w:cs="Times New Roman"/>
                <w:b w:val="0"/>
                <w:i w:val="0"/>
                <w:color w:val="000000"/>
                <w:sz w:val="20"/>
                <w:u w:val="none"/>
              </w:rPr>
              <w:tab/>
              <w:t>69,424</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Loss from operations</w:t>
            </w: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(3,499)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(3,622)</w:t>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71"/>
              </w:tabs>
              <w:spacing w:before="33" w:after="30" w:line="288" w:lineRule="auto"/>
              <w:jc w:val="right"/>
            </w:pPr>
            <w:r>
              <w:rPr>
                <w:rFonts w:ascii="Times New Roman" w:eastAsia="Times New Roman" w:hAnsi="Times New Roman" w:cs="Times New Roman"/>
                <w:b w:val="0"/>
                <w:i w:val="0"/>
                <w:color w:val="000000"/>
                <w:sz w:val="20"/>
                <w:u w:val="none"/>
              </w:rPr>
              <w:tab/>
              <w:t>(10,166)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(8,245)</w:t>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Interest income</w:t>
            </w: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40" w:lineRule="auto"/>
              <w:jc w:val="right"/>
            </w:pPr>
            <w:r>
              <w:rPr>
                <w:rFonts w:ascii="Times New Roman" w:eastAsia="Times New Roman" w:hAnsi="Times New Roman" w:cs="Times New Roman"/>
                <w:b w:val="0"/>
                <w:i w:val="0"/>
                <w:color w:val="000000"/>
                <w:sz w:val="20"/>
                <w:u w:val="none"/>
              </w:rPr>
              <w:tab/>
              <w:t>250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40" w:lineRule="auto"/>
              <w:jc w:val="right"/>
            </w:pPr>
            <w:r>
              <w:rPr>
                <w:rFonts w:ascii="Times New Roman" w:eastAsia="Times New Roman" w:hAnsi="Times New Roman" w:cs="Times New Roman"/>
                <w:b w:val="0"/>
                <w:i w:val="0"/>
                <w:color w:val="000000"/>
                <w:sz w:val="20"/>
                <w:u w:val="none"/>
              </w:rPr>
              <w:tab/>
              <w:t>165</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40" w:lineRule="auto"/>
              <w:jc w:val="right"/>
            </w:pPr>
            <w:r>
              <w:rPr>
                <w:rFonts w:ascii="Times New Roman" w:eastAsia="Times New Roman" w:hAnsi="Times New Roman" w:cs="Times New Roman"/>
                <w:b w:val="0"/>
                <w:i w:val="0"/>
                <w:color w:val="000000"/>
                <w:sz w:val="20"/>
                <w:u w:val="none"/>
              </w:rPr>
              <w:tab/>
              <w:t>698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40" w:lineRule="auto"/>
              <w:jc w:val="right"/>
            </w:pPr>
            <w:r>
              <w:rPr>
                <w:rFonts w:ascii="Times New Roman" w:eastAsia="Times New Roman" w:hAnsi="Times New Roman" w:cs="Times New Roman"/>
                <w:b w:val="0"/>
                <w:i w:val="0"/>
                <w:color w:val="000000"/>
                <w:sz w:val="20"/>
                <w:u w:val="none"/>
              </w:rPr>
              <w:tab/>
              <w:t>762</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Interest expense</w:t>
            </w: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53" w:after="30" w:line="288" w:lineRule="auto"/>
              <w:jc w:val="right"/>
            </w:pPr>
            <w:r>
              <w:rPr>
                <w:rFonts w:ascii="Times New Roman" w:eastAsia="Times New Roman" w:hAnsi="Times New Roman" w:cs="Times New Roman"/>
                <w:b w:val="0"/>
                <w:i w:val="0"/>
                <w:color w:val="000000"/>
                <w:sz w:val="20"/>
                <w:u w:val="none"/>
              </w:rPr>
              <w:tab/>
              <w:t>(1,966)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s>
              <w:spacing w:before="53" w:after="30" w:line="288" w:lineRule="auto"/>
              <w:jc w:val="right"/>
            </w:pPr>
            <w:r>
              <w:rPr>
                <w:rFonts w:ascii="Times New Roman" w:eastAsia="Times New Roman" w:hAnsi="Times New Roman" w:cs="Times New Roman"/>
                <w:b w:val="0"/>
                <w:i w:val="0"/>
                <w:color w:val="000000"/>
                <w:sz w:val="20"/>
                <w:u w:val="none"/>
              </w:rPr>
              <w:tab/>
              <w:t>(274)</w:t>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53" w:after="30" w:line="288" w:lineRule="auto"/>
              <w:jc w:val="right"/>
            </w:pPr>
            <w:r>
              <w:rPr>
                <w:rFonts w:ascii="Times New Roman" w:eastAsia="Times New Roman" w:hAnsi="Times New Roman" w:cs="Times New Roman"/>
                <w:b w:val="0"/>
                <w:i w:val="0"/>
                <w:color w:val="000000"/>
                <w:sz w:val="20"/>
                <w:u w:val="none"/>
              </w:rPr>
              <w:tab/>
              <w:t>(3,226)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s>
              <w:spacing w:before="53" w:after="30" w:line="288" w:lineRule="auto"/>
              <w:jc w:val="right"/>
            </w:pPr>
            <w:r>
              <w:rPr>
                <w:rFonts w:ascii="Times New Roman" w:eastAsia="Times New Roman" w:hAnsi="Times New Roman" w:cs="Times New Roman"/>
                <w:b w:val="0"/>
                <w:i w:val="0"/>
                <w:color w:val="000000"/>
                <w:sz w:val="20"/>
                <w:u w:val="none"/>
              </w:rPr>
              <w:tab/>
              <w:t>(662)</w:t>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Other income, net</w:t>
            </w: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40" w:lineRule="auto"/>
              <w:jc w:val="right"/>
            </w:pPr>
            <w:r>
              <w:rPr>
                <w:rFonts w:ascii="Times New Roman" w:eastAsia="Times New Roman" w:hAnsi="Times New Roman" w:cs="Times New Roman"/>
                <w:b w:val="0"/>
                <w:i w:val="0"/>
                <w:color w:val="000000"/>
                <w:sz w:val="20"/>
                <w:u w:val="none"/>
              </w:rPr>
              <w:tab/>
              <w:t>220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7"/>
                <w:tab w:val="left" w:pos="1072"/>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40" w:lineRule="auto"/>
              <w:jc w:val="right"/>
            </w:pPr>
            <w:r>
              <w:rPr>
                <w:rFonts w:ascii="Times New Roman" w:eastAsia="Times New Roman" w:hAnsi="Times New Roman" w:cs="Times New Roman"/>
                <w:b w:val="0"/>
                <w:i w:val="0"/>
                <w:color w:val="000000"/>
                <w:sz w:val="20"/>
                <w:u w:val="none"/>
              </w:rPr>
              <w:tab/>
              <w:t>312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7"/>
                <w:tab w:val="left" w:pos="1072"/>
              </w:tabs>
              <w:spacing w:before="53" w:after="30" w:line="240" w:lineRule="auto"/>
              <w:jc w:val="right"/>
            </w:pPr>
            <w:r>
              <w:rPr>
                <w:rFonts w:ascii="Times New Roman" w:eastAsia="Times New Roman" w:hAnsi="Times New Roman" w:cs="Times New Roman"/>
                <w:b w:val="0"/>
                <w:i w:val="0"/>
                <w:color w:val="000000"/>
                <w:sz w:val="20"/>
                <w:u w:val="none"/>
              </w:rPr>
              <w:tab/>
              <w:t>10</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Loss from operations before income taxes</w:t>
            </w: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(4,995)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(3,731)</w:t>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71"/>
              </w:tabs>
              <w:spacing w:before="33" w:after="30" w:line="288" w:lineRule="auto"/>
              <w:jc w:val="right"/>
            </w:pPr>
            <w:r>
              <w:rPr>
                <w:rFonts w:ascii="Times New Roman" w:eastAsia="Times New Roman" w:hAnsi="Times New Roman" w:cs="Times New Roman"/>
                <w:b w:val="0"/>
                <w:i w:val="0"/>
                <w:color w:val="000000"/>
                <w:sz w:val="20"/>
                <w:u w:val="none"/>
              </w:rPr>
              <w:tab/>
              <w:t>(12,382)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(8,135)</w:t>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Income tax expense</w:t>
            </w: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88" w:lineRule="auto"/>
              <w:jc w:val="right"/>
            </w:pPr>
            <w:r>
              <w:rPr>
                <w:rFonts w:ascii="Times New Roman" w:eastAsia="Times New Roman" w:hAnsi="Times New Roman" w:cs="Times New Roman"/>
                <w:b w:val="0"/>
                <w:i w:val="0"/>
                <w:color w:val="000000"/>
                <w:sz w:val="20"/>
                <w:u w:val="none"/>
              </w:rPr>
              <w:tab/>
              <w:t>367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88" w:lineRule="auto"/>
              <w:jc w:val="right"/>
            </w:pPr>
            <w:r>
              <w:rPr>
                <w:rFonts w:ascii="Times New Roman" w:eastAsia="Times New Roman" w:hAnsi="Times New Roman" w:cs="Times New Roman"/>
                <w:b w:val="0"/>
                <w:i w:val="0"/>
                <w:color w:val="000000"/>
                <w:sz w:val="20"/>
                <w:u w:val="none"/>
              </w:rPr>
              <w:tab/>
              <w:t>170</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1,501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7"/>
                <w:tab w:val="left" w:pos="1072"/>
              </w:tabs>
              <w:spacing w:before="53" w:after="30" w:line="288" w:lineRule="auto"/>
              <w:jc w:val="right"/>
            </w:pPr>
            <w:r>
              <w:rPr>
                <w:rFonts w:ascii="Times New Roman" w:eastAsia="Times New Roman" w:hAnsi="Times New Roman" w:cs="Times New Roman"/>
                <w:b w:val="0"/>
                <w:i w:val="0"/>
                <w:color w:val="000000"/>
                <w:sz w:val="20"/>
                <w:u w:val="none"/>
              </w:rPr>
              <w:tab/>
              <w:t>434</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Net loss</w:t>
            </w: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(5,362)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(3,901)</w:t>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71"/>
              </w:tabs>
              <w:spacing w:before="33" w:after="30" w:line="288" w:lineRule="auto"/>
              <w:jc w:val="right"/>
            </w:pPr>
            <w:r>
              <w:rPr>
                <w:rFonts w:ascii="Times New Roman" w:eastAsia="Times New Roman" w:hAnsi="Times New Roman" w:cs="Times New Roman"/>
                <w:b w:val="0"/>
                <w:i w:val="0"/>
                <w:color w:val="000000"/>
                <w:sz w:val="20"/>
                <w:u w:val="none"/>
              </w:rPr>
              <w:tab/>
              <w:t>(13,883)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ab/>
              <w:t>(8,569)</w:t>
            </w:r>
          </w:p>
        </w:tc>
      </w:tr>
      <w:tr>
        <w:tblPrEx>
          <w:tblW w:w="9915" w:type="dxa"/>
          <w:tblInd w:w="0" w:type="dxa"/>
          <w:tblLayout w:type="fixed"/>
        </w:tblPrEx>
        <w:trPr>
          <w:cantSplit/>
          <w:trHeight w:hRule="exact" w:val="285"/>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Other comprehensive income:</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Unrealized gain on marketable securities</w:t>
            </w: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7"/>
                <w:tab w:val="left" w:pos="1072"/>
              </w:tabs>
              <w:spacing w:before="53" w:after="30" w:line="288" w:lineRule="auto"/>
              <w:jc w:val="right"/>
            </w:pPr>
            <w:r>
              <w:rPr>
                <w:rFonts w:ascii="Times New Roman" w:eastAsia="Times New Roman" w:hAnsi="Times New Roman" w:cs="Times New Roman"/>
                <w:b w:val="0"/>
                <w:i w:val="0"/>
                <w:color w:val="000000"/>
                <w:sz w:val="20"/>
                <w:u w:val="none"/>
              </w:rPr>
              <w:tab/>
              <w:t>237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1,340</w:t>
              <w:tab/>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7"/>
                <w:tab w:val="left" w:pos="1072"/>
              </w:tabs>
              <w:spacing w:before="53" w:after="30" w:line="288" w:lineRule="auto"/>
              <w:jc w:val="right"/>
            </w:pPr>
            <w:r>
              <w:rPr>
                <w:rFonts w:ascii="Times New Roman" w:eastAsia="Times New Roman" w:hAnsi="Times New Roman" w:cs="Times New Roman"/>
                <w:b w:val="0"/>
                <w:i w:val="0"/>
                <w:color w:val="000000"/>
                <w:sz w:val="20"/>
                <w:u w:val="none"/>
              </w:rPr>
              <w:tab/>
              <w:t>907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57"/>
                <w:tab w:val="left" w:pos="1072"/>
              </w:tabs>
              <w:spacing w:before="53" w:after="30" w:line="288" w:lineRule="auto"/>
              <w:jc w:val="right"/>
            </w:pPr>
            <w:r>
              <w:rPr>
                <w:rFonts w:ascii="Times New Roman" w:eastAsia="Times New Roman" w:hAnsi="Times New Roman" w:cs="Times New Roman"/>
                <w:b w:val="0"/>
                <w:i w:val="0"/>
                <w:color w:val="000000"/>
                <w:sz w:val="20"/>
                <w:u w:val="none"/>
              </w:rPr>
              <w:tab/>
              <w:t>1,105</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20"/>
                <w:u w:val="none"/>
              </w:rPr>
              <w:t>Comprehensive loss</w:t>
            </w:r>
          </w:p>
        </w:tc>
        <w:tc>
          <w:tcPr>
            <w:tcW w:w="11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w:t>
              <w:tab/>
              <w:t>(5,125)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w:t>
              <w:tab/>
              <w:t>(2,561)</w:t>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71"/>
              </w:tabs>
              <w:spacing w:before="33" w:after="30" w:line="288" w:lineRule="auto"/>
              <w:jc w:val="right"/>
            </w:pPr>
            <w:r>
              <w:rPr>
                <w:rFonts w:ascii="Times New Roman" w:eastAsia="Times New Roman" w:hAnsi="Times New Roman" w:cs="Times New Roman"/>
                <w:b w:val="0"/>
                <w:i w:val="0"/>
                <w:color w:val="000000"/>
                <w:sz w:val="20"/>
                <w:u w:val="none"/>
              </w:rPr>
              <w:t>$</w:t>
              <w:tab/>
              <w:t>(12,976)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71"/>
              </w:tabs>
              <w:spacing w:before="33" w:after="30" w:line="288" w:lineRule="auto"/>
              <w:jc w:val="right"/>
            </w:pPr>
            <w:r>
              <w:rPr>
                <w:rFonts w:ascii="Times New Roman" w:eastAsia="Times New Roman" w:hAnsi="Times New Roman" w:cs="Times New Roman"/>
                <w:b w:val="0"/>
                <w:i w:val="0"/>
                <w:color w:val="000000"/>
                <w:sz w:val="20"/>
                <w:u w:val="none"/>
              </w:rPr>
              <w:t>$</w:t>
              <w:tab/>
              <w:t>(7,464)</w:t>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9915" w:type="dxa"/>
          <w:tblInd w:w="0" w:type="dxa"/>
          <w:tblLayout w:type="fixed"/>
        </w:tblPrEx>
        <w:trPr>
          <w:cantSplit/>
          <w:trHeight w:hRule="exact" w:val="285"/>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Basic and diluted loss per share</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Basic</w:t>
            </w: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1"/>
              </w:tabs>
              <w:spacing w:before="53" w:after="30" w:line="288" w:lineRule="auto"/>
              <w:jc w:val="right"/>
            </w:pPr>
            <w:r>
              <w:rPr>
                <w:rFonts w:ascii="Times New Roman" w:eastAsia="Times New Roman" w:hAnsi="Times New Roman" w:cs="Times New Roman"/>
                <w:b w:val="0"/>
                <w:i w:val="0"/>
                <w:color w:val="000000"/>
                <w:sz w:val="20"/>
                <w:u w:val="none"/>
              </w:rPr>
              <w:t>$</w:t>
              <w:tab/>
              <w:t>(0.19)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1"/>
              </w:tabs>
              <w:spacing w:before="53" w:after="30" w:line="288" w:lineRule="auto"/>
              <w:jc w:val="right"/>
            </w:pPr>
            <w:r>
              <w:rPr>
                <w:rFonts w:ascii="Times New Roman" w:eastAsia="Times New Roman" w:hAnsi="Times New Roman" w:cs="Times New Roman"/>
                <w:b w:val="0"/>
                <w:i w:val="0"/>
                <w:color w:val="000000"/>
                <w:sz w:val="20"/>
                <w:u w:val="none"/>
              </w:rPr>
              <w:t>$</w:t>
              <w:tab/>
              <w:t>(0.15)</w:t>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1"/>
              </w:tabs>
              <w:spacing w:before="53" w:after="30" w:line="288" w:lineRule="auto"/>
              <w:jc w:val="right"/>
            </w:pPr>
            <w:r>
              <w:rPr>
                <w:rFonts w:ascii="Times New Roman" w:eastAsia="Times New Roman" w:hAnsi="Times New Roman" w:cs="Times New Roman"/>
                <w:b w:val="0"/>
                <w:i w:val="0"/>
                <w:color w:val="000000"/>
                <w:sz w:val="20"/>
                <w:u w:val="none"/>
              </w:rPr>
              <w:t>$</w:t>
              <w:tab/>
              <w:t>(0.51)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1"/>
              </w:tabs>
              <w:spacing w:before="53" w:after="30" w:line="288" w:lineRule="auto"/>
              <w:jc w:val="right"/>
            </w:pPr>
            <w:r>
              <w:rPr>
                <w:rFonts w:ascii="Times New Roman" w:eastAsia="Times New Roman" w:hAnsi="Times New Roman" w:cs="Times New Roman"/>
                <w:b w:val="0"/>
                <w:i w:val="0"/>
                <w:color w:val="000000"/>
                <w:sz w:val="20"/>
                <w:u w:val="none"/>
              </w:rPr>
              <w:t>$</w:t>
              <w:tab/>
              <w:t>(0.33)</w:t>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Diluted</w:t>
            </w: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1"/>
              </w:tabs>
              <w:spacing w:before="53" w:after="30" w:line="288" w:lineRule="auto"/>
              <w:jc w:val="right"/>
            </w:pPr>
            <w:r>
              <w:rPr>
                <w:rFonts w:ascii="Times New Roman" w:eastAsia="Times New Roman" w:hAnsi="Times New Roman" w:cs="Times New Roman"/>
                <w:b w:val="0"/>
                <w:i w:val="0"/>
                <w:color w:val="000000"/>
                <w:sz w:val="20"/>
                <w:u w:val="none"/>
              </w:rPr>
              <w:t>$</w:t>
              <w:tab/>
              <w:t>(0.19)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1"/>
              </w:tabs>
              <w:spacing w:before="53" w:after="30" w:line="288" w:lineRule="auto"/>
              <w:jc w:val="right"/>
            </w:pPr>
            <w:r>
              <w:rPr>
                <w:rFonts w:ascii="Times New Roman" w:eastAsia="Times New Roman" w:hAnsi="Times New Roman" w:cs="Times New Roman"/>
                <w:b w:val="0"/>
                <w:i w:val="0"/>
                <w:color w:val="000000"/>
                <w:sz w:val="20"/>
                <w:u w:val="none"/>
              </w:rPr>
              <w:t>$</w:t>
              <w:tab/>
              <w:t>(0.15)</w:t>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1"/>
              </w:tabs>
              <w:spacing w:before="53" w:after="30" w:line="288" w:lineRule="auto"/>
              <w:jc w:val="right"/>
            </w:pPr>
            <w:r>
              <w:rPr>
                <w:rFonts w:ascii="Times New Roman" w:eastAsia="Times New Roman" w:hAnsi="Times New Roman" w:cs="Times New Roman"/>
                <w:b w:val="0"/>
                <w:i w:val="0"/>
                <w:color w:val="000000"/>
                <w:sz w:val="20"/>
                <w:u w:val="none"/>
              </w:rPr>
              <w:t>$</w:t>
              <w:tab/>
              <w:t>(0.51)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1"/>
              </w:tabs>
              <w:spacing w:before="53" w:after="30" w:line="288" w:lineRule="auto"/>
              <w:jc w:val="right"/>
            </w:pPr>
            <w:r>
              <w:rPr>
                <w:rFonts w:ascii="Times New Roman" w:eastAsia="Times New Roman" w:hAnsi="Times New Roman" w:cs="Times New Roman"/>
                <w:b w:val="0"/>
                <w:i w:val="0"/>
                <w:color w:val="000000"/>
                <w:sz w:val="20"/>
                <w:u w:val="none"/>
              </w:rPr>
              <w:t>$</w:t>
              <w:tab/>
              <w:t>(0.33)</w:t>
            </w:r>
          </w:p>
        </w:tc>
      </w:tr>
      <w:tr>
        <w:tblPrEx>
          <w:tblW w:w="9915" w:type="dxa"/>
          <w:tblInd w:w="0" w:type="dxa"/>
          <w:tblLayout w:type="fixed"/>
        </w:tblPrEx>
        <w:trPr>
          <w:cantSplit/>
          <w:trHeight w:hRule="exact" w:val="285"/>
        </w:trPr>
        <w:tc>
          <w:tcPr>
            <w:tcW w:w="48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9915" w:type="dxa"/>
          <w:tblInd w:w="0" w:type="dxa"/>
          <w:tblLayout w:type="fixed"/>
        </w:tblPrEx>
        <w:trPr>
          <w:cantSplit/>
          <w:trHeight w:hRule="exact" w:val="285"/>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20"/>
                <w:u w:val="none"/>
              </w:rPr>
              <w:t>Weighted average basic and diluted shares</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60"/>
              <w:jc w:val="left"/>
            </w:pPr>
            <w:r>
              <w:rPr>
                <w:rFonts w:ascii="Times New Roman" w:eastAsia="Times New Roman" w:hAnsi="Times New Roman" w:cs="Times New Roman"/>
                <w:b w:val="0"/>
                <w:i w:val="0"/>
                <w:color w:val="000000"/>
                <w:sz w:val="20"/>
                <w:u w:val="none"/>
              </w:rPr>
              <w:t>Basic</w:t>
            </w: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27,566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26,429</w:t>
              <w:tab/>
            </w:r>
          </w:p>
        </w:tc>
        <w:tc>
          <w:tcPr>
            <w:tcW w:w="3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27,257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1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25,870</w:t>
              <w:tab/>
            </w:r>
          </w:p>
        </w:tc>
      </w:tr>
      <w:tr>
        <w:tblPrEx>
          <w:tblW w:w="9915" w:type="dxa"/>
          <w:tblInd w:w="0" w:type="dxa"/>
          <w:tblLayout w:type="fixed"/>
        </w:tblPrEx>
        <w:trPr>
          <w:cantSplit/>
          <w:trHeight w:hRule="exact" w:val="300"/>
        </w:trPr>
        <w:tc>
          <w:tcPr>
            <w:tcW w:w="486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88" w:lineRule="auto"/>
              <w:ind w:left="360"/>
              <w:jc w:val="left"/>
            </w:pPr>
            <w:r>
              <w:rPr>
                <w:rFonts w:ascii="Times New Roman" w:eastAsia="Times New Roman" w:hAnsi="Times New Roman" w:cs="Times New Roman"/>
                <w:b w:val="0"/>
                <w:i w:val="0"/>
                <w:color w:val="000000"/>
                <w:sz w:val="20"/>
                <w:u w:val="none"/>
              </w:rPr>
              <w:t>Diluted</w:t>
            </w: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27,566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26,429</w:t>
              <w:tab/>
            </w:r>
          </w:p>
        </w:tc>
        <w:tc>
          <w:tcPr>
            <w:tcW w:w="34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27,257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140"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457"/>
                <w:tab w:val="left" w:pos="1072"/>
              </w:tabs>
              <w:spacing w:before="53" w:after="30" w:line="288" w:lineRule="auto"/>
              <w:jc w:val="right"/>
            </w:pPr>
            <w:r>
              <w:rPr>
                <w:rFonts w:ascii="Times New Roman" w:eastAsia="Times New Roman" w:hAnsi="Times New Roman" w:cs="Times New Roman"/>
                <w:b w:val="0"/>
                <w:i w:val="0"/>
                <w:color w:val="000000"/>
                <w:sz w:val="20"/>
                <w:u w:val="none"/>
              </w:rPr>
              <w:tab/>
              <w:t>25,870</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6" w:name="Section7"/>
      <w:bookmarkEnd w:id="6"/>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STATEMENTS OF CHANGES IN STOCKHOLDERS’ EQUITY</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W w:w="1080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00"/>
        <w:gridCol w:w="960"/>
        <w:gridCol w:w="75"/>
        <w:gridCol w:w="900"/>
        <w:gridCol w:w="75"/>
        <w:gridCol w:w="900"/>
        <w:gridCol w:w="75"/>
        <w:gridCol w:w="1005"/>
        <w:gridCol w:w="75"/>
        <w:gridCol w:w="1020"/>
        <w:gridCol w:w="75"/>
        <w:gridCol w:w="1200"/>
        <w:gridCol w:w="75"/>
        <w:gridCol w:w="1065"/>
      </w:tblGrid>
      <w:tr>
        <w:tblPrEx>
          <w:tblW w:w="10800" w:type="dxa"/>
          <w:tblInd w:w="0" w:type="dxa"/>
          <w:tblLayout w:type="fixed"/>
        </w:tblPrEx>
        <w:trPr>
          <w:cantSplit/>
          <w:trHeight w:hRule="exact" w:val="615"/>
        </w:trPr>
        <w:tc>
          <w:tcPr>
            <w:tcW w:w="33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Outstanding</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Amount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Treasury Stock</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Additional Paid-in Capital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Accumulated Deficit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Other Comprehensive Income (Loss)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Total Stockholders’ Equity</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6"/>
                <w:u w:val="none"/>
              </w:rPr>
              <w:t>Balance at December 31, 2024</w:t>
            </w:r>
          </w:p>
        </w:tc>
        <w:tc>
          <w:tcPr>
            <w:tcW w:w="9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26,671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267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504,849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(307,226)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67"/>
              </w:tabs>
              <w:spacing w:before="33" w:after="30" w:line="240" w:lineRule="auto"/>
              <w:jc w:val="right"/>
            </w:pPr>
            <w:r>
              <w:rPr>
                <w:rFonts w:ascii="Times New Roman" w:eastAsia="Times New Roman" w:hAnsi="Times New Roman" w:cs="Times New Roman"/>
                <w:b w:val="0"/>
                <w:i w:val="0"/>
                <w:color w:val="000000"/>
                <w:sz w:val="16"/>
                <w:u w:val="none"/>
              </w:rPr>
              <w:t>$</w:t>
              <w:tab/>
              <w:t>(575)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197,315</w:t>
              <w:tab/>
            </w:r>
          </w:p>
        </w:tc>
      </w:tr>
      <w:tr>
        <w:tblPrEx>
          <w:tblW w:w="10800" w:type="dxa"/>
          <w:tblInd w:w="0" w:type="dxa"/>
          <w:tblLayout w:type="fixed"/>
        </w:tblPrEx>
        <w:trPr>
          <w:cantSplit/>
          <w:trHeight w:hRule="exact" w:val="405"/>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upon option exercise and vesting of restricted and performance stock units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451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437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441</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Share-based compensation</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1,863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1,863</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Net loss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67"/>
              </w:tabs>
              <w:spacing w:before="53" w:after="30" w:line="240" w:lineRule="auto"/>
              <w:jc w:val="right"/>
            </w:pPr>
            <w:r>
              <w:rPr>
                <w:rFonts w:ascii="Times New Roman" w:eastAsia="Times New Roman" w:hAnsi="Times New Roman" w:cs="Times New Roman"/>
                <w:b w:val="0"/>
                <w:i w:val="0"/>
                <w:color w:val="000000"/>
                <w:sz w:val="16"/>
                <w:u w:val="none"/>
              </w:rPr>
              <w:tab/>
              <w:t>(2,398)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12"/>
              </w:tabs>
              <w:spacing w:before="53" w:after="30" w:line="240" w:lineRule="auto"/>
              <w:jc w:val="right"/>
            </w:pPr>
            <w:r>
              <w:rPr>
                <w:rFonts w:ascii="Times New Roman" w:eastAsia="Times New Roman" w:hAnsi="Times New Roman" w:cs="Times New Roman"/>
                <w:b w:val="0"/>
                <w:i w:val="0"/>
                <w:color w:val="000000"/>
                <w:sz w:val="16"/>
                <w:u w:val="none"/>
              </w:rPr>
              <w:tab/>
              <w:t>(2,398)</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Other comprehensive income</w:t>
            </w:r>
          </w:p>
        </w:tc>
        <w:tc>
          <w:tcPr>
            <w:tcW w:w="9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41"/>
                <w:tab w:val="left" w:pos="1132"/>
              </w:tabs>
              <w:spacing w:before="53" w:after="30" w:line="240" w:lineRule="auto"/>
              <w:jc w:val="right"/>
            </w:pPr>
            <w:r>
              <w:rPr>
                <w:rFonts w:ascii="Times New Roman" w:eastAsia="Times New Roman" w:hAnsi="Times New Roman" w:cs="Times New Roman"/>
                <w:b w:val="0"/>
                <w:i w:val="0"/>
                <w:color w:val="000000"/>
                <w:sz w:val="16"/>
                <w:u w:val="none"/>
              </w:rPr>
              <w:tab/>
              <w:t>442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442</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6"/>
                <w:u w:val="none"/>
              </w:rPr>
              <w:t>Balance at March 31, 2025</w:t>
            </w:r>
          </w:p>
        </w:tc>
        <w:tc>
          <w:tcPr>
            <w:tcW w:w="9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27,122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271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507,149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(309,624)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767"/>
              </w:tabs>
              <w:spacing w:before="33" w:after="30" w:line="240" w:lineRule="auto"/>
              <w:jc w:val="right"/>
            </w:pPr>
            <w:r>
              <w:rPr>
                <w:rFonts w:ascii="Times New Roman" w:eastAsia="Times New Roman" w:hAnsi="Times New Roman" w:cs="Times New Roman"/>
                <w:b w:val="0"/>
                <w:i w:val="0"/>
                <w:color w:val="000000"/>
                <w:sz w:val="16"/>
                <w:u w:val="none"/>
              </w:rPr>
              <w:t>$</w:t>
              <w:tab/>
              <w:t>(133)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197,663</w:t>
              <w:tab/>
            </w:r>
          </w:p>
        </w:tc>
      </w:tr>
      <w:tr>
        <w:tblPrEx>
          <w:tblW w:w="10800" w:type="dxa"/>
          <w:tblInd w:w="0" w:type="dxa"/>
          <w:tblLayout w:type="fixed"/>
        </w:tblPrEx>
        <w:trPr>
          <w:cantSplit/>
          <w:trHeight w:hRule="exact" w:val="315"/>
        </w:trPr>
        <w:tc>
          <w:tcPr>
            <w:tcW w:w="33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800" w:type="dxa"/>
          <w:tblInd w:w="0" w:type="dxa"/>
          <w:tblLayout w:type="fixed"/>
        </w:tblPrEx>
        <w:trPr>
          <w:cantSplit/>
          <w:trHeight w:hRule="exact" w:val="405"/>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upon option exercise and vesting of restricted and performance stock units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189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239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241</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ESPP</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54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351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352</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Share-based compensation</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1,891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1,891</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Net loss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67"/>
              </w:tabs>
              <w:spacing w:before="53" w:after="30" w:line="240" w:lineRule="auto"/>
              <w:jc w:val="right"/>
            </w:pPr>
            <w:r>
              <w:rPr>
                <w:rFonts w:ascii="Times New Roman" w:eastAsia="Times New Roman" w:hAnsi="Times New Roman" w:cs="Times New Roman"/>
                <w:b w:val="0"/>
                <w:i w:val="0"/>
                <w:color w:val="000000"/>
                <w:sz w:val="16"/>
                <w:u w:val="none"/>
              </w:rPr>
              <w:tab/>
              <w:t>(6,123)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12"/>
              </w:tabs>
              <w:spacing w:before="53" w:after="30" w:line="240" w:lineRule="auto"/>
              <w:jc w:val="right"/>
            </w:pPr>
            <w:r>
              <w:rPr>
                <w:rFonts w:ascii="Times New Roman" w:eastAsia="Times New Roman" w:hAnsi="Times New Roman" w:cs="Times New Roman"/>
                <w:b w:val="0"/>
                <w:i w:val="0"/>
                <w:color w:val="000000"/>
                <w:sz w:val="16"/>
                <w:u w:val="none"/>
              </w:rPr>
              <w:tab/>
              <w:t>(6,123)</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Other comprehensive income</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41"/>
                <w:tab w:val="left" w:pos="1132"/>
              </w:tabs>
              <w:spacing w:before="53" w:after="30" w:line="240" w:lineRule="auto"/>
              <w:jc w:val="right"/>
            </w:pPr>
            <w:r>
              <w:rPr>
                <w:rFonts w:ascii="Times New Roman" w:eastAsia="Times New Roman" w:hAnsi="Times New Roman" w:cs="Times New Roman"/>
                <w:b w:val="0"/>
                <w:i w:val="0"/>
                <w:color w:val="000000"/>
                <w:sz w:val="16"/>
                <w:u w:val="none"/>
              </w:rPr>
              <w:tab/>
              <w:t>228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228</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6"/>
                <w:u w:val="none"/>
              </w:rPr>
              <w:t>Balance at June 30, 2025</w:t>
            </w:r>
          </w:p>
        </w:tc>
        <w:tc>
          <w:tcPr>
            <w:tcW w:w="9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27,365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274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509,630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(315,747)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33" w:after="30" w:line="240" w:lineRule="auto"/>
              <w:jc w:val="right"/>
            </w:pPr>
            <w:r>
              <w:rPr>
                <w:rFonts w:ascii="Times New Roman" w:eastAsia="Times New Roman" w:hAnsi="Times New Roman" w:cs="Times New Roman"/>
                <w:b w:val="0"/>
                <w:i w:val="0"/>
                <w:color w:val="000000"/>
                <w:sz w:val="16"/>
                <w:u w:val="none"/>
              </w:rPr>
              <w:t>$</w:t>
              <w:tab/>
              <w:t>95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194,252</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800" w:type="dxa"/>
          <w:tblInd w:w="0" w:type="dxa"/>
          <w:tblLayout w:type="fixed"/>
        </w:tblPrEx>
        <w:trPr>
          <w:cantSplit/>
          <w:trHeight w:hRule="exact" w:val="405"/>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upon option exercise and vesting of restricted stock units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100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52"/>
              </w:tabs>
              <w:spacing w:before="53" w:after="30" w:line="240" w:lineRule="auto"/>
              <w:jc w:val="right"/>
            </w:pPr>
            <w:r>
              <w:rPr>
                <w:rFonts w:ascii="Times New Roman" w:eastAsia="Times New Roman" w:hAnsi="Times New Roman" w:cs="Times New Roman"/>
                <w:b w:val="0"/>
                <w:i w:val="0"/>
                <w:color w:val="000000"/>
                <w:sz w:val="16"/>
                <w:u w:val="none"/>
              </w:rPr>
              <w:tab/>
              <w:t>(24)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12"/>
              </w:tabs>
              <w:spacing w:before="53" w:after="30" w:line="240" w:lineRule="auto"/>
              <w:jc w:val="right"/>
            </w:pPr>
            <w:r>
              <w:rPr>
                <w:rFonts w:ascii="Times New Roman" w:eastAsia="Times New Roman" w:hAnsi="Times New Roman" w:cs="Times New Roman"/>
                <w:b w:val="0"/>
                <w:i w:val="0"/>
                <w:color w:val="000000"/>
                <w:sz w:val="16"/>
                <w:u w:val="none"/>
              </w:rPr>
              <w:tab/>
              <w:t>(23)</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for acquisitions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124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956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957</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for debt payment</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138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1,058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1,059</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Share-based compensation</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1,967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1,967</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Net loss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67"/>
              </w:tabs>
              <w:spacing w:before="53" w:after="30" w:line="240" w:lineRule="auto"/>
              <w:jc w:val="right"/>
            </w:pPr>
            <w:r>
              <w:rPr>
                <w:rFonts w:ascii="Times New Roman" w:eastAsia="Times New Roman" w:hAnsi="Times New Roman" w:cs="Times New Roman"/>
                <w:b w:val="0"/>
                <w:i w:val="0"/>
                <w:color w:val="000000"/>
                <w:sz w:val="16"/>
                <w:u w:val="none"/>
              </w:rPr>
              <w:tab/>
              <w:t>(5,362)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12"/>
              </w:tabs>
              <w:spacing w:before="53" w:after="30" w:line="240" w:lineRule="auto"/>
              <w:jc w:val="right"/>
            </w:pPr>
            <w:r>
              <w:rPr>
                <w:rFonts w:ascii="Times New Roman" w:eastAsia="Times New Roman" w:hAnsi="Times New Roman" w:cs="Times New Roman"/>
                <w:b w:val="0"/>
                <w:i w:val="0"/>
                <w:color w:val="000000"/>
                <w:sz w:val="16"/>
                <w:u w:val="none"/>
              </w:rPr>
              <w:tab/>
              <w:t>(5,362)</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Other comprehensive income</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41"/>
                <w:tab w:val="left" w:pos="1132"/>
              </w:tabs>
              <w:spacing w:before="53" w:after="30" w:line="240" w:lineRule="auto"/>
              <w:jc w:val="right"/>
            </w:pPr>
            <w:r>
              <w:rPr>
                <w:rFonts w:ascii="Times New Roman" w:eastAsia="Times New Roman" w:hAnsi="Times New Roman" w:cs="Times New Roman"/>
                <w:b w:val="0"/>
                <w:i w:val="0"/>
                <w:color w:val="000000"/>
                <w:sz w:val="16"/>
                <w:u w:val="none"/>
              </w:rPr>
              <w:tab/>
              <w:t>237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237</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16"/>
                <w:u w:val="none"/>
              </w:rPr>
              <w:t>Balance at September 30, 2025</w:t>
            </w:r>
          </w:p>
        </w:tc>
        <w:tc>
          <w:tcPr>
            <w:tcW w:w="9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27,727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277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513,587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(321,109)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41"/>
                <w:tab w:val="left" w:pos="1132"/>
              </w:tabs>
              <w:spacing w:before="33" w:after="30" w:line="240" w:lineRule="auto"/>
              <w:jc w:val="right"/>
            </w:pPr>
            <w:r>
              <w:rPr>
                <w:rFonts w:ascii="Times New Roman" w:eastAsia="Times New Roman" w:hAnsi="Times New Roman" w:cs="Times New Roman"/>
                <w:b w:val="0"/>
                <w:i w:val="0"/>
                <w:color w:val="000000"/>
                <w:sz w:val="16"/>
                <w:u w:val="none"/>
              </w:rPr>
              <w:t>$</w:t>
              <w:tab/>
              <w:t>332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193,087</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200" w:after="0" w:line="288" w:lineRule="auto"/>
        <w:ind w:left="0" w:right="0" w:firstLine="0"/>
        <w:jc w:val="center"/>
        <w:outlineLvl w:val="9"/>
        <w:rPr>
          <w:rFonts w:ascii="Times New Roman" w:eastAsia="Times New Roman" w:hAnsi="Times New Roman" w:cs="Times New Roman"/>
          <w:b/>
          <w:i w:val="0"/>
          <w:sz w:val="20"/>
        </w:rPr>
      </w:pPr>
    </w:p>
    <w:p>
      <w:pPr>
        <w:keepNext w:val="0"/>
        <w:keepLines/>
        <w:pageBreakBefore/>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STATEMENTS OF CHANGES IN STOCKHOLDERS’ EQUITY</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W w:w="1080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00"/>
        <w:gridCol w:w="960"/>
        <w:gridCol w:w="75"/>
        <w:gridCol w:w="900"/>
        <w:gridCol w:w="75"/>
        <w:gridCol w:w="900"/>
        <w:gridCol w:w="75"/>
        <w:gridCol w:w="1005"/>
        <w:gridCol w:w="75"/>
        <w:gridCol w:w="1020"/>
        <w:gridCol w:w="75"/>
        <w:gridCol w:w="1200"/>
        <w:gridCol w:w="75"/>
        <w:gridCol w:w="1065"/>
      </w:tblGrid>
      <w:tr>
        <w:tblPrEx>
          <w:tblW w:w="10800" w:type="dxa"/>
          <w:tblInd w:w="0" w:type="dxa"/>
          <w:tblLayout w:type="fixed"/>
        </w:tblPrEx>
        <w:trPr>
          <w:cantSplit/>
          <w:trHeight w:hRule="exact" w:val="615"/>
        </w:trPr>
        <w:tc>
          <w:tcPr>
            <w:tcW w:w="33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Outstanding</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Common Stock Amount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Treasury Stock</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Additional Paid-in Capital</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Accumulated Deficit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Other Comprehensive Income (Loss)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Total Stockholders’ Equity</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6"/>
                <w:u w:val="none"/>
              </w:rPr>
              <w:t>Balance at December 31, 2023</w:t>
            </w:r>
          </w:p>
        </w:tc>
        <w:tc>
          <w:tcPr>
            <w:tcW w:w="9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24,998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254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47"/>
              </w:tabs>
              <w:spacing w:before="33" w:after="30" w:line="240" w:lineRule="auto"/>
              <w:jc w:val="right"/>
            </w:pPr>
            <w:r>
              <w:rPr>
                <w:rFonts w:ascii="Times New Roman" w:eastAsia="Times New Roman" w:hAnsi="Times New Roman" w:cs="Times New Roman"/>
                <w:b w:val="0"/>
                <w:i w:val="0"/>
                <w:color w:val="000000"/>
                <w:sz w:val="16"/>
                <w:u w:val="none"/>
              </w:rPr>
              <w:t>$</w:t>
              <w:tab/>
              <w:t>(5,017)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487,973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(290,440)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7"/>
              </w:tabs>
              <w:spacing w:before="33" w:after="30" w:line="240" w:lineRule="auto"/>
              <w:jc w:val="right"/>
            </w:pPr>
            <w:r>
              <w:rPr>
                <w:rFonts w:ascii="Times New Roman" w:eastAsia="Times New Roman" w:hAnsi="Times New Roman" w:cs="Times New Roman"/>
                <w:b w:val="0"/>
                <w:i w:val="0"/>
                <w:color w:val="000000"/>
                <w:sz w:val="16"/>
                <w:u w:val="none"/>
              </w:rPr>
              <w:t>$</w:t>
              <w:tab/>
              <w:t>(1,115)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191,655</w:t>
              <w:tab/>
            </w:r>
          </w:p>
        </w:tc>
      </w:tr>
      <w:tr>
        <w:tblPrEx>
          <w:tblW w:w="10800" w:type="dxa"/>
          <w:tblInd w:w="0" w:type="dxa"/>
          <w:tblLayout w:type="fixed"/>
        </w:tblPrEx>
        <w:trPr>
          <w:cantSplit/>
          <w:trHeight w:hRule="exact" w:val="405"/>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upon option exercise and vesting of restricted stock units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301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173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176</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for acquisitions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450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4,489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4,494</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Share-based compensation</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1,902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1,902</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Retirement and reissuance of treasury shares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7"/>
              </w:tabs>
              <w:spacing w:before="53" w:after="30" w:line="240" w:lineRule="auto"/>
              <w:jc w:val="right"/>
            </w:pPr>
            <w:r>
              <w:rPr>
                <w:rFonts w:ascii="Times New Roman" w:eastAsia="Times New Roman" w:hAnsi="Times New Roman" w:cs="Times New Roman"/>
                <w:b w:val="0"/>
                <w:i w:val="0"/>
                <w:color w:val="000000"/>
                <w:sz w:val="16"/>
                <w:u w:val="none"/>
              </w:rPr>
              <w:tab/>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21"/>
                <w:tab w:val="left" w:pos="832"/>
              </w:tabs>
              <w:spacing w:before="53" w:after="30" w:line="240" w:lineRule="auto"/>
              <w:jc w:val="right"/>
            </w:pPr>
            <w:r>
              <w:rPr>
                <w:rFonts w:ascii="Times New Roman" w:eastAsia="Times New Roman" w:hAnsi="Times New Roman" w:cs="Times New Roman"/>
                <w:b w:val="0"/>
                <w:i w:val="0"/>
                <w:color w:val="000000"/>
                <w:sz w:val="16"/>
                <w:u w:val="none"/>
              </w:rPr>
              <w:tab/>
              <w:t>5,017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67"/>
              </w:tabs>
              <w:spacing w:before="53" w:after="30" w:line="240" w:lineRule="auto"/>
              <w:jc w:val="right"/>
            </w:pPr>
            <w:r>
              <w:rPr>
                <w:rFonts w:ascii="Times New Roman" w:eastAsia="Times New Roman" w:hAnsi="Times New Roman" w:cs="Times New Roman"/>
                <w:b w:val="0"/>
                <w:i w:val="0"/>
                <w:color w:val="000000"/>
                <w:sz w:val="16"/>
                <w:u w:val="none"/>
              </w:rPr>
              <w:tab/>
              <w:t>(5,013)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86"/>
                <w:tab w:val="left" w:pos="997"/>
              </w:tabs>
              <w:spacing w:before="53" w:after="30" w:line="240" w:lineRule="auto"/>
              <w:jc w:val="right"/>
            </w:pPr>
            <w:r>
              <w:rPr>
                <w:rFonts w:ascii="Times New Roman" w:eastAsia="Times New Roman" w:hAnsi="Times New Roman" w:cs="Times New Roman"/>
                <w:b w:val="0"/>
                <w:i w:val="0"/>
                <w:color w:val="000000"/>
                <w:sz w:val="16"/>
                <w:u w:val="none"/>
              </w:rPr>
              <w:tab/>
              <w:t>—</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Net income</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7"/>
              </w:tabs>
              <w:spacing w:before="53" w:after="30" w:line="240" w:lineRule="auto"/>
              <w:jc w:val="right"/>
            </w:pPr>
            <w:r>
              <w:rPr>
                <w:rFonts w:ascii="Times New Roman" w:eastAsia="Times New Roman" w:hAnsi="Times New Roman" w:cs="Times New Roman"/>
                <w:b w:val="0"/>
                <w:i w:val="0"/>
                <w:color w:val="000000"/>
                <w:sz w:val="16"/>
                <w:u w:val="none"/>
              </w:rPr>
              <w:tab/>
              <w:t>(308)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32"/>
              </w:tabs>
              <w:spacing w:before="53" w:after="30" w:line="240" w:lineRule="auto"/>
              <w:jc w:val="right"/>
            </w:pPr>
            <w:r>
              <w:rPr>
                <w:rFonts w:ascii="Times New Roman" w:eastAsia="Times New Roman" w:hAnsi="Times New Roman" w:cs="Times New Roman"/>
                <w:b w:val="0"/>
                <w:i w:val="0"/>
                <w:color w:val="000000"/>
                <w:sz w:val="16"/>
                <w:u w:val="none"/>
              </w:rPr>
              <w:tab/>
              <w:t>(308)</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Other comprehensive loss</w:t>
            </w:r>
          </w:p>
        </w:tc>
        <w:tc>
          <w:tcPr>
            <w:tcW w:w="9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67"/>
              </w:tabs>
              <w:spacing w:before="53" w:after="30" w:line="240" w:lineRule="auto"/>
              <w:jc w:val="right"/>
            </w:pPr>
            <w:r>
              <w:rPr>
                <w:rFonts w:ascii="Times New Roman" w:eastAsia="Times New Roman" w:hAnsi="Times New Roman" w:cs="Times New Roman"/>
                <w:b w:val="0"/>
                <w:i w:val="0"/>
                <w:color w:val="000000"/>
                <w:sz w:val="16"/>
                <w:u w:val="none"/>
              </w:rPr>
              <w:tab/>
              <w:t>(244)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32"/>
              </w:tabs>
              <w:spacing w:before="53" w:after="30" w:line="240" w:lineRule="auto"/>
              <w:jc w:val="right"/>
            </w:pPr>
            <w:r>
              <w:rPr>
                <w:rFonts w:ascii="Times New Roman" w:eastAsia="Times New Roman" w:hAnsi="Times New Roman" w:cs="Times New Roman"/>
                <w:b w:val="0"/>
                <w:i w:val="0"/>
                <w:color w:val="000000"/>
                <w:sz w:val="16"/>
                <w:u w:val="none"/>
              </w:rPr>
              <w:tab/>
              <w:t>(244)</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6"/>
                <w:u w:val="none"/>
              </w:rPr>
              <w:t>Balance at March 31, 2024</w:t>
            </w:r>
          </w:p>
        </w:tc>
        <w:tc>
          <w:tcPr>
            <w:tcW w:w="9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25,749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258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494,537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(295,761)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47"/>
              </w:tabs>
              <w:spacing w:before="33" w:after="30" w:line="240" w:lineRule="auto"/>
              <w:jc w:val="right"/>
            </w:pPr>
            <w:r>
              <w:rPr>
                <w:rFonts w:ascii="Times New Roman" w:eastAsia="Times New Roman" w:hAnsi="Times New Roman" w:cs="Times New Roman"/>
                <w:b w:val="0"/>
                <w:i w:val="0"/>
                <w:color w:val="000000"/>
                <w:sz w:val="16"/>
                <w:u w:val="none"/>
              </w:rPr>
              <w:t>$</w:t>
              <w:tab/>
              <w:t>(1,359)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197,675</w:t>
              <w:tab/>
            </w:r>
          </w:p>
        </w:tc>
      </w:tr>
      <w:tr>
        <w:tblPrEx>
          <w:tblW w:w="10800" w:type="dxa"/>
          <w:tblInd w:w="0" w:type="dxa"/>
          <w:tblLayout w:type="fixed"/>
        </w:tblPrEx>
        <w:trPr>
          <w:cantSplit/>
          <w:trHeight w:hRule="exact" w:val="315"/>
        </w:trPr>
        <w:tc>
          <w:tcPr>
            <w:tcW w:w="33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800" w:type="dxa"/>
          <w:tblInd w:w="0" w:type="dxa"/>
          <w:tblLayout w:type="fixed"/>
        </w:tblPrEx>
        <w:trPr>
          <w:cantSplit/>
          <w:trHeight w:hRule="exact" w:val="405"/>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upon option exercise and vesting of restricted stock units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58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63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86"/>
                <w:tab w:val="left" w:pos="997"/>
              </w:tabs>
              <w:spacing w:before="53" w:after="30" w:line="240" w:lineRule="auto"/>
              <w:jc w:val="right"/>
            </w:pPr>
            <w:r>
              <w:rPr>
                <w:rFonts w:ascii="Times New Roman" w:eastAsia="Times New Roman" w:hAnsi="Times New Roman" w:cs="Times New Roman"/>
                <w:b w:val="0"/>
                <w:i w:val="0"/>
                <w:color w:val="000000"/>
                <w:sz w:val="16"/>
                <w:u w:val="none"/>
              </w:rPr>
              <w:tab/>
              <w:t>63</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ESPP</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61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332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333</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for acquisitions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323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323</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Share-based compensation</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1,488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1,488</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Net loss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67"/>
              </w:tabs>
              <w:spacing w:before="53" w:after="30" w:line="240" w:lineRule="auto"/>
              <w:jc w:val="right"/>
            </w:pPr>
            <w:r>
              <w:rPr>
                <w:rFonts w:ascii="Times New Roman" w:eastAsia="Times New Roman" w:hAnsi="Times New Roman" w:cs="Times New Roman"/>
                <w:b w:val="0"/>
                <w:i w:val="0"/>
                <w:color w:val="000000"/>
                <w:sz w:val="16"/>
                <w:u w:val="none"/>
              </w:rPr>
              <w:tab/>
              <w:t>(4,360)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12"/>
              </w:tabs>
              <w:spacing w:before="53" w:after="30" w:line="240" w:lineRule="auto"/>
              <w:jc w:val="right"/>
            </w:pPr>
            <w:r>
              <w:rPr>
                <w:rFonts w:ascii="Times New Roman" w:eastAsia="Times New Roman" w:hAnsi="Times New Roman" w:cs="Times New Roman"/>
                <w:b w:val="0"/>
                <w:i w:val="0"/>
                <w:color w:val="000000"/>
                <w:sz w:val="16"/>
                <w:u w:val="none"/>
              </w:rPr>
              <w:tab/>
              <w:t>(4,360)</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Other comprehensive income</w:t>
            </w:r>
          </w:p>
        </w:tc>
        <w:tc>
          <w:tcPr>
            <w:tcW w:w="9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01"/>
                <w:tab w:val="left" w:pos="1132"/>
              </w:tabs>
              <w:spacing w:before="53" w:after="30" w:line="240" w:lineRule="auto"/>
              <w:jc w:val="right"/>
            </w:pPr>
            <w:r>
              <w:rPr>
                <w:rFonts w:ascii="Times New Roman" w:eastAsia="Times New Roman" w:hAnsi="Times New Roman" w:cs="Times New Roman"/>
                <w:b w:val="0"/>
                <w:i w:val="0"/>
                <w:color w:val="000000"/>
                <w:sz w:val="16"/>
                <w:u w:val="none"/>
              </w:rPr>
              <w:tab/>
              <w:t>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66"/>
                <w:tab w:val="left" w:pos="997"/>
              </w:tabs>
              <w:spacing w:before="53" w:after="30" w:line="240" w:lineRule="auto"/>
              <w:jc w:val="right"/>
            </w:pPr>
            <w:r>
              <w:rPr>
                <w:rFonts w:ascii="Times New Roman" w:eastAsia="Times New Roman" w:hAnsi="Times New Roman" w:cs="Times New Roman"/>
                <w:b w:val="0"/>
                <w:i w:val="0"/>
                <w:color w:val="000000"/>
                <w:sz w:val="16"/>
                <w:u w:val="none"/>
              </w:rPr>
              <w:tab/>
              <w:t>9</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6"/>
                <w:u w:val="none"/>
              </w:rPr>
              <w:t>Balance at June 30, 2024</w:t>
            </w:r>
          </w:p>
        </w:tc>
        <w:tc>
          <w:tcPr>
            <w:tcW w:w="9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25,918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259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496,743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(300,121)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47"/>
              </w:tabs>
              <w:spacing w:before="33" w:after="30" w:line="240" w:lineRule="auto"/>
              <w:jc w:val="right"/>
            </w:pPr>
            <w:r>
              <w:rPr>
                <w:rFonts w:ascii="Times New Roman" w:eastAsia="Times New Roman" w:hAnsi="Times New Roman" w:cs="Times New Roman"/>
                <w:b w:val="0"/>
                <w:i w:val="0"/>
                <w:color w:val="000000"/>
                <w:sz w:val="16"/>
                <w:u w:val="none"/>
              </w:rPr>
              <w:t>$</w:t>
              <w:tab/>
              <w:t>(1,350)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195,531</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800" w:type="dxa"/>
          <w:tblInd w:w="0" w:type="dxa"/>
          <w:tblLayout w:type="fixed"/>
        </w:tblPrEx>
        <w:trPr>
          <w:cantSplit/>
          <w:trHeight w:hRule="exact" w:val="405"/>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upon option exercise and vesting of restricted stock units</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97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46"/>
                <w:tab w:val="left" w:pos="937"/>
              </w:tabs>
              <w:spacing w:before="53" w:after="30" w:line="240" w:lineRule="auto"/>
              <w:jc w:val="right"/>
            </w:pPr>
            <w:r>
              <w:rPr>
                <w:rFonts w:ascii="Times New Roman" w:eastAsia="Times New Roman" w:hAnsi="Times New Roman" w:cs="Times New Roman"/>
                <w:b w:val="0"/>
                <w:i w:val="0"/>
                <w:color w:val="000000"/>
                <w:sz w:val="16"/>
                <w:u w:val="none"/>
              </w:rPr>
              <w:tab/>
              <w:t>329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06"/>
                <w:tab w:val="left" w:pos="997"/>
              </w:tabs>
              <w:spacing w:before="53" w:after="30" w:line="240" w:lineRule="auto"/>
              <w:jc w:val="right"/>
            </w:pPr>
            <w:r>
              <w:rPr>
                <w:rFonts w:ascii="Times New Roman" w:eastAsia="Times New Roman" w:hAnsi="Times New Roman" w:cs="Times New Roman"/>
                <w:b w:val="0"/>
                <w:i w:val="0"/>
                <w:color w:val="000000"/>
                <w:sz w:val="16"/>
                <w:u w:val="none"/>
              </w:rPr>
              <w:tab/>
              <w:t>330</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Stock issued for acquisitions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01"/>
                <w:tab w:val="left" w:pos="892"/>
              </w:tabs>
              <w:spacing w:before="53" w:after="30" w:line="240" w:lineRule="auto"/>
              <w:jc w:val="right"/>
            </w:pPr>
            <w:r>
              <w:rPr>
                <w:rFonts w:ascii="Times New Roman" w:eastAsia="Times New Roman" w:hAnsi="Times New Roman" w:cs="Times New Roman"/>
                <w:b w:val="0"/>
                <w:i w:val="0"/>
                <w:color w:val="000000"/>
                <w:sz w:val="16"/>
                <w:u w:val="none"/>
              </w:rPr>
              <w:tab/>
              <w:t>525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01"/>
                <w:tab w:val="left" w:pos="832"/>
              </w:tabs>
              <w:spacing w:before="53" w:after="30" w:line="240" w:lineRule="auto"/>
              <w:jc w:val="right"/>
            </w:pPr>
            <w:r>
              <w:rPr>
                <w:rFonts w:ascii="Times New Roman" w:eastAsia="Times New Roman" w:hAnsi="Times New Roman" w:cs="Times New Roman"/>
                <w:b w:val="0"/>
                <w:i w:val="0"/>
                <w:color w:val="000000"/>
                <w:sz w:val="16"/>
                <w:u w:val="none"/>
              </w:rPr>
              <w:tab/>
              <w:t>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4,257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4,262</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Share-based compensation</w:t>
            </w:r>
          </w:p>
        </w:tc>
        <w:tc>
          <w:tcPr>
            <w:tcW w:w="9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26"/>
                <w:tab w:val="left" w:pos="937"/>
              </w:tabs>
              <w:spacing w:before="53" w:after="30" w:line="240" w:lineRule="auto"/>
              <w:jc w:val="right"/>
            </w:pPr>
            <w:r>
              <w:rPr>
                <w:rFonts w:ascii="Times New Roman" w:eastAsia="Times New Roman" w:hAnsi="Times New Roman" w:cs="Times New Roman"/>
                <w:b w:val="0"/>
                <w:i w:val="0"/>
                <w:color w:val="000000"/>
                <w:sz w:val="16"/>
                <w:u w:val="none"/>
              </w:rPr>
              <w:tab/>
              <w:t>1,591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1,591</w:t>
              <w:tab/>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Net loss</w:t>
            </w:r>
          </w:p>
        </w:tc>
        <w:tc>
          <w:tcPr>
            <w:tcW w:w="9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9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67"/>
              </w:tabs>
              <w:spacing w:before="53" w:after="30" w:line="240" w:lineRule="auto"/>
              <w:jc w:val="right"/>
            </w:pPr>
            <w:r>
              <w:rPr>
                <w:rFonts w:ascii="Times New Roman" w:eastAsia="Times New Roman" w:hAnsi="Times New Roman" w:cs="Times New Roman"/>
                <w:b w:val="0"/>
                <w:i w:val="0"/>
                <w:color w:val="000000"/>
                <w:sz w:val="16"/>
                <w:u w:val="none"/>
              </w:rPr>
              <w:tab/>
              <w:t>(3,901)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1"/>
                <w:tab w:val="left" w:pos="11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12"/>
              </w:tabs>
              <w:spacing w:before="53" w:after="30" w:line="240" w:lineRule="auto"/>
              <w:jc w:val="right"/>
            </w:pPr>
            <w:r>
              <w:rPr>
                <w:rFonts w:ascii="Times New Roman" w:eastAsia="Times New Roman" w:hAnsi="Times New Roman" w:cs="Times New Roman"/>
                <w:b w:val="0"/>
                <w:i w:val="0"/>
                <w:color w:val="000000"/>
                <w:sz w:val="16"/>
                <w:u w:val="none"/>
              </w:rPr>
              <w:tab/>
              <w:t>(3,901)</w:t>
            </w:r>
          </w:p>
        </w:tc>
      </w:tr>
      <w:tr>
        <w:tblPrEx>
          <w:tblW w:w="10800" w:type="dxa"/>
          <w:tblInd w:w="0" w:type="dxa"/>
          <w:tblLayout w:type="fixed"/>
        </w:tblPrEx>
        <w:trPr>
          <w:cantSplit/>
          <w:trHeight w:hRule="exact" w:val="240"/>
        </w:trPr>
        <w:tc>
          <w:tcPr>
            <w:tcW w:w="33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360" w:hanging="180"/>
              <w:jc w:val="left"/>
            </w:pPr>
            <w:r>
              <w:rPr>
                <w:rFonts w:ascii="Times New Roman" w:eastAsia="Times New Roman" w:hAnsi="Times New Roman" w:cs="Times New Roman"/>
                <w:b w:val="0"/>
                <w:i w:val="0"/>
                <w:color w:val="000000"/>
                <w:sz w:val="16"/>
                <w:u w:val="none"/>
              </w:rPr>
              <w:t>Other comprehensive income</w:t>
            </w:r>
          </w:p>
        </w:tc>
        <w:tc>
          <w:tcPr>
            <w:tcW w:w="9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81"/>
                <w:tab w:val="left" w:pos="89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9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21"/>
                <w:tab w:val="left" w:pos="832"/>
              </w:tabs>
              <w:spacing w:before="5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6"/>
                <w:tab w:val="left" w:pos="937"/>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2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1"/>
                <w:tab w:val="left" w:pos="952"/>
              </w:tabs>
              <w:spacing w:before="53" w:after="30" w:line="240" w:lineRule="auto"/>
              <w:jc w:val="right"/>
            </w:pPr>
            <w:r>
              <w:rPr>
                <w:rFonts w:ascii="Times New Roman" w:eastAsia="Times New Roman" w:hAnsi="Times New Roman" w:cs="Times New Roman"/>
                <w:b w:val="0"/>
                <w:i w:val="0"/>
                <w:color w:val="000000"/>
                <w:sz w:val="16"/>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1"/>
                <w:tab w:val="left" w:pos="1132"/>
              </w:tabs>
              <w:spacing w:before="53" w:after="30" w:line="240" w:lineRule="auto"/>
              <w:jc w:val="right"/>
            </w:pPr>
            <w:r>
              <w:rPr>
                <w:rFonts w:ascii="Times New Roman" w:eastAsia="Times New Roman" w:hAnsi="Times New Roman" w:cs="Times New Roman"/>
                <w:b w:val="0"/>
                <w:i w:val="0"/>
                <w:color w:val="000000"/>
                <w:sz w:val="16"/>
                <w:u w:val="none"/>
              </w:rPr>
              <w:tab/>
              <w:t>1,340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86"/>
                <w:tab w:val="left" w:pos="997"/>
              </w:tabs>
              <w:spacing w:before="53" w:after="30" w:line="240" w:lineRule="auto"/>
              <w:jc w:val="right"/>
            </w:pPr>
            <w:r>
              <w:rPr>
                <w:rFonts w:ascii="Times New Roman" w:eastAsia="Times New Roman" w:hAnsi="Times New Roman" w:cs="Times New Roman"/>
                <w:b w:val="0"/>
                <w:i w:val="0"/>
                <w:color w:val="000000"/>
                <w:sz w:val="16"/>
                <w:u w:val="none"/>
              </w:rPr>
              <w:tab/>
              <w:t>1,340</w:t>
              <w:tab/>
            </w:r>
          </w:p>
        </w:tc>
      </w:tr>
      <w:tr>
        <w:tblPrEx>
          <w:tblW w:w="10800" w:type="dxa"/>
          <w:tblInd w:w="0" w:type="dxa"/>
          <w:tblLayout w:type="fixed"/>
        </w:tblPrEx>
        <w:trPr>
          <w:cantSplit/>
          <w:trHeight w:hRule="exact" w:val="315"/>
        </w:trPr>
        <w:tc>
          <w:tcPr>
            <w:tcW w:w="330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16"/>
                <w:u w:val="none"/>
              </w:rPr>
              <w:t>Balance at September 30, 2024</w:t>
            </w:r>
          </w:p>
        </w:tc>
        <w:tc>
          <w:tcPr>
            <w:tcW w:w="9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01"/>
                <w:tab w:val="left" w:pos="892"/>
              </w:tabs>
              <w:spacing w:before="33" w:after="30" w:line="240" w:lineRule="auto"/>
              <w:jc w:val="right"/>
            </w:pPr>
            <w:r>
              <w:rPr>
                <w:rFonts w:ascii="Times New Roman" w:eastAsia="Times New Roman" w:hAnsi="Times New Roman" w:cs="Times New Roman"/>
                <w:b w:val="0"/>
                <w:i w:val="0"/>
                <w:color w:val="000000"/>
                <w:sz w:val="16"/>
                <w:u w:val="none"/>
              </w:rPr>
              <w:tab/>
              <w:t>26,540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4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265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9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21"/>
                <w:tab w:val="left" w:pos="832"/>
              </w:tabs>
              <w:spacing w:before="33" w:after="30" w:line="240" w:lineRule="auto"/>
              <w:jc w:val="right"/>
            </w:pPr>
            <w:r>
              <w:rPr>
                <w:rFonts w:ascii="Times New Roman" w:eastAsia="Times New Roman" w:hAnsi="Times New Roman" w:cs="Times New Roman"/>
                <w:b w:val="0"/>
                <w:i w:val="0"/>
                <w:color w:val="000000"/>
                <w:sz w:val="16"/>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66"/>
                <w:tab w:val="left" w:pos="937"/>
              </w:tabs>
              <w:spacing w:before="33" w:after="30" w:line="240" w:lineRule="auto"/>
              <w:jc w:val="right"/>
            </w:pPr>
            <w:r>
              <w:rPr>
                <w:rFonts w:ascii="Times New Roman" w:eastAsia="Times New Roman" w:hAnsi="Times New Roman" w:cs="Times New Roman"/>
                <w:b w:val="0"/>
                <w:i w:val="0"/>
                <w:color w:val="000000"/>
                <w:sz w:val="16"/>
                <w:u w:val="none"/>
              </w:rPr>
              <w:t>$</w:t>
              <w:tab/>
              <w:t>502,920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307"/>
              </w:tabs>
              <w:spacing w:before="33" w:after="30" w:line="240" w:lineRule="auto"/>
              <w:jc w:val="right"/>
            </w:pPr>
            <w:r>
              <w:rPr>
                <w:rFonts w:ascii="Times New Roman" w:eastAsia="Times New Roman" w:hAnsi="Times New Roman" w:cs="Times New Roman"/>
                <w:b w:val="0"/>
                <w:i w:val="0"/>
                <w:color w:val="000000"/>
                <w:sz w:val="16"/>
                <w:u w:val="none"/>
              </w:rPr>
              <w:t>$</w:t>
              <w:tab/>
              <w:t>(304,022)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47"/>
              </w:tabs>
              <w:spacing w:before="33" w:after="30" w:line="240" w:lineRule="auto"/>
              <w:jc w:val="right"/>
            </w:pPr>
            <w:r>
              <w:rPr>
                <w:rFonts w:ascii="Times New Roman" w:eastAsia="Times New Roman" w:hAnsi="Times New Roman" w:cs="Times New Roman"/>
                <w:b w:val="0"/>
                <w:i w:val="0"/>
                <w:color w:val="000000"/>
                <w:sz w:val="16"/>
                <w:u w:val="none"/>
              </w:rPr>
              <w:t>$</w:t>
              <w:tab/>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426"/>
                <w:tab w:val="left" w:pos="997"/>
              </w:tabs>
              <w:spacing w:before="33" w:after="30" w:line="240" w:lineRule="auto"/>
              <w:jc w:val="right"/>
            </w:pPr>
            <w:r>
              <w:rPr>
                <w:rFonts w:ascii="Times New Roman" w:eastAsia="Times New Roman" w:hAnsi="Times New Roman" w:cs="Times New Roman"/>
                <w:b w:val="0"/>
                <w:i w:val="0"/>
                <w:color w:val="000000"/>
                <w:sz w:val="16"/>
                <w:u w:val="none"/>
              </w:rPr>
              <w:t>$</w:t>
              <w:tab/>
              <w:t>199,153</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headerReference w:type="default" r:id="rId18"/>
          <w:pgSz w:w="12240" w:h="15840"/>
          <w:pgMar w:top="855" w:right="720" w:bottom="855" w:left="72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7" w:name="Section8"/>
      <w:bookmarkEnd w:id="7"/>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color w:val="000000"/>
          <w:sz w:val="20"/>
          <w:u w:val="none"/>
          <w:shd w:val="clear" w:color="auto" w:fill="FFFFFF"/>
        </w:rPr>
      </w:pPr>
      <w:r>
        <w:rPr>
          <w:rFonts w:ascii="Times New Roman" w:eastAsia="Times New Roman" w:hAnsi="Times New Roman" w:cs="Times New Roman"/>
          <w:b/>
          <w:i w:val="0"/>
          <w:color w:val="000000"/>
          <w:sz w:val="20"/>
          <w:u w:val="none"/>
          <w:shd w:val="clear" w:color="auto" w:fill="FFFFFF"/>
        </w:rPr>
        <w:t>CONDENSED CONSOLIDATED STATEMENTS OF CASH FLOWS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575"/>
        <w:gridCol w:w="1305"/>
        <w:gridCol w:w="60"/>
        <w:gridCol w:w="1305"/>
      </w:tblGrid>
      <w:tr>
        <w:tblPrEx>
          <w:tblW w:w="10245" w:type="dxa"/>
          <w:tblInd w:w="0" w:type="dxa"/>
          <w:tblLayout w:type="fixed"/>
        </w:tblPrEx>
        <w:trPr>
          <w:cantSplit/>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70"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after="30" w:line="288" w:lineRule="auto"/>
              <w:jc w:val="center"/>
            </w:pPr>
            <w:r>
              <w:rPr>
                <w:rFonts w:ascii="Times New Roman" w:eastAsia="Times New Roman" w:hAnsi="Times New Roman" w:cs="Times New Roman"/>
                <w:b/>
                <w:i w:val="0"/>
                <w:color w:val="000000"/>
                <w:sz w:val="16"/>
                <w:u w:val="none"/>
              </w:rPr>
              <w:t>Nine Months Ended September 30,</w:t>
            </w:r>
          </w:p>
        </w:tc>
      </w:tr>
      <w:tr>
        <w:tblPrEx>
          <w:tblW w:w="10245" w:type="dxa"/>
          <w:tblInd w:w="0" w:type="dxa"/>
          <w:tblLayout w:type="fixed"/>
        </w:tblPrEx>
        <w:trPr>
          <w:cantSplit/>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16"/>
                <w:u w:val="none"/>
              </w:rPr>
              <w:t>2025</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center"/>
            </w:pPr>
            <w:r>
              <w:rPr>
                <w:rFonts w:ascii="Times New Roman" w:eastAsia="Times New Roman" w:hAnsi="Times New Roman" w:cs="Times New Roman"/>
                <w:b/>
                <w:i w:val="0"/>
                <w:color w:val="000000"/>
                <w:sz w:val="16"/>
                <w:u w:val="none"/>
              </w:rPr>
              <w:t>2024</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Cash flows from operating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Net loss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w:t>
              <w:tab/>
              <w:t>(13,883)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w:t>
              <w:tab/>
              <w:t>(8,569)</w:t>
            </w:r>
          </w:p>
        </w:tc>
      </w:tr>
      <w:tr>
        <w:tblPrEx>
          <w:tblW w:w="10245" w:type="dxa"/>
          <w:tblInd w:w="0" w:type="dxa"/>
          <w:tblLayout w:type="fixed"/>
        </w:tblPrEx>
        <w:trPr>
          <w:cantSplit/>
          <w:trHeight w:hRule="exact" w:val="240"/>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Adjustments to reconcile loss to net cash provided by (used in) operations:</w:t>
            </w: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Depreciation and amortization</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19,337</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16,200</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Amortization of operating lease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1,137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1,025</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Amortization of debt financing costs and discount</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926</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531</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Non-cash interest expense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2,300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accretion of discounts on available-for-sale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(332)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(273)</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Provision for expected losses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1,121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111</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Provision for deferred income taxes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1,503</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388</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Gain on extinguishment of debt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(119)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realized gains on sales of available-for-sale securities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(2,068)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(1,929)</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Share-based compensation</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5,721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4,981</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Changes in operating assets and liabilities: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Accounts receivable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4,490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(3,142)</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Inventory</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1,272</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52"/>
              </w:tabs>
              <w:spacing w:before="53" w:after="30" w:line="288" w:lineRule="auto"/>
              <w:jc w:val="right"/>
            </w:pPr>
            <w:r>
              <w:rPr>
                <w:rFonts w:ascii="Times New Roman" w:eastAsia="Times New Roman" w:hAnsi="Times New Roman" w:cs="Times New Roman"/>
                <w:b w:val="0"/>
                <w:i w:val="0"/>
                <w:color w:val="000000"/>
                <w:sz w:val="16"/>
                <w:u w:val="none"/>
              </w:rPr>
              <w:tab/>
              <w:t>(78)</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Prepaid expenses and other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(1,147)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(1,656)</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Operating lease right-of-use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14</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Accounts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729</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(1,253)</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Accrued expenses and other long-term obligations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(2,918)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(1,052)</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Lease liabilities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(1,236)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(1,139)</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600"/>
              <w:jc w:val="left"/>
            </w:pPr>
            <w:r>
              <w:rPr>
                <w:rFonts w:ascii="Times New Roman" w:eastAsia="Times New Roman" w:hAnsi="Times New Roman" w:cs="Times New Roman"/>
                <w:b w:val="0"/>
                <w:i w:val="0"/>
                <w:color w:val="000000"/>
                <w:sz w:val="16"/>
                <w:u w:val="none"/>
              </w:rPr>
              <w:t>Deferred revenue</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(5,923)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(4,539)</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firstLine="180"/>
              <w:jc w:val="left"/>
            </w:pPr>
            <w:r>
              <w:rPr>
                <w:rFonts w:ascii="Times New Roman" w:eastAsia="Times New Roman" w:hAnsi="Times New Roman" w:cs="Times New Roman"/>
                <w:b w:val="0"/>
                <w:i w:val="0"/>
                <w:color w:val="000000"/>
                <w:sz w:val="16"/>
                <w:u w:val="none"/>
              </w:rPr>
              <w:t>Net cash provided by (used in) operating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33" w:after="30" w:line="288" w:lineRule="auto"/>
              <w:jc w:val="right"/>
            </w:pPr>
            <w:r>
              <w:rPr>
                <w:rFonts w:ascii="Times New Roman" w:eastAsia="Times New Roman" w:hAnsi="Times New Roman" w:cs="Times New Roman"/>
                <w:b w:val="0"/>
                <w:i w:val="0"/>
                <w:color w:val="000000"/>
                <w:sz w:val="16"/>
                <w:u w:val="none"/>
              </w:rPr>
              <w:tab/>
              <w:t>10,924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33" w:after="30" w:line="288" w:lineRule="auto"/>
              <w:jc w:val="right"/>
            </w:pPr>
            <w:r>
              <w:rPr>
                <w:rFonts w:ascii="Times New Roman" w:eastAsia="Times New Roman" w:hAnsi="Times New Roman" w:cs="Times New Roman"/>
                <w:b w:val="0"/>
                <w:i w:val="0"/>
                <w:color w:val="000000"/>
                <w:sz w:val="16"/>
                <w:u w:val="none"/>
              </w:rPr>
              <w:tab/>
              <w:t>(394)</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flows from investing activities: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Business combination consideration, net of cash acquired</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(37,500)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(7,900)</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Acquisition of intangible assets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(14,967)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(4,497)</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Purchases of property and equipment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(515)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(546)</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Software capitalization costs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(10,271)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(7,677)</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Purchases of available-for-sale securities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(36,655)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(10,914)</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Proceeds from sales and maturities of available-for-sale securities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21,738</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13,325</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firstLine="180"/>
              <w:jc w:val="left"/>
            </w:pPr>
            <w:r>
              <w:rPr>
                <w:rFonts w:ascii="Times New Roman" w:eastAsia="Times New Roman" w:hAnsi="Times New Roman" w:cs="Times New Roman"/>
                <w:b w:val="0"/>
                <w:i w:val="0"/>
                <w:color w:val="000000"/>
                <w:sz w:val="16"/>
                <w:u w:val="none"/>
              </w:rPr>
              <w:t>Net cash used in investing activities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33" w:after="30" w:line="288" w:lineRule="auto"/>
              <w:jc w:val="right"/>
            </w:pPr>
            <w:r>
              <w:rPr>
                <w:rFonts w:ascii="Times New Roman" w:eastAsia="Times New Roman" w:hAnsi="Times New Roman" w:cs="Times New Roman"/>
                <w:b w:val="0"/>
                <w:i w:val="0"/>
                <w:color w:val="000000"/>
                <w:sz w:val="16"/>
                <w:u w:val="none"/>
              </w:rPr>
              <w:tab/>
              <w:t>(78,170)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33" w:after="30" w:line="288" w:lineRule="auto"/>
              <w:jc w:val="right"/>
            </w:pPr>
            <w:r>
              <w:rPr>
                <w:rFonts w:ascii="Times New Roman" w:eastAsia="Times New Roman" w:hAnsi="Times New Roman" w:cs="Times New Roman"/>
                <w:b w:val="0"/>
                <w:i w:val="0"/>
                <w:color w:val="000000"/>
                <w:sz w:val="16"/>
                <w:u w:val="none"/>
              </w:rPr>
              <w:tab/>
              <w:t>(18,209)</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flows from financing activities: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Payments of finance lease principal</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32"/>
              </w:tabs>
              <w:spacing w:before="53" w:after="30" w:line="288" w:lineRule="auto"/>
              <w:jc w:val="right"/>
            </w:pPr>
            <w:r>
              <w:rPr>
                <w:rFonts w:ascii="Times New Roman" w:eastAsia="Times New Roman" w:hAnsi="Times New Roman" w:cs="Times New Roman"/>
                <w:b w:val="0"/>
                <w:i w:val="0"/>
                <w:color w:val="000000"/>
                <w:sz w:val="16"/>
                <w:u w:val="none"/>
              </w:rPr>
              <w:tab/>
              <w:t>(5)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Proceeds from notes payable, net of issuance costs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88" w:lineRule="auto"/>
              <w:jc w:val="right"/>
            </w:pPr>
            <w:r>
              <w:rPr>
                <w:rFonts w:ascii="Times New Roman" w:eastAsia="Times New Roman" w:hAnsi="Times New Roman" w:cs="Times New Roman"/>
                <w:b w:val="0"/>
                <w:i w:val="0"/>
                <w:color w:val="000000"/>
                <w:sz w:val="16"/>
                <w:u w:val="none"/>
              </w:rPr>
              <w:tab/>
              <w:t>57,982</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Payments of notes payable</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(5,000)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(420)</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Debt extinguishment costs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(100)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Payments made on amounts due for the acquisition of intangible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752"/>
              </w:tabs>
              <w:spacing w:before="53" w:after="30" w:line="288" w:lineRule="auto"/>
              <w:jc w:val="right"/>
            </w:pPr>
            <w:r>
              <w:rPr>
                <w:rFonts w:ascii="Times New Roman" w:eastAsia="Times New Roman" w:hAnsi="Times New Roman" w:cs="Times New Roman"/>
                <w:b w:val="0"/>
                <w:i w:val="0"/>
                <w:color w:val="000000"/>
                <w:sz w:val="16"/>
                <w:u w:val="none"/>
              </w:rPr>
              <w:tab/>
              <w:t>(1,381)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72"/>
              </w:tabs>
              <w:spacing w:before="53" w:after="30" w:line="288" w:lineRule="auto"/>
              <w:jc w:val="right"/>
            </w:pPr>
            <w:r>
              <w:rPr>
                <w:rFonts w:ascii="Times New Roman" w:eastAsia="Times New Roman" w:hAnsi="Times New Roman" w:cs="Times New Roman"/>
                <w:b w:val="0"/>
                <w:i w:val="0"/>
                <w:color w:val="000000"/>
                <w:sz w:val="16"/>
                <w:u w:val="none"/>
              </w:rPr>
              <w:tab/>
              <w:t>(658)</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proceeds from issuance of common stock</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ab/>
              <w:t>1,011</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ab/>
              <w:t>902</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Capital raise fees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ab/>
              <w:t>—</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52"/>
              </w:tabs>
              <w:spacing w:before="53" w:after="30" w:line="288" w:lineRule="auto"/>
              <w:jc w:val="right"/>
            </w:pPr>
            <w:r>
              <w:rPr>
                <w:rFonts w:ascii="Times New Roman" w:eastAsia="Times New Roman" w:hAnsi="Times New Roman" w:cs="Times New Roman"/>
                <w:b w:val="0"/>
                <w:i w:val="0"/>
                <w:color w:val="000000"/>
                <w:sz w:val="16"/>
                <w:u w:val="none"/>
              </w:rPr>
              <w:tab/>
              <w:t>(47)</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375"/>
              <w:jc w:val="left"/>
            </w:pPr>
            <w:r>
              <w:rPr>
                <w:rFonts w:ascii="Times New Roman" w:eastAsia="Times New Roman" w:hAnsi="Times New Roman" w:cs="Times New Roman"/>
                <w:b w:val="0"/>
                <w:i w:val="0"/>
                <w:color w:val="000000"/>
                <w:sz w:val="16"/>
                <w:u w:val="none"/>
              </w:rPr>
              <w:t>Net change in client fund obligations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(45,506)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(26,068)</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88" w:lineRule="auto"/>
              <w:ind w:firstLine="180"/>
              <w:jc w:val="left"/>
            </w:pPr>
            <w:r>
              <w:rPr>
                <w:rFonts w:ascii="Times New Roman" w:eastAsia="Times New Roman" w:hAnsi="Times New Roman" w:cs="Times New Roman"/>
                <w:b w:val="0"/>
                <w:i w:val="0"/>
                <w:color w:val="000000"/>
                <w:sz w:val="16"/>
                <w:u w:val="none"/>
              </w:rPr>
              <w:t>Net cash provided by (used in) financing activities</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33" w:after="30" w:line="288" w:lineRule="auto"/>
              <w:jc w:val="right"/>
            </w:pPr>
            <w:r>
              <w:rPr>
                <w:rFonts w:ascii="Times New Roman" w:eastAsia="Times New Roman" w:hAnsi="Times New Roman" w:cs="Times New Roman"/>
                <w:b w:val="0"/>
                <w:i w:val="0"/>
                <w:color w:val="000000"/>
                <w:sz w:val="16"/>
                <w:u w:val="none"/>
              </w:rPr>
              <w:tab/>
              <w:t>7,001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72"/>
              </w:tabs>
              <w:spacing w:before="33" w:after="30" w:line="288" w:lineRule="auto"/>
              <w:jc w:val="right"/>
            </w:pPr>
            <w:r>
              <w:rPr>
                <w:rFonts w:ascii="Times New Roman" w:eastAsia="Times New Roman" w:hAnsi="Times New Roman" w:cs="Times New Roman"/>
                <w:b w:val="0"/>
                <w:i w:val="0"/>
                <w:color w:val="000000"/>
                <w:sz w:val="16"/>
                <w:u w:val="none"/>
              </w:rPr>
              <w:tab/>
              <w:t>(26,291)</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Net decrease in cash, cash equivalents, restricted cash, and restricted cash equivalents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(60,245)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672"/>
              </w:tabs>
              <w:spacing w:before="53" w:after="30" w:line="288" w:lineRule="auto"/>
              <w:jc w:val="right"/>
            </w:pPr>
            <w:r>
              <w:rPr>
                <w:rFonts w:ascii="Times New Roman" w:eastAsia="Times New Roman" w:hAnsi="Times New Roman" w:cs="Times New Roman"/>
                <w:b w:val="0"/>
                <w:i w:val="0"/>
                <w:color w:val="000000"/>
                <w:sz w:val="16"/>
                <w:u w:val="none"/>
              </w:rPr>
              <w:tab/>
              <w:t>(44,894)</w:t>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Cash, cash equivalents, restricted cash and restricted cash equivalents, beginning of period</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66"/>
                <w:tab w:val="left" w:pos="1237"/>
              </w:tabs>
              <w:spacing w:before="53" w:after="30" w:line="288" w:lineRule="auto"/>
              <w:jc w:val="right"/>
            </w:pPr>
            <w:r>
              <w:rPr>
                <w:rFonts w:ascii="Times New Roman" w:eastAsia="Times New Roman" w:hAnsi="Times New Roman" w:cs="Times New Roman"/>
                <w:b w:val="0"/>
                <w:i w:val="0"/>
                <w:color w:val="000000"/>
                <w:sz w:val="16"/>
                <w:u w:val="none"/>
              </w:rPr>
              <w:tab/>
              <w:t>145,712</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66"/>
                <w:tab w:val="left" w:pos="1237"/>
              </w:tabs>
              <w:spacing w:before="53" w:after="30" w:line="288" w:lineRule="auto"/>
              <w:jc w:val="right"/>
            </w:pPr>
            <w:r>
              <w:rPr>
                <w:rFonts w:ascii="Times New Roman" w:eastAsia="Times New Roman" w:hAnsi="Times New Roman" w:cs="Times New Roman"/>
                <w:b w:val="0"/>
                <w:i w:val="0"/>
                <w:color w:val="000000"/>
                <w:sz w:val="16"/>
                <w:u w:val="none"/>
              </w:rPr>
              <w:tab/>
              <w:t>177,622</w:t>
              <w:tab/>
            </w:r>
          </w:p>
        </w:tc>
      </w:tr>
      <w:tr>
        <w:tblPrEx>
          <w:tblW w:w="10245" w:type="dxa"/>
          <w:tblInd w:w="0"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88" w:lineRule="auto"/>
              <w:jc w:val="left"/>
            </w:pPr>
            <w:r>
              <w:rPr>
                <w:rFonts w:ascii="Times New Roman" w:eastAsia="Times New Roman" w:hAnsi="Times New Roman" w:cs="Times New Roman"/>
                <w:b w:val="0"/>
                <w:i w:val="0"/>
                <w:color w:val="000000"/>
                <w:sz w:val="16"/>
                <w:u w:val="none"/>
              </w:rPr>
              <w:t>Cash, cash equivalents, restricted cash and restricted cash equivalents, end of period</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746"/>
                <w:tab w:val="left" w:pos="1237"/>
              </w:tabs>
              <w:spacing w:before="33" w:after="30" w:line="288" w:lineRule="auto"/>
              <w:jc w:val="right"/>
            </w:pPr>
            <w:r>
              <w:rPr>
                <w:rFonts w:ascii="Times New Roman" w:eastAsia="Times New Roman" w:hAnsi="Times New Roman" w:cs="Times New Roman"/>
                <w:b w:val="0"/>
                <w:i w:val="0"/>
                <w:color w:val="000000"/>
                <w:sz w:val="16"/>
                <w:u w:val="none"/>
              </w:rPr>
              <w:t>$</w:t>
              <w:tab/>
              <w:t>85,467</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666"/>
                <w:tab w:val="left" w:pos="1237"/>
              </w:tabs>
              <w:spacing w:before="33" w:after="30" w:line="288" w:lineRule="auto"/>
              <w:jc w:val="right"/>
            </w:pPr>
            <w:r>
              <w:rPr>
                <w:rFonts w:ascii="Times New Roman" w:eastAsia="Times New Roman" w:hAnsi="Times New Roman" w:cs="Times New Roman"/>
                <w:b w:val="0"/>
                <w:i w:val="0"/>
                <w:color w:val="000000"/>
                <w:sz w:val="16"/>
                <w:u w:val="none"/>
              </w:rPr>
              <w:t>$</w:t>
              <w:tab/>
              <w:t>132,728</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ASURE SOFTWARE, INC.</w:t>
      </w: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CONDENSED CONSOLIDATED STATEMENTS OF CASH FLOWS (continued)</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(in thousands)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(Unaudited)</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575"/>
        <w:gridCol w:w="1305"/>
        <w:gridCol w:w="60"/>
        <w:gridCol w:w="1305"/>
      </w:tblGrid>
      <w:tr>
        <w:tblPrEx>
          <w:tblW w:w="10245" w:type="dxa"/>
          <w:tblLayout w:type="fixed"/>
        </w:tblPrEx>
        <w:trPr>
          <w:cantSplit/>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16"/>
                <w:u w:val="none"/>
              </w:rPr>
              <w:t>Nine Months Ended September 30,</w:t>
            </w:r>
          </w:p>
        </w:tc>
      </w:tr>
      <w:tr>
        <w:tblPrEx>
          <w:tblW w:w="10245" w:type="dxa"/>
          <w:tblLayout w:type="fixed"/>
        </w:tblPrEx>
        <w:trPr>
          <w:cantSplit/>
          <w:trHeight w:hRule="exact" w:val="255"/>
        </w:trPr>
        <w:tc>
          <w:tcPr>
            <w:tcW w:w="75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2025</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16"/>
                <w:u w:val="none"/>
              </w:rPr>
              <w:t>2024</w:t>
            </w:r>
          </w:p>
        </w:tc>
      </w:tr>
      <w:tr>
        <w:tblPrEx>
          <w:tblW w:w="10245" w:type="dxa"/>
          <w:tblLayout w:type="fixed"/>
        </w:tblPrEx>
        <w:trPr>
          <w:cantSplit/>
          <w:trHeight w:hRule="exact" w:val="255"/>
        </w:trPr>
        <w:tc>
          <w:tcPr>
            <w:tcW w:w="10245" w:type="dxa"/>
            <w:gridSpan w:val="4"/>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Reconciliation of cash, cash equivalents, and restricted cash, and restricted cash equivalents to the Condensed Consolidated Balance Sheets</w:t>
            </w:r>
          </w:p>
        </w:tc>
      </w:tr>
      <w:tr>
        <w:tblPrEx>
          <w:tblW w:w="10245"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Cash and cash equivalents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21,520</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53" w:after="30" w:line="240" w:lineRule="auto"/>
              <w:jc w:val="right"/>
            </w:pPr>
            <w:r>
              <w:rPr>
                <w:rFonts w:ascii="Times New Roman" w:eastAsia="Times New Roman" w:hAnsi="Times New Roman" w:cs="Times New Roman"/>
                <w:b w:val="0"/>
                <w:i w:val="0"/>
                <w:color w:val="000000"/>
                <w:sz w:val="16"/>
                <w:u w:val="none"/>
              </w:rPr>
              <w:t>$</w:t>
              <w:tab/>
              <w:t>11,248</w:t>
              <w:tab/>
            </w:r>
          </w:p>
        </w:tc>
      </w:tr>
      <w:tr>
        <w:tblPrEx>
          <w:tblW w:w="10245"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40"/>
              <w:jc w:val="left"/>
            </w:pPr>
            <w:r>
              <w:rPr>
                <w:rFonts w:ascii="Times New Roman" w:eastAsia="Times New Roman" w:hAnsi="Times New Roman" w:cs="Times New Roman"/>
                <w:b w:val="0"/>
                <w:i w:val="0"/>
                <w:color w:val="000000"/>
                <w:sz w:val="16"/>
                <w:u w:val="none"/>
              </w:rPr>
              <w:t>Restricted cash and restricted cash equivalents included in funds held for clients</w:t>
            </w: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746"/>
                <w:tab w:val="left" w:pos="1237"/>
              </w:tabs>
              <w:spacing w:before="53" w:after="30" w:line="240" w:lineRule="auto"/>
              <w:jc w:val="right"/>
            </w:pPr>
            <w:r>
              <w:rPr>
                <w:rFonts w:ascii="Times New Roman" w:eastAsia="Times New Roman" w:hAnsi="Times New Roman" w:cs="Times New Roman"/>
                <w:b w:val="0"/>
                <w:i w:val="0"/>
                <w:color w:val="000000"/>
                <w:sz w:val="16"/>
                <w:u w:val="none"/>
              </w:rPr>
              <w:tab/>
              <w:t>63,947</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666"/>
                <w:tab w:val="left" w:pos="1237"/>
              </w:tabs>
              <w:spacing w:before="53" w:after="30" w:line="240" w:lineRule="auto"/>
              <w:jc w:val="right"/>
            </w:pPr>
            <w:r>
              <w:rPr>
                <w:rFonts w:ascii="Times New Roman" w:eastAsia="Times New Roman" w:hAnsi="Times New Roman" w:cs="Times New Roman"/>
                <w:b w:val="0"/>
                <w:i w:val="0"/>
                <w:color w:val="000000"/>
                <w:sz w:val="16"/>
                <w:u w:val="none"/>
              </w:rPr>
              <w:tab/>
              <w:t>121,480</w:t>
              <w:tab/>
            </w:r>
          </w:p>
        </w:tc>
      </w:tr>
      <w:tr>
        <w:tblPrEx>
          <w:tblW w:w="10245"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Times New Roman" w:eastAsia="Times New Roman" w:hAnsi="Times New Roman" w:cs="Times New Roman"/>
                <w:b w:val="0"/>
                <w:i w:val="0"/>
                <w:color w:val="000000"/>
                <w:sz w:val="16"/>
                <w:u w:val="none"/>
              </w:rPr>
              <w:t>Total cash, cash equivalents, restricted cash, and restricted cash equivalents</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746"/>
                <w:tab w:val="left" w:pos="1237"/>
              </w:tabs>
              <w:spacing w:before="33" w:after="30" w:line="240" w:lineRule="auto"/>
              <w:jc w:val="right"/>
            </w:pPr>
            <w:r>
              <w:rPr>
                <w:rFonts w:ascii="Times New Roman" w:eastAsia="Times New Roman" w:hAnsi="Times New Roman" w:cs="Times New Roman"/>
                <w:b w:val="0"/>
                <w:i w:val="0"/>
                <w:color w:val="000000"/>
                <w:sz w:val="16"/>
                <w:u w:val="none"/>
              </w:rPr>
              <w:t>$</w:t>
              <w:tab/>
              <w:t>85,467</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66"/>
                <w:tab w:val="left" w:pos="1237"/>
              </w:tabs>
              <w:spacing w:before="33" w:after="30" w:line="240" w:lineRule="auto"/>
              <w:jc w:val="right"/>
            </w:pPr>
            <w:r>
              <w:rPr>
                <w:rFonts w:ascii="Times New Roman" w:eastAsia="Times New Roman" w:hAnsi="Times New Roman" w:cs="Times New Roman"/>
                <w:b w:val="0"/>
                <w:i w:val="0"/>
                <w:color w:val="000000"/>
                <w:sz w:val="16"/>
                <w:u w:val="none"/>
              </w:rPr>
              <w:t>$</w:t>
              <w:tab/>
              <w:t>132,728</w:t>
              <w:tab/>
            </w:r>
          </w:p>
        </w:tc>
      </w:tr>
      <w:tr>
        <w:tblPrEx>
          <w:tblW w:w="10245" w:type="dxa"/>
          <w:tblLayout w:type="fixed"/>
        </w:tblPrEx>
        <w:trPr>
          <w:cantSplit/>
          <w:trHeight w:hRule="exact" w:val="255"/>
        </w:trPr>
        <w:tc>
          <w:tcPr>
            <w:tcW w:w="7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Supplemental information:</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Cash paid for interest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1,720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w:t>
              <w:tab/>
            </w:r>
          </w:p>
        </w:tc>
      </w:tr>
      <w:tr>
        <w:tblPrEx>
          <w:tblW w:w="10245" w:type="dxa"/>
          <w:tblLayout w:type="fixed"/>
        </w:tblPrEx>
        <w:trPr>
          <w:cantSplit/>
          <w:trHeight w:hRule="exact" w:val="28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Cash paid for income taxes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15</w:t>
              <w:tab/>
            </w:r>
          </w:p>
        </w:tc>
      </w:tr>
      <w:tr>
        <w:tblPrEx>
          <w:tblW w:w="10245" w:type="dxa"/>
          <w:tblLayout w:type="fixed"/>
        </w:tblPrEx>
        <w:trPr>
          <w:cantSplit/>
          <w:trHeight w:hRule="exact" w:val="285"/>
        </w:trPr>
        <w:tc>
          <w:tcPr>
            <w:tcW w:w="7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jc w:val="left"/>
            </w:pPr>
            <w:r>
              <w:rPr>
                <w:rFonts w:ascii="Times New Roman" w:eastAsia="Times New Roman" w:hAnsi="Times New Roman" w:cs="Times New Roman"/>
                <w:b w:val="0"/>
                <w:i w:val="0"/>
                <w:color w:val="000000"/>
                <w:sz w:val="16"/>
                <w:u w:val="none"/>
              </w:rPr>
              <w:t>Non-cash investing and financing activities:</w:t>
            </w: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Acquisition of intangible assets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1,603</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6,918</w:t>
              <w:tab/>
            </w:r>
          </w:p>
        </w:tc>
      </w:tr>
      <w:tr>
        <w:tblPrEx>
          <w:tblW w:w="10245"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Notes payable issued for acquisitions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5,078</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3,138</w:t>
              <w:tab/>
            </w:r>
          </w:p>
        </w:tc>
      </w:tr>
      <w:tr>
        <w:tblPrEx>
          <w:tblW w:w="10245" w:type="dxa"/>
          <w:tblLayout w:type="fixed"/>
        </w:tblPrEx>
        <w:trPr>
          <w:cantSplit/>
          <w:trHeight w:hRule="exact" w:val="255"/>
        </w:trPr>
        <w:tc>
          <w:tcPr>
            <w:tcW w:w="757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88" w:lineRule="auto"/>
              <w:ind w:left="225"/>
              <w:jc w:val="left"/>
            </w:pPr>
            <w:r>
              <w:rPr>
                <w:rFonts w:ascii="Times New Roman" w:eastAsia="Times New Roman" w:hAnsi="Times New Roman" w:cs="Times New Roman"/>
                <w:b w:val="0"/>
                <w:i w:val="0"/>
                <w:color w:val="000000"/>
                <w:sz w:val="16"/>
                <w:u w:val="none"/>
              </w:rPr>
              <w:t>Shares issued for acquisitions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4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956</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9,125</w:t>
              <w:tab/>
            </w:r>
          </w:p>
        </w:tc>
      </w:tr>
      <w:tr>
        <w:tblPrEx>
          <w:tblW w:w="10245" w:type="dxa"/>
          <w:tblLayout w:type="fixed"/>
        </w:tblPrEx>
        <w:trPr>
          <w:cantSplit/>
          <w:trHeight w:hRule="exact" w:val="255"/>
        </w:trPr>
        <w:tc>
          <w:tcPr>
            <w:tcW w:w="757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88" w:lineRule="auto"/>
              <w:ind w:left="225"/>
              <w:jc w:val="left"/>
            </w:pPr>
            <w:r>
              <w:rPr>
                <w:rFonts w:ascii="Times New Roman" w:eastAsia="Times New Roman" w:hAnsi="Times New Roman" w:cs="Times New Roman"/>
                <w:b w:val="0"/>
                <w:i w:val="0"/>
                <w:color w:val="000000"/>
                <w:sz w:val="16"/>
                <w:u w:val="none"/>
              </w:rPr>
              <w:t>Shares issued for debt payments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8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1,059</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026"/>
                <w:tab w:val="left" w:pos="1237"/>
              </w:tabs>
              <w:spacing w:before="53" w:after="30" w:line="288" w:lineRule="auto"/>
              <w:jc w:val="right"/>
            </w:pPr>
            <w:r>
              <w:rPr>
                <w:rFonts w:ascii="Times New Roman" w:eastAsia="Times New Roman" w:hAnsi="Times New Roman" w:cs="Times New Roman"/>
                <w:b w:val="0"/>
                <w:i w:val="0"/>
                <w:color w:val="000000"/>
                <w:sz w:val="16"/>
                <w:u w:val="none"/>
              </w:rPr>
              <w:t>$</w:t>
              <w:tab/>
              <w:t>—</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accompanying notes are an integral part of these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headerReference w:type="default" r:id="rId19"/>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center"/>
        <w:outlineLvl w:val="2"/>
        <w:rPr>
          <w:rFonts w:ascii="Times New Roman" w:eastAsia="Times New Roman" w:hAnsi="Times New Roman" w:cs="Times New Roman"/>
          <w:b/>
          <w:i w:val="0"/>
          <w:sz w:val="20"/>
        </w:rPr>
      </w:pPr>
      <w:bookmarkStart w:id="8" w:name="Section9"/>
      <w:bookmarkEnd w:id="8"/>
      <w:r>
        <w:rPr>
          <w:rFonts w:ascii="Times New Roman" w:eastAsia="Times New Roman" w:hAnsi="Times New Roman" w:cs="Times New Roman"/>
          <w:b/>
          <w:i w:val="0"/>
          <w:sz w:val="20"/>
        </w:rPr>
        <w:t>ASURE SOFTWARE, INC.</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NOTES TO THE CONDENSED CONSOLIDATED FINANCIAL STATEMENTS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(Amounts in thousands, except per share data unless otherwise noted)</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(Unaudited)</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sectPr>
          <w:headerReference w:type="default" r:id="rId20"/>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1080" w:right="0" w:hanging="1080"/>
        <w:jc w:val="both"/>
        <w:outlineLvl w:val="3"/>
        <w:rPr>
          <w:rFonts w:ascii="Times New Roman" w:eastAsia="Times New Roman" w:hAnsi="Times New Roman" w:cs="Times New Roman"/>
          <w:b/>
          <w:i w:val="0"/>
          <w:sz w:val="20"/>
        </w:rPr>
      </w:pPr>
      <w:bookmarkStart w:id="9" w:name="Section10"/>
      <w:bookmarkEnd w:id="9"/>
      <w:r>
        <w:rPr>
          <w:rFonts w:ascii="Times New Roman" w:eastAsia="Times New Roman" w:hAnsi="Times New Roman" w:cs="Times New Roman"/>
          <w:b/>
          <w:i w:val="0"/>
          <w:color w:val="000000"/>
          <w:sz w:val="20"/>
          <w:u w:val="none"/>
        </w:rPr>
        <w:t xml:space="preserve">NOTE 1 - </w:t>
      </w:r>
      <w:r>
        <w:rPr>
          <w:rFonts w:ascii="Times New Roman" w:eastAsia="Times New Roman" w:hAnsi="Times New Roman" w:cs="Times New Roman"/>
          <w:b/>
          <w:i w:val="0"/>
          <w:color w:val="000000"/>
          <w:sz w:val="20"/>
          <w:u w:val="none"/>
        </w:rPr>
        <w:t>THE COMPANY AND BASIS OF PRESENTATION</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Asure Software, Inc. (“Asure”, the “Company”, “we” and “our”), a Delaware corporation, is a provider of cloud-based Human Capital Management (“HCM”) software solutions delivered as Software-as-a-Service (“SaaS”) to businesses of all sizes.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businesses rather than administrative overhead that can impede growth. Our solutions also provide new ways for employers to connect with their employees and strengthen relationships with their talent. At the core of our offering is the Asure HCM platform—a SaaS-based system that includes Payroll &amp; Tax filing, Recruiting, Time &amp; Attendance software, HR management tools, and Benefits Administration. This platform serves as the foundation for delivering both our core software and a range of complementary, technology-enabled services. These include AsureMarketplace™, which automates data exchange between our HCM system and third-party providers to increase efficiency, accuracy, and breadth of services. Our HR Compliance services combine expert guidance with scalable digital delivery. AsurePay™, our payroll card, which we provide in association with our partners, offers employees fast, secure access to earned wages. Additionally, through our licensed brokerage, we offer Insurance Services that help employers manage benefits and reduce administrative costs. We deliver our solutions directly and through a national network of Reseller Partners.</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strive to be the most trusted HCM resource. Our solutions solve three primary challenges that prevent businesses from growing: HR complexity, allocation of human and financial capital, and the ability to build great teams. We sell our solutions through both direct and partner channels. We supplement our direct sales efforts with partner programs that afford us access to opportunities in various geographic and industry niches. Asure has two types of partners: Reseller Partners that white label our product</w:t>
      </w:r>
      <w:r>
        <w:rPr>
          <w:rFonts w:ascii="Times New Roman" w:eastAsia="Times New Roman" w:hAnsi="Times New Roman" w:cs="Times New Roman"/>
          <w:b w:val="0"/>
          <w:i w:val="0"/>
          <w:color w:val="000000"/>
          <w:sz w:val="20"/>
          <w:u w:val="none"/>
          <w:shd w:val="clear" w:color="auto" w:fill="FFFFFF"/>
        </w:rPr>
        <w:t xml:space="preserve">s while providing value-added services to their clients (our indirect clients) and Referral Partners that provide us with client leads but do not resell our solutions. </w:t>
      </w:r>
      <w:r>
        <w:rPr>
          <w:rFonts w:ascii="Times New Roman" w:eastAsia="Times New Roman" w:hAnsi="Times New Roman" w:cs="Times New Roman"/>
          <w:b w:val="0"/>
          <w:i w:val="0"/>
          <w:color w:val="000000"/>
          <w:sz w:val="20"/>
          <w:u w:val="none"/>
        </w:rPr>
        <w:t>We have and will continue to invest in research and development to expand our solutions. Our solutions reduce the administrative burden on employers and increase employee productivity while managing the employment lifecycle. The Asure HCM suite includes eight product lines: Asure Payroll &amp; Tax, Asure Tax Management Solutions, AsureRecruiting™, Asure Time &amp; Attendance, Asure HR Compliance, Asure Insurance and Benefits Administration, AsureMarketplace™, and AsurePay™.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develop, market, sell and support our offerings nationwide through our principal office in Austin, Texas, and from our other office locations in</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color w:val="000000"/>
          <w:sz w:val="20"/>
          <w:u w:val="none"/>
        </w:rPr>
        <w:t>Alabama, California, Florida, Georgia, New Jersey, New York, North Carolina, Ohio, South Dakota, Tennessee, Texas, Virginia, and Vermont.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have prepared the accompanying unaudited Condensed Consolidated Financial Statements in accordance with the rules and regulations of the Securities and Exchange Commission (the “SEC”) and accordingly, they do not include all information and footnotes required under U.S. generally accepted accounting principles (“U.S. GAAP”) for complete financial statements.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In the opinion of management, these interim financial statements contain all adjustments, consisting of normal, recurring adjustments, necessary for a fair presentation of our financial position as of September 30, 2025, comprehensive loss and</w:t>
      </w:r>
      <w:r>
        <w:rPr>
          <w:rFonts w:ascii="Times New Roman" w:eastAsia="Times New Roman" w:hAnsi="Times New Roman" w:cs="Times New Roman"/>
          <w:b w:val="0"/>
          <w:i w:val="0"/>
          <w:color w:val="000000"/>
          <w:sz w:val="20"/>
          <w:u w:val="none"/>
          <w:shd w:val="clear" w:color="auto" w:fill="FFFFFF"/>
        </w:rPr>
        <w:t xml:space="preserve"> changes in stockholders’ equity for the three and nine months ended September 30, 2025, and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shd w:val="clear" w:color="auto" w:fill="FFFFFF"/>
        </w:rPr>
        <w:t xml:space="preserve">, and cash flows for the nine months ended September 30, 2025, and </w:t>
      </w:r>
      <w:r>
        <w:rPr>
          <w:rFonts w:ascii="Times New Roman" w:eastAsia="Times New Roman" w:hAnsi="Times New Roman" w:cs="Times New Roman"/>
          <w:b w:val="0"/>
          <w:i w:val="0"/>
          <w:color w:val="000000"/>
          <w:sz w:val="20"/>
          <w:u w:val="none"/>
        </w:rPr>
        <w:t>2024</w:t>
      </w:r>
      <w:r>
        <w:rPr>
          <w:rFonts w:ascii="Times New Roman" w:eastAsia="Times New Roman" w:hAnsi="Times New Roman" w:cs="Times New Roman"/>
          <w:b w:val="0"/>
          <w:i w:val="0"/>
          <w:color w:val="000000"/>
          <w:sz w:val="20"/>
          <w:u w:val="none"/>
          <w:shd w:val="clear" w:color="auto" w:fill="FFFFFF"/>
        </w:rPr>
        <w:t>. Certain amounts in the prior period financial statements have been reclassified to conform to the presentation of the current period financial statements. These reclassifications had no effect on the consolidated financial position or consolidated results of operations of the Company.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These unaudited Condensed Consolidated Financial Statements should be read in conjunction with our audited Consolidated Financial Statements and notes thereto filed with the SEC in our annual report on Form 10-K for the fiscal year ended December 31, 2024 (our “2024 Annual Report on Form 10-K”). Our results for any interim period are not necessarily indicative of results for a full fiscal year.</w:t>
      </w:r>
      <w:r>
        <w:rPr>
          <w:rFonts w:ascii="Times New Roman" w:eastAsia="Times New Roman" w:hAnsi="Times New Roman" w:cs="Times New Roman"/>
          <w:b w:val="0"/>
          <w:i w:val="0"/>
          <w:sz w:val="20"/>
        </w:rPr>
        <w:t xml:space="preserve">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0" w:name="Section11"/>
      <w:bookmarkEnd w:id="10"/>
      <w:r>
        <w:rPr>
          <w:rFonts w:ascii="Times New Roman" w:eastAsia="Times New Roman" w:hAnsi="Times New Roman" w:cs="Times New Roman"/>
          <w:b/>
          <w:i w:val="0"/>
          <w:sz w:val="20"/>
        </w:rPr>
        <w:t xml:space="preserve">NOTE 2 - </w:t>
      </w:r>
      <w:r>
        <w:rPr>
          <w:rFonts w:ascii="Times New Roman" w:eastAsia="Times New Roman" w:hAnsi="Times New Roman" w:cs="Times New Roman"/>
          <w:b/>
          <w:i w:val="0"/>
          <w:color w:val="000000"/>
          <w:sz w:val="20"/>
          <w:u w:val="none"/>
        </w:rPr>
        <w:t>SIGNIFICANT ACCOUNTING POLICIES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REPORTABLE SEGMENTS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Our chief operating decision maker is our Chairman and Chief Executive Officer, Patrick Goepel, who reviews financial information presented on a company-wide basis. Thus, in accordance with Financial Accounting Standards Board (“FASB”) Accounting Standards Codification (“ASC”) 280, we determined that we have a single reportable segment that primarily derives our revenue in the United States by providing payroll services to customers.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USE OF ESTIMATES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Preparation of the Condensed Consolidated Financial Statements in conformity with U.S. GAAP requires management to make estimates and assumptions that affect the reported amounts of the assets and liabilities, the disclosure of contingent assets and liabilities at the date of the Condensed Consolidated Financial Statements and the reported amounts of revenues and expenses during the reporting period. These estimates are subjective in nature and involve judgments. The more significant estimates made by management include the valuation allowance for the gross deferred tax assets, the determination of the fair value of our long-lived assets, and the fair value of assets acquired, and liabilities assumed during acquisitions. We base our estimates on historical experience and on various other assumptions management believes reasonable under the given circumstances. These estimates could be materially different under different conditions and assumptions.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CASH AND CASH EQUIVALENTS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consider all highly liquid investments with maturity of 90 days or less to be cash equivalents. Cash equivalents include investments in an institutional money market fund, which invests in U.S. Treasury bills, notes and bonds, and/or repurchase agreements, backed by such obligations. Carrying value approximates fair value.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INVENTORIES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Our inventories consist primarily of finished goods and are stated at the lower of cost or net realizable value with cost determined on an average cost basis. Items included in costs of inventory consist of labor, material, overhead costs, freight in, and additional transactions costs such as taxes and tariffs.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Provisions are made if the cost of inventories exceeds their net realizable value and is charged to cost of sales. We did not recognize any provision for the three and nine months ended September 30, 2025 and 2024.</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RECENT ACCOUNTING PRONOUNCEMENTS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single"/>
          <w:shd w:val="clear" w:color="auto" w:fill="FFFFFF"/>
        </w:rPr>
      </w:pPr>
      <w:r>
        <w:rPr>
          <w:rFonts w:ascii="Times New Roman" w:eastAsia="Times New Roman" w:hAnsi="Times New Roman" w:cs="Times New Roman"/>
          <w:b w:val="0"/>
          <w:i w:val="0"/>
          <w:color w:val="000000"/>
          <w:sz w:val="20"/>
          <w:u w:val="none"/>
        </w:rPr>
        <w:t>In December 2023, the FASB issued ASU No. 2023-09, Improvements to Income Tax Disclosures (Topic 740), which requires companies to disaggregate information about their effective tax rate reconciliation as well as information on income taxes paid. The standard applies to all entities subject to income taxes. The standard becomes effective for public entities for annual periods beginning after December 15, 2024. We are currently evaluating this standard and the potential effects of these changes to our consolidated financial statements.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In July 2025, the FASB issued ASU No. 2025-05, Measurement of Credit Losses for Accounts Receivable and Contract Assets, which provides a practical expedient to assume that, for estimating expected credit losses, current conditions as of the balance sheet date will remain constant through the remaining life of the assets. The practical expedient is available to all entities. The standard becomes effective for all entities for annual periods beginning after December 15, 2025. We are currently evaluating this standard and the potential effects of these changes to our consolidated financial statements.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ACCUMULATED OTHER COMPREHENSIVE INCOME (LOSS)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singl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val="0"/>
          <w:color w:val="000000"/>
          <w:sz w:val="20"/>
          <w:u w:val="none"/>
        </w:rPr>
        <w:t>As of September 30, 2025, and December 31, 2024, accumulated other comprehensive income (loss) consisted of net unrealized gains and losses on available-for-sale securities.</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val="0"/>
          <w:i w:val="0"/>
          <w:sz w:val="20"/>
        </w:rPr>
      </w:pPr>
      <w:bookmarkStart w:id="11" w:name="Section12"/>
      <w:bookmarkEnd w:id="11"/>
      <w:r>
        <w:rPr>
          <w:rFonts w:ascii="Times New Roman" w:eastAsia="Times New Roman" w:hAnsi="Times New Roman" w:cs="Times New Roman"/>
          <w:b/>
          <w:i w:val="0"/>
          <w:color w:val="000000"/>
          <w:sz w:val="20"/>
          <w:u w:val="none"/>
          <w:shd w:val="clear" w:color="auto" w:fill="FFFFFF"/>
        </w:rPr>
        <w:t xml:space="preserve">NOTE 3 - </w:t>
      </w:r>
      <w:r>
        <w:rPr>
          <w:rFonts w:ascii="Times New Roman" w:eastAsia="Times New Roman" w:hAnsi="Times New Roman" w:cs="Times New Roman"/>
          <w:b/>
          <w:i w:val="0"/>
          <w:color w:val="000000"/>
          <w:sz w:val="20"/>
          <w:u w:val="none"/>
          <w:shd w:val="clear" w:color="auto" w:fill="FFFFFF"/>
        </w:rPr>
        <w:t>BUSINESS COMBINATIONS AND ASSET ACQUISITIONS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2025</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color w:val="000000"/>
          <w:sz w:val="20"/>
          <w:u w:val="none"/>
        </w:rPr>
        <w:t>Business Combinations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Effective July 1, 2025, we acquired </w:t>
      </w:r>
      <w:r>
        <w:rPr>
          <w:rFonts w:ascii="Times New Roman" w:eastAsia="Times New Roman" w:hAnsi="Times New Roman" w:cs="Times New Roman"/>
          <w:b w:val="0"/>
          <w:i w:val="0"/>
          <w:color w:val="000000"/>
          <w:sz w:val="20"/>
          <w:u w:val="none"/>
        </w:rPr>
        <w:t>100%</w:t>
      </w:r>
      <w:r>
        <w:rPr>
          <w:rFonts w:ascii="Times New Roman" w:eastAsia="Times New Roman" w:hAnsi="Times New Roman" w:cs="Times New Roman"/>
          <w:b w:val="0"/>
          <w:i w:val="0"/>
          <w:color w:val="000000"/>
          <w:sz w:val="20"/>
          <w:u w:val="none"/>
        </w:rPr>
        <w:t xml:space="preserve"> of the membership interests of Lathem Time 2025 LLC (f/k/a Lathem Time Corporation, “Lathem”), whose technology will be used to expand the capabilities of our broader suite of HR solutions, specifically in timekeeping systems. The aggregate purchase price that we paid for the membership interests was 39,497, consisting of 37,500 paid in cash on hand and the remaining $2,221 in the form of a promissory note ($1,997 net of discount).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amounts of assets acquired and liabilities assumed at the acquisition date, valued at their estimated acquisition-date fair value:</w:t>
      </w: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00"/>
        <w:gridCol w:w="1740"/>
      </w:tblGrid>
      <w:tr>
        <w:tblPrEx>
          <w:tblW w:w="6540" w:type="dxa"/>
          <w:tblLayout w:type="fixed"/>
        </w:tblPrEx>
        <w:trPr>
          <w:cantSplit/>
          <w:trHeight w:hRule="exact" w:val="465"/>
        </w:trPr>
        <w:tc>
          <w:tcPr>
            <w:tcW w:w="48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74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 Date Fair Value</w:t>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ind w:left="120"/>
              <w:jc w:val="left"/>
            </w:pPr>
            <w:r>
              <w:rPr>
                <w:rFonts w:ascii="Times New Roman" w:eastAsia="Times New Roman" w:hAnsi="Times New Roman" w:cs="Times New Roman"/>
                <w:b w:val="0"/>
                <w:i w:val="0"/>
                <w:color w:val="000000"/>
                <w:sz w:val="20"/>
                <w:u w:val="none"/>
              </w:rPr>
              <w:t>Accounts receivable</w:t>
            </w:r>
          </w:p>
        </w:tc>
        <w:tc>
          <w:tcPr>
            <w:tcW w:w="174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7"/>
                <w:tab w:val="left" w:pos="1672"/>
              </w:tabs>
              <w:spacing w:before="33" w:after="30" w:line="240" w:lineRule="auto"/>
              <w:jc w:val="right"/>
            </w:pPr>
            <w:r>
              <w:rPr>
                <w:rFonts w:ascii="Times New Roman" w:eastAsia="Times New Roman" w:hAnsi="Times New Roman" w:cs="Times New Roman"/>
                <w:b w:val="0"/>
                <w:i w:val="0"/>
                <w:color w:val="000000"/>
                <w:sz w:val="20"/>
                <w:u w:val="none"/>
              </w:rPr>
              <w:t>$</w:t>
              <w:tab/>
              <w:t>2,020</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Inventory</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7"/>
                <w:tab w:val="left" w:pos="1672"/>
              </w:tabs>
              <w:spacing w:before="53" w:after="30" w:line="240" w:lineRule="auto"/>
              <w:jc w:val="right"/>
            </w:pPr>
            <w:r>
              <w:rPr>
                <w:rFonts w:ascii="Times New Roman" w:eastAsia="Times New Roman" w:hAnsi="Times New Roman" w:cs="Times New Roman"/>
                <w:b w:val="0"/>
                <w:i w:val="0"/>
                <w:color w:val="000000"/>
                <w:sz w:val="20"/>
                <w:u w:val="none"/>
              </w:rPr>
              <w:tab/>
              <w:t>3,380</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Prepaid expenses and other current assets</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177</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Property and equipment, net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185</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Intangible assets, net</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7"/>
                <w:tab w:val="left" w:pos="1672"/>
              </w:tabs>
              <w:spacing w:before="53" w:after="30" w:line="240" w:lineRule="auto"/>
              <w:jc w:val="right"/>
            </w:pPr>
            <w:r>
              <w:rPr>
                <w:rFonts w:ascii="Times New Roman" w:eastAsia="Times New Roman" w:hAnsi="Times New Roman" w:cs="Times New Roman"/>
                <w:b w:val="0"/>
                <w:i w:val="0"/>
                <w:color w:val="000000"/>
                <w:sz w:val="20"/>
                <w:u w:val="none"/>
              </w:rPr>
              <w:tab/>
              <w:t>16,500</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Operating lease assets, net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826</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Other assets, net</w:t>
            </w:r>
          </w:p>
        </w:tc>
        <w:tc>
          <w:tcPr>
            <w:tcW w:w="17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777</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assets acquired</w:t>
            </w:r>
          </w:p>
        </w:tc>
        <w:tc>
          <w:tcPr>
            <w:tcW w:w="17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ab/>
              <w:t>23,865</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Accounts payable</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474</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Operating lease liabilities, current</w:t>
            </w:r>
          </w:p>
        </w:tc>
        <w:tc>
          <w:tcPr>
            <w:tcW w:w="174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826</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Other accrued liabilities</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07"/>
                <w:tab w:val="left" w:pos="1672"/>
              </w:tabs>
              <w:spacing w:before="53" w:after="30" w:line="240" w:lineRule="auto"/>
              <w:jc w:val="right"/>
            </w:pPr>
            <w:r>
              <w:rPr>
                <w:rFonts w:ascii="Times New Roman" w:eastAsia="Times New Roman" w:hAnsi="Times New Roman" w:cs="Times New Roman"/>
                <w:b w:val="0"/>
                <w:i w:val="0"/>
                <w:color w:val="000000"/>
                <w:sz w:val="20"/>
                <w:u w:val="none"/>
              </w:rPr>
              <w:tab/>
              <w:t>615</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Deferred revenue</w:t>
            </w:r>
          </w:p>
        </w:tc>
        <w:tc>
          <w:tcPr>
            <w:tcW w:w="174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7"/>
                <w:tab w:val="left" w:pos="1672"/>
              </w:tabs>
              <w:spacing w:before="53" w:after="30" w:line="240" w:lineRule="auto"/>
              <w:jc w:val="right"/>
            </w:pPr>
            <w:r>
              <w:rPr>
                <w:rFonts w:ascii="Times New Roman" w:eastAsia="Times New Roman" w:hAnsi="Times New Roman" w:cs="Times New Roman"/>
                <w:b w:val="0"/>
                <w:i w:val="0"/>
                <w:color w:val="000000"/>
                <w:sz w:val="20"/>
                <w:u w:val="none"/>
              </w:rPr>
              <w:tab/>
              <w:t>3,488</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liabilities assumed</w:t>
            </w:r>
          </w:p>
        </w:tc>
        <w:tc>
          <w:tcPr>
            <w:tcW w:w="174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7"/>
                <w:tab w:val="left" w:pos="1672"/>
              </w:tabs>
              <w:spacing w:before="33" w:after="30" w:line="240" w:lineRule="auto"/>
              <w:jc w:val="right"/>
            </w:pPr>
            <w:r>
              <w:rPr>
                <w:rFonts w:ascii="Times New Roman" w:eastAsia="Times New Roman" w:hAnsi="Times New Roman" w:cs="Times New Roman"/>
                <w:b w:val="0"/>
                <w:i w:val="0"/>
                <w:color w:val="000000"/>
                <w:sz w:val="20"/>
                <w:u w:val="none"/>
              </w:rPr>
              <w:tab/>
              <w:t>5,403</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net assets acquired</w:t>
            </w:r>
          </w:p>
        </w:tc>
        <w:tc>
          <w:tcPr>
            <w:tcW w:w="174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ab/>
              <w:t>18,462</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Goodwill</w:t>
            </w:r>
          </w:p>
        </w:tc>
        <w:tc>
          <w:tcPr>
            <w:tcW w:w="174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057"/>
                <w:tab w:val="left" w:pos="1672"/>
              </w:tabs>
              <w:spacing w:before="53" w:after="30" w:line="240" w:lineRule="auto"/>
              <w:jc w:val="right"/>
            </w:pPr>
            <w:r>
              <w:rPr>
                <w:rFonts w:ascii="Times New Roman" w:eastAsia="Times New Roman" w:hAnsi="Times New Roman" w:cs="Times New Roman"/>
                <w:b w:val="0"/>
                <w:i w:val="0"/>
                <w:color w:val="000000"/>
                <w:sz w:val="20"/>
                <w:u w:val="none"/>
              </w:rPr>
              <w:tab/>
              <w:t>21,035</w:t>
              <w:tab/>
            </w:r>
          </w:p>
        </w:tc>
      </w:tr>
      <w:tr>
        <w:tblPrEx>
          <w:tblW w:w="6540" w:type="dxa"/>
          <w:tblLayout w:type="fixed"/>
        </w:tblPrEx>
        <w:trPr>
          <w:cantSplit/>
          <w:trHeight w:hRule="exact" w:val="315"/>
        </w:trPr>
        <w:tc>
          <w:tcPr>
            <w:tcW w:w="480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purchase price</w:t>
            </w:r>
          </w:p>
        </w:tc>
        <w:tc>
          <w:tcPr>
            <w:tcW w:w="174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57"/>
                <w:tab w:val="left" w:pos="1672"/>
              </w:tabs>
              <w:spacing w:before="33" w:after="30" w:line="240" w:lineRule="auto"/>
              <w:jc w:val="right"/>
            </w:pPr>
            <w:r>
              <w:rPr>
                <w:rFonts w:ascii="Times New Roman" w:eastAsia="Times New Roman" w:hAnsi="Times New Roman" w:cs="Times New Roman"/>
                <w:b w:val="0"/>
                <w:i w:val="0"/>
                <w:color w:val="000000"/>
                <w:sz w:val="20"/>
                <w:u w:val="none"/>
              </w:rPr>
              <w:t>$</w:t>
              <w:tab/>
              <w:t>39,497</w:t>
              <w:tab/>
            </w:r>
          </w:p>
        </w:tc>
      </w:tr>
    </w:tbl>
    <w:p>
      <w:pPr>
        <w:keepNext w:val="0"/>
        <w:keepLines/>
        <w:pageBreakBefore w:val="0"/>
        <w:widowControl w:val="0"/>
        <w:numPr>
          <w:ilvl w:val="0"/>
          <w:numId w:val="0"/>
        </w:numPr>
        <w:spacing w:before="0" w:after="0" w:line="276" w:lineRule="auto"/>
        <w:ind w:left="0" w:right="0" w:firstLine="0"/>
        <w:jc w:val="left"/>
        <w:outlineLvl w:val="9"/>
        <w:rPr>
          <w:rFonts w:ascii="Arial" w:eastAsia="Arial" w:hAnsi="Arial" w:cs="Arial"/>
          <w:b w:val="0"/>
          <w:i w:val="0"/>
          <w:color w:val="000000"/>
          <w:sz w:val="24"/>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goodwill of 21,035 arising from the acquisition consists largely of the synergies and economies of scale expected from combining our operations with Lathem and is expected to be deductible for tax purposes.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Lathem contributed net revenues of 4,631, of which 2,710 are recurring revenues, and net income of 708 to our consolidated total operating activity from the acquisition date of July 1, 2025, through September 30, 2025.</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unaudited pro forma financial information presents combined results of operations for each of the periods presented as if the transaction had occurred as of January 1, 2024, prepared in accordance with ASC 805:</w:t>
      </w:r>
    </w:p>
    <w:tbl>
      <w:tblPr>
        <w:tblW w:w="102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0"/>
        <w:gridCol w:w="1605"/>
        <w:gridCol w:w="60"/>
        <w:gridCol w:w="1605"/>
        <w:gridCol w:w="105"/>
        <w:gridCol w:w="1605"/>
        <w:gridCol w:w="75"/>
        <w:gridCol w:w="1605"/>
      </w:tblGrid>
      <w:tr>
        <w:tblPrEx>
          <w:tblW w:w="10260" w:type="dxa"/>
          <w:tblInd w:w="0" w:type="dxa"/>
          <w:tblLayout w:type="fixed"/>
        </w:tblPrEx>
        <w:trPr>
          <w:cantSplit/>
          <w:trHeight w:hRule="exact" w:val="285"/>
        </w:trPr>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6660" w:type="dxa"/>
            <w:gridSpan w:val="7"/>
            <w:tcBorders>
              <w:top w:val="nil"/>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5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Pro Forma (Unaudited)</w:t>
            </w:r>
          </w:p>
        </w:tc>
      </w:tr>
      <w:tr>
        <w:tblPrEx>
          <w:tblW w:w="10260" w:type="dxa"/>
          <w:tblInd w:w="0" w:type="dxa"/>
          <w:tblLayout w:type="fixed"/>
        </w:tblPrEx>
        <w:trPr>
          <w:cantSplit/>
          <w:trHeight w:hRule="exact" w:val="285"/>
        </w:trPr>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270" w:type="dxa"/>
            <w:gridSpan w:val="3"/>
            <w:tcBorders>
              <w:top w:val="nil"/>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3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Three Months Ended September 30,</w:t>
            </w:r>
          </w:p>
        </w:tc>
        <w:tc>
          <w:tcPr>
            <w:tcW w:w="105"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3285" w:type="dxa"/>
            <w:gridSpan w:val="3"/>
            <w:tcBorders>
              <w:top w:val="nil"/>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3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Nine Months Ended September 30,</w:t>
            </w:r>
          </w:p>
        </w:tc>
      </w:tr>
      <w:tr>
        <w:tblPrEx>
          <w:tblW w:w="10260" w:type="dxa"/>
          <w:tblInd w:w="0" w:type="dxa"/>
          <w:tblLayout w:type="fixed"/>
        </w:tblPrEx>
        <w:trPr>
          <w:cantSplit/>
          <w:trHeight w:hRule="exact" w:val="285"/>
        </w:trPr>
        <w:tc>
          <w:tcPr>
            <w:tcW w:w="360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605" w:type="dxa"/>
            <w:tcBorders>
              <w:top w:val="nil"/>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3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2025</w:t>
            </w:r>
          </w:p>
        </w:tc>
        <w:tc>
          <w:tcPr>
            <w:tcW w:w="60"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1605" w:type="dxa"/>
            <w:tcBorders>
              <w:top w:val="single" w:sz="8" w:space="0" w:color="000000"/>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3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2024</w:t>
            </w:r>
          </w:p>
        </w:tc>
        <w:tc>
          <w:tcPr>
            <w:tcW w:w="1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605" w:type="dxa"/>
            <w:tcBorders>
              <w:top w:val="nil"/>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3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pageBreakBefore w:val="0"/>
              <w:spacing w:before="0" w:after="0"/>
            </w:pPr>
          </w:p>
        </w:tc>
        <w:tc>
          <w:tcPr>
            <w:tcW w:w="1605" w:type="dxa"/>
            <w:tcBorders>
              <w:top w:val="single" w:sz="8" w:space="0" w:color="000000"/>
              <w:left w:val="nil"/>
              <w:bottom w:val="single" w:sz="8" w:space="0" w:color="000000"/>
              <w:right w:val="nil"/>
            </w:tcBorders>
            <w:tcMar>
              <w:top w:w="0" w:type="dxa"/>
              <w:left w:w="53" w:type="dxa"/>
              <w:bottom w:w="0" w:type="dxa"/>
              <w:right w:w="53" w:type="dxa"/>
            </w:tcMar>
            <w:vAlign w:val="top"/>
          </w:tcPr>
          <w:p>
            <w:pPr>
              <w:pageBreakBefore w:val="0"/>
              <w:numPr>
                <w:ilvl w:val="0"/>
                <w:numId w:val="0"/>
              </w:numPr>
              <w:spacing w:before="33" w:after="30" w:line="269" w:lineRule="auto"/>
              <w:ind w:left="0" w:right="0" w:firstLine="0"/>
              <w:jc w:val="center"/>
              <w:outlineLvl w:val="9"/>
              <w:rPr>
                <w:rFonts w:ascii="Times New Roman" w:eastAsia="Times New Roman" w:hAnsi="Times New Roman" w:cs="Times New Roman"/>
                <w:b/>
                <w:i w:val="0"/>
                <w:sz w:val="24"/>
              </w:rPr>
            </w:pPr>
            <w:r>
              <w:rPr>
                <w:rFonts w:ascii="Times New Roman" w:eastAsia="Times New Roman" w:hAnsi="Times New Roman" w:cs="Times New Roman"/>
                <w:b/>
                <w:i w:val="0"/>
                <w:sz w:val="20"/>
              </w:rPr>
              <w:t>2024</w:t>
            </w:r>
          </w:p>
        </w:tc>
      </w:tr>
      <w:tr>
        <w:tblPrEx>
          <w:tblW w:w="10260" w:type="dxa"/>
          <w:tblInd w:w="0" w:type="dxa"/>
          <w:tblLayout w:type="fixed"/>
        </w:tblPrEx>
        <w:trPr>
          <w:cantSplit/>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top"/>
          </w:tcPr>
          <w:p>
            <w:pPr>
              <w:pageBreakBefore w:val="0"/>
              <w:numPr>
                <w:ilvl w:val="0"/>
                <w:numId w:val="0"/>
              </w:numPr>
              <w:spacing w:before="33" w:after="30" w:line="269" w:lineRule="auto"/>
              <w:ind w:left="0" w:right="0" w:firstLine="0"/>
              <w:jc w:val="left"/>
              <w:outlineLvl w:val="9"/>
              <w:rPr>
                <w:rFonts w:ascii="Times New Roman" w:eastAsia="Times New Roman" w:hAnsi="Times New Roman" w:cs="Times New Roman"/>
                <w:b w:val="0"/>
                <w:i w:val="0"/>
                <w:sz w:val="24"/>
              </w:rPr>
            </w:pPr>
            <w:r>
              <w:rPr>
                <w:rFonts w:ascii="Times New Roman" w:eastAsia="Times New Roman" w:hAnsi="Times New Roman" w:cs="Times New Roman"/>
                <w:b w:val="0"/>
                <w:i w:val="0"/>
                <w:sz w:val="20"/>
              </w:rPr>
              <w:t>Total revenue</w:t>
            </w:r>
          </w:p>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top"/>
          </w:tcPr>
          <w:p>
            <w:pPr>
              <w:pageBreakBefore w:val="0"/>
              <w:tabs>
                <w:tab w:val="left" w:pos="922"/>
                <w:tab w:val="left" w:pos="1537"/>
              </w:tabs>
              <w:spacing w:before="33" w:after="30" w:line="269" w:lineRule="auto"/>
              <w:jc w:val="right"/>
            </w:pPr>
            <w:r>
              <w:rPr>
                <w:rFonts w:ascii="Times New Roman" w:eastAsia="Times New Roman" w:hAnsi="Times New Roman" w:cs="Times New Roman"/>
                <w:b w:val="0"/>
                <w:i w:val="0"/>
                <w:color w:val="000000"/>
                <w:sz w:val="20"/>
                <w:u w:val="none"/>
              </w:rPr>
              <w:t>$</w:t>
              <w:tab/>
              <w:t>36,252</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top"/>
          </w:tcPr>
          <w:p>
            <w:pPr>
              <w:pageBreakBefore w:val="0"/>
              <w:tabs>
                <w:tab w:val="left" w:pos="922"/>
                <w:tab w:val="left" w:pos="1537"/>
              </w:tabs>
              <w:spacing w:before="33" w:after="30" w:line="269" w:lineRule="auto"/>
              <w:jc w:val="right"/>
            </w:pPr>
            <w:r>
              <w:rPr>
                <w:rFonts w:ascii="Times New Roman" w:eastAsia="Times New Roman" w:hAnsi="Times New Roman" w:cs="Times New Roman"/>
                <w:b w:val="0"/>
                <w:i w:val="0"/>
                <w:color w:val="000000"/>
                <w:sz w:val="20"/>
                <w:u w:val="none"/>
              </w:rPr>
              <w:t>$</w:t>
              <w:tab/>
              <w:t>33,936</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top"/>
          </w:tcPr>
          <w:p>
            <w:pPr>
              <w:pageBreakBefore w:val="0"/>
              <w:tabs>
                <w:tab w:val="left" w:pos="822"/>
                <w:tab w:val="left" w:pos="1537"/>
              </w:tabs>
              <w:spacing w:before="33" w:after="30" w:line="269" w:lineRule="auto"/>
              <w:jc w:val="right"/>
            </w:pPr>
            <w:r>
              <w:rPr>
                <w:rFonts w:ascii="Times New Roman" w:eastAsia="Times New Roman" w:hAnsi="Times New Roman" w:cs="Times New Roman"/>
                <w:b w:val="0"/>
                <w:i w:val="0"/>
                <w:color w:val="000000"/>
                <w:sz w:val="20"/>
                <w:u w:val="none"/>
              </w:rPr>
              <w:t>$</w:t>
              <w:tab/>
              <w:t>110,608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top"/>
          </w:tcPr>
          <w:p>
            <w:pPr>
              <w:pageBreakBefore w:val="0"/>
              <w:tabs>
                <w:tab w:val="left" w:pos="822"/>
                <w:tab w:val="left" w:pos="1537"/>
              </w:tabs>
              <w:spacing w:before="33" w:after="30" w:line="269" w:lineRule="auto"/>
              <w:jc w:val="right"/>
            </w:pPr>
            <w:r>
              <w:rPr>
                <w:rFonts w:ascii="Times New Roman" w:eastAsia="Times New Roman" w:hAnsi="Times New Roman" w:cs="Times New Roman"/>
                <w:b w:val="0"/>
                <w:i w:val="0"/>
                <w:color w:val="000000"/>
                <w:sz w:val="20"/>
                <w:u w:val="none"/>
              </w:rPr>
              <w:t>$</w:t>
              <w:tab/>
              <w:t>102,797</w:t>
              <w:tab/>
            </w:r>
          </w:p>
        </w:tc>
      </w:tr>
      <w:tr>
        <w:tblPrEx>
          <w:tblW w:w="10260" w:type="dxa"/>
          <w:tblInd w:w="0" w:type="dxa"/>
          <w:tblLayout w:type="fixed"/>
        </w:tblPrEx>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top"/>
          </w:tcPr>
          <w:p>
            <w:pPr>
              <w:pageBreakBefore w:val="0"/>
              <w:numPr>
                <w:ilvl w:val="0"/>
                <w:numId w:val="0"/>
              </w:numPr>
              <w:spacing w:before="53" w:after="30" w:line="269" w:lineRule="auto"/>
              <w:ind w:left="0" w:right="0" w:firstLine="0"/>
              <w:jc w:val="left"/>
              <w:outlineLvl w:val="9"/>
              <w:rPr>
                <w:rFonts w:ascii="Times New Roman" w:eastAsia="Times New Roman" w:hAnsi="Times New Roman" w:cs="Times New Roman"/>
                <w:b w:val="0"/>
                <w:i w:val="0"/>
                <w:sz w:val="24"/>
              </w:rPr>
            </w:pPr>
            <w:r>
              <w:rPr>
                <w:rFonts w:ascii="Times New Roman" w:eastAsia="Times New Roman" w:hAnsi="Times New Roman" w:cs="Times New Roman"/>
                <w:b w:val="0"/>
                <w:i w:val="0"/>
                <w:sz w:val="20"/>
              </w:rPr>
              <w:t>Net loss</w:t>
            </w:r>
          </w:p>
        </w:tc>
        <w:tc>
          <w:tcPr>
            <w:tcW w:w="1605" w:type="dxa"/>
            <w:tcBorders>
              <w:top w:val="nil"/>
              <w:left w:val="nil"/>
              <w:bottom w:val="nil"/>
              <w:right w:val="nil"/>
            </w:tcBorders>
            <w:shd w:val="clear" w:color="auto" w:fill="FFFFFF"/>
            <w:tcMar>
              <w:top w:w="0" w:type="dxa"/>
              <w:left w:w="0" w:type="dxa"/>
              <w:bottom w:w="0" w:type="dxa"/>
              <w:right w:w="15" w:type="dxa"/>
            </w:tcMar>
            <w:vAlign w:val="top"/>
          </w:tcPr>
          <w:p>
            <w:pPr>
              <w:pageBreakBefore w:val="0"/>
              <w:tabs>
                <w:tab w:val="left" w:pos="936"/>
              </w:tabs>
              <w:spacing w:before="53" w:after="30" w:line="269" w:lineRule="auto"/>
              <w:jc w:val="right"/>
            </w:pPr>
            <w:r>
              <w:rPr>
                <w:rFonts w:ascii="Times New Roman" w:eastAsia="Times New Roman" w:hAnsi="Times New Roman" w:cs="Times New Roman"/>
                <w:b w:val="0"/>
                <w:i w:val="0"/>
                <w:color w:val="000000"/>
                <w:sz w:val="20"/>
                <w:u w:val="none"/>
              </w:rPr>
              <w:t>$</w:t>
              <w:tab/>
              <w:t>(5,174)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605" w:type="dxa"/>
            <w:tcBorders>
              <w:top w:val="nil"/>
              <w:left w:val="nil"/>
              <w:bottom w:val="nil"/>
              <w:right w:val="nil"/>
            </w:tcBorders>
            <w:shd w:val="clear" w:color="auto" w:fill="FFFFFF"/>
            <w:tcMar>
              <w:top w:w="0" w:type="dxa"/>
              <w:left w:w="0" w:type="dxa"/>
              <w:bottom w:w="0" w:type="dxa"/>
              <w:right w:w="15" w:type="dxa"/>
            </w:tcMar>
            <w:vAlign w:val="top"/>
          </w:tcPr>
          <w:p>
            <w:pPr>
              <w:pageBreakBefore w:val="0"/>
              <w:tabs>
                <w:tab w:val="left" w:pos="936"/>
              </w:tabs>
              <w:spacing w:before="53" w:after="30" w:line="269" w:lineRule="auto"/>
              <w:jc w:val="right"/>
            </w:pPr>
            <w:r>
              <w:rPr>
                <w:rFonts w:ascii="Times New Roman" w:eastAsia="Times New Roman" w:hAnsi="Times New Roman" w:cs="Times New Roman"/>
                <w:b w:val="0"/>
                <w:i w:val="0"/>
                <w:color w:val="000000"/>
                <w:sz w:val="20"/>
                <w:u w:val="none"/>
              </w:rPr>
              <w:t>$</w:t>
              <w:tab/>
              <w:t>(4,923)</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605" w:type="dxa"/>
            <w:tcBorders>
              <w:top w:val="nil"/>
              <w:left w:val="nil"/>
              <w:bottom w:val="nil"/>
              <w:right w:val="nil"/>
            </w:tcBorders>
            <w:shd w:val="clear" w:color="auto" w:fill="FFFFFF"/>
            <w:tcMar>
              <w:top w:w="0" w:type="dxa"/>
              <w:left w:w="0" w:type="dxa"/>
              <w:bottom w:w="0" w:type="dxa"/>
              <w:right w:w="15" w:type="dxa"/>
            </w:tcMar>
            <w:vAlign w:val="top"/>
          </w:tcPr>
          <w:p>
            <w:pPr>
              <w:pageBreakBefore w:val="0"/>
              <w:tabs>
                <w:tab w:val="left" w:pos="836"/>
              </w:tabs>
              <w:spacing w:before="53" w:after="30" w:line="269" w:lineRule="auto"/>
              <w:jc w:val="right"/>
            </w:pPr>
            <w:r>
              <w:rPr>
                <w:rFonts w:ascii="Times New Roman" w:eastAsia="Times New Roman" w:hAnsi="Times New Roman" w:cs="Times New Roman"/>
                <w:b w:val="0"/>
                <w:i w:val="0"/>
                <w:color w:val="000000"/>
                <w:sz w:val="20"/>
                <w:u w:val="none"/>
              </w:rPr>
              <w:t>$</w:t>
              <w:tab/>
              <w:t>(13,682)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605" w:type="dxa"/>
            <w:tcBorders>
              <w:top w:val="nil"/>
              <w:left w:val="nil"/>
              <w:bottom w:val="nil"/>
              <w:right w:val="nil"/>
            </w:tcBorders>
            <w:shd w:val="clear" w:color="auto" w:fill="FFFFFF"/>
            <w:tcMar>
              <w:top w:w="0" w:type="dxa"/>
              <w:left w:w="0" w:type="dxa"/>
              <w:bottom w:w="0" w:type="dxa"/>
              <w:right w:w="15" w:type="dxa"/>
            </w:tcMar>
            <w:vAlign w:val="top"/>
          </w:tcPr>
          <w:p>
            <w:pPr>
              <w:pageBreakBefore w:val="0"/>
              <w:tabs>
                <w:tab w:val="left" w:pos="836"/>
              </w:tabs>
              <w:spacing w:before="53" w:after="30" w:line="269" w:lineRule="auto"/>
              <w:jc w:val="right"/>
            </w:pPr>
            <w:r>
              <w:rPr>
                <w:rFonts w:ascii="Times New Roman" w:eastAsia="Times New Roman" w:hAnsi="Times New Roman" w:cs="Times New Roman"/>
                <w:b w:val="0"/>
                <w:i w:val="0"/>
                <w:color w:val="000000"/>
                <w:sz w:val="20"/>
                <w:u w:val="none"/>
              </w:rPr>
              <w:t>$</w:t>
              <w:tab/>
              <w:t>(12,622)</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Pro forma earnings for the nine months ended September 30, 2025, were adjusted to exclude 733 of legal costs associated with the acquisition that were recognized in general and administrative expense. Pro forma earnings for the nine months ended September 30, 2024, were adjusted to include these charges.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76" w:lineRule="auto"/>
        <w:ind w:left="0" w:right="0" w:firstLine="0"/>
        <w:jc w:val="left"/>
        <w:outlineLvl w:val="9"/>
        <w:rPr>
          <w:rFonts w:ascii="Arial" w:eastAsia="Arial" w:hAnsi="Arial" w:cs="Arial"/>
          <w:b w:val="0"/>
          <w:i w:val="0"/>
          <w:color w:val="000000"/>
          <w:sz w:val="24"/>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color w:val="000000"/>
          <w:sz w:val="20"/>
          <w:u w:val="none"/>
        </w:rPr>
        <w:t>Asset Acquisitions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During the</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color w:val="000000"/>
          <w:sz w:val="20"/>
          <w:u w:val="none"/>
        </w:rPr>
        <w:t>nine months ended September 30, 2025, we completed six customer relationship asset acquisitions. The total purchase price of these acquisitions was 19,363, which consisted of 14,990 of cash paid during the nine months ended September 30, 2025</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color w:val="000000"/>
          <w:sz w:val="20"/>
          <w:u w:val="none"/>
        </w:rPr>
        <w:t xml:space="preserve">$371 of cash to be paid over the next 12 months, the delivery of promissory notes in the amount of 3,046, net of discounts, and the delivery of 124 shares of Asure common stock, which had an aggregate fair value of $956 at the acquisition dates. The purchase prices for certain of these acquisitions are subject to adjustments for contingent events which are generally expected to occur over the next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two years</w:t>
      </w:r>
      <w:r>
        <w:rPr>
          <w:rFonts w:ascii="Times New Roman" w:eastAsia="Times New Roman" w:hAnsi="Times New Roman" w:cs="Times New Roman"/>
          <w:b w:val="0"/>
          <w:i w:val="0"/>
          <w:color w:val="000000"/>
          <w:sz w:val="20"/>
          <w:u w:val="none"/>
        </w:rPr>
        <w:t xml:space="preserve"> following September 30, 2025, including revenue generated from the acquired assets. The acquired customer relationships are recorded as intangible assets and are being amortized on a straight-line basis over </w:t>
      </w:r>
      <w:r>
        <w:rPr>
          <w:rFonts w:ascii="Times New Roman" w:eastAsia="Times New Roman" w:hAnsi="Times New Roman" w:cs="Times New Roman"/>
          <w:b w:val="0"/>
          <w:i w:val="0"/>
          <w:color w:val="000000"/>
          <w:sz w:val="20"/>
          <w:u w:val="none"/>
        </w:rPr>
        <w:t>eight years</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shd w:val="clear" w:color="auto" w:fill="FFFFFF"/>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color w:val="000000"/>
          <w:sz w:val="20"/>
          <w:u w:val="none"/>
        </w:rPr>
        <w:t>2024</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color w:val="000000"/>
          <w:sz w:val="20"/>
          <w:u w:val="none"/>
        </w:rPr>
        <w:t>Business Combinations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Effective July 11, 2024, we purchased substantially all the assets of an applicant tracking technology company based out of South Dakota for an innovative hiring solution designed to streamline the recruitment process for small and mid-sized businesses. This strategic acquisition reinforces Asure’s commitment to delivering comprehensive, user-friendly tools that simplify people management. The aggregate purchase price paid for the business was $15,162, consisting of $7,900 paid in cash on hand, $3,000 in the form of a promissory note ($1,716 net of discount), and 525 shares of Asure common stock, which had a fair value of $4,262 on the day of acquisition.</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The purchase consideration was allocated among the acquired assets, which consist of a customer relationships intangible asset with fair value of $2,700, and a developed technology intangible asset with a fair value of $3,200. Additionally, we assumed $237 of deferred revenue and $498 of other accrued liabilities as part of the transaction. The intangible assets are being amortized on a straight-line basis over eight and seven years, respectively. </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remaining $8,713 of excess purchase consideration was allocated to goodwill, which is generally expected to be deductible for tax purposes. This represents the knowledge and experience of the employees retained as part of the transaction as well as the synergies and economies of scale expected from expanding the Midwest operating region to a national scale.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color w:val="000000"/>
          <w:sz w:val="20"/>
          <w:u w:val="none"/>
        </w:rPr>
        <w:t>Asset Acquisitions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val="0"/>
          <w:color w:val="000000"/>
          <w:sz w:val="20"/>
          <w:u w:val="none"/>
        </w:rPr>
        <w:t>During the year ended December 31, 2024, we completed eleven customer relationship asset acquisitions. The total purchase price of these acquisitions was 15,206, which consisted of 5,842 of cash paid during the year ended December 31, 2024, 1,381 of cash paid during the nine months ended September 30, 2025</w:t>
      </w:r>
      <w:r>
        <w:rPr>
          <w:rFonts w:ascii="Times New Roman" w:eastAsia="Times New Roman" w:hAnsi="Times New Roman" w:cs="Times New Roman"/>
          <w:b w:val="0"/>
          <w:i w:val="0"/>
          <w:color w:val="000000"/>
          <w:sz w:val="20"/>
          <w:u w:val="none"/>
          <w:shd w:val="clear" w:color="auto" w:fill="FFFFFF"/>
        </w:rPr>
        <w:t>,</w:t>
      </w:r>
      <w:r>
        <w:rPr>
          <w:rFonts w:ascii="Times New Roman" w:eastAsia="Times New Roman" w:hAnsi="Times New Roman" w:cs="Times New Roman"/>
          <w:b w:val="0"/>
          <w:i w:val="0"/>
          <w:color w:val="000000"/>
          <w:sz w:val="20"/>
          <w:u w:val="none"/>
        </w:rPr>
        <w:t xml:space="preserve"> 1,462 of cash to be paid over the next 12 months, 235 of cash to be paid thereafter, the delivery of promissory notes in the amount of 1,423, net of discounts, and the delivery of 500 shares of Asure common stock, which had an aggregate fair value of 4,863 at the acquisition dates. The purchase prices for certain of these acquisitions are subject to adjustments for contingent events which are generally expected to occur over the next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three years</w:t>
      </w:r>
      <w:r>
        <w:rPr>
          <w:rFonts w:ascii="Times New Roman" w:eastAsia="Times New Roman" w:hAnsi="Times New Roman" w:cs="Times New Roman"/>
          <w:b w:val="0"/>
          <w:i w:val="0"/>
          <w:color w:val="000000"/>
          <w:sz w:val="20"/>
          <w:u w:val="none"/>
        </w:rPr>
        <w:t xml:space="preserve"> following September 30, 2025, including revenue generated from the acquired assets. The acquired customer relationships are recorded as intangible assets and are being amortized on a straight-line basis over </w:t>
      </w:r>
      <w:r>
        <w:rPr>
          <w:rFonts w:ascii="Times New Roman" w:eastAsia="Times New Roman" w:hAnsi="Times New Roman" w:cs="Times New Roman"/>
          <w:b w:val="0"/>
          <w:i w:val="0"/>
          <w:color w:val="000000"/>
          <w:sz w:val="20"/>
          <w:u w:val="none"/>
        </w:rPr>
        <w:t>eight years</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See Note 6 — </w:t>
      </w:r>
      <w:r>
        <w:rPr>
          <w:rFonts w:ascii="Times New Roman" w:eastAsia="Times New Roman" w:hAnsi="Times New Roman" w:cs="Times New Roman"/>
          <w:b w:val="0"/>
          <w:i/>
          <w:color w:val="000000"/>
          <w:sz w:val="20"/>
          <w:u w:val="none"/>
        </w:rPr>
        <w:t xml:space="preserve">Notes Payable </w:t>
      </w:r>
      <w:r>
        <w:rPr>
          <w:rFonts w:ascii="Times New Roman" w:eastAsia="Times New Roman" w:hAnsi="Times New Roman" w:cs="Times New Roman"/>
          <w:b w:val="0"/>
          <w:i w:val="0"/>
          <w:color w:val="000000"/>
          <w:sz w:val="20"/>
          <w:u w:val="none"/>
        </w:rPr>
        <w:t>for information related to outstanding debt in connection with our business combinations and asset acquisitions.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sz w:val="20"/>
        </w:rPr>
      </w:pPr>
      <w:bookmarkStart w:id="12" w:name="Section13"/>
      <w:bookmarkEnd w:id="12"/>
      <w:r>
        <w:rPr>
          <w:rFonts w:ascii="Times New Roman" w:eastAsia="Times New Roman" w:hAnsi="Times New Roman" w:cs="Times New Roman"/>
          <w:b/>
          <w:i w:val="0"/>
          <w:sz w:val="20"/>
        </w:rPr>
        <w:t xml:space="preserve">NOTE 4 - </w:t>
      </w:r>
      <w:r>
        <w:rPr>
          <w:rFonts w:ascii="Times New Roman" w:eastAsia="Times New Roman" w:hAnsi="Times New Roman" w:cs="Times New Roman"/>
          <w:b/>
          <w:i w:val="0"/>
          <w:color w:val="000000"/>
          <w:sz w:val="20"/>
          <w:u w:val="none"/>
        </w:rPr>
        <w:t>INVESTMENTS AND FAIR VALUE MEASUREMENTS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Accounting Standards Codification (ASC) 820 “Fair Value Measurement” (“ASC 820”) defines fair value, establishes a framework for measuring fair value under U.S. GAAP and enhances disclosures about fair value measurements. Fair value is defined as the exchange price that would be received for an asset or paid to transfer a liability (an exit price) in the principal or most advantageous market for the asset or liability in an orderly transaction between market participants on the measurement date. Valuation techniques used to measure fair value must maximize the use of observable inputs and minimize the use of unobservable inputs. ASC 820 describes a fair value hierarchy based on the following three levels of inputs that may be used to measure fair value, of which the first two are considered observable and the last unobservable: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tbl>
      <w:tblPr>
        <w:tblW w:w="95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80"/>
        <w:gridCol w:w="195"/>
        <w:gridCol w:w="8595"/>
      </w:tblGrid>
      <w:tr>
        <w:tblPrEx>
          <w:tblW w:w="9570" w:type="dxa"/>
          <w:tblInd w:w="720" w:type="dxa"/>
          <w:tblLayout w:type="fixed"/>
        </w:tblPrEx>
        <w:trPr>
          <w:cantSplit/>
          <w:trHeight w:hRule="exact" w:val="315"/>
        </w:trPr>
        <w:tc>
          <w:tcPr>
            <w:tcW w:w="78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Level 1:</w:t>
            </w: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Quoted prices in active markets for </w:t>
            </w:r>
            <w:r>
              <w:rPr>
                <w:rFonts w:ascii="Times New Roman" w:eastAsia="Times New Roman" w:hAnsi="Times New Roman" w:cs="Times New Roman"/>
                <w:b w:val="0"/>
                <w:i/>
                <w:sz w:val="20"/>
              </w:rPr>
              <w:t>identical</w:t>
            </w:r>
            <w:r>
              <w:rPr>
                <w:rFonts w:ascii="Times New Roman" w:eastAsia="Times New Roman" w:hAnsi="Times New Roman" w:cs="Times New Roman"/>
                <w:b w:val="0"/>
                <w:i w:val="0"/>
                <w:sz w:val="20"/>
              </w:rPr>
              <w:t xml:space="preserve"> assets or liabilities;</w:t>
            </w:r>
          </w:p>
        </w:tc>
      </w:tr>
      <w:tr>
        <w:tblPrEx>
          <w:tblW w:w="9570" w:type="dxa"/>
          <w:tblInd w:w="720" w:type="dxa"/>
          <w:tblLayout w:type="fixed"/>
        </w:tblPrEx>
        <w:trPr>
          <w:cantSplit/>
          <w:trHeight w:hRule="exact" w:val="315"/>
        </w:trPr>
        <w:tc>
          <w:tcPr>
            <w:tcW w:w="7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9570" w:type="dxa"/>
          <w:tblInd w:w="720" w:type="dxa"/>
          <w:tblLayout w:type="fixed"/>
        </w:tblPrEx>
        <w:trPr>
          <w:cantSplit/>
          <w:trHeight w:hRule="exact" w:val="675"/>
        </w:trPr>
        <w:tc>
          <w:tcPr>
            <w:tcW w:w="78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Level 2:</w:t>
            </w: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keepNext/>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Quoted prices in active markets for </w:t>
            </w:r>
            <w:r>
              <w:rPr>
                <w:rFonts w:ascii="Times New Roman" w:eastAsia="Times New Roman" w:hAnsi="Times New Roman" w:cs="Times New Roman"/>
                <w:b w:val="0"/>
                <w:i/>
                <w:sz w:val="20"/>
              </w:rPr>
              <w:t>similar</w:t>
            </w:r>
            <w:r>
              <w:rPr>
                <w:rFonts w:ascii="Times New Roman" w:eastAsia="Times New Roman" w:hAnsi="Times New Roman" w:cs="Times New Roman"/>
                <w:b w:val="0"/>
                <w:i w:val="0"/>
                <w:sz w:val="20"/>
              </w:rPr>
              <w:t xml:space="preserve"> assets or liabilities; quoted prices in markets that are not active for identical or similar assets or liabilities; and model-driven valuations whose significant inputs are observable; and</w:t>
            </w:r>
          </w:p>
        </w:tc>
      </w:tr>
      <w:tr>
        <w:tblPrEx>
          <w:tblW w:w="9570" w:type="dxa"/>
          <w:tblInd w:w="720" w:type="dxa"/>
          <w:tblLayout w:type="fixed"/>
        </w:tblPrEx>
        <w:trPr>
          <w:cantSplit/>
          <w:trHeight w:hRule="exact" w:val="315"/>
        </w:trPr>
        <w:tc>
          <w:tcPr>
            <w:tcW w:w="78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85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9570" w:type="dxa"/>
          <w:tblInd w:w="720" w:type="dxa"/>
          <w:tblLayout w:type="fixed"/>
        </w:tblPrEx>
        <w:trPr>
          <w:cantSplit/>
          <w:trHeight w:hRule="exact" w:val="465"/>
        </w:trPr>
        <w:tc>
          <w:tcPr>
            <w:tcW w:w="78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Level 3:</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59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both"/>
            </w:pPr>
            <w:r>
              <w:rPr>
                <w:rFonts w:ascii="Times New Roman" w:eastAsia="Times New Roman" w:hAnsi="Times New Roman" w:cs="Times New Roman"/>
                <w:b w:val="0"/>
                <w:i w:val="0"/>
                <w:color w:val="000000"/>
                <w:sz w:val="20"/>
                <w:u w:val="none"/>
              </w:rPr>
              <w:t>Unobservable inputs that are supported by little or no market activity and that are significant to the fair value of the assets or liabilities.</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presents the fair value hierarchy for our financial assets and liabilities measured at fair value on a recurring basis for the periods presented below (in thousands):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95"/>
        <w:gridCol w:w="1485"/>
        <w:gridCol w:w="75"/>
        <w:gridCol w:w="1485"/>
        <w:gridCol w:w="75"/>
        <w:gridCol w:w="1485"/>
        <w:gridCol w:w="75"/>
        <w:gridCol w:w="1485"/>
      </w:tblGrid>
      <w:tr>
        <w:tblPrEx>
          <w:tblW w:w="10260" w:type="dxa"/>
          <w:tblLayout w:type="fixed"/>
        </w:tblPrEx>
        <w:trPr>
          <w:cantSplit/>
          <w:trHeight w:hRule="exact" w:val="465"/>
        </w:trPr>
        <w:tc>
          <w:tcPr>
            <w:tcW w:w="40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Total Carrying Value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2</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Level 3</w:t>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September 30, 2025</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Assets:</w:t>
            </w: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i w:val="0"/>
                <w:color w:val="000000"/>
                <w:sz w:val="20"/>
                <w:u w:val="none"/>
              </w:rPr>
              <w:t> </w:t>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Funds held for clients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Money market funds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1,250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1,250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84,391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84,391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85,641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1,250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84,391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Layout w:type="fixed"/>
        </w:tblPrEx>
        <w:trPr>
          <w:cantSplit/>
          <w:trHeight w:hRule="exact" w:val="255"/>
        </w:trPr>
        <w:tc>
          <w:tcPr>
            <w:tcW w:w="40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2024</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Assets: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Funds held for clients</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Money market funds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68,328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68,328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76,433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8,105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68,328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bl>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Cash equivalents and investments classified as available-for-sale within funds held for clients consisted of the following for the periods presented below (in thousands):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095"/>
        <w:gridCol w:w="1485"/>
        <w:gridCol w:w="75"/>
        <w:gridCol w:w="1485"/>
        <w:gridCol w:w="75"/>
        <w:gridCol w:w="1485"/>
        <w:gridCol w:w="75"/>
        <w:gridCol w:w="1485"/>
      </w:tblGrid>
      <w:tr>
        <w:tblPrEx>
          <w:tblW w:w="10260" w:type="dxa"/>
          <w:tblLayout w:type="fixed"/>
        </w:tblPrEx>
        <w:trPr>
          <w:cantSplit/>
          <w:trHeight w:hRule="exact" w:val="705"/>
        </w:trPr>
        <w:tc>
          <w:tcPr>
            <w:tcW w:w="40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Amortized</w:t>
            </w:r>
          </w:p>
          <w:p>
            <w:pPr>
              <w:spacing w:after="30" w:line="240" w:lineRule="auto"/>
              <w:jc w:val="center"/>
            </w:pPr>
            <w:r>
              <w:rPr>
                <w:rFonts w:ascii="Times New Roman" w:eastAsia="Times New Roman" w:hAnsi="Times New Roman" w:cs="Times New Roman"/>
                <w:b/>
                <w:i w:val="0"/>
                <w:color w:val="000000"/>
                <w:sz w:val="20"/>
                <w:u w:val="none"/>
              </w:rPr>
              <w:t>Cost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numPr>
                <w:ilvl w:val="0"/>
                <w:numId w:val="0"/>
              </w:numPr>
              <w:spacing w:before="53"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Gross</w:t>
            </w:r>
          </w:p>
          <w:p>
            <w:pPr>
              <w:pageBreakBefore w:val="0"/>
              <w:numPr>
                <w:ilvl w:val="0"/>
                <w:numId w:val="0"/>
              </w:numPr>
              <w:spacing w:before="0"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Unrealized</w:t>
            </w:r>
          </w:p>
          <w:p>
            <w:pPr>
              <w:pageBreakBefore w:val="0"/>
              <w:numPr>
                <w:ilvl w:val="0"/>
                <w:numId w:val="0"/>
              </w:numPr>
              <w:spacing w:before="0" w:after="30" w:line="200" w:lineRule="exact"/>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Gains </w:t>
            </w:r>
            <w:r>
              <w:rPr>
                <w:rFonts w:ascii="Times New Roman" w:eastAsia="Times New Roman" w:hAnsi="Times New Roman" w:cs="Times New Roman"/>
                <w:b/>
                <w:i w:val="0"/>
                <w:sz w:val="20"/>
                <w:vertAlign w:val="superscript"/>
              </w:rPr>
              <w:t>(1)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numPr>
                <w:ilvl w:val="0"/>
                <w:numId w:val="0"/>
              </w:numPr>
              <w:spacing w:before="53"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Gross</w:t>
            </w:r>
          </w:p>
          <w:p>
            <w:pPr>
              <w:pageBreakBefore w:val="0"/>
              <w:numPr>
                <w:ilvl w:val="0"/>
                <w:numId w:val="0"/>
              </w:numPr>
              <w:spacing w:before="0" w:after="0" w:line="240" w:lineRule="auto"/>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Unrealized</w:t>
            </w:r>
          </w:p>
          <w:p>
            <w:pPr>
              <w:pageBreakBefore w:val="0"/>
              <w:numPr>
                <w:ilvl w:val="0"/>
                <w:numId w:val="0"/>
              </w:numPr>
              <w:spacing w:before="0" w:after="30" w:line="200" w:lineRule="exact"/>
              <w:ind w:left="0" w:right="0" w:firstLine="0"/>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Losses </w:t>
            </w:r>
            <w:r>
              <w:rPr>
                <w:rFonts w:ascii="Times New Roman" w:eastAsia="Times New Roman" w:hAnsi="Times New Roman" w:cs="Times New Roman"/>
                <w:b/>
                <w:i w:val="0"/>
                <w:sz w:val="20"/>
                <w:vertAlign w:val="superscript"/>
              </w:rPr>
              <w:t>(1)</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Aggregate</w:t>
            </w:r>
          </w:p>
          <w:p>
            <w:pPr>
              <w:spacing w:line="240" w:lineRule="auto"/>
              <w:jc w:val="center"/>
            </w:pPr>
            <w:r>
              <w:rPr>
                <w:rFonts w:ascii="Times New Roman" w:eastAsia="Times New Roman" w:hAnsi="Times New Roman" w:cs="Times New Roman"/>
                <w:b/>
                <w:i w:val="0"/>
                <w:color w:val="000000"/>
                <w:sz w:val="20"/>
                <w:u w:val="none"/>
              </w:rPr>
              <w:t>Estimated</w:t>
            </w:r>
          </w:p>
          <w:p>
            <w:pPr>
              <w:spacing w:after="30" w:line="240" w:lineRule="auto"/>
              <w:jc w:val="center"/>
            </w:pPr>
            <w:r>
              <w:rPr>
                <w:rFonts w:ascii="Times New Roman" w:eastAsia="Times New Roman" w:hAnsi="Times New Roman" w:cs="Times New Roman"/>
                <w:b/>
                <w:i w:val="0"/>
                <w:color w:val="000000"/>
                <w:sz w:val="20"/>
                <w:u w:val="none"/>
              </w:rPr>
              <w:t>Fair Value</w:t>
            </w:r>
          </w:p>
        </w:tc>
      </w:tr>
      <w:tr>
        <w:tblPrEx>
          <w:tblW w:w="10260" w:type="dxa"/>
          <w:tblLayout w:type="fixed"/>
        </w:tblPrEx>
        <w:trPr>
          <w:cantSplit/>
          <w:trHeight w:hRule="exact" w:val="300"/>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September 30, 2025</w:t>
            </w: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Cash equivalents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1,251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66"/>
              </w:tabs>
              <w:spacing w:before="53" w:after="30" w:line="240" w:lineRule="auto"/>
              <w:jc w:val="right"/>
            </w:pPr>
            <w:r>
              <w:rPr>
                <w:rFonts w:ascii="Times New Roman" w:eastAsia="Times New Roman" w:hAnsi="Times New Roman" w:cs="Times New Roman"/>
                <w:b w:val="0"/>
                <w:i w:val="0"/>
                <w:color w:val="000000"/>
                <w:sz w:val="20"/>
                <w:u w:val="none"/>
              </w:rPr>
              <w:t>$</w:t>
              <w:tab/>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1,250</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Corporate debt securities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78,556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461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(118)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78,899</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Municipal bonds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2,004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ab/>
              <w:t>(33)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1,971</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U.S. Government agency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3,498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23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3,521</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available-for-sale securities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84,058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484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33" w:after="30" w:line="240" w:lineRule="auto"/>
              <w:jc w:val="right"/>
            </w:pPr>
            <w:r>
              <w:rPr>
                <w:rFonts w:ascii="Times New Roman" w:eastAsia="Times New Roman" w:hAnsi="Times New Roman" w:cs="Times New Roman"/>
                <w:b w:val="0"/>
                <w:i w:val="0"/>
                <w:color w:val="000000"/>
                <w:sz w:val="20"/>
                <w:u w:val="none"/>
              </w:rPr>
              <w:tab/>
              <w:t>(151)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84,391</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Total</w:t>
            </w:r>
            <w:r>
              <w:rPr>
                <w:rFonts w:ascii="Times New Roman" w:eastAsia="Times New Roman" w:hAnsi="Times New Roman" w:cs="Times New Roman"/>
                <w:b w:val="0"/>
                <w:i w:val="0"/>
                <w:sz w:val="20"/>
                <w:vertAlign w:val="superscript"/>
              </w:rPr>
              <w:t>(2)</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85,309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484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66"/>
              </w:tabs>
              <w:spacing w:before="33" w:after="30" w:line="240" w:lineRule="auto"/>
              <w:jc w:val="right"/>
            </w:pPr>
            <w:r>
              <w:rPr>
                <w:rFonts w:ascii="Times New Roman" w:eastAsia="Times New Roman" w:hAnsi="Times New Roman" w:cs="Times New Roman"/>
                <w:b w:val="0"/>
                <w:i w:val="0"/>
                <w:color w:val="000000"/>
                <w:sz w:val="20"/>
                <w:u w:val="none"/>
              </w:rPr>
              <w:t>$</w:t>
              <w:tab/>
              <w:t>(152)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85,641</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2024</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Cash equivalents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8,115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w:t>
              <w:tab/>
              <w:t>(10)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8,105</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Available-for-sale securities:</w:t>
            </w: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Corporate debt securities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63,253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52"/>
                <w:tab w:val="left" w:pos="1417"/>
              </w:tabs>
              <w:spacing w:before="53" w:after="30" w:line="240" w:lineRule="auto"/>
              <w:jc w:val="right"/>
            </w:pPr>
            <w:r>
              <w:rPr>
                <w:rFonts w:ascii="Times New Roman" w:eastAsia="Times New Roman" w:hAnsi="Times New Roman" w:cs="Times New Roman"/>
                <w:b w:val="0"/>
                <w:i w:val="0"/>
                <w:color w:val="000000"/>
                <w:sz w:val="20"/>
                <w:u w:val="none"/>
              </w:rPr>
              <w:tab/>
              <w:t>164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(619)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62,798</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Municipal bonds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3,194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53" w:after="30" w:line="240" w:lineRule="auto"/>
              <w:jc w:val="right"/>
            </w:pPr>
            <w:r>
              <w:rPr>
                <w:rFonts w:ascii="Times New Roman" w:eastAsia="Times New Roman" w:hAnsi="Times New Roman" w:cs="Times New Roman"/>
                <w:b w:val="0"/>
                <w:i w:val="0"/>
                <w:color w:val="000000"/>
                <w:sz w:val="20"/>
                <w:u w:val="none"/>
              </w:rPr>
              <w:tab/>
              <w:t>(104)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3,090</w:t>
              <w:tab/>
            </w:r>
          </w:p>
        </w:tc>
      </w:tr>
      <w:tr>
        <w:tblPrEx>
          <w:tblW w:w="10260" w:type="dxa"/>
          <w:tblLayout w:type="fixed"/>
        </w:tblPrEx>
        <w:trPr>
          <w:cantSplit/>
          <w:trHeight w:hRule="exact" w:val="285"/>
        </w:trPr>
        <w:tc>
          <w:tcPr>
            <w:tcW w:w="40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U.S. Government agency securities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2,449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52"/>
                <w:tab w:val="left" w:pos="1417"/>
              </w:tabs>
              <w:spacing w:before="53" w:after="30" w:line="240" w:lineRule="auto"/>
              <w:jc w:val="right"/>
            </w:pPr>
            <w:r>
              <w:rPr>
                <w:rFonts w:ascii="Times New Roman" w:eastAsia="Times New Roman" w:hAnsi="Times New Roman" w:cs="Times New Roman"/>
                <w:b w:val="0"/>
                <w:i w:val="0"/>
                <w:color w:val="000000"/>
                <w:sz w:val="20"/>
                <w:u w:val="none"/>
              </w:rPr>
              <w:tab/>
              <w:t>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066"/>
              </w:tabs>
              <w:spacing w:before="53" w:after="30" w:line="240" w:lineRule="auto"/>
              <w:jc w:val="right"/>
            </w:pPr>
            <w:r>
              <w:rPr>
                <w:rFonts w:ascii="Times New Roman" w:eastAsia="Times New Roman" w:hAnsi="Times New Roman" w:cs="Times New Roman"/>
                <w:b w:val="0"/>
                <w:i w:val="0"/>
                <w:color w:val="000000"/>
                <w:sz w:val="20"/>
                <w:u w:val="none"/>
              </w:rPr>
              <w:tab/>
              <w:t>(15)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2,440</w:t>
              <w:tab/>
            </w:r>
          </w:p>
        </w:tc>
      </w:tr>
      <w:tr>
        <w:tblPrEx>
          <w:tblW w:w="10260" w:type="dxa"/>
          <w:tblLayout w:type="fixed"/>
        </w:tblPrEx>
        <w:trPr>
          <w:cantSplit/>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available-for-sale securities</w:t>
            </w: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68,896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ab/>
              <w:t>170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966"/>
              </w:tabs>
              <w:spacing w:before="33" w:after="30" w:line="240" w:lineRule="auto"/>
              <w:jc w:val="right"/>
            </w:pPr>
            <w:r>
              <w:rPr>
                <w:rFonts w:ascii="Times New Roman" w:eastAsia="Times New Roman" w:hAnsi="Times New Roman" w:cs="Times New Roman"/>
                <w:b w:val="0"/>
                <w:i w:val="0"/>
                <w:color w:val="000000"/>
                <w:sz w:val="20"/>
                <w:u w:val="none"/>
              </w:rPr>
              <w:tab/>
              <w:t>(738)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4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ab/>
              <w:t>68,328</w:t>
              <w:tab/>
            </w:r>
          </w:p>
        </w:tc>
      </w:tr>
      <w:tr>
        <w:tblPrEx>
          <w:tblW w:w="10260" w:type="dxa"/>
          <w:tblLayout w:type="fixed"/>
        </w:tblPrEx>
        <w:trPr>
          <w:cantSplit/>
          <w:trHeight w:hRule="exact" w:val="315"/>
        </w:trPr>
        <w:tc>
          <w:tcPr>
            <w:tcW w:w="40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485" w:type="dxa"/>
            <w:tcBorders>
              <w:top w:val="nil"/>
              <w:left w:val="nil"/>
              <w:bottom w:val="single" w:sz="8" w:space="0" w:color="000000"/>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315"/>
        </w:trPr>
        <w:tc>
          <w:tcPr>
            <w:tcW w:w="40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Total</w:t>
            </w:r>
            <w:r>
              <w:rPr>
                <w:rFonts w:ascii="Times New Roman" w:eastAsia="Times New Roman" w:hAnsi="Times New Roman" w:cs="Times New Roman"/>
                <w:b w:val="0"/>
                <w:i w:val="0"/>
                <w:sz w:val="20"/>
                <w:vertAlign w:val="superscript"/>
              </w:rPr>
              <w:t>(2)</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77,011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5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170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66"/>
              </w:tabs>
              <w:spacing w:before="33" w:after="30" w:line="240" w:lineRule="auto"/>
              <w:jc w:val="right"/>
            </w:pPr>
            <w:r>
              <w:rPr>
                <w:rFonts w:ascii="Times New Roman" w:eastAsia="Times New Roman" w:hAnsi="Times New Roman" w:cs="Times New Roman"/>
                <w:b w:val="0"/>
                <w:i w:val="0"/>
                <w:color w:val="000000"/>
                <w:sz w:val="20"/>
                <w:u w:val="none"/>
              </w:rPr>
              <w:t>$</w:t>
              <w:tab/>
              <w:t>(748)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76,433</w:t>
              <w:tab/>
            </w:r>
          </w:p>
        </w:tc>
      </w:tr>
    </w:tbl>
    <w:p>
      <w:pPr>
        <w:keepNext w:val="0"/>
        <w:keepLines/>
        <w:pageBreakBefore w:val="0"/>
        <w:widowControl w:val="0"/>
        <w:numPr>
          <w:ilvl w:val="0"/>
          <w:numId w:val="14"/>
        </w:numPr>
        <w:spacing w:before="0" w:after="0" w:line="288" w:lineRule="auto"/>
        <w:ind w:left="720" w:right="0" w:hanging="720"/>
        <w:jc w:val="both"/>
        <w:outlineLvl w:val="9"/>
        <w:rPr>
          <w:rFonts w:ascii="Times New Roman" w:eastAsia="Times New Roman" w:hAnsi="Times New Roman" w:cs="Times New Roman"/>
          <w:b w:val="0"/>
          <w:i w:val="0"/>
          <w:color w:val="000000"/>
          <w:sz w:val="16"/>
          <w:u w:val="none"/>
        </w:rPr>
      </w:pPr>
      <w:r>
        <w:rPr>
          <w:rFonts w:ascii="Times New Roman" w:eastAsia="Times New Roman" w:hAnsi="Times New Roman" w:cs="Times New Roman"/>
          <w:b w:val="0"/>
          <w:i w:val="0"/>
          <w:color w:val="000000"/>
          <w:sz w:val="16"/>
          <w:u w:val="none"/>
        </w:rPr>
        <w:t xml:space="preserve">Unrealized gains and losses on available-for-sale securities are included as a component of comprehensive income (loss). As of September 30, 2025, and December 31, 2024, there were 122 and 45 securities, respectively, in an unrealized gain position and there were 30 and 89 securities in an unrealized loss position, respectively. As of September 30, 2025, these unrealized losses were less than $18 individually and $151 in the aggregate. As of December 31, 2024, these unrealized losses were less than $38 individually and $738 in the aggregate. We invest in high quality securities with roughly </w:t>
      </w:r>
      <w:r>
        <w:rPr>
          <w:rFonts w:ascii="Times New Roman" w:eastAsia="Times New Roman" w:hAnsi="Times New Roman" w:cs="Times New Roman"/>
          <w:b w:val="0"/>
          <w:i w:val="0"/>
          <w:color w:val="000000"/>
          <w:sz w:val="16"/>
          <w:u w:val="none"/>
        </w:rPr>
        <w:t>76%</w:t>
      </w:r>
      <w:r>
        <w:rPr>
          <w:rFonts w:ascii="Times New Roman" w:eastAsia="Times New Roman" w:hAnsi="Times New Roman" w:cs="Times New Roman"/>
          <w:b w:val="0"/>
          <w:i w:val="0"/>
          <w:color w:val="000000"/>
          <w:sz w:val="16"/>
          <w:u w:val="none"/>
        </w:rPr>
        <w:t xml:space="preserve"> of our portfolio made up of A ratings and above with unrealized losses primarily attributable to macroeconomic factors rather than credit related. We have no material individual securities that have been in a continuous unrealized loss position greater than twelve months. We do not intend to sell these investments and we do not expect to sell these investments before recovery of their amortized cost basis, which may be at maturity. We review our investments to identify and evaluate investments that indicate possible credit losses. Factors considered in determining whether a loss is a credit loss include the length of time and extent to which fair value has been less than the cost basis, the financial condition and near-term prospects of the investee, and our intent and ability to hold the investment for a period of time sufficient to allow for any anticipated recovery in market value.</w:t>
      </w:r>
    </w:p>
    <w:p>
      <w:pPr>
        <w:keepNext w:val="0"/>
        <w:keepLines/>
        <w:pageBreakBefore w:val="0"/>
        <w:widowControl w:val="0"/>
        <w:numPr>
          <w:ilvl w:val="0"/>
          <w:numId w:val="14"/>
        </w:numPr>
        <w:spacing w:before="0" w:after="0" w:line="288" w:lineRule="auto"/>
        <w:ind w:left="720" w:right="0" w:hanging="720"/>
        <w:jc w:val="both"/>
        <w:outlineLvl w:val="9"/>
        <w:rPr>
          <w:rFonts w:ascii="Times New Roman" w:eastAsia="Times New Roman" w:hAnsi="Times New Roman" w:cs="Times New Roman"/>
          <w:b w:val="0"/>
          <w:i w:val="0"/>
          <w:color w:val="000000"/>
          <w:sz w:val="16"/>
          <w:u w:val="none"/>
        </w:rPr>
      </w:pPr>
      <w:r>
        <w:rPr>
          <w:rFonts w:ascii="Times New Roman" w:eastAsia="Times New Roman" w:hAnsi="Times New Roman" w:cs="Times New Roman"/>
          <w:b w:val="0"/>
          <w:i w:val="0"/>
          <w:color w:val="000000"/>
          <w:sz w:val="16"/>
          <w:u w:val="none"/>
        </w:rPr>
        <w:t>At September 30, 2025 and December 31, 2024, none of these securities were classified as cash and cash equivalents on the accompanying Condensed Consolidated Balance Sheets.</w:t>
      </w:r>
    </w:p>
    <w:p>
      <w:pPr>
        <w:keepNext w:val="0"/>
        <w:keepLines/>
        <w:pageBreakBefore w:val="0"/>
        <w:widowControl w:val="0"/>
        <w:numPr>
          <w:ilvl w:val="0"/>
          <w:numId w:val="0"/>
        </w:numPr>
        <w:spacing w:before="0" w:after="0" w:line="288" w:lineRule="auto"/>
        <w:ind w:left="0" w:right="0" w:hanging="36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Funds held for clients represent assets that we have classified for use solely for the purposes of satisfying the obligations to remit funds relating to our payroll and payroll tax filing services, which are classified as client funds obligations on our Condensed Consolidated Balance Sheets.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Funds held for clients have been invested in the following categories for the periods presented below (in thousands):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95"/>
        <w:gridCol w:w="1860"/>
        <w:gridCol w:w="75"/>
        <w:gridCol w:w="1860"/>
      </w:tblGrid>
      <w:tr>
        <w:tblPrEx>
          <w:tblW w:w="9990" w:type="dxa"/>
          <w:tblLayout w:type="fixed"/>
        </w:tblPrEx>
        <w:trPr>
          <w:cantSplit/>
          <w:trHeight w:hRule="exact" w:val="285"/>
        </w:trPr>
        <w:tc>
          <w:tcPr>
            <w:tcW w:w="619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September 30, 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2024</w:t>
            </w:r>
          </w:p>
        </w:tc>
      </w:tr>
      <w:tr>
        <w:tblPrEx>
          <w:tblW w:w="9990" w:type="dxa"/>
          <w:tblLayout w:type="fixed"/>
        </w:tblPrEx>
        <w:trPr>
          <w:cantSplit/>
          <w:trHeight w:hRule="exact" w:val="285"/>
        </w:trPr>
        <w:tc>
          <w:tcPr>
            <w:tcW w:w="61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18"/>
                <w:u w:val="none"/>
              </w:rPr>
              <w:t>Restricted cash and cash equivalents held to satisfy client funds obligations</w:t>
            </w: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63,947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124,287</w:t>
              <w:tab/>
            </w:r>
          </w:p>
        </w:tc>
      </w:tr>
      <w:tr>
        <w:tblPrEx>
          <w:tblW w:w="9990" w:type="dxa"/>
          <w:tblLayout w:type="fixed"/>
        </w:tblPrEx>
        <w:trPr>
          <w:cantSplit/>
          <w:trHeight w:hRule="exact" w:val="285"/>
        </w:trPr>
        <w:tc>
          <w:tcPr>
            <w:tcW w:w="61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Restricted short-term marketable securities held to satisfy client funds obligations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11,376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77"/>
                <w:tab w:val="left" w:pos="1792"/>
              </w:tabs>
              <w:spacing w:before="53" w:after="30" w:line="240" w:lineRule="auto"/>
              <w:jc w:val="right"/>
            </w:pPr>
            <w:r>
              <w:rPr>
                <w:rFonts w:ascii="Times New Roman" w:eastAsia="Times New Roman" w:hAnsi="Times New Roman" w:cs="Times New Roman"/>
                <w:b w:val="0"/>
                <w:i w:val="0"/>
                <w:color w:val="000000"/>
                <w:sz w:val="20"/>
                <w:u w:val="none"/>
              </w:rPr>
              <w:tab/>
              <w:t>5,273</w:t>
              <w:tab/>
            </w:r>
          </w:p>
        </w:tc>
      </w:tr>
      <w:tr>
        <w:tblPrEx>
          <w:tblW w:w="9990" w:type="dxa"/>
          <w:tblLayout w:type="fixed"/>
        </w:tblPrEx>
        <w:trPr>
          <w:cantSplit/>
          <w:trHeight w:hRule="exact" w:val="285"/>
        </w:trPr>
        <w:tc>
          <w:tcPr>
            <w:tcW w:w="61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18"/>
                <w:u w:val="none"/>
              </w:rPr>
              <w:t>Restricted long-term marketable securities held to satisfy client funds obligations</w:t>
            </w: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73,015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63,055</w:t>
              <w:tab/>
            </w:r>
          </w:p>
        </w:tc>
      </w:tr>
      <w:tr>
        <w:tblPrEx>
          <w:tblW w:w="9990" w:type="dxa"/>
          <w:tblLayout w:type="fixed"/>
        </w:tblPrEx>
        <w:trPr>
          <w:cantSplit/>
          <w:trHeight w:hRule="exact" w:val="285"/>
        </w:trPr>
        <w:tc>
          <w:tcPr>
            <w:tcW w:w="619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18"/>
                <w:u w:val="none"/>
              </w:rPr>
              <w:t>Total funds held for clients</w:t>
            </w:r>
          </w:p>
        </w:tc>
        <w:tc>
          <w:tcPr>
            <w:tcW w:w="18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148,338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8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0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192,615</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val="0"/>
          <w:color w:val="000000"/>
          <w:sz w:val="20"/>
          <w:u w:val="none"/>
        </w:rPr>
        <w:t xml:space="preserve">Expected maturities of available-for-sale securities are as of </w:t>
      </w:r>
      <w:r>
        <w:rPr>
          <w:rFonts w:ascii="Times New Roman" w:eastAsia="Times New Roman" w:hAnsi="Times New Roman" w:cs="Times New Roman"/>
          <w:b w:val="0"/>
          <w:i w:val="0"/>
          <w:color w:val="000000"/>
          <w:sz w:val="18"/>
          <w:u w:val="none"/>
        </w:rPr>
        <w:t>September 30, 2025, are as</w:t>
      </w:r>
      <w:r>
        <w:rPr>
          <w:rFonts w:ascii="Times New Roman" w:eastAsia="Times New Roman" w:hAnsi="Times New Roman" w:cs="Times New Roman"/>
          <w:b w:val="0"/>
          <w:i w:val="0"/>
          <w:color w:val="000000"/>
          <w:sz w:val="20"/>
          <w:u w:val="none"/>
        </w:rPr>
        <w:t xml:space="preserve"> follows (in thousands):</w:t>
      </w:r>
    </w:p>
    <w:tbl>
      <w:tblPr>
        <w:tblW w:w="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tblGrid>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One year or less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11,376</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After one year through five years</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73,015</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84,391</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3" w:name="Section14"/>
      <w:bookmarkEnd w:id="13"/>
      <w:r>
        <w:rPr>
          <w:rFonts w:ascii="Times New Roman" w:eastAsia="Times New Roman" w:hAnsi="Times New Roman" w:cs="Times New Roman"/>
          <w:b/>
          <w:i w:val="0"/>
          <w:sz w:val="20"/>
        </w:rPr>
        <w:t>NOTE 5</w:t>
      </w:r>
      <w:r>
        <w:rPr>
          <w:rFonts w:ascii="Times New Roman" w:eastAsia="Times New Roman" w:hAnsi="Times New Roman" w:cs="Times New Roman"/>
          <w:b w:val="0"/>
          <w:i w:val="0"/>
          <w:sz w:val="20"/>
        </w:rPr>
        <w:t xml:space="preserve"> - </w:t>
      </w:r>
      <w:r>
        <w:rPr>
          <w:rFonts w:ascii="Times New Roman" w:eastAsia="Times New Roman" w:hAnsi="Times New Roman" w:cs="Times New Roman"/>
          <w:b/>
          <w:i w:val="0"/>
          <w:color w:val="000000"/>
          <w:sz w:val="20"/>
          <w:u w:val="none"/>
        </w:rPr>
        <w:t>GOODWILL AND OTHER INTANGIBLE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25"/>
        <w:gridCol w:w="1860"/>
        <w:gridCol w:w="75"/>
        <w:gridCol w:w="1860"/>
        <w:gridCol w:w="75"/>
        <w:gridCol w:w="1860"/>
      </w:tblGrid>
      <w:tr>
        <w:tblPrEx>
          <w:tblW w:w="10155" w:type="dxa"/>
          <w:tblLayout w:type="fixed"/>
        </w:tblPrEx>
        <w:trPr>
          <w:cantSplit/>
          <w:trHeight w:hRule="exact" w:val="285"/>
        </w:trPr>
        <w:tc>
          <w:tcPr>
            <w:tcW w:w="442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2024</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September 30, 2025</w:t>
            </w:r>
          </w:p>
        </w:tc>
      </w:tr>
      <w:tr>
        <w:tblPrEx>
          <w:tblW w:w="10155" w:type="dxa"/>
          <w:tblLayout w:type="fixed"/>
        </w:tblPrEx>
        <w:trPr>
          <w:cantSplit/>
          <w:trHeight w:hRule="exact" w:val="315"/>
        </w:trPr>
        <w:tc>
          <w:tcPr>
            <w:tcW w:w="442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Goodwill</w:t>
            </w: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94,724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21,035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0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115,759</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believe significant synergies are expected to arise from our strategic acquisitions and their assembled work forces. This factor contributed to a purchase price that was in excess of the fair value of the net assets acquired and, as a result, we recorded goodwill for each acquisition. A portion of acquired goodwill will be amortizable for tax purposes. As of September 30, 2025, there has been </w:t>
      </w:r>
      <w:r>
        <w:rPr>
          <w:rFonts w:ascii="Times New Roman" w:eastAsia="Times New Roman" w:hAnsi="Times New Roman" w:cs="Times New Roman"/>
          <w:b w:val="0"/>
          <w:i w:val="0"/>
          <w:color w:val="000000"/>
          <w:sz w:val="20"/>
          <w:u w:val="none"/>
        </w:rPr>
        <w:t>no</w:t>
      </w:r>
      <w:r>
        <w:rPr>
          <w:rFonts w:ascii="Times New Roman" w:eastAsia="Times New Roman" w:hAnsi="Times New Roman" w:cs="Times New Roman"/>
          <w:b w:val="0"/>
          <w:i w:val="0"/>
          <w:color w:val="000000"/>
          <w:sz w:val="20"/>
          <w:u w:val="none"/>
        </w:rPr>
        <w:t xml:space="preserve"> impairment of goodwill based on the qualitative assessments we have performed.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25"/>
        <w:gridCol w:w="1860"/>
        <w:gridCol w:w="105"/>
        <w:gridCol w:w="1860"/>
        <w:gridCol w:w="105"/>
        <w:gridCol w:w="1860"/>
      </w:tblGrid>
      <w:tr>
        <w:tblPrEx>
          <w:tblW w:w="10215" w:type="dxa"/>
          <w:tblLayout w:type="fixed"/>
        </w:tblPrEx>
        <w:trPr>
          <w:cantSplit/>
          <w:trHeight w:hRule="exact" w:val="285"/>
        </w:trPr>
        <w:tc>
          <w:tcPr>
            <w:tcW w:w="442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Gross Intangible Assets</w:t>
            </w: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2024</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Acquisitions</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September 30, 2025</w:t>
            </w:r>
          </w:p>
        </w:tc>
      </w:tr>
      <w:tr>
        <w:tblPrEx>
          <w:tblW w:w="10215" w:type="dxa"/>
          <w:tblLayout w:type="fixed"/>
        </w:tblPrEx>
        <w:trPr>
          <w:cantSplit/>
          <w:trHeight w:hRule="exact" w:val="315"/>
        </w:trPr>
        <w:tc>
          <w:tcPr>
            <w:tcW w:w="44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Customer relationships</w:t>
            </w: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148,097</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32,850</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180,947</w:t>
              <w:tab/>
            </w:r>
          </w:p>
        </w:tc>
      </w:tr>
      <w:tr>
        <w:tblPrEx>
          <w:tblW w:w="10215" w:type="dxa"/>
          <w:tblLayout w:type="fixed"/>
        </w:tblPrEx>
        <w:trPr>
          <w:cantSplit/>
          <w:trHeight w:hRule="exact" w:val="315"/>
        </w:trPr>
        <w:tc>
          <w:tcPr>
            <w:tcW w:w="44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186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15,201</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77"/>
                <w:tab w:val="left" w:pos="1792"/>
              </w:tabs>
              <w:spacing w:before="53" w:after="30" w:line="240" w:lineRule="auto"/>
              <w:jc w:val="right"/>
            </w:pPr>
            <w:r>
              <w:rPr>
                <w:rFonts w:ascii="Times New Roman" w:eastAsia="Times New Roman" w:hAnsi="Times New Roman" w:cs="Times New Roman"/>
                <w:b w:val="0"/>
                <w:i w:val="0"/>
                <w:color w:val="000000"/>
                <w:sz w:val="20"/>
                <w:u w:val="none"/>
              </w:rPr>
              <w:tab/>
              <w:t>4,300</w:t>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nil"/>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19,501</w:t>
            </w:r>
          </w:p>
        </w:tc>
      </w:tr>
      <w:tr>
        <w:tblPrEx>
          <w:tblW w:w="10215" w:type="dxa"/>
          <w:tblLayout w:type="fixed"/>
        </w:tblPrEx>
        <w:trPr>
          <w:cantSplit/>
          <w:trHeight w:hRule="exact" w:val="315"/>
        </w:trPr>
        <w:tc>
          <w:tcPr>
            <w:tcW w:w="44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18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880</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527"/>
                <w:tab w:val="left" w:pos="1792"/>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nil"/>
              <w:right w:val="nil"/>
            </w:tcBorders>
            <w:shd w:val="clear" w:color="auto" w:fill="CCEE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880</w:t>
            </w:r>
          </w:p>
        </w:tc>
      </w:tr>
      <w:tr>
        <w:tblPrEx>
          <w:tblW w:w="10215" w:type="dxa"/>
          <w:tblLayout w:type="fixed"/>
        </w:tblPrEx>
        <w:trPr>
          <w:cantSplit/>
          <w:trHeight w:hRule="exact" w:val="315"/>
        </w:trPr>
        <w:tc>
          <w:tcPr>
            <w:tcW w:w="44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1860"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1,032</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527"/>
                <w:tab w:val="left" w:pos="1792"/>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53" w:after="30" w:line="240" w:lineRule="auto"/>
              <w:jc w:val="right"/>
            </w:pPr>
            <w:r>
              <w:rPr>
                <w:rFonts w:ascii="Times New Roman" w:eastAsia="Times New Roman" w:hAnsi="Times New Roman" w:cs="Times New Roman"/>
                <w:b w:val="0"/>
                <w:i w:val="0"/>
                <w:color w:val="000000"/>
                <w:sz w:val="20"/>
                <w:u w:val="none"/>
              </w:rPr>
              <w:t>1,032</w:t>
            </w:r>
          </w:p>
        </w:tc>
      </w:tr>
      <w:tr>
        <w:tblPrEx>
          <w:tblW w:w="10215" w:type="dxa"/>
          <w:tblLayout w:type="fixed"/>
        </w:tblPrEx>
        <w:trPr>
          <w:cantSplit/>
          <w:trHeight w:hRule="exact" w:val="315"/>
        </w:trPr>
        <w:tc>
          <w:tcPr>
            <w:tcW w:w="442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165,210</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37,150</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202,360</w:t>
              <w:tab/>
            </w:r>
          </w:p>
        </w:tc>
      </w:tr>
    </w:tbl>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gross carrying amount and accumulated amortization of our intangible assets are as follows for the periods presented below (in thousands, except weighted average periods):</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65"/>
        <w:gridCol w:w="75"/>
        <w:gridCol w:w="1695"/>
        <w:gridCol w:w="75"/>
        <w:gridCol w:w="1695"/>
        <w:gridCol w:w="75"/>
        <w:gridCol w:w="1695"/>
        <w:gridCol w:w="75"/>
        <w:gridCol w:w="1695"/>
      </w:tblGrid>
      <w:tr>
        <w:tblPrEx>
          <w:tblW w:w="10245" w:type="dxa"/>
          <w:tblLayout w:type="fixed"/>
        </w:tblPrEx>
        <w:trPr>
          <w:cantSplit/>
          <w:trHeight w:hRule="exact" w:val="885"/>
        </w:trPr>
        <w:tc>
          <w:tcPr>
            <w:tcW w:w="316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Weighted Average</w:t>
            </w:r>
          </w:p>
          <w:p>
            <w:pPr>
              <w:spacing w:line="240" w:lineRule="auto"/>
              <w:jc w:val="center"/>
            </w:pPr>
            <w:r>
              <w:rPr>
                <w:rFonts w:ascii="Times New Roman" w:eastAsia="Times New Roman" w:hAnsi="Times New Roman" w:cs="Times New Roman"/>
                <w:b/>
                <w:i w:val="0"/>
                <w:color w:val="000000"/>
                <w:sz w:val="20"/>
                <w:u w:val="none"/>
              </w:rPr>
              <w:t>Amortization</w:t>
            </w:r>
          </w:p>
          <w:p>
            <w:pPr>
              <w:spacing w:line="240" w:lineRule="auto"/>
              <w:jc w:val="center"/>
            </w:pPr>
            <w:r>
              <w:rPr>
                <w:rFonts w:ascii="Times New Roman" w:eastAsia="Times New Roman" w:hAnsi="Times New Roman" w:cs="Times New Roman"/>
                <w:b/>
                <w:i w:val="0"/>
                <w:color w:val="000000"/>
                <w:sz w:val="20"/>
                <w:u w:val="none"/>
              </w:rPr>
              <w:t xml:space="preserve">Period </w:t>
            </w:r>
          </w:p>
          <w:p>
            <w:pPr>
              <w:spacing w:after="30" w:line="240" w:lineRule="auto"/>
              <w:jc w:val="center"/>
            </w:pPr>
            <w:r>
              <w:rPr>
                <w:rFonts w:ascii="Times New Roman" w:eastAsia="Times New Roman" w:hAnsi="Times New Roman" w:cs="Times New Roman"/>
                <w:b/>
                <w:i w:val="0"/>
                <w:color w:val="000000"/>
                <w:sz w:val="20"/>
                <w:u w:val="none"/>
              </w:rPr>
              <w:t>(in Years)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Gross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Accumulated</w:t>
            </w:r>
          </w:p>
          <w:p>
            <w:pPr>
              <w:spacing w:after="30" w:line="240" w:lineRule="auto"/>
              <w:jc w:val="center"/>
            </w:pPr>
            <w:r>
              <w:rPr>
                <w:rFonts w:ascii="Times New Roman" w:eastAsia="Times New Roman" w:hAnsi="Times New Roman" w:cs="Times New Roman"/>
                <w:b/>
                <w:i w:val="0"/>
                <w:color w:val="000000"/>
                <w:sz w:val="20"/>
                <w:u w:val="none"/>
              </w:rPr>
              <w:t>Amortization</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Net</w:t>
            </w:r>
          </w:p>
        </w:tc>
      </w:tr>
      <w:tr>
        <w:tblPrEx>
          <w:tblW w:w="10245" w:type="dxa"/>
          <w:tblLayout w:type="fixed"/>
        </w:tblPrEx>
        <w:trPr>
          <w:cantSplit/>
          <w:trHeight w:hRule="exact" w:val="285"/>
        </w:trPr>
        <w:tc>
          <w:tcPr>
            <w:tcW w:w="31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September 30, 2025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85"/>
        </w:trPr>
        <w:tc>
          <w:tcPr>
            <w:tcW w:w="31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Customer relationships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8.5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12"/>
                <w:tab w:val="left" w:pos="1627"/>
              </w:tabs>
              <w:spacing w:before="53" w:after="30" w:line="240" w:lineRule="auto"/>
              <w:jc w:val="right"/>
            </w:pPr>
            <w:r>
              <w:rPr>
                <w:rFonts w:ascii="Times New Roman" w:eastAsia="Times New Roman" w:hAnsi="Times New Roman" w:cs="Times New Roman"/>
                <w:b w:val="0"/>
                <w:i w:val="0"/>
                <w:color w:val="000000"/>
                <w:sz w:val="20"/>
                <w:u w:val="none"/>
              </w:rPr>
              <w:t>$</w:t>
              <w:tab/>
              <w:t>180,947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6"/>
              </w:tabs>
              <w:spacing w:before="53" w:after="30" w:line="240" w:lineRule="auto"/>
              <w:jc w:val="right"/>
            </w:pPr>
            <w:r>
              <w:rPr>
                <w:rFonts w:ascii="Times New Roman" w:eastAsia="Times New Roman" w:hAnsi="Times New Roman" w:cs="Times New Roman"/>
                <w:b w:val="0"/>
                <w:i w:val="0"/>
                <w:color w:val="000000"/>
                <w:sz w:val="20"/>
                <w:u w:val="none"/>
              </w:rPr>
              <w:t>$</w:t>
              <w:tab/>
              <w:t>(96,313)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12"/>
                <w:tab w:val="left" w:pos="1627"/>
              </w:tabs>
              <w:spacing w:before="53" w:after="30" w:line="240" w:lineRule="auto"/>
              <w:jc w:val="right"/>
            </w:pPr>
            <w:r>
              <w:rPr>
                <w:rFonts w:ascii="Times New Roman" w:eastAsia="Times New Roman" w:hAnsi="Times New Roman" w:cs="Times New Roman"/>
                <w:b w:val="0"/>
                <w:i w:val="0"/>
                <w:color w:val="000000"/>
                <w:sz w:val="20"/>
                <w:u w:val="none"/>
              </w:rPr>
              <w:t>$</w:t>
              <w:tab/>
              <w:t>84,634</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12"/>
                <w:tab w:val="left" w:pos="1627"/>
              </w:tabs>
              <w:spacing w:before="53" w:after="30" w:line="240" w:lineRule="auto"/>
              <w:jc w:val="right"/>
            </w:pPr>
            <w:r>
              <w:rPr>
                <w:rFonts w:ascii="Times New Roman" w:eastAsia="Times New Roman" w:hAnsi="Times New Roman" w:cs="Times New Roman"/>
                <w:b w:val="0"/>
                <w:i w:val="0"/>
                <w:color w:val="000000"/>
                <w:sz w:val="20"/>
                <w:u w:val="none"/>
              </w:rPr>
              <w:tab/>
              <w:t>19,501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6"/>
              </w:tabs>
              <w:spacing w:before="53" w:after="30" w:line="240" w:lineRule="auto"/>
              <w:jc w:val="right"/>
            </w:pPr>
            <w:r>
              <w:rPr>
                <w:rFonts w:ascii="Times New Roman" w:eastAsia="Times New Roman" w:hAnsi="Times New Roman" w:cs="Times New Roman"/>
                <w:b w:val="0"/>
                <w:i w:val="0"/>
                <w:color w:val="000000"/>
                <w:sz w:val="20"/>
                <w:u w:val="none"/>
              </w:rPr>
              <w:tab/>
              <w:t>(11,985)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12"/>
                <w:tab w:val="left" w:pos="1627"/>
              </w:tabs>
              <w:spacing w:before="53" w:after="30" w:line="240" w:lineRule="auto"/>
              <w:jc w:val="right"/>
            </w:pPr>
            <w:r>
              <w:rPr>
                <w:rFonts w:ascii="Times New Roman" w:eastAsia="Times New Roman" w:hAnsi="Times New Roman" w:cs="Times New Roman"/>
                <w:b w:val="0"/>
                <w:i w:val="0"/>
                <w:color w:val="000000"/>
                <w:sz w:val="20"/>
                <w:u w:val="none"/>
              </w:rPr>
              <w:tab/>
              <w:t>7,516</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4.3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62"/>
                <w:tab w:val="left" w:pos="1627"/>
              </w:tabs>
              <w:spacing w:before="53" w:after="30" w:line="240" w:lineRule="auto"/>
              <w:jc w:val="right"/>
            </w:pPr>
            <w:r>
              <w:rPr>
                <w:rFonts w:ascii="Times New Roman" w:eastAsia="Times New Roman" w:hAnsi="Times New Roman" w:cs="Times New Roman"/>
                <w:b w:val="0"/>
                <w:i w:val="0"/>
                <w:color w:val="000000"/>
                <w:sz w:val="20"/>
                <w:u w:val="none"/>
              </w:rPr>
              <w:tab/>
              <w:t>880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76"/>
              </w:tabs>
              <w:spacing w:before="53" w:after="30" w:line="240" w:lineRule="auto"/>
              <w:jc w:val="right"/>
            </w:pPr>
            <w:r>
              <w:rPr>
                <w:rFonts w:ascii="Times New Roman" w:eastAsia="Times New Roman" w:hAnsi="Times New Roman" w:cs="Times New Roman"/>
                <w:b w:val="0"/>
                <w:i w:val="0"/>
                <w:color w:val="000000"/>
                <w:sz w:val="20"/>
                <w:u w:val="none"/>
              </w:rPr>
              <w:tab/>
              <w:t>(880)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62"/>
                <w:tab w:val="left" w:pos="162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12"/>
                <w:tab w:val="left" w:pos="1627"/>
              </w:tabs>
              <w:spacing w:before="53" w:after="30" w:line="240" w:lineRule="auto"/>
              <w:jc w:val="right"/>
            </w:pPr>
            <w:r>
              <w:rPr>
                <w:rFonts w:ascii="Times New Roman" w:eastAsia="Times New Roman" w:hAnsi="Times New Roman" w:cs="Times New Roman"/>
                <w:b w:val="0"/>
                <w:i w:val="0"/>
                <w:color w:val="000000"/>
                <w:sz w:val="20"/>
                <w:u w:val="none"/>
              </w:rPr>
              <w:tab/>
              <w:t>1,032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76"/>
              </w:tabs>
              <w:spacing w:before="53" w:after="30" w:line="240" w:lineRule="auto"/>
              <w:jc w:val="right"/>
            </w:pPr>
            <w:r>
              <w:rPr>
                <w:rFonts w:ascii="Times New Roman" w:eastAsia="Times New Roman" w:hAnsi="Times New Roman" w:cs="Times New Roman"/>
                <w:b w:val="0"/>
                <w:i w:val="0"/>
                <w:color w:val="000000"/>
                <w:sz w:val="20"/>
                <w:u w:val="none"/>
              </w:rPr>
              <w:tab/>
              <w:t>(951)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362"/>
                <w:tab w:val="left" w:pos="1627"/>
              </w:tabs>
              <w:spacing w:before="53" w:after="30" w:line="240" w:lineRule="auto"/>
              <w:jc w:val="right"/>
            </w:pPr>
            <w:r>
              <w:rPr>
                <w:rFonts w:ascii="Times New Roman" w:eastAsia="Times New Roman" w:hAnsi="Times New Roman" w:cs="Times New Roman"/>
                <w:b w:val="0"/>
                <w:i w:val="0"/>
                <w:color w:val="000000"/>
                <w:sz w:val="20"/>
                <w:u w:val="none"/>
              </w:rPr>
              <w:tab/>
              <w:t>81</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8.2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912"/>
                <w:tab w:val="left" w:pos="1627"/>
              </w:tabs>
              <w:spacing w:before="33" w:after="30" w:line="240" w:lineRule="auto"/>
              <w:jc w:val="right"/>
            </w:pPr>
            <w:r>
              <w:rPr>
                <w:rFonts w:ascii="Times New Roman" w:eastAsia="Times New Roman" w:hAnsi="Times New Roman" w:cs="Times New Roman"/>
                <w:b w:val="0"/>
                <w:i w:val="0"/>
                <w:color w:val="000000"/>
                <w:sz w:val="20"/>
                <w:u w:val="none"/>
              </w:rPr>
              <w:t>$</w:t>
              <w:tab/>
              <w:t>202,360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826"/>
              </w:tabs>
              <w:spacing w:before="33" w:after="30" w:line="240" w:lineRule="auto"/>
              <w:jc w:val="right"/>
            </w:pPr>
            <w:r>
              <w:rPr>
                <w:rFonts w:ascii="Times New Roman" w:eastAsia="Times New Roman" w:hAnsi="Times New Roman" w:cs="Times New Roman"/>
                <w:b w:val="0"/>
                <w:i w:val="0"/>
                <w:color w:val="000000"/>
                <w:sz w:val="20"/>
                <w:u w:val="none"/>
              </w:rPr>
              <w:t>$</w:t>
              <w:tab/>
              <w:t>(110,129)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012"/>
                <w:tab w:val="left" w:pos="1627"/>
              </w:tabs>
              <w:spacing w:before="33" w:after="30" w:line="240" w:lineRule="auto"/>
              <w:jc w:val="right"/>
            </w:pPr>
            <w:r>
              <w:rPr>
                <w:rFonts w:ascii="Times New Roman" w:eastAsia="Times New Roman" w:hAnsi="Times New Roman" w:cs="Times New Roman"/>
                <w:b w:val="0"/>
                <w:i w:val="0"/>
                <w:color w:val="000000"/>
                <w:sz w:val="20"/>
                <w:u w:val="none"/>
              </w:rPr>
              <w:t>$</w:t>
              <w:tab/>
              <w:t>92,231</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85"/>
        </w:trPr>
        <w:tc>
          <w:tcPr>
            <w:tcW w:w="31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85"/>
        </w:trPr>
        <w:tc>
          <w:tcPr>
            <w:tcW w:w="31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Customer relationships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8.6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12"/>
                <w:tab w:val="left" w:pos="1627"/>
              </w:tabs>
              <w:spacing w:before="53" w:after="30" w:line="240" w:lineRule="auto"/>
              <w:jc w:val="right"/>
            </w:pPr>
            <w:r>
              <w:rPr>
                <w:rFonts w:ascii="Times New Roman" w:eastAsia="Times New Roman" w:hAnsi="Times New Roman" w:cs="Times New Roman"/>
                <w:b w:val="0"/>
                <w:i w:val="0"/>
                <w:color w:val="000000"/>
                <w:sz w:val="20"/>
                <w:u w:val="none"/>
              </w:rPr>
              <w:t>$</w:t>
              <w:tab/>
              <w:t>148,097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26"/>
              </w:tabs>
              <w:spacing w:before="53" w:after="30" w:line="240" w:lineRule="auto"/>
              <w:jc w:val="right"/>
            </w:pPr>
            <w:r>
              <w:rPr>
                <w:rFonts w:ascii="Times New Roman" w:eastAsia="Times New Roman" w:hAnsi="Times New Roman" w:cs="Times New Roman"/>
                <w:b w:val="0"/>
                <w:i w:val="0"/>
                <w:color w:val="000000"/>
                <w:sz w:val="20"/>
                <w:u w:val="none"/>
              </w:rPr>
              <w:t>$</w:t>
              <w:tab/>
              <w:t>(83,074)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012"/>
                <w:tab w:val="left" w:pos="1627"/>
              </w:tabs>
              <w:spacing w:before="53" w:after="30" w:line="240" w:lineRule="auto"/>
              <w:jc w:val="right"/>
            </w:pPr>
            <w:r>
              <w:rPr>
                <w:rFonts w:ascii="Times New Roman" w:eastAsia="Times New Roman" w:hAnsi="Times New Roman" w:cs="Times New Roman"/>
                <w:b w:val="0"/>
                <w:i w:val="0"/>
                <w:color w:val="000000"/>
                <w:sz w:val="20"/>
                <w:u w:val="none"/>
              </w:rPr>
              <w:t>$</w:t>
              <w:tab/>
              <w:t>65,023</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Developed technology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6.5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012"/>
                <w:tab w:val="left" w:pos="1627"/>
              </w:tabs>
              <w:spacing w:before="53" w:after="30" w:line="240" w:lineRule="auto"/>
              <w:jc w:val="right"/>
            </w:pPr>
            <w:r>
              <w:rPr>
                <w:rFonts w:ascii="Times New Roman" w:eastAsia="Times New Roman" w:hAnsi="Times New Roman" w:cs="Times New Roman"/>
                <w:b w:val="0"/>
                <w:i w:val="0"/>
                <w:color w:val="000000"/>
                <w:sz w:val="20"/>
                <w:u w:val="none"/>
              </w:rPr>
              <w:tab/>
              <w:t>15,201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26"/>
              </w:tabs>
              <w:spacing w:before="53" w:after="30" w:line="240" w:lineRule="auto"/>
              <w:jc w:val="right"/>
            </w:pPr>
            <w:r>
              <w:rPr>
                <w:rFonts w:ascii="Times New Roman" w:eastAsia="Times New Roman" w:hAnsi="Times New Roman" w:cs="Times New Roman"/>
                <w:b w:val="0"/>
                <w:i w:val="0"/>
                <w:color w:val="000000"/>
                <w:sz w:val="20"/>
                <w:u w:val="none"/>
              </w:rPr>
              <w:tab/>
              <w:t>(11,201)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12"/>
                <w:tab w:val="left" w:pos="1627"/>
              </w:tabs>
              <w:spacing w:before="53" w:after="30" w:line="240" w:lineRule="auto"/>
              <w:jc w:val="right"/>
            </w:pPr>
            <w:r>
              <w:rPr>
                <w:rFonts w:ascii="Times New Roman" w:eastAsia="Times New Roman" w:hAnsi="Times New Roman" w:cs="Times New Roman"/>
                <w:b w:val="0"/>
                <w:i w:val="0"/>
                <w:color w:val="000000"/>
                <w:sz w:val="20"/>
                <w:u w:val="none"/>
              </w:rPr>
              <w:tab/>
              <w:t>4,000</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Trade names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4.3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62"/>
                <w:tab w:val="left" w:pos="1627"/>
              </w:tabs>
              <w:spacing w:before="53" w:after="30" w:line="240" w:lineRule="auto"/>
              <w:jc w:val="right"/>
            </w:pPr>
            <w:r>
              <w:rPr>
                <w:rFonts w:ascii="Times New Roman" w:eastAsia="Times New Roman" w:hAnsi="Times New Roman" w:cs="Times New Roman"/>
                <w:b w:val="0"/>
                <w:i w:val="0"/>
                <w:color w:val="000000"/>
                <w:sz w:val="20"/>
                <w:u w:val="none"/>
              </w:rPr>
              <w:tab/>
              <w:t>880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6"/>
              </w:tabs>
              <w:spacing w:before="53" w:after="30" w:line="240" w:lineRule="auto"/>
              <w:jc w:val="right"/>
            </w:pPr>
            <w:r>
              <w:rPr>
                <w:rFonts w:ascii="Times New Roman" w:eastAsia="Times New Roman" w:hAnsi="Times New Roman" w:cs="Times New Roman"/>
                <w:b w:val="0"/>
                <w:i w:val="0"/>
                <w:color w:val="000000"/>
                <w:sz w:val="20"/>
                <w:u w:val="none"/>
              </w:rPr>
              <w:tab/>
              <w:t>(880)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62"/>
                <w:tab w:val="left" w:pos="162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Non-compete agreements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5.2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12"/>
                <w:tab w:val="left" w:pos="1627"/>
              </w:tabs>
              <w:spacing w:before="53" w:after="30" w:line="240" w:lineRule="auto"/>
              <w:jc w:val="right"/>
            </w:pPr>
            <w:r>
              <w:rPr>
                <w:rFonts w:ascii="Times New Roman" w:eastAsia="Times New Roman" w:hAnsi="Times New Roman" w:cs="Times New Roman"/>
                <w:b w:val="0"/>
                <w:i w:val="0"/>
                <w:color w:val="000000"/>
                <w:sz w:val="20"/>
                <w:u w:val="none"/>
              </w:rPr>
              <w:tab/>
              <w:t>1,032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176"/>
              </w:tabs>
              <w:spacing w:before="53" w:after="30" w:line="240" w:lineRule="auto"/>
              <w:jc w:val="right"/>
            </w:pPr>
            <w:r>
              <w:rPr>
                <w:rFonts w:ascii="Times New Roman" w:eastAsia="Times New Roman" w:hAnsi="Times New Roman" w:cs="Times New Roman"/>
                <w:b w:val="0"/>
                <w:i w:val="0"/>
                <w:color w:val="000000"/>
                <w:sz w:val="20"/>
                <w:u w:val="none"/>
              </w:rPr>
              <w:tab/>
              <w:t>(941)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6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362"/>
                <w:tab w:val="left" w:pos="1627"/>
              </w:tabs>
              <w:spacing w:before="53" w:after="30" w:line="240" w:lineRule="auto"/>
              <w:jc w:val="right"/>
            </w:pPr>
            <w:r>
              <w:rPr>
                <w:rFonts w:ascii="Times New Roman" w:eastAsia="Times New Roman" w:hAnsi="Times New Roman" w:cs="Times New Roman"/>
                <w:b w:val="0"/>
                <w:i w:val="0"/>
                <w:color w:val="000000"/>
                <w:sz w:val="20"/>
                <w:u w:val="none"/>
              </w:rPr>
              <w:tab/>
              <w:t>91</w:t>
              <w:tab/>
            </w:r>
          </w:p>
        </w:tc>
      </w:tr>
      <w:tr>
        <w:tblPrEx>
          <w:tblW w:w="10245" w:type="dxa"/>
          <w:tblLayout w:type="fixed"/>
        </w:tblPrEx>
        <w:trPr>
          <w:cantSplit/>
          <w:trHeight w:hRule="exact" w:val="285"/>
        </w:trPr>
        <w:tc>
          <w:tcPr>
            <w:tcW w:w="316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9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center"/>
            </w:pPr>
            <w:r>
              <w:rPr>
                <w:rFonts w:ascii="Times New Roman" w:eastAsia="Times New Roman" w:hAnsi="Times New Roman" w:cs="Times New Roman"/>
                <w:b w:val="0"/>
                <w:i w:val="0"/>
                <w:color w:val="000000"/>
                <w:sz w:val="20"/>
                <w:u w:val="none"/>
              </w:rPr>
              <w:t>8.3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12"/>
                <w:tab w:val="left" w:pos="1627"/>
              </w:tabs>
              <w:spacing w:before="33" w:after="30" w:line="240" w:lineRule="auto"/>
              <w:jc w:val="right"/>
            </w:pPr>
            <w:r>
              <w:rPr>
                <w:rFonts w:ascii="Times New Roman" w:eastAsia="Times New Roman" w:hAnsi="Times New Roman" w:cs="Times New Roman"/>
                <w:b w:val="0"/>
                <w:i w:val="0"/>
                <w:color w:val="000000"/>
                <w:sz w:val="20"/>
                <w:u w:val="none"/>
              </w:rPr>
              <w:t>$</w:t>
              <w:tab/>
              <w:t>165,210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926"/>
              </w:tabs>
              <w:spacing w:before="33" w:after="30" w:line="240" w:lineRule="auto"/>
              <w:jc w:val="right"/>
            </w:pPr>
            <w:r>
              <w:rPr>
                <w:rFonts w:ascii="Times New Roman" w:eastAsia="Times New Roman" w:hAnsi="Times New Roman" w:cs="Times New Roman"/>
                <w:b w:val="0"/>
                <w:i w:val="0"/>
                <w:color w:val="000000"/>
                <w:sz w:val="20"/>
                <w:u w:val="none"/>
              </w:rPr>
              <w:t>$</w:t>
              <w:tab/>
              <w:t>(96,096)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6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012"/>
                <w:tab w:val="left" w:pos="1627"/>
              </w:tabs>
              <w:spacing w:before="33" w:after="30" w:line="240" w:lineRule="auto"/>
              <w:jc w:val="right"/>
            </w:pPr>
            <w:r>
              <w:rPr>
                <w:rFonts w:ascii="Times New Roman" w:eastAsia="Times New Roman" w:hAnsi="Times New Roman" w:cs="Times New Roman"/>
                <w:b w:val="0"/>
                <w:i w:val="0"/>
                <w:color w:val="000000"/>
                <w:sz w:val="20"/>
                <w:u w:val="none"/>
              </w:rPr>
              <w:t>$</w:t>
              <w:tab/>
              <w:t>69,114</w:t>
              <w:tab/>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record amortization expenses using the </w:t>
      </w:r>
      <w:r>
        <w:rPr>
          <w:rFonts w:ascii="Times New Roman" w:eastAsia="Times New Roman" w:hAnsi="Times New Roman" w:cs="Times New Roman"/>
          <w:b w:val="0"/>
          <w:i w:val="0"/>
          <w:color w:val="000000"/>
          <w:sz w:val="20"/>
          <w:u w:val="none"/>
        </w:rPr>
        <w:t>straight-line method</w:t>
      </w:r>
      <w:r>
        <w:rPr>
          <w:rFonts w:ascii="Times New Roman" w:eastAsia="Times New Roman" w:hAnsi="Times New Roman" w:cs="Times New Roman"/>
          <w:b w:val="0"/>
          <w:i w:val="0"/>
          <w:color w:val="000000"/>
          <w:sz w:val="20"/>
          <w:u w:val="none"/>
        </w:rPr>
        <w:t xml:space="preserve"> over the estimated useful lives of the intangible assets, as noted above. Amortization expenses recorded in operating expenses were $13,250 and $11,790 for the nine months ended September 30, 2025 and 2024, respectively. Amortization expenses recorded in cost of sales were $783 and $150 for the nine months ended September 30, 2025 and 2024, respectively. There was </w:t>
      </w:r>
      <w:r>
        <w:rPr>
          <w:rFonts w:ascii="Times New Roman" w:eastAsia="Times New Roman" w:hAnsi="Times New Roman" w:cs="Times New Roman"/>
          <w:b w:val="0"/>
          <w:i w:val="0"/>
          <w:color w:val="000000"/>
          <w:sz w:val="20"/>
          <w:u w:val="none"/>
        </w:rPr>
        <w:t>no</w:t>
      </w:r>
      <w:r>
        <w:rPr>
          <w:rFonts w:ascii="Times New Roman" w:eastAsia="Times New Roman" w:hAnsi="Times New Roman" w:cs="Times New Roman"/>
          <w:b w:val="0"/>
          <w:i w:val="0"/>
          <w:color w:val="000000"/>
          <w:sz w:val="20"/>
          <w:u w:val="none"/>
        </w:rPr>
        <w:t xml:space="preserve"> impairment of intangibles during the nine months ended September 30, 2025, based on the qualitative assessment we performed. However, if market, political and other conditions over which we have no control continue to affect the capital markets and our stock price declines, we may experience an impairment of our intangibles in future quarters.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future estimated amortization expense relating to our intangible assets as of September 30, 2025 (in thousands):</w:t>
      </w:r>
    </w:p>
    <w:tbl>
      <w:tblPr>
        <w:tblW w:w="6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860"/>
      </w:tblGrid>
      <w:tr>
        <w:tblPrEx>
          <w:tblW w:w="6645"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2025 (Remaining)</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77"/>
                <w:tab w:val="left" w:pos="1792"/>
              </w:tabs>
              <w:spacing w:before="53" w:after="30" w:line="240" w:lineRule="auto"/>
              <w:jc w:val="right"/>
            </w:pPr>
            <w:r>
              <w:rPr>
                <w:rFonts w:ascii="Times New Roman" w:eastAsia="Times New Roman" w:hAnsi="Times New Roman" w:cs="Times New Roman"/>
                <w:b w:val="0"/>
                <w:i w:val="0"/>
                <w:color w:val="000000"/>
                <w:sz w:val="20"/>
                <w:u w:val="none"/>
              </w:rPr>
              <w:t>$</w:t>
              <w:tab/>
              <w:t>5,368</w:t>
              <w:tab/>
            </w:r>
          </w:p>
        </w:tc>
      </w:tr>
      <w:tr>
        <w:tblPrEx>
          <w:tblW w:w="6645"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2026</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18,522</w:t>
              <w:tab/>
            </w:r>
          </w:p>
        </w:tc>
      </w:tr>
      <w:tr>
        <w:tblPrEx>
          <w:tblW w:w="6645"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16,328</w:t>
              <w:tab/>
            </w:r>
          </w:p>
        </w:tc>
      </w:tr>
      <w:tr>
        <w:tblPrEx>
          <w:tblW w:w="6645"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14,883</w:t>
              <w:tab/>
            </w:r>
          </w:p>
        </w:tc>
      </w:tr>
      <w:tr>
        <w:tblPrEx>
          <w:tblW w:w="6645"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12,719</w:t>
              <w:tab/>
            </w:r>
          </w:p>
        </w:tc>
      </w:tr>
      <w:tr>
        <w:tblPrEx>
          <w:tblW w:w="6645"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77"/>
                <w:tab w:val="left" w:pos="1792"/>
              </w:tabs>
              <w:spacing w:before="53" w:after="30" w:line="240" w:lineRule="auto"/>
              <w:jc w:val="right"/>
            </w:pPr>
            <w:r>
              <w:rPr>
                <w:rFonts w:ascii="Times New Roman" w:eastAsia="Times New Roman" w:hAnsi="Times New Roman" w:cs="Times New Roman"/>
                <w:b w:val="0"/>
                <w:i w:val="0"/>
                <w:color w:val="000000"/>
                <w:sz w:val="20"/>
                <w:u w:val="none"/>
              </w:rPr>
              <w:tab/>
              <w:t>9,089</w:t>
              <w:tab/>
            </w:r>
          </w:p>
        </w:tc>
      </w:tr>
      <w:tr>
        <w:tblPrEx>
          <w:tblW w:w="6645"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Thereafter</w:t>
            </w: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15,322</w:t>
              <w:tab/>
            </w:r>
          </w:p>
        </w:tc>
      </w:tr>
      <w:tr>
        <w:tblPrEx>
          <w:tblW w:w="6645"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18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92,231</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color w:val="000000"/>
          <w:sz w:val="20"/>
          <w:u w:val="none"/>
          <w:shd w:val="clear" w:color="auto" w:fill="FFFFFF"/>
        </w:rPr>
      </w:pPr>
      <w:bookmarkStart w:id="14" w:name="Section15"/>
      <w:bookmarkEnd w:id="14"/>
      <w:r>
        <w:rPr>
          <w:rFonts w:ascii="Times New Roman" w:eastAsia="Times New Roman" w:hAnsi="Times New Roman" w:cs="Times New Roman"/>
          <w:b/>
          <w:i w:val="0"/>
          <w:color w:val="000000"/>
          <w:sz w:val="20"/>
          <w:u w:val="none"/>
          <w:shd w:val="clear" w:color="auto" w:fill="FFFFFF"/>
        </w:rPr>
        <w:t xml:space="preserve">NOTE 6 - </w:t>
      </w:r>
      <w:r>
        <w:rPr>
          <w:rFonts w:ascii="Times New Roman" w:eastAsia="Times New Roman" w:hAnsi="Times New Roman" w:cs="Times New Roman"/>
          <w:b/>
          <w:i w:val="0"/>
          <w:color w:val="000000"/>
          <w:sz w:val="20"/>
          <w:u w:val="none"/>
          <w:shd w:val="clear" w:color="auto" w:fill="FFFFFF"/>
        </w:rPr>
        <w:t>NOTES PAYABLE</w:t>
      </w:r>
    </w:p>
    <w:p>
      <w:pPr>
        <w:keepNext/>
        <w:keepLines/>
        <w:pageBreakBefore w:val="0"/>
        <w:widowControl w:val="0"/>
        <w:numPr>
          <w:ilvl w:val="0"/>
          <w:numId w:val="0"/>
        </w:numPr>
        <w:spacing w:before="0" w:after="0" w:line="288" w:lineRule="auto"/>
        <w:ind w:left="0" w:right="0" w:firstLine="135"/>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our outstanding debt as of the dates indicated</w:t>
      </w:r>
      <w:r>
        <w:rPr>
          <w:rFonts w:ascii="Times New Roman" w:eastAsia="Times New Roman" w:hAnsi="Times New Roman" w:cs="Times New Roman"/>
          <w:b w:val="0"/>
          <w:i w:val="0"/>
          <w:color w:val="000000"/>
          <w:sz w:val="20"/>
          <w:u w:val="none"/>
          <w:vertAlign w:val="superscript"/>
        </w:rPr>
        <w:t xml:space="preserve"> </w:t>
      </w:r>
      <w:r>
        <w:rPr>
          <w:rFonts w:ascii="Times New Roman" w:eastAsia="Times New Roman" w:hAnsi="Times New Roman" w:cs="Times New Roman"/>
          <w:b w:val="0"/>
          <w:i w:val="0"/>
          <w:color w:val="000000"/>
          <w:sz w:val="20"/>
          <w:u w:val="none"/>
        </w:rPr>
        <w:t>(in thousands)</w:t>
      </w:r>
      <w:r>
        <w:rPr>
          <w:rFonts w:ascii="Times New Roman" w:eastAsia="Times New Roman" w:hAnsi="Times New Roman" w:cs="Times New Roman"/>
          <w:b w:val="0"/>
          <w:i w:val="0"/>
          <w:color w:val="000000"/>
          <w:sz w:val="20"/>
          <w:u w:val="none"/>
        </w:rPr>
        <w:t>:</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625"/>
        <w:gridCol w:w="1830"/>
        <w:gridCol w:w="75"/>
        <w:gridCol w:w="1845"/>
        <w:gridCol w:w="75"/>
        <w:gridCol w:w="1860"/>
        <w:gridCol w:w="75"/>
        <w:gridCol w:w="1860"/>
      </w:tblGrid>
      <w:tr>
        <w:tblPrEx>
          <w:tblW w:w="10245" w:type="dxa"/>
          <w:tblLayout w:type="fixed"/>
        </w:tblPrEx>
        <w:trPr>
          <w:cantSplit/>
          <w:trHeight w:hRule="exact" w:val="285"/>
        </w:trPr>
        <w:tc>
          <w:tcPr>
            <w:tcW w:w="262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183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Maturity</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00" w:lineRule="exact"/>
              <w:jc w:val="center"/>
            </w:pPr>
            <w:r>
              <w:rPr>
                <w:rFonts w:ascii="Times New Roman" w:eastAsia="Times New Roman" w:hAnsi="Times New Roman" w:cs="Times New Roman"/>
                <w:b/>
                <w:i w:val="0"/>
                <w:color w:val="000000"/>
                <w:sz w:val="20"/>
                <w:u w:val="none"/>
              </w:rPr>
              <w:t>Cash Interest Rate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September 30, 2025</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2024</w:t>
            </w:r>
          </w:p>
        </w:tc>
      </w:tr>
      <w:tr>
        <w:tblPrEx>
          <w:tblW w:w="10245" w:type="dxa"/>
          <w:tblLayout w:type="fixed"/>
        </w:tblPrEx>
        <w:trPr>
          <w:cantSplit/>
          <w:trHeight w:hRule="exact" w:val="285"/>
        </w:trPr>
        <w:tc>
          <w:tcPr>
            <w:tcW w:w="26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Notes Payable – Acquisitions</w:t>
            </w:r>
            <w:r>
              <w:rPr>
                <w:rFonts w:ascii="Times New Roman" w:eastAsia="Times New Roman" w:hAnsi="Times New Roman" w:cs="Times New Roman"/>
                <w:b w:val="0"/>
                <w:i w:val="0"/>
                <w:sz w:val="20"/>
                <w:vertAlign w:val="superscript"/>
              </w:rPr>
              <w:t>(1)</w:t>
            </w:r>
          </w:p>
        </w:tc>
        <w:tc>
          <w:tcPr>
            <w:tcW w:w="1830"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val="0"/>
                <w:i w:val="0"/>
                <w:color w:val="000000"/>
                <w:sz w:val="20"/>
                <w:u w:val="none"/>
              </w:rPr>
              <w:t>10/01/25 - 07/01/29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4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2.00% - 4.00%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14,475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9,943</w:t>
              <w:tab/>
            </w:r>
          </w:p>
        </w:tc>
      </w:tr>
      <w:tr>
        <w:tblPrEx>
          <w:tblW w:w="10245" w:type="dxa"/>
          <w:tblLayout w:type="fixed"/>
        </w:tblPrEx>
        <w:trPr>
          <w:cantSplit/>
          <w:trHeight w:hRule="exact" w:val="285"/>
        </w:trPr>
        <w:tc>
          <w:tcPr>
            <w:tcW w:w="26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 Other</w:t>
            </w:r>
          </w:p>
        </w:tc>
        <w:tc>
          <w:tcPr>
            <w:tcW w:w="183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11/01/25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45" w:type="dxa"/>
            <w:tcBorders>
              <w:top w:val="nil"/>
              <w:left w:val="nil"/>
              <w:bottom w:val="nil"/>
              <w:right w:val="nil"/>
            </w:tcBorders>
            <w:shd w:val="clear" w:color="auto" w:fill="FFFF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10.00%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527"/>
                <w:tab w:val="left" w:pos="1792"/>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77"/>
                <w:tab w:val="left" w:pos="1792"/>
              </w:tabs>
              <w:spacing w:before="53" w:after="30" w:line="240" w:lineRule="auto"/>
              <w:jc w:val="right"/>
            </w:pPr>
            <w:r>
              <w:rPr>
                <w:rFonts w:ascii="Times New Roman" w:eastAsia="Times New Roman" w:hAnsi="Times New Roman" w:cs="Times New Roman"/>
                <w:b w:val="0"/>
                <w:i w:val="0"/>
                <w:color w:val="000000"/>
                <w:sz w:val="20"/>
                <w:u w:val="none"/>
              </w:rPr>
              <w:tab/>
              <w:t>5,000</w:t>
              <w:tab/>
            </w:r>
          </w:p>
        </w:tc>
      </w:tr>
      <w:tr>
        <w:tblPrEx>
          <w:tblW w:w="10245" w:type="dxa"/>
          <w:tblLayout w:type="fixed"/>
        </w:tblPrEx>
        <w:trPr>
          <w:cantSplit/>
          <w:trHeight w:hRule="exact" w:val="285"/>
        </w:trPr>
        <w:tc>
          <w:tcPr>
            <w:tcW w:w="262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 MidCap</w:t>
            </w:r>
          </w:p>
        </w:tc>
        <w:tc>
          <w:tcPr>
            <w:tcW w:w="183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04/01/30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45" w:type="dxa"/>
            <w:tcBorders>
              <w:top w:val="nil"/>
              <w:left w:val="nil"/>
              <w:bottom w:val="nil"/>
              <w:right w:val="nil"/>
            </w:tcBorders>
            <w:shd w:val="clear" w:color="auto" w:fill="CCEEFF"/>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val="0"/>
                <w:i w:val="0"/>
                <w:color w:val="000000"/>
                <w:sz w:val="20"/>
                <w:u w:val="none"/>
              </w:rPr>
              <w:t>9.66%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77"/>
                <w:tab w:val="left" w:pos="1792"/>
              </w:tabs>
              <w:spacing w:before="53" w:after="30" w:line="240" w:lineRule="auto"/>
              <w:jc w:val="right"/>
            </w:pPr>
            <w:r>
              <w:rPr>
                <w:rFonts w:ascii="Times New Roman" w:eastAsia="Times New Roman" w:hAnsi="Times New Roman" w:cs="Times New Roman"/>
                <w:b w:val="0"/>
                <w:i w:val="0"/>
                <w:color w:val="000000"/>
                <w:sz w:val="20"/>
                <w:u w:val="none"/>
              </w:rPr>
              <w:tab/>
              <w:t>60,000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527"/>
                <w:tab w:val="left" w:pos="1792"/>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245" w:type="dxa"/>
          <w:tblLayout w:type="fixed"/>
        </w:tblPrEx>
        <w:trPr>
          <w:cantSplit/>
          <w:trHeight w:hRule="exact" w:val="285"/>
        </w:trPr>
        <w:tc>
          <w:tcPr>
            <w:tcW w:w="262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Gross Notes Payable</w:t>
            </w:r>
          </w:p>
        </w:tc>
        <w:tc>
          <w:tcPr>
            <w:tcW w:w="183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84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8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74,475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8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177"/>
                <w:tab w:val="left" w:pos="1792"/>
              </w:tabs>
              <w:spacing w:before="33" w:after="30" w:line="240" w:lineRule="auto"/>
              <w:jc w:val="right"/>
            </w:pPr>
            <w:r>
              <w:rPr>
                <w:rFonts w:ascii="Times New Roman" w:eastAsia="Times New Roman" w:hAnsi="Times New Roman" w:cs="Times New Roman"/>
                <w:b w:val="0"/>
                <w:i w:val="0"/>
                <w:color w:val="000000"/>
                <w:sz w:val="20"/>
                <w:u w:val="none"/>
              </w:rPr>
              <w:t>$</w:t>
              <w:tab/>
              <w:t>14,943</w:t>
              <w:tab/>
            </w:r>
          </w:p>
        </w:tc>
      </w:tr>
    </w:tbl>
    <w:p>
      <w:pPr>
        <w:keepNext w:val="0"/>
        <w:keepLines/>
        <w:pageBreakBefore w:val="0"/>
        <w:widowControl w:val="0"/>
        <w:numPr>
          <w:ilvl w:val="0"/>
          <w:numId w:val="15"/>
        </w:numPr>
        <w:spacing w:before="0" w:after="0" w:line="288" w:lineRule="auto"/>
        <w:ind w:left="720" w:right="0" w:hanging="720"/>
        <w:jc w:val="left"/>
        <w:outlineLvl w:val="9"/>
        <w:rPr>
          <w:rFonts w:ascii="Times New Roman" w:eastAsia="Times New Roman" w:hAnsi="Times New Roman" w:cs="Times New Roman"/>
          <w:b w:val="0"/>
          <w:i w:val="0"/>
          <w:color w:val="000000"/>
          <w:sz w:val="16"/>
          <w:u w:val="none"/>
        </w:rPr>
      </w:pPr>
      <w:r>
        <w:rPr>
          <w:rFonts w:ascii="Times New Roman" w:eastAsia="Times New Roman" w:hAnsi="Times New Roman" w:cs="Times New Roman"/>
          <w:b w:val="0"/>
          <w:i w:val="0"/>
          <w:color w:val="000000"/>
          <w:sz w:val="16"/>
          <w:u w:val="none"/>
        </w:rPr>
        <w:t>See Note 3 — Business Combinations and Asset Acquisitions and Notes Payable - Acquisitions section below for further discussion regarding the notes payable related to acquisitions.</w:t>
      </w:r>
    </w:p>
    <w:p>
      <w:pPr>
        <w:keepNext w:val="0"/>
        <w:keepLines/>
        <w:pageBreakBefore w:val="0"/>
        <w:widowControl w:val="0"/>
        <w:numPr>
          <w:ilvl w:val="0"/>
          <w:numId w:val="0"/>
        </w:numPr>
        <w:spacing w:before="0" w:after="0" w:line="288" w:lineRule="auto"/>
        <w:ind w:left="0" w:right="0" w:hanging="36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summarizes the debt issuance costs as of the dates indicated (in thousands):</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200"/>
        <w:gridCol w:w="1905"/>
        <w:gridCol w:w="75"/>
        <w:gridCol w:w="1905"/>
        <w:gridCol w:w="75"/>
        <w:gridCol w:w="1905"/>
      </w:tblGrid>
      <w:tr>
        <w:tblPrEx>
          <w:tblW w:w="10065" w:type="dxa"/>
          <w:tblLayout w:type="fixed"/>
        </w:tblPrEx>
        <w:trPr>
          <w:cantSplit/>
          <w:trHeight w:hRule="exact" w:val="465"/>
        </w:trPr>
        <w:tc>
          <w:tcPr>
            <w:tcW w:w="4200"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19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Gross Notes Payable</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Debt Issuance Costs and Debt Discount</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Net Notes Payable</w:t>
            </w:r>
          </w:p>
        </w:tc>
      </w:tr>
      <w:tr>
        <w:tblPrEx>
          <w:tblW w:w="10065" w:type="dxa"/>
          <w:tblLayout w:type="fixed"/>
        </w:tblPrEx>
        <w:trPr>
          <w:cantSplit/>
          <w:trHeight w:hRule="exact" w:val="300"/>
        </w:trPr>
        <w:tc>
          <w:tcPr>
            <w:tcW w:w="42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i w:val="0"/>
                <w:color w:val="000000"/>
                <w:sz w:val="20"/>
                <w:u w:val="none"/>
              </w:rPr>
              <w:t>September 30, 2025</w:t>
            </w:r>
          </w:p>
        </w:tc>
        <w:tc>
          <w:tcPr>
            <w:tcW w:w="19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065" w:type="dxa"/>
          <w:tblLayout w:type="fixed"/>
        </w:tblPrEx>
        <w:trPr>
          <w:cantSplit/>
          <w:trHeight w:hRule="exact" w:val="300"/>
        </w:trPr>
        <w:tc>
          <w:tcPr>
            <w:tcW w:w="42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Current portion of notes payable</w:t>
            </w: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w:t>
              <w:tab/>
              <w:t>6,784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86"/>
              </w:tabs>
              <w:spacing w:before="53" w:after="30" w:line="240" w:lineRule="auto"/>
              <w:jc w:val="right"/>
            </w:pPr>
            <w:r>
              <w:rPr>
                <w:rFonts w:ascii="Times New Roman" w:eastAsia="Times New Roman" w:hAnsi="Times New Roman" w:cs="Times New Roman"/>
                <w:b w:val="0"/>
                <w:i w:val="0"/>
                <w:color w:val="000000"/>
                <w:sz w:val="20"/>
                <w:u w:val="none"/>
              </w:rPr>
              <w:t>$</w:t>
              <w:tab/>
              <w:t>(571)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w:t>
              <w:tab/>
              <w:t>6,213</w:t>
              <w:tab/>
            </w:r>
          </w:p>
        </w:tc>
      </w:tr>
      <w:tr>
        <w:tblPrEx>
          <w:tblW w:w="10065" w:type="dxa"/>
          <w:tblLayout w:type="fixed"/>
        </w:tblPrEx>
        <w:trPr>
          <w:cantSplit/>
          <w:trHeight w:hRule="exact" w:val="300"/>
        </w:trPr>
        <w:tc>
          <w:tcPr>
            <w:tcW w:w="42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net of current portion</w:t>
            </w: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22"/>
                <w:tab w:val="left" w:pos="1837"/>
              </w:tabs>
              <w:spacing w:before="53" w:after="30" w:line="240" w:lineRule="auto"/>
              <w:jc w:val="right"/>
            </w:pPr>
            <w:r>
              <w:rPr>
                <w:rFonts w:ascii="Times New Roman" w:eastAsia="Times New Roman" w:hAnsi="Times New Roman" w:cs="Times New Roman"/>
                <w:b w:val="0"/>
                <w:i w:val="0"/>
                <w:color w:val="000000"/>
                <w:sz w:val="20"/>
                <w:u w:val="none"/>
              </w:rPr>
              <w:tab/>
              <w:t>67,691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36"/>
              </w:tabs>
              <w:spacing w:before="53" w:after="30" w:line="240" w:lineRule="auto"/>
              <w:jc w:val="right"/>
            </w:pPr>
            <w:r>
              <w:rPr>
                <w:rFonts w:ascii="Times New Roman" w:eastAsia="Times New Roman" w:hAnsi="Times New Roman" w:cs="Times New Roman"/>
                <w:b w:val="0"/>
                <w:i w:val="0"/>
                <w:color w:val="000000"/>
                <w:sz w:val="20"/>
                <w:u w:val="none"/>
              </w:rPr>
              <w:tab/>
              <w:t>(3,534)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22"/>
                <w:tab w:val="left" w:pos="1837"/>
              </w:tabs>
              <w:spacing w:before="53" w:after="30" w:line="240" w:lineRule="auto"/>
              <w:jc w:val="right"/>
            </w:pPr>
            <w:r>
              <w:rPr>
                <w:rFonts w:ascii="Times New Roman" w:eastAsia="Times New Roman" w:hAnsi="Times New Roman" w:cs="Times New Roman"/>
                <w:b w:val="0"/>
                <w:i w:val="0"/>
                <w:color w:val="000000"/>
                <w:sz w:val="20"/>
                <w:u w:val="none"/>
              </w:rPr>
              <w:tab/>
              <w:t>64,157</w:t>
              <w:tab/>
            </w:r>
          </w:p>
        </w:tc>
      </w:tr>
      <w:tr>
        <w:tblPrEx>
          <w:tblW w:w="10065" w:type="dxa"/>
          <w:tblLayout w:type="fixed"/>
        </w:tblPrEx>
        <w:trPr>
          <w:cantSplit/>
          <w:trHeight w:hRule="exact" w:val="285"/>
        </w:trPr>
        <w:tc>
          <w:tcPr>
            <w:tcW w:w="42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9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222"/>
                <w:tab w:val="left" w:pos="1837"/>
              </w:tabs>
              <w:spacing w:before="33" w:after="30" w:line="240" w:lineRule="auto"/>
              <w:jc w:val="right"/>
            </w:pPr>
            <w:r>
              <w:rPr>
                <w:rFonts w:ascii="Times New Roman" w:eastAsia="Times New Roman" w:hAnsi="Times New Roman" w:cs="Times New Roman"/>
                <w:b w:val="0"/>
                <w:i w:val="0"/>
                <w:color w:val="000000"/>
                <w:sz w:val="20"/>
                <w:u w:val="none"/>
              </w:rPr>
              <w:t>$</w:t>
              <w:tab/>
              <w:t>74,475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236"/>
              </w:tabs>
              <w:spacing w:before="33" w:after="30" w:line="240" w:lineRule="auto"/>
              <w:jc w:val="right"/>
            </w:pPr>
            <w:r>
              <w:rPr>
                <w:rFonts w:ascii="Times New Roman" w:eastAsia="Times New Roman" w:hAnsi="Times New Roman" w:cs="Times New Roman"/>
                <w:b w:val="0"/>
                <w:i w:val="0"/>
                <w:color w:val="000000"/>
                <w:sz w:val="20"/>
                <w:u w:val="none"/>
              </w:rPr>
              <w:t>$</w:t>
              <w:tab/>
              <w:t>(4,105)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1222"/>
                <w:tab w:val="left" w:pos="1837"/>
              </w:tabs>
              <w:spacing w:before="33" w:after="30" w:line="240" w:lineRule="auto"/>
              <w:jc w:val="right"/>
            </w:pPr>
            <w:r>
              <w:rPr>
                <w:rFonts w:ascii="Times New Roman" w:eastAsia="Times New Roman" w:hAnsi="Times New Roman" w:cs="Times New Roman"/>
                <w:b w:val="0"/>
                <w:i w:val="0"/>
                <w:color w:val="000000"/>
                <w:sz w:val="20"/>
                <w:u w:val="none"/>
              </w:rPr>
              <w:t>$</w:t>
              <w:tab/>
              <w:t>70,370</w:t>
              <w:tab/>
            </w:r>
          </w:p>
        </w:tc>
      </w:tr>
      <w:tr>
        <w:tblPrEx>
          <w:tblW w:w="10065" w:type="dxa"/>
          <w:tblLayout w:type="fixed"/>
        </w:tblPrEx>
        <w:trPr>
          <w:cantSplit/>
          <w:trHeight w:hRule="exact" w:val="285"/>
        </w:trPr>
        <w:tc>
          <w:tcPr>
            <w:tcW w:w="42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065" w:type="dxa"/>
          <w:tblLayout w:type="fixed"/>
        </w:tblPrEx>
        <w:trPr>
          <w:cantSplit/>
          <w:trHeight w:hRule="exact" w:val="285"/>
        </w:trPr>
        <w:tc>
          <w:tcPr>
            <w:tcW w:w="42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December 31, 2024</w:t>
            </w:r>
          </w:p>
        </w:tc>
        <w:tc>
          <w:tcPr>
            <w:tcW w:w="19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065" w:type="dxa"/>
          <w:tblLayout w:type="fixed"/>
        </w:tblPrEx>
        <w:trPr>
          <w:cantSplit/>
          <w:trHeight w:hRule="exact" w:val="285"/>
        </w:trPr>
        <w:tc>
          <w:tcPr>
            <w:tcW w:w="42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Current portion of notes payable</w:t>
            </w: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w:t>
              <w:tab/>
              <w:t>7,578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86"/>
              </w:tabs>
              <w:spacing w:before="53" w:after="30" w:line="240" w:lineRule="auto"/>
              <w:jc w:val="right"/>
            </w:pPr>
            <w:r>
              <w:rPr>
                <w:rFonts w:ascii="Times New Roman" w:eastAsia="Times New Roman" w:hAnsi="Times New Roman" w:cs="Times New Roman"/>
                <w:b w:val="0"/>
                <w:i w:val="0"/>
                <w:color w:val="000000"/>
                <w:sz w:val="20"/>
                <w:u w:val="none"/>
              </w:rPr>
              <w:t>$</w:t>
              <w:tab/>
              <w:t>(570)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w:t>
              <w:tab/>
              <w:t>7,008</w:t>
              <w:tab/>
            </w:r>
          </w:p>
        </w:tc>
      </w:tr>
      <w:tr>
        <w:tblPrEx>
          <w:tblW w:w="10065" w:type="dxa"/>
          <w:tblLayout w:type="fixed"/>
        </w:tblPrEx>
        <w:trPr>
          <w:cantSplit/>
          <w:trHeight w:hRule="exact" w:val="285"/>
        </w:trPr>
        <w:tc>
          <w:tcPr>
            <w:tcW w:w="42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Notes payable, net of current portion</w:t>
            </w: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ab/>
              <w:t>7,365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36"/>
              </w:tabs>
              <w:spacing w:before="53" w:after="30" w:line="240" w:lineRule="auto"/>
              <w:jc w:val="right"/>
            </w:pPr>
            <w:r>
              <w:rPr>
                <w:rFonts w:ascii="Times New Roman" w:eastAsia="Times New Roman" w:hAnsi="Times New Roman" w:cs="Times New Roman"/>
                <w:b w:val="0"/>
                <w:i w:val="0"/>
                <w:color w:val="000000"/>
                <w:sz w:val="20"/>
                <w:u w:val="none"/>
              </w:rPr>
              <w:tab/>
              <w:t>(1,656)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9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322"/>
                <w:tab w:val="left" w:pos="1837"/>
              </w:tabs>
              <w:spacing w:before="53" w:after="30" w:line="240" w:lineRule="auto"/>
              <w:jc w:val="right"/>
            </w:pPr>
            <w:r>
              <w:rPr>
                <w:rFonts w:ascii="Times New Roman" w:eastAsia="Times New Roman" w:hAnsi="Times New Roman" w:cs="Times New Roman"/>
                <w:b w:val="0"/>
                <w:i w:val="0"/>
                <w:color w:val="000000"/>
                <w:sz w:val="20"/>
                <w:u w:val="none"/>
              </w:rPr>
              <w:tab/>
              <w:t>5,709</w:t>
              <w:tab/>
            </w:r>
          </w:p>
        </w:tc>
      </w:tr>
      <w:tr>
        <w:tblPrEx>
          <w:tblW w:w="10065" w:type="dxa"/>
          <w:tblLayout w:type="fixed"/>
        </w:tblPrEx>
        <w:trPr>
          <w:cantSplit/>
          <w:trHeight w:hRule="exact" w:val="285"/>
        </w:trPr>
        <w:tc>
          <w:tcPr>
            <w:tcW w:w="420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9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222"/>
                <w:tab w:val="left" w:pos="1837"/>
              </w:tabs>
              <w:spacing w:before="33" w:after="30" w:line="240" w:lineRule="auto"/>
              <w:jc w:val="right"/>
            </w:pPr>
            <w:r>
              <w:rPr>
                <w:rFonts w:ascii="Times New Roman" w:eastAsia="Times New Roman" w:hAnsi="Times New Roman" w:cs="Times New Roman"/>
                <w:b w:val="0"/>
                <w:i w:val="0"/>
                <w:color w:val="000000"/>
                <w:sz w:val="20"/>
                <w:u w:val="none"/>
              </w:rPr>
              <w:t>$</w:t>
              <w:tab/>
              <w:t>14,943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9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236"/>
              </w:tabs>
              <w:spacing w:before="33" w:after="30" w:line="240" w:lineRule="auto"/>
              <w:jc w:val="right"/>
            </w:pPr>
            <w:r>
              <w:rPr>
                <w:rFonts w:ascii="Times New Roman" w:eastAsia="Times New Roman" w:hAnsi="Times New Roman" w:cs="Times New Roman"/>
                <w:b w:val="0"/>
                <w:i w:val="0"/>
                <w:color w:val="000000"/>
                <w:sz w:val="20"/>
                <w:u w:val="none"/>
              </w:rPr>
              <w:t>$</w:t>
              <w:tab/>
              <w:t>(2,226)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9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222"/>
                <w:tab w:val="left" w:pos="1837"/>
              </w:tabs>
              <w:spacing w:before="33" w:after="30" w:line="240" w:lineRule="auto"/>
              <w:jc w:val="right"/>
            </w:pPr>
            <w:r>
              <w:rPr>
                <w:rFonts w:ascii="Times New Roman" w:eastAsia="Times New Roman" w:hAnsi="Times New Roman" w:cs="Times New Roman"/>
                <w:b w:val="0"/>
                <w:i w:val="0"/>
                <w:color w:val="000000"/>
                <w:sz w:val="20"/>
                <w:u w:val="none"/>
              </w:rPr>
              <w:t>$</w:t>
              <w:tab/>
              <w:t>12,717</w:t>
              <w:tab/>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 xml:space="preserve">The following table summarizes the future principal payments related to our outstanding debt </w:t>
      </w:r>
      <w:r>
        <w:rPr>
          <w:rFonts w:ascii="Times New Roman" w:eastAsia="Times New Roman" w:hAnsi="Times New Roman" w:cs="Times New Roman"/>
          <w:b w:val="0"/>
          <w:i w:val="0"/>
          <w:color w:val="000000"/>
          <w:sz w:val="20"/>
          <w:u w:val="none"/>
        </w:rPr>
        <w:t>as of September 30, 2025</w:t>
      </w:r>
      <w:r>
        <w:rPr>
          <w:rFonts w:ascii="Times New Roman" w:eastAsia="Times New Roman" w:hAnsi="Times New Roman" w:cs="Times New Roman"/>
          <w:b w:val="0"/>
          <w:i w:val="0"/>
          <w:color w:val="000000"/>
          <w:sz w:val="20"/>
          <w:u w:val="none"/>
          <w:shd w:val="clear" w:color="auto" w:fill="FFFFFF"/>
        </w:rPr>
        <w:t xml:space="preserve"> (in thousands):</w:t>
      </w:r>
    </w:p>
    <w:tbl>
      <w:tblPr>
        <w:tblW w:w="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485"/>
      </w:tblGrid>
      <w:tr>
        <w:tblPrEx>
          <w:tblW w:w="6270" w:type="dxa"/>
          <w:tblLayout w:type="fixed"/>
        </w:tblPrEx>
        <w:trPr>
          <w:cantSplit/>
          <w:trHeight w:hRule="exact" w:val="300"/>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2025 (Remaining)</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w:t>
              <w:tab/>
              <w:t>2,200</w:t>
              <w:tab/>
            </w:r>
          </w:p>
        </w:tc>
      </w:tr>
      <w:tr>
        <w:tblPrEx>
          <w:tblW w:w="6270" w:type="dxa"/>
          <w:tblLayout w:type="fixed"/>
        </w:tblPrEx>
        <w:trPr>
          <w:cantSplit/>
          <w:trHeight w:hRule="exact" w:val="300"/>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2026</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5,804</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02"/>
                <w:tab w:val="left" w:pos="1417"/>
              </w:tabs>
              <w:spacing w:before="53" w:after="30" w:line="240" w:lineRule="auto"/>
              <w:jc w:val="right"/>
            </w:pPr>
            <w:r>
              <w:rPr>
                <w:rFonts w:ascii="Times New Roman" w:eastAsia="Times New Roman" w:hAnsi="Times New Roman" w:cs="Times New Roman"/>
                <w:b w:val="0"/>
                <w:i w:val="0"/>
                <w:color w:val="000000"/>
                <w:sz w:val="20"/>
                <w:u w:val="none"/>
              </w:rPr>
              <w:tab/>
              <w:t>3,471</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52"/>
                <w:tab w:val="left" w:pos="141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48,000</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4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02"/>
                <w:tab w:val="left" w:pos="1417"/>
              </w:tabs>
              <w:spacing w:before="53" w:after="30" w:line="240" w:lineRule="auto"/>
              <w:jc w:val="right"/>
            </w:pPr>
            <w:r>
              <w:rPr>
                <w:rFonts w:ascii="Times New Roman" w:eastAsia="Times New Roman" w:hAnsi="Times New Roman" w:cs="Times New Roman"/>
                <w:b w:val="0"/>
                <w:i w:val="0"/>
                <w:color w:val="000000"/>
                <w:sz w:val="20"/>
                <w:u w:val="none"/>
              </w:rPr>
              <w:tab/>
              <w:t>15,000</w:t>
              <w:tab/>
            </w:r>
          </w:p>
        </w:tc>
      </w:tr>
      <w:tr>
        <w:tblPrEx>
          <w:tblW w:w="627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4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802"/>
                <w:tab w:val="left" w:pos="1417"/>
              </w:tabs>
              <w:spacing w:before="33" w:after="30" w:line="240" w:lineRule="auto"/>
              <w:jc w:val="right"/>
            </w:pPr>
            <w:r>
              <w:rPr>
                <w:rFonts w:ascii="Times New Roman" w:eastAsia="Times New Roman" w:hAnsi="Times New Roman" w:cs="Times New Roman"/>
                <w:b w:val="0"/>
                <w:i w:val="0"/>
                <w:color w:val="000000"/>
                <w:sz w:val="20"/>
                <w:u w:val="none"/>
              </w:rPr>
              <w:t>$</w:t>
              <w:tab/>
              <w:t>74,475</w:t>
              <w:tab/>
            </w:r>
          </w:p>
        </w:tc>
      </w:tr>
    </w:tbl>
    <w:p>
      <w:pPr>
        <w:keepNext w:val="0"/>
        <w:keepLines/>
        <w:pageBreakBefore/>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shd w:val="clear" w:color="auto" w:fill="FFFFFF"/>
        </w:rPr>
        <w:t>Notes Payable - Acquisitions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shd w:val="clear" w:color="auto" w:fill="FFFFFF"/>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 xml:space="preserve">As of </w:t>
      </w:r>
      <w:r>
        <w:rPr>
          <w:rFonts w:ascii="Times New Roman" w:eastAsia="Times New Roman" w:hAnsi="Times New Roman" w:cs="Times New Roman"/>
          <w:b w:val="0"/>
          <w:i w:val="0"/>
          <w:color w:val="000000"/>
          <w:sz w:val="20"/>
          <w:u w:val="none"/>
        </w:rPr>
        <w:t xml:space="preserve">September 30, 2025, we have nine promissory notes related to acquisitions that occurred during the nine months ended September 30, 2025, and prior years with a combined outstanding principal balance of 14,475 and maturity dates ranging from October 1, 2025, to July 1, 2029. All of these promissory notes are subordinated to our Loan Agreement with MidCap (defined below). See Note 3 — </w:t>
      </w:r>
      <w:r>
        <w:rPr>
          <w:rFonts w:ascii="Times New Roman" w:eastAsia="Times New Roman" w:hAnsi="Times New Roman" w:cs="Times New Roman"/>
          <w:b w:val="0"/>
          <w:i/>
          <w:color w:val="000000"/>
          <w:sz w:val="20"/>
          <w:u w:val="none"/>
        </w:rPr>
        <w:t>Business Combinations and Asset Acquisitions</w:t>
      </w:r>
      <w:r>
        <w:rPr>
          <w:rFonts w:ascii="Times New Roman" w:eastAsia="Times New Roman" w:hAnsi="Times New Roman" w:cs="Times New Roman"/>
          <w:b w:val="0"/>
          <w:i w:val="0"/>
          <w:color w:val="000000"/>
          <w:sz w:val="20"/>
          <w:u w:val="none"/>
        </w:rPr>
        <w:t xml:space="preserve"> for further discussion regarding the issuance of notes payable related to acquisitions.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On </w:t>
      </w:r>
      <w:r>
        <w:rPr>
          <w:rFonts w:ascii="Times New Roman" w:eastAsia="Times New Roman" w:hAnsi="Times New Roman" w:cs="Times New Roman"/>
          <w:b w:val="0"/>
          <w:i w:val="0"/>
          <w:color w:val="000000"/>
          <w:sz w:val="20"/>
          <w:u w:val="none"/>
        </w:rPr>
        <w:t>August 13, 2025</w:t>
      </w:r>
      <w:r>
        <w:rPr>
          <w:rFonts w:ascii="Times New Roman" w:eastAsia="Times New Roman" w:hAnsi="Times New Roman" w:cs="Times New Roman"/>
          <w:b w:val="0"/>
          <w:i w:val="0"/>
          <w:color w:val="000000"/>
          <w:sz w:val="20"/>
          <w:u w:val="none"/>
        </w:rPr>
        <w:t xml:space="preserve">, we prepaid the outstanding balance on one of our acquisition-related promissory notes through the issuance of shares of our common stock. Prior to extinguishment, the promissory note had an outstanding principal balance of </w:t>
      </w:r>
      <w:r>
        <w:rPr>
          <w:rFonts w:ascii="Times New Roman" w:eastAsia="Times New Roman" w:hAnsi="Times New Roman" w:cs="Times New Roman"/>
          <w:b w:val="0"/>
          <w:i w:val="0"/>
          <w:color w:val="000000"/>
          <w:sz w:val="20"/>
          <w:u w:val="none"/>
        </w:rPr>
        <w:t>$1,000</w:t>
      </w:r>
      <w:r>
        <w:rPr>
          <w:rFonts w:ascii="Times New Roman" w:eastAsia="Times New Roman" w:hAnsi="Times New Roman" w:cs="Times New Roman"/>
          <w:b w:val="0"/>
          <w:i w:val="0"/>
          <w:color w:val="000000"/>
          <w:sz w:val="20"/>
          <w:u w:val="none"/>
        </w:rPr>
        <w:t xml:space="preserve"> and would mature on </w:t>
      </w:r>
      <w:r>
        <w:rPr>
          <w:rFonts w:ascii="Times New Roman" w:eastAsia="Times New Roman" w:hAnsi="Times New Roman" w:cs="Times New Roman"/>
          <w:b w:val="0"/>
          <w:i w:val="0"/>
          <w:color w:val="000000"/>
          <w:sz w:val="20"/>
          <w:u w:val="none"/>
        </w:rPr>
        <w:t>February 22, 2026</w:t>
      </w:r>
      <w:r>
        <w:rPr>
          <w:rFonts w:ascii="Times New Roman" w:eastAsia="Times New Roman" w:hAnsi="Times New Roman" w:cs="Times New Roman"/>
          <w:b w:val="0"/>
          <w:i w:val="0"/>
          <w:color w:val="000000"/>
          <w:sz w:val="20"/>
          <w:u w:val="none"/>
        </w:rPr>
        <w:t xml:space="preserve">. In connection with the extinguishment, the principal balance of the note was reduced by </w:t>
      </w:r>
      <w:r>
        <w:rPr>
          <w:rFonts w:ascii="Times New Roman" w:eastAsia="Times New Roman" w:hAnsi="Times New Roman" w:cs="Times New Roman"/>
          <w:b w:val="0"/>
          <w:i w:val="0"/>
          <w:color w:val="000000"/>
          <w:sz w:val="20"/>
          <w:u w:val="none"/>
        </w:rPr>
        <w:t>$118</w:t>
      </w:r>
      <w:r>
        <w:rPr>
          <w:rFonts w:ascii="Times New Roman" w:eastAsia="Times New Roman" w:hAnsi="Times New Roman" w:cs="Times New Roman"/>
          <w:b w:val="0"/>
          <w:i w:val="0"/>
          <w:color w:val="000000"/>
          <w:sz w:val="20"/>
          <w:u w:val="none"/>
        </w:rPr>
        <w:t xml:space="preserve"> for indemnifiable claims related to the acquisition. The remaining </w:t>
      </w:r>
      <w:r>
        <w:rPr>
          <w:rFonts w:ascii="Times New Roman" w:eastAsia="Times New Roman" w:hAnsi="Times New Roman" w:cs="Times New Roman"/>
          <w:b w:val="0"/>
          <w:i w:val="0"/>
          <w:color w:val="000000"/>
          <w:sz w:val="20"/>
          <w:u w:val="none"/>
        </w:rPr>
        <w:t>$956</w:t>
      </w:r>
      <w:r>
        <w:rPr>
          <w:rFonts w:ascii="Times New Roman" w:eastAsia="Times New Roman" w:hAnsi="Times New Roman" w:cs="Times New Roman"/>
          <w:b w:val="0"/>
          <w:i w:val="0"/>
          <w:color w:val="000000"/>
          <w:sz w:val="20"/>
          <w:u w:val="none"/>
        </w:rPr>
        <w:t xml:space="preserve"> of principal and accrued interest was repaid with </w:t>
      </w:r>
      <w:r>
        <w:rPr>
          <w:rFonts w:ascii="Times New Roman" w:eastAsia="Times New Roman" w:hAnsi="Times New Roman" w:cs="Times New Roman"/>
          <w:b w:val="0"/>
          <w:i w:val="0"/>
          <w:color w:val="000000"/>
          <w:sz w:val="20"/>
          <w:u w:val="none"/>
        </w:rPr>
        <w:t>91</w:t>
      </w:r>
      <w:r>
        <w:rPr>
          <w:rFonts w:ascii="Times New Roman" w:eastAsia="Times New Roman" w:hAnsi="Times New Roman" w:cs="Times New Roman"/>
          <w:b w:val="0"/>
          <w:i w:val="0"/>
          <w:color w:val="000000"/>
          <w:sz w:val="20"/>
          <w:u w:val="none"/>
        </w:rPr>
        <w:t xml:space="preserve"> shares of common stock, having a fair value of </w:t>
      </w:r>
      <w:r>
        <w:rPr>
          <w:rFonts w:ascii="Times New Roman" w:eastAsia="Times New Roman" w:hAnsi="Times New Roman" w:cs="Times New Roman"/>
          <w:b w:val="0"/>
          <w:i w:val="0"/>
          <w:color w:val="000000"/>
          <w:sz w:val="20"/>
          <w:u w:val="none"/>
        </w:rPr>
        <w:t>$701</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See Note 12 — </w:t>
      </w:r>
      <w:r>
        <w:rPr>
          <w:rFonts w:ascii="Times New Roman" w:eastAsia="Times New Roman" w:hAnsi="Times New Roman" w:cs="Times New Roman"/>
          <w:b w:val="0"/>
          <w:i/>
          <w:color w:val="000000"/>
          <w:sz w:val="20"/>
          <w:u w:val="none"/>
        </w:rPr>
        <w:t>Subsequent Events</w:t>
      </w:r>
      <w:r>
        <w:rPr>
          <w:rFonts w:ascii="Times New Roman" w:eastAsia="Times New Roman" w:hAnsi="Times New Roman" w:cs="Times New Roman"/>
          <w:b w:val="0"/>
          <w:i w:val="0"/>
          <w:color w:val="000000"/>
          <w:sz w:val="20"/>
          <w:u w:val="none"/>
        </w:rPr>
        <w:t xml:space="preserve"> for the details of an extinguishment of an acquisition-related promissory note through the issuance of shares of our common stock after the reporting period.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Notes Payable - Other</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val="0"/>
          <w:color w:val="000000"/>
          <w:sz w:val="20"/>
          <w:u w:val="none"/>
        </w:rPr>
        <w:t xml:space="preserve">In November 2024, we delivered a promissory note to an unrelated third party in exchange for cash. As of December 31, 2024, the promissory note had an outstanding principal balance of </w:t>
      </w:r>
      <w:r>
        <w:rPr>
          <w:rFonts w:ascii="Times New Roman" w:eastAsia="Times New Roman" w:hAnsi="Times New Roman" w:cs="Times New Roman"/>
          <w:b w:val="0"/>
          <w:i w:val="0"/>
          <w:color w:val="000000"/>
          <w:sz w:val="20"/>
          <w:u w:val="none"/>
        </w:rPr>
        <w:t>$5,000</w:t>
      </w:r>
      <w:r>
        <w:rPr>
          <w:rFonts w:ascii="Times New Roman" w:eastAsia="Times New Roman" w:hAnsi="Times New Roman" w:cs="Times New Roman"/>
          <w:b w:val="0"/>
          <w:i w:val="0"/>
          <w:color w:val="000000"/>
          <w:sz w:val="20"/>
          <w:u w:val="none"/>
        </w:rPr>
        <w:t xml:space="preserve"> and would mature on November 1, 2025. On April 10, 2025, we agreed to repay the outstanding balance on our unrelated third-party promissory note prior to its maturity using the proceeds of the Loan Agreement (described below). In connection with the extinguishment, we paid the lender an aggregate amount of </w:t>
      </w:r>
      <w:r>
        <w:rPr>
          <w:rFonts w:ascii="Times New Roman" w:eastAsia="Times New Roman" w:hAnsi="Times New Roman" w:cs="Times New Roman"/>
          <w:b w:val="0"/>
          <w:i w:val="0"/>
          <w:color w:val="000000"/>
          <w:sz w:val="20"/>
          <w:u w:val="none"/>
        </w:rPr>
        <w:t>$5,197</w:t>
      </w:r>
      <w:r>
        <w:rPr>
          <w:rFonts w:ascii="Times New Roman" w:eastAsia="Times New Roman" w:hAnsi="Times New Roman" w:cs="Times New Roman"/>
          <w:b w:val="0"/>
          <w:i w:val="0"/>
          <w:color w:val="000000"/>
          <w:sz w:val="20"/>
          <w:u w:val="none"/>
        </w:rPr>
        <w:t xml:space="preserve"> (the “Payoff Amount”) in full payment of our outstanding obligations under the Note. The Payoff Amount represented </w:t>
      </w:r>
      <w:r>
        <w:rPr>
          <w:rFonts w:ascii="Times New Roman" w:eastAsia="Times New Roman" w:hAnsi="Times New Roman" w:cs="Times New Roman"/>
          <w:b w:val="0"/>
          <w:i w:val="0"/>
          <w:color w:val="000000"/>
          <w:sz w:val="20"/>
          <w:u w:val="none"/>
        </w:rPr>
        <w:t>$5,097</w:t>
      </w:r>
      <w:r>
        <w:rPr>
          <w:rFonts w:ascii="Times New Roman" w:eastAsia="Times New Roman" w:hAnsi="Times New Roman" w:cs="Times New Roman"/>
          <w:b w:val="0"/>
          <w:i w:val="0"/>
          <w:color w:val="000000"/>
          <w:sz w:val="20"/>
          <w:u w:val="none"/>
        </w:rPr>
        <w:t xml:space="preserve"> of outstanding principal and interest on the unpaid principal balance and a </w:t>
      </w:r>
      <w:r>
        <w:rPr>
          <w:rFonts w:ascii="Times New Roman" w:eastAsia="Times New Roman" w:hAnsi="Times New Roman" w:cs="Times New Roman"/>
          <w:b w:val="0"/>
          <w:i w:val="0"/>
          <w:color w:val="000000"/>
          <w:sz w:val="20"/>
          <w:u w:val="none"/>
        </w:rPr>
        <w:t>$100</w:t>
      </w:r>
      <w:r>
        <w:rPr>
          <w:rFonts w:ascii="Times New Roman" w:eastAsia="Times New Roman" w:hAnsi="Times New Roman" w:cs="Times New Roman"/>
          <w:b w:val="0"/>
          <w:i w:val="0"/>
          <w:color w:val="000000"/>
          <w:sz w:val="20"/>
          <w:u w:val="none"/>
        </w:rPr>
        <w:t xml:space="preserve"> prepayment fee.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color w:val="000000"/>
          <w:sz w:val="20"/>
          <w:u w:val="none"/>
        </w:rPr>
        <w:t>Notes Payable - MidCap</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rPr>
        <w:t xml:space="preserve">On April 10, 2025, we entered into a Loan Agreement with MidCap and the lenders from time to time party thereto (such lenders collectively with MidCap, the “Lenders”). Under the Loan Agreement, we may borrow up to </w:t>
      </w:r>
      <w:r>
        <w:rPr>
          <w:rFonts w:ascii="Times New Roman" w:eastAsia="Times New Roman" w:hAnsi="Times New Roman" w:cs="Times New Roman"/>
          <w:b w:val="0"/>
          <w:i w:val="0"/>
          <w:color w:val="000000"/>
          <w:sz w:val="20"/>
          <w:u w:val="none"/>
        </w:rPr>
        <w:t>$60,000</w:t>
      </w:r>
      <w:r>
        <w:rPr>
          <w:rFonts w:ascii="Times New Roman" w:eastAsia="Times New Roman" w:hAnsi="Times New Roman" w:cs="Times New Roman"/>
          <w:b w:val="0"/>
          <w:i w:val="0"/>
          <w:color w:val="000000"/>
          <w:sz w:val="20"/>
          <w:u w:val="none"/>
        </w:rPr>
        <w:t xml:space="preserve"> from the Lenders, all of which has been funded as of September 30, 2025. The maturity date of the loan as provided under the Loan Agreement is April 1, 2030 (the “Maturity Date”).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Interest on the outstanding loan balance is payable monthly in arrears at an annual rate of Term Secured Overnight Financing Rate (“SOFR”) plus </w:t>
      </w:r>
      <w:r>
        <w:rPr>
          <w:rFonts w:ascii="Times New Roman" w:eastAsia="Times New Roman" w:hAnsi="Times New Roman" w:cs="Times New Roman"/>
          <w:b w:val="0"/>
          <w:i w:val="0"/>
          <w:color w:val="000000"/>
          <w:sz w:val="20"/>
          <w:u w:val="none"/>
        </w:rPr>
        <w:t>5.00%</w:t>
      </w:r>
      <w:r>
        <w:rPr>
          <w:rFonts w:ascii="Times New Roman" w:eastAsia="Times New Roman" w:hAnsi="Times New Roman" w:cs="Times New Roman"/>
          <w:b w:val="0"/>
          <w:i w:val="0"/>
          <w:color w:val="000000"/>
          <w:sz w:val="20"/>
          <w:u w:val="none"/>
        </w:rPr>
        <w:t xml:space="preserve">, subject to a SOFR floor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color w:val="000000"/>
          <w:sz w:val="20"/>
          <w:u w:val="none"/>
        </w:rPr>
        <w:t>. This rate was 9.66% as of September 30, 2025. Prior to April 1, 2029 (the “Amortization Start Date”), we must make interest-only payments on the outstanding loan balance. Commencing on the Amortization Start Date and continuing on the first day of each calendar month thereafter, we will pay an amount equal to the total principal of the outstanding loan balance divided by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color w:val="000000"/>
          <w:sz w:val="20"/>
          <w:u w:val="none"/>
        </w:rPr>
        <w:t>), for a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color w:val="000000"/>
          <w:sz w:val="20"/>
          <w:u w:val="none"/>
        </w:rPr>
        <w:t xml:space="preserve">) month straight-line amortization of equal monthly principal payments. Also on a monthly basis, we must pay an administrative agency fee to MidCap equal to </w:t>
      </w:r>
      <w:r>
        <w:rPr>
          <w:rFonts w:ascii="Times New Roman" w:eastAsia="Times New Roman" w:hAnsi="Times New Roman" w:cs="Times New Roman"/>
          <w:b w:val="0"/>
          <w:i w:val="0"/>
          <w:color w:val="000000"/>
          <w:sz w:val="20"/>
          <w:u w:val="none"/>
        </w:rPr>
        <w:t>0.25%</w:t>
      </w:r>
      <w:r>
        <w:rPr>
          <w:rFonts w:ascii="Times New Roman" w:eastAsia="Times New Roman" w:hAnsi="Times New Roman" w:cs="Times New Roman"/>
          <w:b w:val="0"/>
          <w:i w:val="0"/>
          <w:color w:val="000000"/>
          <w:sz w:val="20"/>
          <w:u w:val="none"/>
        </w:rPr>
        <w:t xml:space="preserve"> of the average end-of-day principal balance outstanding during the immediately preceding month. At the time of final payment under the loan, we will provide a final payment fee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color w:val="000000"/>
          <w:sz w:val="20"/>
          <w:u w:val="none"/>
        </w:rPr>
        <w:t xml:space="preserve"> of the amount advanced thereunder except in the case of a refinance of the loan with MidCap and the Lenders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are subject to customary events of default as described in the Loan Agreement. In such event, and for so long as it continues, the outstanding loan balance will bear interest at </w:t>
      </w:r>
      <w:r>
        <w:rPr>
          <w:rFonts w:ascii="Times New Roman" w:eastAsia="Times New Roman" w:hAnsi="Times New Roman" w:cs="Times New Roman"/>
          <w:b w:val="0"/>
          <w:i w:val="0"/>
          <w:color w:val="000000"/>
          <w:sz w:val="20"/>
          <w:u w:val="none"/>
        </w:rPr>
        <w:t>2.0%</w:t>
      </w:r>
      <w:r>
        <w:rPr>
          <w:rFonts w:ascii="Times New Roman" w:eastAsia="Times New Roman" w:hAnsi="Times New Roman" w:cs="Times New Roman"/>
          <w:b w:val="0"/>
          <w:i w:val="0"/>
          <w:color w:val="000000"/>
          <w:sz w:val="20"/>
          <w:u w:val="none"/>
        </w:rPr>
        <w:t xml:space="preserve"> per annum in excess of the rate otherwise payable. Under the Loan Agreement, we covenant to maintain a (1) Total Leverage Ratio (as defined in the Loan Agreement), as tested quarterly, no greater than </w:t>
      </w:r>
      <w:r>
        <w:rPr>
          <w:rFonts w:ascii="Times New Roman" w:eastAsia="Times New Roman" w:hAnsi="Times New Roman" w:cs="Times New Roman"/>
          <w:b w:val="0"/>
          <w:i w:val="0"/>
          <w:color w:val="000000"/>
          <w:sz w:val="20"/>
          <w:u w:val="none"/>
        </w:rPr>
        <w:t>5.50</w:t>
      </w:r>
      <w:r>
        <w:rPr>
          <w:rFonts w:ascii="Times New Roman" w:eastAsia="Times New Roman" w:hAnsi="Times New Roman" w:cs="Times New Roman"/>
          <w:b w:val="0"/>
          <w:i w:val="0"/>
          <w:color w:val="000000"/>
          <w:sz w:val="20"/>
          <w:u w:val="none"/>
        </w:rPr>
        <w:t xml:space="preserve"> to 1.00, and (2) minimum liquidity threshold of </w:t>
      </w:r>
      <w:r>
        <w:rPr>
          <w:rFonts w:ascii="Times New Roman" w:eastAsia="Times New Roman" w:hAnsi="Times New Roman" w:cs="Times New Roman"/>
          <w:b w:val="0"/>
          <w:i w:val="0"/>
          <w:color w:val="000000"/>
          <w:sz w:val="20"/>
          <w:u w:val="none"/>
        </w:rPr>
        <w:t>$10,000</w:t>
      </w:r>
      <w:r>
        <w:rPr>
          <w:rFonts w:ascii="Times New Roman" w:eastAsia="Times New Roman" w:hAnsi="Times New Roman" w:cs="Times New Roman"/>
          <w:b w:val="0"/>
          <w:i w:val="0"/>
          <w:color w:val="000000"/>
          <w:sz w:val="20"/>
          <w:u w:val="none"/>
        </w:rPr>
        <w:t xml:space="preserve">. As of September 30, 2025, we are in compliance with all covenants under the Loan Agreement.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shd w:val="clear" w:color="auto" w:fill="FFFFFF"/>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In connection with the Loan Agreement and subsequent draw, we incurred </w:t>
      </w:r>
      <w:r>
        <w:rPr>
          <w:rFonts w:ascii="Times New Roman" w:eastAsia="Times New Roman" w:hAnsi="Times New Roman" w:cs="Times New Roman"/>
          <w:b w:val="0"/>
          <w:i w:val="0"/>
          <w:color w:val="000000"/>
          <w:sz w:val="20"/>
          <w:u w:val="none"/>
        </w:rPr>
        <w:t>$2,025</w:t>
      </w:r>
      <w:r>
        <w:rPr>
          <w:rFonts w:ascii="Times New Roman" w:eastAsia="Times New Roman" w:hAnsi="Times New Roman" w:cs="Times New Roman"/>
          <w:b w:val="0"/>
          <w:i w:val="0"/>
          <w:color w:val="000000"/>
          <w:sz w:val="20"/>
          <w:u w:val="none"/>
        </w:rPr>
        <w:t xml:space="preserve"> of origination, legal, and other fees that represent debt financing costs to be deferred and amortized over the duration of the Loan Agreement, of which </w:t>
      </w:r>
      <w:r>
        <w:rPr>
          <w:rFonts w:ascii="Times New Roman" w:eastAsia="Times New Roman" w:hAnsi="Times New Roman" w:cs="Times New Roman"/>
          <w:b w:val="0"/>
          <w:i w:val="0"/>
          <w:color w:val="000000"/>
          <w:sz w:val="20"/>
          <w:u w:val="none"/>
        </w:rPr>
        <w:t>$7</w:t>
      </w:r>
      <w:r>
        <w:rPr>
          <w:rFonts w:ascii="Times New Roman" w:eastAsia="Times New Roman" w:hAnsi="Times New Roman" w:cs="Times New Roman"/>
          <w:b w:val="0"/>
          <w:i w:val="0"/>
          <w:color w:val="000000"/>
          <w:sz w:val="20"/>
          <w:u w:val="none"/>
        </w:rPr>
        <w:t xml:space="preserve"> was unpaid as of September 30, 2025. As a result, net proceeds of all borrowings under the Loan Agreement were </w:t>
      </w:r>
      <w:r>
        <w:rPr>
          <w:rFonts w:ascii="Times New Roman" w:eastAsia="Times New Roman" w:hAnsi="Times New Roman" w:cs="Times New Roman"/>
          <w:b w:val="0"/>
          <w:i w:val="0"/>
          <w:color w:val="000000"/>
          <w:sz w:val="20"/>
          <w:u w:val="none"/>
        </w:rPr>
        <w:t>$57,975</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5" w:name="Section16"/>
      <w:bookmarkEnd w:id="15"/>
      <w:r>
        <w:rPr>
          <w:rFonts w:ascii="Times New Roman" w:eastAsia="Times New Roman" w:hAnsi="Times New Roman" w:cs="Times New Roman"/>
          <w:b/>
          <w:i w:val="0"/>
          <w:color w:val="000000"/>
          <w:sz w:val="20"/>
          <w:u w:val="none"/>
          <w:shd w:val="clear" w:color="auto" w:fill="FFFFFF"/>
        </w:rPr>
        <w:t xml:space="preserve">NOTE 7 </w:t>
      </w:r>
      <w:r>
        <w:rPr>
          <w:rFonts w:ascii="Times New Roman" w:eastAsia="Times New Roman" w:hAnsi="Times New Roman" w:cs="Times New Roman"/>
          <w:b w:val="0"/>
          <w:i w:val="0"/>
          <w:color w:val="000000"/>
          <w:sz w:val="20"/>
          <w:u w:val="none"/>
          <w:shd w:val="clear" w:color="auto" w:fill="FFFFFF"/>
        </w:rPr>
        <w:t>–</w:t>
      </w:r>
      <w:r>
        <w:rPr>
          <w:rFonts w:ascii="Times New Roman" w:eastAsia="Times New Roman" w:hAnsi="Times New Roman" w:cs="Times New Roman"/>
          <w:b/>
          <w:i w:val="0"/>
          <w:color w:val="000000"/>
          <w:sz w:val="20"/>
          <w:u w:val="none"/>
          <w:shd w:val="clear" w:color="auto" w:fill="FFFFFF"/>
        </w:rPr>
        <w:t xml:space="preserve"> </w:t>
      </w:r>
      <w:r>
        <w:rPr>
          <w:rFonts w:ascii="Times New Roman" w:eastAsia="Times New Roman" w:hAnsi="Times New Roman" w:cs="Times New Roman"/>
          <w:b/>
          <w:i w:val="0"/>
          <w:color w:val="000000"/>
          <w:sz w:val="20"/>
          <w:u w:val="none"/>
          <w:shd w:val="clear" w:color="auto" w:fill="FFFFFF"/>
        </w:rPr>
        <w:t>CONTRACTS WITH CUSTOMERS AND REVENUE CONCENTRATION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Receivables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Receivables from contracts with customers, net of allowance for credit losses</w:t>
      </w:r>
      <w:r>
        <w:rPr>
          <w:rFonts w:ascii="Times New Roman" w:eastAsia="Times New Roman" w:hAnsi="Times New Roman" w:cs="Times New Roman"/>
          <w:b w:val="0"/>
          <w:i w:val="0"/>
          <w:color w:val="000000"/>
          <w:sz w:val="20"/>
          <w:u w:val="none"/>
          <w:shd w:val="clear" w:color="auto" w:fill="FFFFFF"/>
        </w:rPr>
        <w:t xml:space="preserve"> of $7,625, w</w:t>
      </w:r>
      <w:r>
        <w:rPr>
          <w:rFonts w:ascii="Times New Roman" w:eastAsia="Times New Roman" w:hAnsi="Times New Roman" w:cs="Times New Roman"/>
          <w:b w:val="0"/>
          <w:i w:val="0"/>
          <w:color w:val="000000"/>
          <w:sz w:val="20"/>
          <w:u w:val="none"/>
        </w:rPr>
        <w:t xml:space="preserve">ere $14,563 at September 30, 2025. Receivables from contracts with customers, net of allowance for credit losses of $6,328, were $18,154 at December 31, 2024. We had a provision for expected losses of $1,121, write-offs charged against the allowance for credit losses of $562, and recoveries on previously written off receivables of $737 during the nine months ended September 30, 2025. We had a provision for expected losses of $111, write-offs charges against the allowance for credit losses of $16, and recoveries on previously written off receivables of $1,267 during the nine months ended September 30, 2024. The increase in provision for expected losses is primarily due to regulatory and legislative changes impacting our expectation on current and future credit losses related to professional service receivables associated with Employee Retention Tax Credits. </w:t>
      </w:r>
      <w:r>
        <w:rPr>
          <w:rFonts w:ascii="Times New Roman" w:eastAsia="Times New Roman" w:hAnsi="Times New Roman" w:cs="Times New Roman"/>
          <w:b w:val="0"/>
          <w:i w:val="0"/>
          <w:color w:val="000000"/>
          <w:sz w:val="20"/>
          <w:u w:val="none"/>
        </w:rPr>
        <w:t>No customer represented more than 10% of our net accounts receivable balance as of September 30, 2025, and December 31, 2024</w:t>
      </w:r>
      <w:r>
        <w:rPr>
          <w:rFonts w:ascii="Times New Roman" w:eastAsia="Times New Roman" w:hAnsi="Times New Roman" w:cs="Times New Roman"/>
          <w:b w:val="0"/>
          <w:i w:val="0"/>
          <w:color w:val="000000"/>
          <w:sz w:val="20"/>
          <w:u w:val="none"/>
        </w:rPr>
        <w:t>.</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shd w:val="clear" w:color="auto" w:fill="FFFFFF"/>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Contract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rPr>
        <w:t>Costs to Fulfill Contracts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Contract assets from contracts with customers were $2,726 and $1,712 at September 30, 2025 and December 31, 2024</w:t>
      </w:r>
      <w:r>
        <w:rPr>
          <w:rFonts w:ascii="Times New Roman" w:eastAsia="Times New Roman" w:hAnsi="Times New Roman" w:cs="Times New Roman"/>
          <w:b w:val="0"/>
          <w:i w:val="0"/>
          <w:color w:val="000000"/>
          <w:sz w:val="20"/>
          <w:u w:val="none"/>
          <w:shd w:val="clear" w:color="auto" w:fill="FFFFFF"/>
        </w:rPr>
        <w:t>, respectively</w:t>
      </w:r>
      <w:r>
        <w:rPr>
          <w:rFonts w:ascii="Times New Roman" w:eastAsia="Times New Roman" w:hAnsi="Times New Roman" w:cs="Times New Roman"/>
          <w:b w:val="0"/>
          <w:i w:val="0"/>
          <w:color w:val="000000"/>
          <w:sz w:val="20"/>
          <w:u w:val="none"/>
        </w:rPr>
        <w:t xml:space="preserve">. </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color w:val="000000"/>
          <w:sz w:val="20"/>
          <w:u w:val="none"/>
        </w:rPr>
        <w:t>Costs to Obtain Contracts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Deferred commission costs from contracts with customers w</w:t>
      </w:r>
      <w:r>
        <w:rPr>
          <w:rFonts w:ascii="Times New Roman" w:eastAsia="Times New Roman" w:hAnsi="Times New Roman" w:cs="Times New Roman"/>
          <w:b w:val="0"/>
          <w:i w:val="0"/>
          <w:color w:val="000000"/>
          <w:sz w:val="20"/>
          <w:u w:val="none"/>
          <w:shd w:val="clear" w:color="auto" w:fill="FFFFFF"/>
        </w:rPr>
        <w:t xml:space="preserve">ere $14,467 </w:t>
      </w:r>
      <w:r>
        <w:rPr>
          <w:rFonts w:ascii="Times New Roman" w:eastAsia="Times New Roman" w:hAnsi="Times New Roman" w:cs="Times New Roman"/>
          <w:b w:val="0"/>
          <w:i w:val="0"/>
          <w:color w:val="000000"/>
          <w:sz w:val="20"/>
          <w:u w:val="none"/>
        </w:rPr>
        <w:t>and $12,351 at September 30, 2025 and December 31, 2024</w:t>
      </w:r>
      <w:r>
        <w:rPr>
          <w:rFonts w:ascii="Times New Roman" w:eastAsia="Times New Roman" w:hAnsi="Times New Roman" w:cs="Times New Roman"/>
          <w:b w:val="0"/>
          <w:i w:val="0"/>
          <w:color w:val="000000"/>
          <w:sz w:val="20"/>
          <w:u w:val="none"/>
          <w:shd w:val="clear" w:color="auto" w:fill="FFFFFF"/>
        </w:rPr>
        <w:t xml:space="preserve">, respectively. The amount of amortization recognized for the </w:t>
      </w:r>
      <w:r>
        <w:rPr>
          <w:rFonts w:ascii="Times New Roman" w:eastAsia="Times New Roman" w:hAnsi="Times New Roman" w:cs="Times New Roman"/>
          <w:b w:val="0"/>
          <w:i w:val="0"/>
          <w:color w:val="000000"/>
          <w:sz w:val="20"/>
          <w:u w:val="none"/>
        </w:rPr>
        <w:t>three and nine</w:t>
      </w:r>
      <w:r>
        <w:rPr>
          <w:rFonts w:ascii="Times New Roman" w:eastAsia="Times New Roman" w:hAnsi="Times New Roman" w:cs="Times New Roman"/>
          <w:b w:val="0"/>
          <w:i w:val="0"/>
          <w:color w:val="000000"/>
          <w:sz w:val="20"/>
          <w:u w:val="none"/>
          <w:shd w:val="clear" w:color="auto" w:fill="FFFFFF"/>
        </w:rPr>
        <w:t xml:space="preserve"> months ended </w:t>
      </w:r>
      <w:r>
        <w:rPr>
          <w:rFonts w:ascii="Times New Roman" w:eastAsia="Times New Roman" w:hAnsi="Times New Roman" w:cs="Times New Roman"/>
          <w:b w:val="0"/>
          <w:i w:val="0"/>
          <w:color w:val="000000"/>
          <w:sz w:val="20"/>
          <w:u w:val="none"/>
        </w:rPr>
        <w:t>September 30, 2025</w:t>
      </w:r>
      <w:r>
        <w:rPr>
          <w:rFonts w:ascii="Times New Roman" w:eastAsia="Times New Roman" w:hAnsi="Times New Roman" w:cs="Times New Roman"/>
          <w:b w:val="0"/>
          <w:i w:val="0"/>
          <w:color w:val="000000"/>
          <w:sz w:val="20"/>
          <w:u w:val="none"/>
          <w:shd w:val="clear" w:color="auto" w:fill="FFFFFF"/>
        </w:rPr>
        <w:t xml:space="preserve"> was </w:t>
      </w:r>
      <w:r>
        <w:rPr>
          <w:rFonts w:ascii="Times New Roman" w:eastAsia="Times New Roman" w:hAnsi="Times New Roman" w:cs="Times New Roman"/>
          <w:b w:val="0"/>
          <w:i w:val="0"/>
          <w:color w:val="000000"/>
          <w:sz w:val="20"/>
          <w:u w:val="none"/>
        </w:rPr>
        <w:t>$839</w:t>
      </w:r>
      <w:r>
        <w:rPr>
          <w:rFonts w:ascii="Times New Roman" w:eastAsia="Times New Roman" w:hAnsi="Times New Roman" w:cs="Times New Roman"/>
          <w:b w:val="0"/>
          <w:i w:val="0"/>
          <w:color w:val="000000"/>
          <w:sz w:val="20"/>
          <w:u w:val="none"/>
          <w:shd w:val="clear" w:color="auto" w:fill="FFFFFF"/>
        </w:rPr>
        <w:t xml:space="preserve"> and </w:t>
      </w:r>
      <w:r>
        <w:rPr>
          <w:rFonts w:ascii="Times New Roman" w:eastAsia="Times New Roman" w:hAnsi="Times New Roman" w:cs="Times New Roman"/>
          <w:b w:val="0"/>
          <w:i w:val="0"/>
          <w:color w:val="000000"/>
          <w:sz w:val="20"/>
          <w:u w:val="none"/>
        </w:rPr>
        <w:t>$2,453</w:t>
      </w:r>
      <w:r>
        <w:rPr>
          <w:rFonts w:ascii="Times New Roman" w:eastAsia="Times New Roman" w:hAnsi="Times New Roman" w:cs="Times New Roman"/>
          <w:b w:val="0"/>
          <w:i w:val="0"/>
          <w:color w:val="000000"/>
          <w:sz w:val="20"/>
          <w:u w:val="none"/>
          <w:shd w:val="clear" w:color="auto" w:fill="FFFFFF"/>
        </w:rPr>
        <w:t xml:space="preserve">, respectively, and for the </w:t>
      </w:r>
      <w:r>
        <w:rPr>
          <w:rFonts w:ascii="Times New Roman" w:eastAsia="Times New Roman" w:hAnsi="Times New Roman" w:cs="Times New Roman"/>
          <w:b w:val="0"/>
          <w:i w:val="0"/>
          <w:color w:val="000000"/>
          <w:sz w:val="20"/>
          <w:u w:val="none"/>
        </w:rPr>
        <w:t>three and nine</w:t>
      </w:r>
      <w:r>
        <w:rPr>
          <w:rFonts w:ascii="Times New Roman" w:eastAsia="Times New Roman" w:hAnsi="Times New Roman" w:cs="Times New Roman"/>
          <w:b w:val="0"/>
          <w:i w:val="0"/>
          <w:color w:val="000000"/>
          <w:sz w:val="20"/>
          <w:u w:val="none"/>
          <w:shd w:val="clear" w:color="auto" w:fill="FFFFFF"/>
        </w:rPr>
        <w:t xml:space="preserve"> months ended </w:t>
      </w:r>
      <w:r>
        <w:rPr>
          <w:rFonts w:ascii="Times New Roman" w:eastAsia="Times New Roman" w:hAnsi="Times New Roman" w:cs="Times New Roman"/>
          <w:b w:val="0"/>
          <w:i w:val="0"/>
          <w:color w:val="000000"/>
          <w:sz w:val="20"/>
          <w:u w:val="none"/>
        </w:rPr>
        <w:t>September 30, 2024</w:t>
      </w:r>
      <w:r>
        <w:rPr>
          <w:rFonts w:ascii="Times New Roman" w:eastAsia="Times New Roman" w:hAnsi="Times New Roman" w:cs="Times New Roman"/>
          <w:b w:val="0"/>
          <w:i w:val="0"/>
          <w:color w:val="000000"/>
          <w:sz w:val="20"/>
          <w:u w:val="none"/>
          <w:shd w:val="clear" w:color="auto" w:fill="FFFFFF"/>
        </w:rPr>
        <w:t xml:space="preserve"> was </w:t>
      </w:r>
      <w:r>
        <w:rPr>
          <w:rFonts w:ascii="Times New Roman" w:eastAsia="Times New Roman" w:hAnsi="Times New Roman" w:cs="Times New Roman"/>
          <w:b w:val="0"/>
          <w:i w:val="0"/>
          <w:color w:val="000000"/>
          <w:sz w:val="20"/>
          <w:u w:val="none"/>
        </w:rPr>
        <w:t>$689</w:t>
      </w:r>
      <w:r>
        <w:rPr>
          <w:rFonts w:ascii="Times New Roman" w:eastAsia="Times New Roman" w:hAnsi="Times New Roman" w:cs="Times New Roman"/>
          <w:b w:val="0"/>
          <w:i w:val="0"/>
          <w:color w:val="000000"/>
          <w:sz w:val="20"/>
          <w:u w:val="none"/>
          <w:shd w:val="clear" w:color="auto" w:fill="FFFFFF"/>
        </w:rPr>
        <w:t xml:space="preserve"> and </w:t>
      </w:r>
      <w:r>
        <w:rPr>
          <w:rFonts w:ascii="Times New Roman" w:eastAsia="Times New Roman" w:hAnsi="Times New Roman" w:cs="Times New Roman"/>
          <w:b w:val="0"/>
          <w:i w:val="0"/>
          <w:color w:val="000000"/>
          <w:sz w:val="20"/>
          <w:u w:val="none"/>
        </w:rPr>
        <w:t>$1,548</w:t>
      </w:r>
      <w:r>
        <w:rPr>
          <w:rFonts w:ascii="Times New Roman" w:eastAsia="Times New Roman" w:hAnsi="Times New Roman" w:cs="Times New Roman"/>
          <w:b w:val="0"/>
          <w:i w:val="0"/>
          <w:color w:val="000000"/>
          <w:sz w:val="20"/>
          <w:u w:val="none"/>
          <w:shd w:val="clear" w:color="auto" w:fill="FFFFFF"/>
        </w:rPr>
        <w:t>, respectively.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shd w:val="clear" w:color="auto" w:fill="FFFFFF"/>
        </w:rPr>
      </w:pPr>
      <w:r>
        <w:rPr>
          <w:rFonts w:ascii="Times New Roman" w:eastAsia="Times New Roman" w:hAnsi="Times New Roman" w:cs="Times New Roman"/>
          <w:b/>
          <w:i/>
          <w:color w:val="000000"/>
          <w:sz w:val="20"/>
          <w:u w:val="none"/>
          <w:shd w:val="clear" w:color="auto" w:fill="FFFFFF"/>
        </w:rPr>
        <w:t>Deferred Revenue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shd w:val="clear" w:color="auto" w:fill="FFFF0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During the three and nine months ended September 30, 2025, revenue of $1,834 and $10,391, respectively, and during the three and nine months ended September 30, 2024, revenue of $286 and $6,409, respectively, was recognized from the deferred revenue balance at the beginning of each period.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0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shd w:val="clear" w:color="auto" w:fill="FFFFFF"/>
        </w:rPr>
      </w:pPr>
      <w:r>
        <w:rPr>
          <w:rFonts w:ascii="Times New Roman" w:eastAsia="Times New Roman" w:hAnsi="Times New Roman" w:cs="Times New Roman"/>
          <w:b/>
          <w:i/>
          <w:color w:val="000000"/>
          <w:sz w:val="20"/>
          <w:u w:val="none"/>
          <w:shd w:val="clear" w:color="auto" w:fill="FFFFFF"/>
        </w:rPr>
        <w:t>Transaction Price Allocated to the Remaining Performance Obligations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shd w:val="clear" w:color="auto" w:fill="FFFF0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00"/>
        </w:rPr>
      </w:pPr>
      <w:r>
        <w:rPr>
          <w:rFonts w:ascii="Times New Roman" w:eastAsia="Times New Roman" w:hAnsi="Times New Roman" w:cs="Times New Roman"/>
          <w:b w:val="0"/>
          <w:i w:val="0"/>
          <w:color w:val="000000"/>
          <w:sz w:val="20"/>
          <w:u w:val="none"/>
        </w:rPr>
        <w:t xml:space="preserve">As of September 30, 2025, approximately $84,701 of revenue is expected to be recognized from remaining performance obligations. We expect to recognize revenue on approximately 39% </w:t>
      </w:r>
      <w:r>
        <w:rPr>
          <w:rFonts w:ascii="Times New Roman" w:eastAsia="Times New Roman" w:hAnsi="Times New Roman" w:cs="Times New Roman"/>
          <w:b w:val="0"/>
          <w:i w:val="0"/>
          <w:color w:val="000000"/>
          <w:sz w:val="20"/>
          <w:u w:val="none"/>
          <w:shd w:val="clear" w:color="auto" w:fill="FFFFFF"/>
        </w:rPr>
        <w:t xml:space="preserve">of these remaining performance obligations over the next </w:t>
      </w:r>
      <w:r>
        <w:rPr>
          <w:rFonts w:ascii="Times New Roman" w:eastAsia="Times New Roman" w:hAnsi="Times New Roman" w:cs="Times New Roman"/>
          <w:b w:val="0"/>
          <w:i w:val="0"/>
          <w:color w:val="000000"/>
          <w:sz w:val="20"/>
          <w:u w:val="none"/>
          <w:shd w:val="clear" w:color="auto" w:fill="FFFFFF"/>
        </w:rPr>
        <w:t>twelve months</w:t>
      </w:r>
      <w:r>
        <w:rPr>
          <w:rFonts w:ascii="Times New Roman" w:eastAsia="Times New Roman" w:hAnsi="Times New Roman" w:cs="Times New Roman"/>
          <w:b w:val="0"/>
          <w:i w:val="0"/>
          <w:color w:val="000000"/>
          <w:sz w:val="20"/>
          <w:u w:val="none"/>
          <w:shd w:val="clear" w:color="auto" w:fill="FFFFFF"/>
        </w:rPr>
        <w:t xml:space="preserve">, with the balance recognized thereafter. These amounts exclude remaining performance obligations related to contracts for professional services for tax and payroll offerings whose remaining contractual term is less than one year as of September 30, 2025.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0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shd w:val="clear" w:color="auto" w:fill="FFFFFF"/>
        </w:rPr>
      </w:pPr>
      <w:r>
        <w:rPr>
          <w:rFonts w:ascii="Times New Roman" w:eastAsia="Times New Roman" w:hAnsi="Times New Roman" w:cs="Times New Roman"/>
          <w:b/>
          <w:i/>
          <w:color w:val="000000"/>
          <w:sz w:val="20"/>
          <w:u w:val="none"/>
          <w:shd w:val="clear" w:color="auto" w:fill="FFFFFF"/>
        </w:rPr>
        <w:t>Revenue Concentration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color w:val="000000"/>
          <w:sz w:val="20"/>
          <w:u w:val="none"/>
          <w:shd w:val="clear" w:color="auto" w:fill="FFFF0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During the nine months ended September 30, 2025 and 2024, there were no customers that individually represented 10% or more of consolidated revenue.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6" w:name="Section17"/>
      <w:bookmarkEnd w:id="16"/>
      <w:r>
        <w:rPr>
          <w:rFonts w:ascii="Times New Roman" w:eastAsia="Times New Roman" w:hAnsi="Times New Roman" w:cs="Times New Roman"/>
          <w:b/>
          <w:i w:val="0"/>
          <w:sz w:val="20"/>
        </w:rPr>
        <w:t xml:space="preserve">NOTE 8 - </w:t>
      </w:r>
      <w:r>
        <w:rPr>
          <w:rFonts w:ascii="Times New Roman" w:eastAsia="Times New Roman" w:hAnsi="Times New Roman" w:cs="Times New Roman"/>
          <w:b/>
          <w:i w:val="0"/>
          <w:color w:val="000000"/>
          <w:sz w:val="20"/>
          <w:u w:val="none"/>
        </w:rPr>
        <w:t>COMMITMENTS AND CONTINGENCIES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color w:val="000000"/>
          <w:sz w:val="20"/>
          <w:u w:val="none"/>
        </w:rPr>
        <w:t>Lease Commitments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40" w:lineRule="exact"/>
        <w:ind w:left="0" w:right="0" w:firstLine="675"/>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We have entered into office space lease agreements, which qualify as operating leases under ASC 842 (“Leases”). Under such leases, the lessors receive annual minimum (base) rent. The leases have original terms (excluding extension options) ranging from </w:t>
      </w:r>
      <w:r>
        <w:rPr>
          <w:rFonts w:ascii="Times New Roman" w:eastAsia="Times New Roman" w:hAnsi="Times New Roman" w:cs="Times New Roman"/>
          <w:b w:val="0"/>
          <w:i w:val="0"/>
          <w:color w:val="000000"/>
          <w:sz w:val="20"/>
          <w:u w:val="none"/>
        </w:rPr>
        <w:t>one</w:t>
      </w:r>
      <w:r>
        <w:rPr>
          <w:rFonts w:ascii="Times New Roman" w:eastAsia="Times New Roman" w:hAnsi="Times New Roman" w:cs="Times New Roman"/>
          <w:b w:val="0"/>
          <w:i w:val="0"/>
          <w:color w:val="000000"/>
          <w:sz w:val="20"/>
          <w:u w:val="none"/>
        </w:rPr>
        <w:t> to </w:t>
      </w:r>
      <w:r>
        <w:rPr>
          <w:rFonts w:ascii="Times New Roman" w:eastAsia="Times New Roman" w:hAnsi="Times New Roman" w:cs="Times New Roman"/>
          <w:b w:val="0"/>
          <w:i w:val="0"/>
          <w:color w:val="000000"/>
          <w:sz w:val="20"/>
          <w:u w:val="none"/>
        </w:rPr>
        <w:t>ten years</w:t>
      </w:r>
      <w:r>
        <w:rPr>
          <w:rFonts w:ascii="Times New Roman" w:eastAsia="Times New Roman" w:hAnsi="Times New Roman" w:cs="Times New Roman"/>
          <w:b w:val="0"/>
          <w:i w:val="0"/>
          <w:color w:val="000000"/>
          <w:sz w:val="20"/>
          <w:u w:val="none"/>
        </w:rPr>
        <w:t xml:space="preserve">. Our lease agreements do not contain any material residual value guarantees or material restrictive covenants. We record base rent expense under the straight-line method over the term of the lease. In the accompanying Condensed Consolidated Statements of Comprehensive Loss, rent expense is included in operating expenses under general and administrative expenses. </w:t>
      </w:r>
    </w:p>
    <w:p>
      <w:pPr>
        <w:keepNext w:val="0"/>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have entered into a software license agreement, which qualifies as a finance lease under ASC 842 (“Leases”). Under this lease, the lessor receives fixed payments over a period of </w:t>
      </w:r>
      <w:r>
        <w:rPr>
          <w:rFonts w:ascii="Times New Roman" w:eastAsia="Times New Roman" w:hAnsi="Times New Roman" w:cs="Times New Roman"/>
          <w:b w:val="0"/>
          <w:i w:val="0"/>
          <w:color w:val="000000"/>
          <w:sz w:val="20"/>
          <w:u w:val="none"/>
        </w:rPr>
        <w:t>four years</w:t>
      </w:r>
      <w:r>
        <w:rPr>
          <w:rFonts w:ascii="Times New Roman" w:eastAsia="Times New Roman" w:hAnsi="Times New Roman" w:cs="Times New Roman"/>
          <w:b w:val="0"/>
          <w:i w:val="0"/>
          <w:color w:val="000000"/>
          <w:sz w:val="20"/>
          <w:u w:val="none"/>
        </w:rPr>
        <w:t>, after which we take ownership of the software and source code. The resulting software asset is included in property and equipment, net, in the accompanying Condensed Consolidated Balance Sheets. We record amortization for the related asset over its useful life on a straight-line basis and recognize interest expense under the effective interest method over the term of the lease. In the accompanying Condensed Consolidated Statements of Comprehensive Loss, these expenses are included in general and administrative expenses and interest expense, respectively.</w:t>
      </w:r>
    </w:p>
    <w:p>
      <w:pPr>
        <w:keepNext w:val="0"/>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675"/>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components of the lease-related expenses are as follows for the periods presented below (in thousands):</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600"/>
        <w:gridCol w:w="1575"/>
        <w:gridCol w:w="75"/>
        <w:gridCol w:w="1575"/>
        <w:gridCol w:w="105"/>
        <w:gridCol w:w="1575"/>
        <w:gridCol w:w="75"/>
        <w:gridCol w:w="1575"/>
      </w:tblGrid>
      <w:tr>
        <w:tblPrEx>
          <w:tblW w:w="10155" w:type="dxa"/>
          <w:tblLayout w:type="fixed"/>
        </w:tblPrEx>
        <w:trPr>
          <w:cantSplit/>
          <w:trHeight w:hRule="exact" w:val="285"/>
        </w:trPr>
        <w:tc>
          <w:tcPr>
            <w:tcW w:w="360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2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 September 30,</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2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Nine Months Ended September 30,</w:t>
            </w:r>
          </w:p>
        </w:tc>
      </w:tr>
      <w:tr>
        <w:tblPrEx>
          <w:tblW w:w="10155" w:type="dxa"/>
          <w:tblLayout w:type="fixed"/>
        </w:tblPrEx>
        <w:trPr>
          <w:cantSplit/>
          <w:trHeight w:hRule="exact" w:val="285"/>
        </w:trPr>
        <w:tc>
          <w:tcPr>
            <w:tcW w:w="360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r>
      <w:tr>
        <w:tblPrEx>
          <w:tblW w:w="10155" w:type="dxa"/>
          <w:tblLayout w:type="fixed"/>
        </w:tblPrEx>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Operating lease cost:</w:t>
            </w:r>
          </w:p>
        </w:tc>
        <w:tc>
          <w:tcPr>
            <w:tcW w:w="15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155" w:type="dxa"/>
          <w:tblLayout w:type="fixed"/>
        </w:tblPrEx>
        <w:trPr>
          <w:cantSplit/>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Rent expense</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577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501</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1,631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1,454</w:t>
              <w:tab/>
            </w:r>
          </w:p>
        </w:tc>
      </w:tr>
      <w:tr>
        <w:tblPrEx>
          <w:tblW w:w="10155" w:type="dxa"/>
          <w:tblLayout w:type="fixed"/>
        </w:tblPrEx>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Sublease income</w:t>
            </w: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256"/>
              </w:tabs>
              <w:spacing w:before="53" w:after="30" w:line="240" w:lineRule="auto"/>
              <w:jc w:val="right"/>
            </w:pPr>
            <w:r>
              <w:rPr>
                <w:rFonts w:ascii="Times New Roman" w:eastAsia="Times New Roman" w:hAnsi="Times New Roman" w:cs="Times New Roman"/>
                <w:b w:val="0"/>
                <w:i w:val="0"/>
                <w:color w:val="000000"/>
                <w:sz w:val="20"/>
                <w:u w:val="none"/>
              </w:rPr>
              <w:tab/>
              <w:t>(4)</w:t>
            </w:r>
          </w:p>
        </w:tc>
      </w:tr>
      <w:tr>
        <w:tblPrEx>
          <w:tblW w:w="10155" w:type="dxa"/>
          <w:tblLayout w:type="fixed"/>
        </w:tblPrEx>
        <w:trPr>
          <w:cantSplit/>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operating lease cost</w:t>
            </w:r>
          </w:p>
        </w:tc>
        <w:tc>
          <w:tcPr>
            <w:tcW w:w="15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577</w:t>
              <w:tab/>
            </w:r>
          </w:p>
        </w:tc>
        <w:tc>
          <w:tcPr>
            <w:tcW w:w="75" w:type="dxa"/>
            <w:tcBorders>
              <w:top w:val="nil"/>
              <w:left w:val="nil"/>
              <w:bottom w:val="double" w:sz="8" w:space="0" w:color="000000"/>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501</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1,631</w:t>
              <w:tab/>
            </w:r>
          </w:p>
        </w:tc>
        <w:tc>
          <w:tcPr>
            <w:tcW w:w="75" w:type="dxa"/>
            <w:tcBorders>
              <w:top w:val="nil"/>
              <w:left w:val="nil"/>
              <w:bottom w:val="double" w:sz="8" w:space="0" w:color="000000"/>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1,450</w:t>
              <w:tab/>
            </w:r>
          </w:p>
        </w:tc>
      </w:tr>
      <w:tr>
        <w:tblPrEx>
          <w:tblW w:w="10155" w:type="dxa"/>
          <w:tblLayout w:type="fixed"/>
        </w:tblPrEx>
        <w:trPr>
          <w:cantSplit/>
          <w:trHeight w:hRule="exact" w:val="285"/>
        </w:trPr>
        <w:tc>
          <w:tcPr>
            <w:tcW w:w="360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double" w:sz="8" w:space="0" w:color="000000"/>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155" w:type="dxa"/>
          <w:tblLayout w:type="fixed"/>
        </w:tblPrEx>
        <w:trPr>
          <w:cantSplit/>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Finance lease cost:</w:t>
            </w: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155" w:type="dxa"/>
          <w:tblLayout w:type="fixed"/>
        </w:tblPrEx>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Amortization of assets</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w:t>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3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5</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r>
        <w:tblPrEx>
          <w:tblW w:w="10155" w:type="dxa"/>
          <w:tblLayout w:type="fixed"/>
        </w:tblPrEx>
        <w:trPr>
          <w:cantSplit/>
          <w:trHeight w:hRule="exact" w:val="285"/>
        </w:trPr>
        <w:tc>
          <w:tcPr>
            <w:tcW w:w="360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Interest on lease liabilities</w:t>
            </w: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342"/>
                <w:tab w:val="left" w:pos="1507"/>
              </w:tabs>
              <w:spacing w:before="53" w:after="30" w:line="240" w:lineRule="auto"/>
              <w:jc w:val="right"/>
            </w:pPr>
            <w:r>
              <w:rPr>
                <w:rFonts w:ascii="Times New Roman" w:eastAsia="Times New Roman" w:hAnsi="Times New Roman" w:cs="Times New Roman"/>
                <w:b w:val="0"/>
                <w:i w:val="0"/>
                <w:color w:val="000000"/>
                <w:sz w:val="20"/>
                <w:u w:val="none"/>
              </w:rPr>
              <w:tab/>
              <w:t>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342"/>
                <w:tab w:val="left" w:pos="1507"/>
              </w:tabs>
              <w:spacing w:before="53" w:after="30" w:line="240" w:lineRule="auto"/>
              <w:jc w:val="right"/>
            </w:pPr>
            <w:r>
              <w:rPr>
                <w:rFonts w:ascii="Times New Roman" w:eastAsia="Times New Roman" w:hAnsi="Times New Roman" w:cs="Times New Roman"/>
                <w:b w:val="0"/>
                <w:i w:val="0"/>
                <w:color w:val="000000"/>
                <w:sz w:val="20"/>
                <w:u w:val="none"/>
              </w:rPr>
              <w:tab/>
              <w:t>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10155" w:type="dxa"/>
          <w:tblLayout w:type="fixed"/>
        </w:tblPrEx>
        <w:trPr>
          <w:cantSplit/>
          <w:trHeight w:hRule="exact" w:val="285"/>
        </w:trPr>
        <w:tc>
          <w:tcPr>
            <w:tcW w:w="360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finance lease cost</w:t>
            </w:r>
          </w:p>
        </w:tc>
        <w:tc>
          <w:tcPr>
            <w:tcW w:w="15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3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2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w:t>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3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2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w:t>
              <w:tab/>
            </w:r>
          </w:p>
        </w:tc>
      </w:tr>
    </w:tbl>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For purposes of calculating the lease assets and lease liabilities, extension options are not included</w:t>
      </w:r>
      <w:r>
        <w:rPr>
          <w:rFonts w:ascii="Times New Roman" w:eastAsia="Times New Roman" w:hAnsi="Times New Roman" w:cs="Times New Roman"/>
          <w:b w:val="0"/>
          <w:i w:val="0"/>
          <w:color w:val="000000"/>
          <w:sz w:val="20"/>
          <w:u w:val="none"/>
          <w:shd w:val="clear" w:color="auto" w:fill="FFFFFF"/>
        </w:rPr>
        <w:t xml:space="preserve"> in the lease term unless it is reasonably certain we will exercise the option, or the lessor has the sole ability to exercise the option. The weighted average discount rate of our operating leases is 10% as of September 30, 2025, and December 31, 2024. The weighted average remaining lease term for our operating leases </w:t>
      </w:r>
      <w:r>
        <w:rPr>
          <w:rFonts w:ascii="Times New Roman" w:eastAsia="Times New Roman" w:hAnsi="Times New Roman" w:cs="Times New Roman"/>
          <w:b w:val="0"/>
          <w:i w:val="0"/>
          <w:color w:val="000000"/>
          <w:sz w:val="20"/>
          <w:u w:val="none"/>
        </w:rPr>
        <w:t>is three years</w:t>
      </w:r>
      <w:r>
        <w:rPr>
          <w:rFonts w:ascii="Times New Roman" w:eastAsia="Times New Roman" w:hAnsi="Times New Roman" w:cs="Times New Roman"/>
          <w:b w:val="0"/>
          <w:i w:val="0"/>
          <w:color w:val="000000"/>
          <w:sz w:val="20"/>
          <w:u w:val="none"/>
          <w:shd w:val="clear" w:color="auto" w:fill="FFFFFF"/>
        </w:rPr>
        <w:t xml:space="preserve"> and </w:t>
      </w:r>
      <w:r>
        <w:rPr>
          <w:rFonts w:ascii="Times New Roman" w:eastAsia="Times New Roman" w:hAnsi="Times New Roman" w:cs="Times New Roman"/>
          <w:b w:val="0"/>
          <w:i w:val="0"/>
          <w:color w:val="000000"/>
          <w:sz w:val="20"/>
          <w:u w:val="none"/>
        </w:rPr>
        <w:t>four years</w:t>
      </w:r>
      <w:r>
        <w:rPr>
          <w:rFonts w:ascii="Times New Roman" w:eastAsia="Times New Roman" w:hAnsi="Times New Roman" w:cs="Times New Roman"/>
          <w:b w:val="0"/>
          <w:i w:val="0"/>
          <w:color w:val="000000"/>
          <w:sz w:val="20"/>
          <w:u w:val="none"/>
        </w:rPr>
        <w:t xml:space="preserve"> </w:t>
      </w:r>
      <w:r>
        <w:rPr>
          <w:rFonts w:ascii="Times New Roman" w:eastAsia="Times New Roman" w:hAnsi="Times New Roman" w:cs="Times New Roman"/>
          <w:b w:val="0"/>
          <w:i w:val="0"/>
          <w:color w:val="000000"/>
          <w:sz w:val="20"/>
          <w:u w:val="none"/>
          <w:shd w:val="clear" w:color="auto" w:fill="FFFFFF"/>
        </w:rPr>
        <w:t xml:space="preserve">as of September 30, 2025 and December 31, 2024, respectively. The discount rate of our finance lease is </w:t>
      </w:r>
      <w:r>
        <w:rPr>
          <w:rFonts w:ascii="Times New Roman" w:eastAsia="Times New Roman" w:hAnsi="Times New Roman" w:cs="Times New Roman"/>
          <w:b w:val="0"/>
          <w:i w:val="0"/>
          <w:color w:val="000000"/>
          <w:sz w:val="20"/>
          <w:u w:val="none"/>
        </w:rPr>
        <w:t xml:space="preserve">11% as of </w:t>
      </w:r>
      <w:r>
        <w:rPr>
          <w:rFonts w:ascii="Times New Roman" w:eastAsia="Times New Roman" w:hAnsi="Times New Roman" w:cs="Times New Roman"/>
          <w:b w:val="0"/>
          <w:i w:val="0"/>
          <w:color w:val="000000"/>
          <w:sz w:val="20"/>
          <w:u w:val="none"/>
          <w:shd w:val="clear" w:color="auto" w:fill="FFFFFF"/>
        </w:rPr>
        <w:t xml:space="preserve">September 30, 2025. The remaining lease term for our finance lease is </w:t>
      </w:r>
      <w:r>
        <w:rPr>
          <w:rFonts w:ascii="Times New Roman" w:eastAsia="Times New Roman" w:hAnsi="Times New Roman" w:cs="Times New Roman"/>
          <w:b w:val="0"/>
          <w:i w:val="0"/>
          <w:color w:val="000000"/>
          <w:sz w:val="20"/>
          <w:u w:val="none"/>
        </w:rPr>
        <w:t xml:space="preserve">four years as of </w:t>
      </w:r>
      <w:r>
        <w:rPr>
          <w:rFonts w:ascii="Times New Roman" w:eastAsia="Times New Roman" w:hAnsi="Times New Roman" w:cs="Times New Roman"/>
          <w:b w:val="0"/>
          <w:i w:val="0"/>
          <w:color w:val="000000"/>
          <w:sz w:val="20"/>
          <w:u w:val="none"/>
          <w:shd w:val="clear" w:color="auto" w:fill="FFFFFF"/>
        </w:rPr>
        <w:t>September 30, 2025.</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Supplemental cash flow information related to leases are as follows for the periods presented below (in thousands):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035"/>
        <w:gridCol w:w="1575"/>
        <w:gridCol w:w="75"/>
        <w:gridCol w:w="1575"/>
      </w:tblGrid>
      <w:tr>
        <w:tblPrEx>
          <w:tblW w:w="10260" w:type="dxa"/>
          <w:tblLayout w:type="fixed"/>
        </w:tblPrEx>
        <w:trPr>
          <w:cantSplit/>
          <w:trHeight w:hRule="exact" w:val="285"/>
        </w:trPr>
        <w:tc>
          <w:tcPr>
            <w:tcW w:w="70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2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Nine Months Ended September 30,</w:t>
            </w:r>
          </w:p>
        </w:tc>
      </w:tr>
      <w:tr>
        <w:tblPrEx>
          <w:tblW w:w="10260" w:type="dxa"/>
          <w:tblLayout w:type="fixed"/>
        </w:tblPrEx>
        <w:trPr>
          <w:cantSplit/>
          <w:trHeight w:hRule="exact" w:val="285"/>
        </w:trPr>
        <w:tc>
          <w:tcPr>
            <w:tcW w:w="703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157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r>
      <w:tr>
        <w:tblPrEx>
          <w:tblW w:w="10260" w:type="dxa"/>
          <w:tblLayout w:type="fixed"/>
        </w:tblPrEx>
        <w:trPr>
          <w:cantSplit/>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Cash paid for amounts included in the measurement of operating lease liabilities:</w:t>
            </w:r>
          </w:p>
        </w:tc>
        <w:tc>
          <w:tcPr>
            <w:tcW w:w="15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r>
      <w:tr>
        <w:tblPrEx>
          <w:tblW w:w="10260" w:type="dxa"/>
          <w:tblLayout w:type="fixed"/>
        </w:tblPrEx>
        <w:trPr>
          <w:cantSplit/>
          <w:trHeight w:hRule="exact" w:val="28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Operating cash outflows from operating leases</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1,652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1,560</w:t>
              <w:tab/>
            </w:r>
          </w:p>
        </w:tc>
      </w:tr>
      <w:tr>
        <w:tblPrEx>
          <w:tblW w:w="10260" w:type="dxa"/>
          <w:tblLayout w:type="fixed"/>
        </w:tblPrEx>
        <w:trPr>
          <w:cantSplit/>
          <w:trHeight w:hRule="exact" w:val="28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Non-cash activities:</w:t>
            </w: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60" w:type="dxa"/>
          <w:tblLayout w:type="fixed"/>
        </w:tblPrEx>
        <w:trPr>
          <w:cantSplit/>
          <w:trHeight w:hRule="exact" w:val="465"/>
        </w:trPr>
        <w:tc>
          <w:tcPr>
            <w:tcW w:w="703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35"/>
              <w:jc w:val="left"/>
            </w:pPr>
            <w:r>
              <w:rPr>
                <w:rFonts w:ascii="Times New Roman" w:eastAsia="Times New Roman" w:hAnsi="Times New Roman" w:cs="Times New Roman"/>
                <w:b w:val="0"/>
                <w:i w:val="0"/>
                <w:color w:val="000000"/>
                <w:sz w:val="20"/>
                <w:u w:val="none"/>
              </w:rPr>
              <w:t>Operating lease assets obtained or removed in exchange for new, modified or terminated operating lease liabilities</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2,723</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419</w:t>
              <w:tab/>
            </w:r>
          </w:p>
        </w:tc>
      </w:tr>
      <w:tr>
        <w:tblPrEx>
          <w:tblW w:w="10260" w:type="dxa"/>
          <w:tblLayout w:type="fixed"/>
        </w:tblPrEx>
        <w:trPr>
          <w:cantSplit/>
          <w:trHeight w:hRule="exact" w:val="465"/>
        </w:trPr>
        <w:tc>
          <w:tcPr>
            <w:tcW w:w="703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53" w:after="30" w:line="240" w:lineRule="auto"/>
              <w:ind w:left="135"/>
              <w:jc w:val="left"/>
            </w:pPr>
            <w:r>
              <w:rPr>
                <w:rFonts w:ascii="Times New Roman" w:eastAsia="Times New Roman" w:hAnsi="Times New Roman" w:cs="Times New Roman"/>
                <w:b w:val="0"/>
                <w:i w:val="0"/>
                <w:color w:val="000000"/>
                <w:sz w:val="20"/>
                <w:u w:val="none"/>
              </w:rPr>
              <w:t>Finance lease assets obtained or removed in exchange for new, modified, or terminated finance lease liabilities</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284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w:t>
              <w:tab/>
              <w:t>—</w:t>
              <w:tab/>
            </w:r>
          </w:p>
        </w:tc>
      </w:tr>
    </w:tbl>
    <w:p>
      <w:pPr>
        <w:keepNext/>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Future minimum commitments over the life of all operating and financing leases, which exclude variable rent payments, are as follows for the period presented below (in thousands):</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575"/>
        <w:gridCol w:w="75"/>
        <w:gridCol w:w="1575"/>
      </w:tblGrid>
      <w:tr>
        <w:tblPrEx>
          <w:tblW w:w="8010" w:type="dxa"/>
          <w:tblLayout w:type="fixed"/>
        </w:tblPrEx>
        <w:trPr>
          <w:cantSplit/>
          <w:trHeight w:hRule="exact" w:val="285"/>
        </w:trPr>
        <w:tc>
          <w:tcPr>
            <w:tcW w:w="478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Operating Leases</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tcMar>
              <w:top w:w="0" w:type="dxa"/>
              <w:left w:w="53" w:type="dxa"/>
              <w:bottom w:w="0" w:type="dxa"/>
              <w:right w:w="15"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Finance Leases</w:t>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2025 (Remaining)</w:t>
            </w: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613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22</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2026</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ab/>
              <w:t>2,258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88</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2027</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ab/>
              <w:t>1,954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88</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2028</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ab/>
              <w:t>1,787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87</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2029</w:t>
            </w: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992"/>
                <w:tab w:val="left" w:pos="1507"/>
              </w:tabs>
              <w:spacing w:before="53" w:after="30" w:line="240" w:lineRule="auto"/>
              <w:jc w:val="right"/>
            </w:pPr>
            <w:r>
              <w:rPr>
                <w:rFonts w:ascii="Times New Roman" w:eastAsia="Times New Roman" w:hAnsi="Times New Roman" w:cs="Times New Roman"/>
                <w:b w:val="0"/>
                <w:i w:val="0"/>
                <w:color w:val="000000"/>
                <w:sz w:val="20"/>
                <w:u w:val="none"/>
              </w:rPr>
              <w:tab/>
              <w:t>1,035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58</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2030</w:t>
            </w: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ab/>
              <w:t>208</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Thereafter</w:t>
            </w: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27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minimum lease payments</w:t>
            </w:r>
          </w:p>
        </w:tc>
        <w:tc>
          <w:tcPr>
            <w:tcW w:w="157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992"/>
                <w:tab w:val="left" w:pos="1507"/>
              </w:tabs>
              <w:spacing w:before="33" w:after="30" w:line="240" w:lineRule="auto"/>
              <w:jc w:val="right"/>
            </w:pPr>
            <w:r>
              <w:rPr>
                <w:rFonts w:ascii="Times New Roman" w:eastAsia="Times New Roman" w:hAnsi="Times New Roman" w:cs="Times New Roman"/>
                <w:b w:val="0"/>
                <w:i w:val="0"/>
                <w:color w:val="000000"/>
                <w:sz w:val="20"/>
                <w:u w:val="none"/>
              </w:rPr>
              <w:tab/>
              <w:t>7,882</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pPr>
              <w:keepNext/>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ab/>
              <w:t>343</w:t>
              <w:tab/>
            </w:r>
          </w:p>
        </w:tc>
      </w:tr>
      <w:tr>
        <w:tblPrEx>
          <w:tblW w:w="8010" w:type="dxa"/>
          <w:tblLayout w:type="fixed"/>
        </w:tblPrEx>
        <w:trPr>
          <w:cantSplit/>
          <w:trHeight w:hRule="exact" w:val="28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Less: imputed interest</w:t>
            </w: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906"/>
              </w:tabs>
              <w:spacing w:before="53" w:after="30" w:line="240" w:lineRule="auto"/>
              <w:jc w:val="right"/>
            </w:pPr>
            <w:r>
              <w:rPr>
                <w:rFonts w:ascii="Times New Roman" w:eastAsia="Times New Roman" w:hAnsi="Times New Roman" w:cs="Times New Roman"/>
                <w:b w:val="0"/>
                <w:i w:val="0"/>
                <w:color w:val="000000"/>
                <w:sz w:val="20"/>
                <w:u w:val="none"/>
              </w:rPr>
              <w:tab/>
              <w:t>(1,366)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1156"/>
              </w:tabs>
              <w:spacing w:before="53" w:after="30" w:line="240" w:lineRule="auto"/>
              <w:jc w:val="right"/>
            </w:pPr>
            <w:r>
              <w:rPr>
                <w:rFonts w:ascii="Times New Roman" w:eastAsia="Times New Roman" w:hAnsi="Times New Roman" w:cs="Times New Roman"/>
                <w:b w:val="0"/>
                <w:i w:val="0"/>
                <w:color w:val="000000"/>
                <w:sz w:val="20"/>
                <w:u w:val="none"/>
              </w:rPr>
              <w:tab/>
              <w:t>(63)</w:t>
            </w:r>
          </w:p>
        </w:tc>
      </w:tr>
      <w:tr>
        <w:tblPrEx>
          <w:tblW w:w="8010" w:type="dxa"/>
          <w:tblLayout w:type="fixed"/>
        </w:tblPrEx>
        <w:trPr>
          <w:cantSplit/>
          <w:trHeight w:hRule="exact" w:val="28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 lease liabilities</w:t>
            </w:r>
          </w:p>
        </w:tc>
        <w:tc>
          <w:tcPr>
            <w:tcW w:w="15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99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6,516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w:t>
              <w:tab/>
              <w:t>280</w:t>
              <w:tab/>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color w:val="000000"/>
          <w:sz w:val="20"/>
          <w:u w:val="none"/>
        </w:rPr>
      </w:pPr>
      <w:r>
        <w:rPr>
          <w:rFonts w:ascii="Times New Roman" w:eastAsia="Times New Roman" w:hAnsi="Times New Roman" w:cs="Times New Roman"/>
          <w:b/>
          <w:i/>
          <w:color w:val="000000"/>
          <w:sz w:val="20"/>
          <w:u w:val="none"/>
        </w:rPr>
        <w:t>Contingencies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Although we have been, are, and in the future may be, the defendant or plaintiff in various actions arising in the normal course of business, as of </w:t>
      </w:r>
      <w:r>
        <w:rPr>
          <w:rFonts w:ascii="Times New Roman" w:eastAsia="Times New Roman" w:hAnsi="Times New Roman" w:cs="Times New Roman"/>
          <w:b w:val="0"/>
          <w:i w:val="0"/>
          <w:color w:val="000000"/>
          <w:sz w:val="20"/>
          <w:u w:val="none"/>
          <w:shd w:val="clear" w:color="auto" w:fill="FFFFFF"/>
        </w:rPr>
        <w:t>September 30, 2025</w:t>
      </w:r>
      <w:r>
        <w:rPr>
          <w:rFonts w:ascii="Times New Roman" w:eastAsia="Times New Roman" w:hAnsi="Times New Roman" w:cs="Times New Roman"/>
          <w:b w:val="0"/>
          <w:i w:val="0"/>
          <w:color w:val="000000"/>
          <w:sz w:val="20"/>
          <w:u w:val="none"/>
        </w:rPr>
        <w:t>, we were not currently a party to any material legal proceedings.</w:t>
      </w: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color w:val="000000"/>
          <w:sz w:val="20"/>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3"/>
        <w:rPr>
          <w:rFonts w:ascii="Times New Roman" w:eastAsia="Times New Roman" w:hAnsi="Times New Roman" w:cs="Times New Roman"/>
          <w:b/>
          <w:i w:val="0"/>
          <w:sz w:val="20"/>
        </w:rPr>
      </w:pPr>
      <w:bookmarkStart w:id="17" w:name="Section18"/>
      <w:bookmarkEnd w:id="17"/>
      <w:r>
        <w:rPr>
          <w:rFonts w:ascii="Times New Roman" w:eastAsia="Times New Roman" w:hAnsi="Times New Roman" w:cs="Times New Roman"/>
          <w:b/>
          <w:i w:val="0"/>
          <w:color w:val="000000"/>
          <w:sz w:val="20"/>
          <w:u w:val="none"/>
          <w:shd w:val="clear" w:color="auto" w:fill="FFFFFF"/>
        </w:rPr>
        <w:t xml:space="preserve">NOTE 9 - </w:t>
      </w:r>
      <w:r>
        <w:rPr>
          <w:rFonts w:ascii="Times New Roman" w:eastAsia="Times New Roman" w:hAnsi="Times New Roman" w:cs="Times New Roman"/>
          <w:b/>
          <w:i w:val="0"/>
          <w:color w:val="000000"/>
          <w:sz w:val="20"/>
          <w:u w:val="none"/>
          <w:shd w:val="clear" w:color="auto" w:fill="FFFFFF"/>
        </w:rPr>
        <w:t>SHARE-BASED COMPENSATION</w:t>
      </w:r>
    </w:p>
    <w:p>
      <w:pPr>
        <w:keepNext/>
        <w:keepLines/>
        <w:pageBreakBefore w:val="0"/>
        <w:widowControl w:val="0"/>
        <w:numPr>
          <w:ilvl w:val="0"/>
          <w:numId w:val="0"/>
        </w:numPr>
        <w:spacing w:before="0" w:after="0" w:line="288" w:lineRule="auto"/>
        <w:ind w:left="900" w:right="0" w:hanging="90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 xml:space="preserve">We have one active equity plan, the 2018 Incentive Award Plan (the “2018 Plan”). The 2018 Plan, approved by our stockholders, replaced our 2009 Equity Incentive Plan, as amended (the “2009 Plan”); however, the terms and conditions of the 2009 Plan will continue to govern any outstanding awards granted thereunder. </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number of shares reserved for issuance under the 2018 Plan is 6,998 shares. We have an aggregate of 2,341 options, restricted stock units (“RSUs”) and performance stock units (“PSUs”) granted and outstanding pursuant to the 2018 Plan as of September 30, 2025. As of September 30, 2025, the number of shares available for future grant under the 2018 Plan</w:t>
      </w:r>
      <w:r>
        <w:rPr>
          <w:rFonts w:ascii="Times New Roman" w:eastAsia="Times New Roman" w:hAnsi="Times New Roman" w:cs="Times New Roman"/>
          <w:b w:val="0"/>
          <w:i w:val="0"/>
          <w:color w:val="000000"/>
          <w:sz w:val="20"/>
          <w:u w:val="none"/>
          <w:shd w:val="clear" w:color="auto" w:fill="FFFFFF"/>
        </w:rPr>
        <w:t xml:space="preserve"> is</w:t>
      </w:r>
      <w:r>
        <w:rPr>
          <w:rFonts w:ascii="Times New Roman" w:eastAsia="Times New Roman" w:hAnsi="Times New Roman" w:cs="Times New Roman"/>
          <w:b w:val="0"/>
          <w:i w:val="0"/>
          <w:color w:val="000000"/>
          <w:sz w:val="20"/>
          <w:u w:val="none"/>
        </w:rPr>
        <w:t xml:space="preserve"> 2,589. </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Share-based compensation for our stock option plans for the three and nine</w:t>
      </w:r>
      <w:r>
        <w:rPr>
          <w:rFonts w:ascii="Times New Roman" w:eastAsia="Times New Roman" w:hAnsi="Times New Roman" w:cs="Times New Roman"/>
          <w:b w:val="0"/>
          <w:i w:val="0"/>
          <w:color w:val="000000"/>
          <w:sz w:val="20"/>
          <w:u w:val="none"/>
          <w:shd w:val="clear" w:color="auto" w:fill="FFFFFF"/>
        </w:rPr>
        <w:t xml:space="preserve"> months ended </w:t>
      </w:r>
      <w:r>
        <w:rPr>
          <w:rFonts w:ascii="Times New Roman" w:eastAsia="Times New Roman" w:hAnsi="Times New Roman" w:cs="Times New Roman"/>
          <w:b w:val="0"/>
          <w:i w:val="0"/>
          <w:color w:val="000000"/>
          <w:sz w:val="20"/>
          <w:u w:val="none"/>
        </w:rPr>
        <w:t>September 30, 2025,</w:t>
      </w:r>
      <w:r>
        <w:rPr>
          <w:rFonts w:ascii="Times New Roman" w:eastAsia="Times New Roman" w:hAnsi="Times New Roman" w:cs="Times New Roman"/>
          <w:b w:val="0"/>
          <w:i w:val="0"/>
          <w:color w:val="000000"/>
          <w:sz w:val="20"/>
          <w:u w:val="none"/>
          <w:shd w:val="clear" w:color="auto" w:fill="FFFFFF"/>
        </w:rPr>
        <w:t xml:space="preserve"> was </w:t>
      </w:r>
      <w:r>
        <w:rPr>
          <w:rFonts w:ascii="Times New Roman" w:eastAsia="Times New Roman" w:hAnsi="Times New Roman" w:cs="Times New Roman"/>
          <w:b w:val="0"/>
          <w:i w:val="0"/>
          <w:color w:val="000000"/>
          <w:sz w:val="20"/>
          <w:u w:val="none"/>
        </w:rPr>
        <w:t>$1,967</w:t>
      </w:r>
      <w:r>
        <w:rPr>
          <w:rFonts w:ascii="Times New Roman" w:eastAsia="Times New Roman" w:hAnsi="Times New Roman" w:cs="Times New Roman"/>
          <w:b w:val="0"/>
          <w:i w:val="0"/>
          <w:color w:val="000000"/>
          <w:sz w:val="20"/>
          <w:u w:val="none"/>
          <w:shd w:val="clear" w:color="auto" w:fill="FFFFFF"/>
        </w:rPr>
        <w:t xml:space="preserve"> and </w:t>
      </w:r>
      <w:r>
        <w:rPr>
          <w:rFonts w:ascii="Times New Roman" w:eastAsia="Times New Roman" w:hAnsi="Times New Roman" w:cs="Times New Roman"/>
          <w:b w:val="0"/>
          <w:i w:val="0"/>
          <w:color w:val="000000"/>
          <w:sz w:val="20"/>
          <w:u w:val="none"/>
        </w:rPr>
        <w:t>$5,721</w:t>
      </w:r>
      <w:r>
        <w:rPr>
          <w:rFonts w:ascii="Times New Roman" w:eastAsia="Times New Roman" w:hAnsi="Times New Roman" w:cs="Times New Roman"/>
          <w:b w:val="0"/>
          <w:i w:val="0"/>
          <w:color w:val="000000"/>
          <w:sz w:val="20"/>
          <w:u w:val="none"/>
          <w:shd w:val="clear" w:color="auto" w:fill="FFFFFF"/>
        </w:rPr>
        <w:t xml:space="preserve">, respectively, and for the </w:t>
      </w:r>
      <w:r>
        <w:rPr>
          <w:rFonts w:ascii="Times New Roman" w:eastAsia="Times New Roman" w:hAnsi="Times New Roman" w:cs="Times New Roman"/>
          <w:b w:val="0"/>
          <w:i w:val="0"/>
          <w:color w:val="000000"/>
          <w:sz w:val="20"/>
          <w:u w:val="none"/>
        </w:rPr>
        <w:t>three and nine</w:t>
      </w:r>
      <w:r>
        <w:rPr>
          <w:rFonts w:ascii="Times New Roman" w:eastAsia="Times New Roman" w:hAnsi="Times New Roman" w:cs="Times New Roman"/>
          <w:b w:val="0"/>
          <w:i w:val="0"/>
          <w:color w:val="000000"/>
          <w:sz w:val="20"/>
          <w:u w:val="none"/>
          <w:shd w:val="clear" w:color="auto" w:fill="FFFFFF"/>
        </w:rPr>
        <w:t xml:space="preserve"> months ended </w:t>
      </w:r>
      <w:r>
        <w:rPr>
          <w:rFonts w:ascii="Times New Roman" w:eastAsia="Times New Roman" w:hAnsi="Times New Roman" w:cs="Times New Roman"/>
          <w:b w:val="0"/>
          <w:i w:val="0"/>
          <w:color w:val="000000"/>
          <w:sz w:val="20"/>
          <w:u w:val="none"/>
        </w:rPr>
        <w:t>September 30, 2024,</w:t>
      </w:r>
      <w:r>
        <w:rPr>
          <w:rFonts w:ascii="Times New Roman" w:eastAsia="Times New Roman" w:hAnsi="Times New Roman" w:cs="Times New Roman"/>
          <w:b w:val="0"/>
          <w:i w:val="0"/>
          <w:color w:val="000000"/>
          <w:sz w:val="20"/>
          <w:u w:val="none"/>
          <w:shd w:val="clear" w:color="auto" w:fill="FFFFFF"/>
        </w:rPr>
        <w:t xml:space="preserve"> was </w:t>
      </w:r>
      <w:r>
        <w:rPr>
          <w:rFonts w:ascii="Times New Roman" w:eastAsia="Times New Roman" w:hAnsi="Times New Roman" w:cs="Times New Roman"/>
          <w:b w:val="0"/>
          <w:i w:val="0"/>
          <w:color w:val="000000"/>
          <w:sz w:val="20"/>
          <w:u w:val="none"/>
        </w:rPr>
        <w:t>$1,591</w:t>
      </w:r>
      <w:r>
        <w:rPr>
          <w:rFonts w:ascii="Times New Roman" w:eastAsia="Times New Roman" w:hAnsi="Times New Roman" w:cs="Times New Roman"/>
          <w:b w:val="0"/>
          <w:i w:val="0"/>
          <w:color w:val="000000"/>
          <w:sz w:val="20"/>
          <w:u w:val="none"/>
          <w:shd w:val="clear" w:color="auto" w:fill="FFFFFF"/>
        </w:rPr>
        <w:t xml:space="preserve"> and </w:t>
      </w:r>
      <w:r>
        <w:rPr>
          <w:rFonts w:ascii="Times New Roman" w:eastAsia="Times New Roman" w:hAnsi="Times New Roman" w:cs="Times New Roman"/>
          <w:b w:val="0"/>
          <w:i w:val="0"/>
          <w:color w:val="000000"/>
          <w:sz w:val="20"/>
          <w:u w:val="none"/>
        </w:rPr>
        <w:t>$4,981</w:t>
      </w:r>
      <w:r>
        <w:rPr>
          <w:rFonts w:ascii="Times New Roman" w:eastAsia="Times New Roman" w:hAnsi="Times New Roman" w:cs="Times New Roman"/>
          <w:b w:val="0"/>
          <w:i w:val="0"/>
          <w:color w:val="000000"/>
          <w:sz w:val="20"/>
          <w:u w:val="none"/>
          <w:shd w:val="clear" w:color="auto" w:fill="FFFFFF"/>
        </w:rPr>
        <w:t>, respectively</w:t>
      </w:r>
      <w:r>
        <w:rPr>
          <w:rFonts w:ascii="Times New Roman" w:eastAsia="Times New Roman" w:hAnsi="Times New Roman" w:cs="Times New Roman"/>
          <w:b w:val="0"/>
          <w:i w:val="0"/>
          <w:color w:val="000000"/>
          <w:sz w:val="20"/>
          <w:u w:val="none"/>
        </w:rPr>
        <w:t>.</w:t>
      </w:r>
      <w:r>
        <w:rPr>
          <w:rFonts w:ascii="Times New Roman" w:eastAsia="Times New Roman" w:hAnsi="Times New Roman" w:cs="Times New Roman"/>
          <w:b w:val="0"/>
          <w:i w:val="0"/>
          <w:color w:val="000000"/>
          <w:sz w:val="20"/>
          <w:u w:val="none"/>
        </w:rPr>
        <w:t xml:space="preserve"> Issuance of common stock related to the exercise of stock options and the vesting of restricted stock units (including restricted stock units that converted from performance stock units) are as follows for the period presented below (in thousands):</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05"/>
        <w:gridCol w:w="1575"/>
        <w:gridCol w:w="60"/>
        <w:gridCol w:w="1575"/>
        <w:gridCol w:w="60"/>
        <w:gridCol w:w="1575"/>
        <w:gridCol w:w="60"/>
        <w:gridCol w:w="1575"/>
      </w:tblGrid>
      <w:tr>
        <w:tblPrEx>
          <w:tblW w:w="10185" w:type="dxa"/>
          <w:tblLayout w:type="fixed"/>
        </w:tblPrEx>
        <w:trPr>
          <w:cantSplit/>
          <w:trHeight w:hRule="exact" w:val="285"/>
        </w:trPr>
        <w:tc>
          <w:tcPr>
            <w:tcW w:w="37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10"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 September 30,</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210"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Nine Months Ended September 30,</w:t>
            </w:r>
          </w:p>
        </w:tc>
      </w:tr>
      <w:tr>
        <w:tblPrEx>
          <w:tblW w:w="10185" w:type="dxa"/>
          <w:tblLayout w:type="fixed"/>
        </w:tblPrEx>
        <w:trPr>
          <w:cantSplit/>
          <w:trHeight w:hRule="exact" w:val="315"/>
        </w:trPr>
        <w:tc>
          <w:tcPr>
            <w:tcW w:w="37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r>
      <w:tr>
        <w:tblPrEx>
          <w:tblW w:w="10185" w:type="dxa"/>
          <w:tblLayout w:type="fixed"/>
        </w:tblPrEx>
        <w:trPr>
          <w:cantSplit/>
          <w:trHeight w:hRule="exact" w:val="315"/>
        </w:trPr>
        <w:tc>
          <w:tcPr>
            <w:tcW w:w="37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Common stock issued - options</w:t>
            </w:r>
            <w:r>
              <w:rPr>
                <w:rFonts w:ascii="Times New Roman" w:eastAsia="Times New Roman" w:hAnsi="Times New Roman" w:cs="Times New Roman"/>
                <w:b w:val="0"/>
                <w:i w:val="0"/>
                <w:sz w:val="20"/>
                <w:vertAlign w:val="superscript"/>
              </w:rPr>
              <w:t>(1)</w:t>
            </w: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342"/>
                <w:tab w:val="left" w:pos="1507"/>
              </w:tabs>
              <w:spacing w:before="33" w:after="30" w:line="240" w:lineRule="auto"/>
              <w:jc w:val="right"/>
            </w:pPr>
            <w:r>
              <w:rPr>
                <w:rFonts w:ascii="Times New Roman" w:eastAsia="Times New Roman" w:hAnsi="Times New Roman" w:cs="Times New Roman"/>
                <w:b w:val="0"/>
                <w:i w:val="0"/>
                <w:color w:val="000000"/>
                <w:sz w:val="20"/>
                <w:u w:val="none"/>
              </w:rPr>
              <w:tab/>
              <w:t>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33" w:after="30" w:line="240" w:lineRule="auto"/>
              <w:jc w:val="right"/>
            </w:pPr>
            <w:r>
              <w:rPr>
                <w:rFonts w:ascii="Times New Roman" w:eastAsia="Times New Roman" w:hAnsi="Times New Roman" w:cs="Times New Roman"/>
                <w:b w:val="0"/>
                <w:i w:val="0"/>
                <w:color w:val="000000"/>
                <w:sz w:val="20"/>
                <w:u w:val="none"/>
              </w:rPr>
              <w:tab/>
              <w:t>51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142"/>
                <w:tab w:val="left" w:pos="1507"/>
              </w:tabs>
              <w:spacing w:before="33" w:after="30" w:line="240" w:lineRule="auto"/>
              <w:jc w:val="right"/>
            </w:pPr>
            <w:r>
              <w:rPr>
                <w:rFonts w:ascii="Times New Roman" w:eastAsia="Times New Roman" w:hAnsi="Times New Roman" w:cs="Times New Roman"/>
                <w:b w:val="0"/>
                <w:i w:val="0"/>
                <w:color w:val="000000"/>
                <w:sz w:val="20"/>
                <w:u w:val="none"/>
              </w:rPr>
              <w:tab/>
              <w:t>369</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242"/>
                <w:tab w:val="left" w:pos="1507"/>
              </w:tabs>
              <w:spacing w:before="33" w:after="30" w:line="240" w:lineRule="auto"/>
              <w:jc w:val="right"/>
            </w:pPr>
            <w:r>
              <w:rPr>
                <w:rFonts w:ascii="Times New Roman" w:eastAsia="Times New Roman" w:hAnsi="Times New Roman" w:cs="Times New Roman"/>
                <w:b w:val="0"/>
                <w:i w:val="0"/>
                <w:color w:val="000000"/>
                <w:sz w:val="20"/>
                <w:u w:val="none"/>
              </w:rPr>
              <w:tab/>
              <w:t>86</w:t>
              <w:tab/>
            </w:r>
          </w:p>
        </w:tc>
      </w:tr>
      <w:tr>
        <w:tblPrEx>
          <w:tblW w:w="10185" w:type="dxa"/>
          <w:tblLayout w:type="fixed"/>
        </w:tblPrEx>
        <w:trPr>
          <w:cantSplit/>
          <w:trHeight w:hRule="exact" w:val="315"/>
        </w:trPr>
        <w:tc>
          <w:tcPr>
            <w:tcW w:w="370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Common stock issued - RSU</w:t>
            </w:r>
            <w:r>
              <w:rPr>
                <w:rFonts w:ascii="Times New Roman" w:eastAsia="Times New Roman" w:hAnsi="Times New Roman" w:cs="Times New Roman"/>
                <w:b w:val="0"/>
                <w:i w:val="0"/>
                <w:sz w:val="20"/>
                <w:vertAlign w:val="superscript"/>
              </w:rPr>
              <w:t>(1)(2)</w:t>
            </w:r>
          </w:p>
        </w:tc>
        <w:tc>
          <w:tcPr>
            <w:tcW w:w="1575" w:type="dxa"/>
            <w:tcBorders>
              <w:top w:val="nil"/>
              <w:left w:val="nil"/>
              <w:bottom w:val="nil"/>
              <w:right w:val="nil"/>
            </w:tcBorders>
            <w:tcMar>
              <w:top w:w="0" w:type="dxa"/>
              <w:left w:w="0" w:type="dxa"/>
              <w:bottom w:w="0" w:type="dxa"/>
              <w:right w:w="15" w:type="dxa"/>
            </w:tcMar>
            <w:vAlign w:val="bottom"/>
          </w:tcPr>
          <w:p>
            <w:pPr>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ab/>
              <w:t>100</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7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242"/>
                <w:tab w:val="left" w:pos="1507"/>
              </w:tabs>
              <w:spacing w:before="53" w:after="30" w:line="240" w:lineRule="auto"/>
              <w:jc w:val="right"/>
            </w:pPr>
            <w:r>
              <w:rPr>
                <w:rFonts w:ascii="Times New Roman" w:eastAsia="Times New Roman" w:hAnsi="Times New Roman" w:cs="Times New Roman"/>
                <w:b w:val="0"/>
                <w:i w:val="0"/>
                <w:color w:val="000000"/>
                <w:sz w:val="20"/>
                <w:u w:val="none"/>
              </w:rPr>
              <w:tab/>
              <w:t>46</w:t>
              <w:tab/>
            </w:r>
          </w:p>
        </w:tc>
        <w:tc>
          <w:tcPr>
            <w:tcW w:w="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575" w:type="dxa"/>
            <w:tcBorders>
              <w:top w:val="nil"/>
              <w:left w:val="nil"/>
              <w:bottom w:val="nil"/>
              <w:right w:val="nil"/>
            </w:tcBorders>
            <w:tcMar>
              <w:top w:w="0" w:type="dxa"/>
              <w:left w:w="0" w:type="dxa"/>
              <w:bottom w:w="0" w:type="dxa"/>
              <w:right w:w="15" w:type="dxa"/>
            </w:tcMar>
            <w:vAlign w:val="bottom"/>
          </w:tcPr>
          <w:p>
            <w:pPr>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ab/>
              <w:t>555</w:t>
              <w:tab/>
            </w:r>
          </w:p>
        </w:tc>
        <w:tc>
          <w:tcPr>
            <w:tcW w:w="6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575" w:type="dxa"/>
            <w:tcBorders>
              <w:top w:val="nil"/>
              <w:left w:val="nil"/>
              <w:bottom w:val="nil"/>
              <w:right w:val="nil"/>
            </w:tcBorders>
            <w:tcMar>
              <w:top w:w="0" w:type="dxa"/>
              <w:left w:w="0" w:type="dxa"/>
              <w:bottom w:w="0" w:type="dxa"/>
              <w:right w:w="15" w:type="dxa"/>
            </w:tcMar>
            <w:vAlign w:val="bottom"/>
          </w:tcPr>
          <w:p>
            <w:pPr>
              <w:pageBreakBefore w:val="0"/>
              <w:tabs>
                <w:tab w:val="left" w:pos="1142"/>
                <w:tab w:val="left" w:pos="1507"/>
              </w:tabs>
              <w:spacing w:before="53" w:after="30" w:line="240" w:lineRule="auto"/>
              <w:jc w:val="right"/>
            </w:pPr>
            <w:r>
              <w:rPr>
                <w:rFonts w:ascii="Times New Roman" w:eastAsia="Times New Roman" w:hAnsi="Times New Roman" w:cs="Times New Roman"/>
                <w:b w:val="0"/>
                <w:i w:val="0"/>
                <w:color w:val="000000"/>
                <w:sz w:val="20"/>
                <w:u w:val="none"/>
              </w:rPr>
              <w:tab/>
              <w:t>370</w:t>
              <w:tab/>
            </w:r>
          </w:p>
        </w:tc>
      </w:tr>
    </w:tbl>
    <w:p>
      <w:pPr>
        <w:keepNext w:val="0"/>
        <w:keepLines/>
        <w:pageBreakBefore w:val="0"/>
        <w:widowControl w:val="0"/>
        <w:numPr>
          <w:ilvl w:val="0"/>
          <w:numId w:val="16"/>
        </w:numPr>
        <w:spacing w:before="0" w:after="0" w:line="288" w:lineRule="auto"/>
        <w:ind w:left="720" w:right="0" w:hanging="720"/>
        <w:jc w:val="left"/>
        <w:outlineLvl w:val="9"/>
        <w:rPr>
          <w:rFonts w:ascii="Times New Roman" w:eastAsia="Times New Roman" w:hAnsi="Times New Roman" w:cs="Times New Roman"/>
          <w:b w:val="0"/>
          <w:i w:val="0"/>
          <w:color w:val="000000"/>
          <w:sz w:val="16"/>
          <w:u w:val="none"/>
        </w:rPr>
      </w:pPr>
      <w:r>
        <w:rPr>
          <w:rFonts w:ascii="Times New Roman" w:eastAsia="Times New Roman" w:hAnsi="Times New Roman" w:cs="Times New Roman"/>
          <w:b w:val="0"/>
          <w:i w:val="0"/>
          <w:color w:val="000000"/>
          <w:sz w:val="16"/>
          <w:u w:val="none"/>
        </w:rPr>
        <w:t>Included in these amounts are 4 and 184 shares withheld for taxes or in connection with a cashless exercise of options during the three and nine months ended September 30, 2025, respectively.</w:t>
      </w:r>
    </w:p>
    <w:p>
      <w:pPr>
        <w:keepNext w:val="0"/>
        <w:keepLines/>
        <w:pageBreakBefore w:val="0"/>
        <w:widowControl w:val="0"/>
        <w:numPr>
          <w:ilvl w:val="0"/>
          <w:numId w:val="16"/>
        </w:numPr>
        <w:spacing w:before="0" w:after="0" w:line="288" w:lineRule="auto"/>
        <w:ind w:left="720" w:right="0" w:hanging="720"/>
        <w:jc w:val="left"/>
        <w:outlineLvl w:val="9"/>
        <w:rPr>
          <w:rFonts w:ascii="Times New Roman" w:eastAsia="Times New Roman" w:hAnsi="Times New Roman" w:cs="Times New Roman"/>
          <w:b w:val="0"/>
          <w:i w:val="0"/>
          <w:color w:val="000000"/>
          <w:sz w:val="16"/>
          <w:u w:val="none"/>
        </w:rPr>
      </w:pPr>
      <w:r>
        <w:rPr>
          <w:rFonts w:ascii="Times New Roman" w:eastAsia="Times New Roman" w:hAnsi="Times New Roman" w:cs="Times New Roman"/>
          <w:b w:val="0"/>
          <w:i w:val="0"/>
          <w:color w:val="000000"/>
          <w:sz w:val="16"/>
          <w:u w:val="none"/>
        </w:rPr>
        <w:t>Included in these amounts are 159 restricted stock units during the nine months ended September 30, 2025, and 109 restricted stock units during the nine months ended September 30, 2024, that were converted from performance stock units which vested during those periods. There were no stock units converted from performance stock units during the three months ended September 30, 2025 and 2024.</w:t>
      </w:r>
    </w:p>
    <w:p>
      <w:pPr>
        <w:keepNext w:val="0"/>
        <w:keepLines/>
        <w:pageBreakBefore w:val="0"/>
        <w:widowControl w:val="0"/>
        <w:numPr>
          <w:ilvl w:val="0"/>
          <w:numId w:val="0"/>
        </w:numPr>
        <w:spacing w:before="0" w:after="0" w:line="288" w:lineRule="auto"/>
        <w:ind w:left="0" w:right="0" w:hanging="36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Effective January 1, 2025, the Compensation Committee approved the grant of PSUs pursuant to a PSU Award Grant Notice and PSU Award Agreement (the “2025 PSU Award Agreement”) under the 2018 Plan to our executive officers payable in the form of RSUs. The number of RSUs into which the PSUs convert for each executive officer is a sliding scale between </w:t>
      </w:r>
      <w:r>
        <w:rPr>
          <w:rFonts w:ascii="Times New Roman" w:eastAsia="Times New Roman" w:hAnsi="Times New Roman" w:cs="Times New Roman"/>
          <w:b w:val="0"/>
          <w:i w:val="0"/>
          <w:color w:val="000000"/>
          <w:sz w:val="20"/>
          <w:u w:val="none"/>
        </w:rPr>
        <w:t>0%</w:t>
      </w:r>
      <w:r>
        <w:rPr>
          <w:rFonts w:ascii="Times New Roman" w:eastAsia="Times New Roman" w:hAnsi="Times New Roman" w:cs="Times New Roman"/>
          <w:b w:val="0"/>
          <w:i w:val="0"/>
          <w:color w:val="000000"/>
          <w:sz w:val="20"/>
          <w:u w:val="none"/>
        </w:rPr>
        <w:t xml:space="preserve"> to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color w:val="000000"/>
          <w:sz w:val="20"/>
          <w:u w:val="none"/>
        </w:rPr>
        <w:t xml:space="preserve"> of the target amount based on our achievement of certain performance metrics tied to our recurring revenue and gross profit for 2025.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16"/>
          <w:u w:val="none"/>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18" w:name="Section19"/>
      <w:bookmarkEnd w:id="18"/>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sz w:val="20"/>
        </w:rPr>
      </w:pPr>
      <w:r>
        <w:rPr>
          <w:rFonts w:ascii="Times New Roman" w:eastAsia="Times New Roman" w:hAnsi="Times New Roman" w:cs="Times New Roman"/>
          <w:b/>
          <w:i w:val="0"/>
          <w:sz w:val="20"/>
        </w:rPr>
        <w:t xml:space="preserve">NOTE 10 - </w:t>
      </w:r>
      <w:r>
        <w:rPr>
          <w:rFonts w:ascii="Times New Roman" w:eastAsia="Times New Roman" w:hAnsi="Times New Roman" w:cs="Times New Roman"/>
          <w:b/>
          <w:i w:val="0"/>
          <w:color w:val="000000"/>
          <w:sz w:val="20"/>
          <w:u w:val="none"/>
        </w:rPr>
        <w:t>NET LOSS PER SHARE</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We compute net income or loss per share based on the weighted average number of common shares outstanding for the period. Diluted net income per share reflects the maximum dilution that would have resulted from incremental common shares issuable upon the exercise of stock options or vesting of RSUs and in some cases PSUs. In periods of net income, we compute the adjustment to the denominator of our dilutive net earnings per share calculation to include these stock options, RSUs, and PSUs, as applicable, using the treasury stock method. Regardless of the period resulting in net income or net loss, we exclude the adjustment to the denominator of our dilutive net loss per share calculation to the extent that they are anti-dilutive.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following table sets forth the computation of basic and diluted net loss per common share for the periods presented below (in thousands, except per share amounts):</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040"/>
        <w:gridCol w:w="1245"/>
        <w:gridCol w:w="75"/>
        <w:gridCol w:w="1245"/>
        <w:gridCol w:w="75"/>
        <w:gridCol w:w="1245"/>
        <w:gridCol w:w="75"/>
        <w:gridCol w:w="1245"/>
      </w:tblGrid>
      <w:tr>
        <w:tblPrEx>
          <w:tblW w:w="10245" w:type="dxa"/>
          <w:tblLayout w:type="fixed"/>
        </w:tblPrEx>
        <w:trPr>
          <w:cantSplit/>
          <w:trHeight w:hRule="exact" w:val="465"/>
        </w:trPr>
        <w:tc>
          <w:tcPr>
            <w:tcW w:w="50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565" w:type="dxa"/>
            <w:gridSpan w:val="3"/>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w:t>
            </w:r>
            <w:r>
              <w:br/>
            </w:r>
            <w:r>
              <w:rPr>
                <w:rFonts w:ascii="Times New Roman" w:eastAsia="Times New Roman" w:hAnsi="Times New Roman" w:cs="Times New Roman"/>
                <w:b/>
                <w:i w:val="0"/>
                <w:color w:val="000000"/>
                <w:sz w:val="20"/>
                <w:u w:val="none"/>
              </w:rPr>
              <w:t>September 30,</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56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Nine Months Ended</w:t>
            </w:r>
            <w:r>
              <w:br/>
            </w:r>
            <w:r>
              <w:rPr>
                <w:rFonts w:ascii="Times New Roman" w:eastAsia="Times New Roman" w:hAnsi="Times New Roman" w:cs="Times New Roman"/>
                <w:b/>
                <w:i w:val="0"/>
                <w:color w:val="000000"/>
                <w:sz w:val="20"/>
                <w:u w:val="none"/>
              </w:rPr>
              <w:t>September 30,</w:t>
            </w:r>
          </w:p>
        </w:tc>
      </w:tr>
      <w:tr>
        <w:tblPrEx>
          <w:tblW w:w="10245" w:type="dxa"/>
          <w:tblLayout w:type="fixed"/>
        </w:tblPrEx>
        <w:trPr>
          <w:cantSplit/>
          <w:trHeight w:hRule="exact" w:val="345"/>
        </w:trPr>
        <w:tc>
          <w:tcPr>
            <w:tcW w:w="50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Basic:</w:t>
            </w: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 xml:space="preserve">Net loss </w:t>
            </w: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w:t>
              <w:tab/>
              <w:t>(5,362)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w:t>
              <w:tab/>
              <w:t>(3,901)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76"/>
              </w:tabs>
              <w:spacing w:before="53" w:after="30" w:line="240" w:lineRule="auto"/>
              <w:jc w:val="right"/>
            </w:pPr>
            <w:r>
              <w:rPr>
                <w:rFonts w:ascii="Times New Roman" w:eastAsia="Times New Roman" w:hAnsi="Times New Roman" w:cs="Times New Roman"/>
                <w:b w:val="0"/>
                <w:i w:val="0"/>
                <w:color w:val="000000"/>
                <w:sz w:val="20"/>
                <w:u w:val="none"/>
              </w:rPr>
              <w:t>$</w:t>
              <w:tab/>
              <w:t>(13,883)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w:t>
              <w:tab/>
              <w:t>(8,569)</w:t>
            </w: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Weighted-average shares of common stock outstanding</w:t>
            </w: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27,566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26,429</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27,257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25,870</w:t>
              <w:tab/>
            </w: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Basic loss per share</w:t>
            </w: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76"/>
              </w:tabs>
              <w:spacing w:before="33" w:after="30" w:line="240" w:lineRule="auto"/>
              <w:jc w:val="right"/>
            </w:pPr>
            <w:r>
              <w:rPr>
                <w:rFonts w:ascii="Times New Roman" w:eastAsia="Times New Roman" w:hAnsi="Times New Roman" w:cs="Times New Roman"/>
                <w:b w:val="0"/>
                <w:i w:val="0"/>
                <w:color w:val="000000"/>
                <w:sz w:val="20"/>
                <w:u w:val="none"/>
              </w:rPr>
              <w:t>$</w:t>
              <w:tab/>
              <w:t>(0.19)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76"/>
              </w:tabs>
              <w:spacing w:before="33" w:after="30" w:line="240" w:lineRule="auto"/>
              <w:jc w:val="right"/>
            </w:pPr>
            <w:r>
              <w:rPr>
                <w:rFonts w:ascii="Times New Roman" w:eastAsia="Times New Roman" w:hAnsi="Times New Roman" w:cs="Times New Roman"/>
                <w:b w:val="0"/>
                <w:i w:val="0"/>
                <w:color w:val="000000"/>
                <w:sz w:val="20"/>
                <w:u w:val="none"/>
              </w:rPr>
              <w:t>$</w:t>
              <w:tab/>
              <w:t>(0.15)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76"/>
              </w:tabs>
              <w:spacing w:before="33" w:after="30" w:line="240" w:lineRule="auto"/>
              <w:jc w:val="right"/>
            </w:pPr>
            <w:r>
              <w:rPr>
                <w:rFonts w:ascii="Times New Roman" w:eastAsia="Times New Roman" w:hAnsi="Times New Roman" w:cs="Times New Roman"/>
                <w:b w:val="0"/>
                <w:i w:val="0"/>
                <w:color w:val="000000"/>
                <w:sz w:val="20"/>
                <w:u w:val="none"/>
              </w:rPr>
              <w:t>$</w:t>
              <w:tab/>
              <w:t>(0.51)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keepNext/>
              <w:pageBreakBefore w:val="0"/>
              <w:tabs>
                <w:tab w:val="left" w:pos="676"/>
              </w:tabs>
              <w:spacing w:before="33" w:after="30" w:line="240" w:lineRule="auto"/>
              <w:jc w:val="right"/>
            </w:pPr>
            <w:r>
              <w:rPr>
                <w:rFonts w:ascii="Times New Roman" w:eastAsia="Times New Roman" w:hAnsi="Times New Roman" w:cs="Times New Roman"/>
                <w:b w:val="0"/>
                <w:i w:val="0"/>
                <w:color w:val="000000"/>
                <w:sz w:val="20"/>
                <w:u w:val="none"/>
              </w:rPr>
              <w:t>$</w:t>
              <w:tab/>
              <w:t>(0.33)</w:t>
            </w:r>
          </w:p>
        </w:tc>
      </w:tr>
      <w:tr>
        <w:tblPrEx>
          <w:tblW w:w="10245" w:type="dxa"/>
          <w:tblLayout w:type="fixed"/>
        </w:tblPrEx>
        <w:trPr>
          <w:cantSplit/>
          <w:trHeight w:hRule="exact" w:val="345"/>
        </w:trPr>
        <w:tc>
          <w:tcPr>
            <w:tcW w:w="504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Diluted:</w:t>
            </w: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Net loss</w:t>
            </w: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w:t>
              <w:tab/>
              <w:t>(5,362)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w:t>
              <w:tab/>
              <w:t>(3,901)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476"/>
              </w:tabs>
              <w:spacing w:before="53" w:after="30" w:line="240" w:lineRule="auto"/>
              <w:jc w:val="right"/>
            </w:pPr>
            <w:r>
              <w:rPr>
                <w:rFonts w:ascii="Times New Roman" w:eastAsia="Times New Roman" w:hAnsi="Times New Roman" w:cs="Times New Roman"/>
                <w:b w:val="0"/>
                <w:i w:val="0"/>
                <w:color w:val="000000"/>
                <w:sz w:val="20"/>
                <w:u w:val="none"/>
              </w:rPr>
              <w:t>$</w:t>
              <w:tab/>
              <w:t>(13,883)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w:t>
              <w:tab/>
              <w:t>(8,569)</w:t>
            </w: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Weighted-average shares of common stock outstanding</w:t>
            </w: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27,566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26,429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27,257</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25,870</w:t>
              <w:tab/>
            </w: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Diluted loss per share</w:t>
            </w:r>
          </w:p>
        </w:tc>
        <w:tc>
          <w:tcPr>
            <w:tcW w:w="12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76"/>
              </w:tabs>
              <w:spacing w:before="33" w:after="30" w:line="240" w:lineRule="auto"/>
              <w:jc w:val="right"/>
            </w:pPr>
            <w:r>
              <w:rPr>
                <w:rFonts w:ascii="Times New Roman" w:eastAsia="Times New Roman" w:hAnsi="Times New Roman" w:cs="Times New Roman"/>
                <w:b w:val="0"/>
                <w:i w:val="0"/>
                <w:color w:val="000000"/>
                <w:sz w:val="20"/>
                <w:u w:val="none"/>
              </w:rPr>
              <w:t>$</w:t>
              <w:tab/>
              <w:t>(0.19)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76"/>
              </w:tabs>
              <w:spacing w:before="33" w:after="30" w:line="240" w:lineRule="auto"/>
              <w:jc w:val="right"/>
            </w:pPr>
            <w:r>
              <w:rPr>
                <w:rFonts w:ascii="Times New Roman" w:eastAsia="Times New Roman" w:hAnsi="Times New Roman" w:cs="Times New Roman"/>
                <w:b w:val="0"/>
                <w:i w:val="0"/>
                <w:color w:val="000000"/>
                <w:sz w:val="20"/>
                <w:u w:val="none"/>
              </w:rPr>
              <w:t>$</w:t>
              <w:tab/>
              <w:t>(0.15)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76"/>
              </w:tabs>
              <w:spacing w:before="33" w:after="30" w:line="240" w:lineRule="auto"/>
              <w:jc w:val="right"/>
            </w:pPr>
            <w:r>
              <w:rPr>
                <w:rFonts w:ascii="Times New Roman" w:eastAsia="Times New Roman" w:hAnsi="Times New Roman" w:cs="Times New Roman"/>
                <w:b w:val="0"/>
                <w:i w:val="0"/>
                <w:color w:val="000000"/>
                <w:sz w:val="20"/>
                <w:u w:val="none"/>
              </w:rPr>
              <w:t>$</w:t>
              <w:tab/>
              <w:t>(0.51)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2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76"/>
              </w:tabs>
              <w:spacing w:before="33" w:after="30" w:line="240" w:lineRule="auto"/>
              <w:jc w:val="right"/>
            </w:pPr>
            <w:r>
              <w:rPr>
                <w:rFonts w:ascii="Times New Roman" w:eastAsia="Times New Roman" w:hAnsi="Times New Roman" w:cs="Times New Roman"/>
                <w:b w:val="0"/>
                <w:i w:val="0"/>
                <w:color w:val="000000"/>
                <w:sz w:val="20"/>
                <w:u w:val="none"/>
              </w:rPr>
              <w:t>$</w:t>
              <w:tab/>
              <w:t>(0.33)</w:t>
            </w:r>
          </w:p>
        </w:tc>
      </w:tr>
    </w:tb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color w:val="000000"/>
          <w:sz w:val="20"/>
          <w:u w:val="none"/>
          <w:shd w:val="clear" w:color="auto" w:fill="FFFFFF"/>
        </w:rPr>
      </w:pPr>
      <w:bookmarkStart w:id="19" w:name="Section20"/>
      <w:bookmarkEnd w:id="19"/>
      <w:r>
        <w:rPr>
          <w:rFonts w:ascii="Times New Roman" w:eastAsia="Times New Roman" w:hAnsi="Times New Roman" w:cs="Times New Roman"/>
          <w:b/>
          <w:i w:val="0"/>
          <w:color w:val="000000"/>
          <w:sz w:val="20"/>
          <w:u w:val="none"/>
          <w:shd w:val="clear" w:color="auto" w:fill="FFFFFF"/>
        </w:rPr>
        <w:t xml:space="preserve">NOTE 11 - </w:t>
      </w:r>
      <w:r>
        <w:rPr>
          <w:rFonts w:ascii="Times New Roman" w:eastAsia="Times New Roman" w:hAnsi="Times New Roman" w:cs="Times New Roman"/>
          <w:b/>
          <w:i w:val="0"/>
          <w:color w:val="000000"/>
          <w:sz w:val="20"/>
          <w:u w:val="none"/>
          <w:shd w:val="clear" w:color="auto" w:fill="FFFFFF"/>
        </w:rPr>
        <w:t>SEGMENT INFORMATION</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val="0"/>
          <w:i w:val="0"/>
          <w:color w:val="000000"/>
          <w:sz w:val="20"/>
          <w:u w:val="none"/>
        </w:rPr>
        <w:t>We manage our business activities on a consolidated basis and operate as one reportable segment. Our chief operating decision maker (“CODM”) is the Chairman and Chief Executive Officer, who reviews financial information presented on a consolidated basis. The CODM uses consolidated net loss, as reported on our Consolidated Statements of Comprehensive Loss, to assess financial performance and allocate resources. These financial metrics are used by the CODM to make key operating decisions, such as the allocation of budget between cost of sales, sales and marketing, general and administrative, and research and development expenses. The CODM does not review assets in evaluating the results of the segment, and therefore, such information is not presented.</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The operating financial results of our single reportable segment for three and nine</w:t>
      </w:r>
      <w:r>
        <w:rPr>
          <w:rFonts w:ascii="Times New Roman" w:eastAsia="Times New Roman" w:hAnsi="Times New Roman" w:cs="Times New Roman"/>
          <w:b w:val="0"/>
          <w:i w:val="0"/>
          <w:color w:val="000000"/>
          <w:sz w:val="20"/>
          <w:u w:val="none"/>
          <w:shd w:val="clear" w:color="auto" w:fill="FFFFFF"/>
        </w:rPr>
        <w:t xml:space="preserve"> months ended </w:t>
      </w:r>
      <w:r>
        <w:rPr>
          <w:rFonts w:ascii="Times New Roman" w:eastAsia="Times New Roman" w:hAnsi="Times New Roman" w:cs="Times New Roman"/>
          <w:b w:val="0"/>
          <w:i w:val="0"/>
          <w:color w:val="000000"/>
          <w:sz w:val="20"/>
          <w:u w:val="none"/>
        </w:rPr>
        <w:t>September 30, 2025 and 2024, are as follows (in thousands):</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040"/>
        <w:gridCol w:w="1245"/>
        <w:gridCol w:w="75"/>
        <w:gridCol w:w="1245"/>
        <w:gridCol w:w="75"/>
        <w:gridCol w:w="1245"/>
        <w:gridCol w:w="75"/>
        <w:gridCol w:w="1245"/>
      </w:tblGrid>
      <w:tr>
        <w:tblPrEx>
          <w:tblW w:w="10245" w:type="dxa"/>
          <w:tblLayout w:type="fixed"/>
        </w:tblPrEx>
        <w:trPr>
          <w:cantSplit/>
          <w:trHeight w:hRule="exact" w:val="465"/>
        </w:trPr>
        <w:tc>
          <w:tcPr>
            <w:tcW w:w="504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56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Three Months Ended</w:t>
            </w:r>
            <w:r>
              <w:br/>
            </w:r>
            <w:r>
              <w:rPr>
                <w:rFonts w:ascii="Times New Roman" w:eastAsia="Times New Roman" w:hAnsi="Times New Roman" w:cs="Times New Roman"/>
                <w:b/>
                <w:i w:val="0"/>
                <w:color w:val="000000"/>
                <w:sz w:val="20"/>
                <w:u w:val="none"/>
              </w:rPr>
              <w:t>September 30,</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56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Nine Months Ended</w:t>
            </w:r>
            <w:r>
              <w:br/>
            </w:r>
            <w:r>
              <w:rPr>
                <w:rFonts w:ascii="Times New Roman" w:eastAsia="Times New Roman" w:hAnsi="Times New Roman" w:cs="Times New Roman"/>
                <w:b/>
                <w:i w:val="0"/>
                <w:color w:val="000000"/>
                <w:sz w:val="20"/>
                <w:u w:val="none"/>
              </w:rPr>
              <w:t>September 30,</w:t>
            </w:r>
          </w:p>
        </w:tc>
      </w:tr>
      <w:tr>
        <w:tblPrEx>
          <w:tblW w:w="10245" w:type="dxa"/>
          <w:tblLayout w:type="fixed"/>
        </w:tblPrEx>
        <w:trPr>
          <w:cantSplit/>
          <w:trHeight w:hRule="exact" w:val="285"/>
        </w:trPr>
        <w:tc>
          <w:tcPr>
            <w:tcW w:w="5040"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00" w:lineRule="exact"/>
              <w:jc w:val="center"/>
            </w:pPr>
            <w:r>
              <w:rPr>
                <w:rFonts w:ascii="Times New Roman" w:eastAsia="Times New Roman" w:hAnsi="Times New Roman" w:cs="Times New Roman"/>
                <w:b w:val="0"/>
                <w:i w:val="0"/>
                <w:color w:val="000000"/>
                <w:sz w:val="20"/>
                <w:u w:val="none"/>
              </w:rPr>
              <w:t> </w:t>
            </w:r>
          </w:p>
        </w:tc>
        <w:tc>
          <w:tcPr>
            <w:tcW w:w="12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c>
          <w:tcPr>
            <w:tcW w:w="7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revenues</w:t>
            </w: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33" w:after="30" w:line="240" w:lineRule="auto"/>
              <w:jc w:val="right"/>
            </w:pPr>
            <w:r>
              <w:rPr>
                <w:rFonts w:ascii="Times New Roman" w:eastAsia="Times New Roman" w:hAnsi="Times New Roman" w:cs="Times New Roman"/>
                <w:b w:val="0"/>
                <w:i w:val="0"/>
                <w:color w:val="000000"/>
                <w:sz w:val="20"/>
                <w:u w:val="none"/>
              </w:rPr>
              <w:t>$</w:t>
              <w:tab/>
              <w:t>36,252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33" w:after="30" w:line="240" w:lineRule="auto"/>
              <w:jc w:val="right"/>
            </w:pPr>
            <w:r>
              <w:rPr>
                <w:rFonts w:ascii="Times New Roman" w:eastAsia="Times New Roman" w:hAnsi="Times New Roman" w:cs="Times New Roman"/>
                <w:b w:val="0"/>
                <w:i w:val="0"/>
                <w:color w:val="000000"/>
                <w:sz w:val="20"/>
                <w:u w:val="none"/>
              </w:rPr>
              <w:t>$</w:t>
              <w:tab/>
              <w:t>29,304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462"/>
                <w:tab w:val="left" w:pos="1177"/>
              </w:tabs>
              <w:spacing w:before="33" w:after="30" w:line="240" w:lineRule="auto"/>
              <w:jc w:val="right"/>
            </w:pPr>
            <w:r>
              <w:rPr>
                <w:rFonts w:ascii="Times New Roman" w:eastAsia="Times New Roman" w:hAnsi="Times New Roman" w:cs="Times New Roman"/>
                <w:b w:val="0"/>
                <w:i w:val="0"/>
                <w:color w:val="000000"/>
                <w:sz w:val="20"/>
                <w:u w:val="none"/>
              </w:rPr>
              <w:t>$</w:t>
              <w:tab/>
              <w:t>101,230</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33" w:after="30" w:line="240" w:lineRule="auto"/>
              <w:jc w:val="right"/>
            </w:pPr>
            <w:r>
              <w:rPr>
                <w:rFonts w:ascii="Times New Roman" w:eastAsia="Times New Roman" w:hAnsi="Times New Roman" w:cs="Times New Roman"/>
                <w:b w:val="0"/>
                <w:i w:val="0"/>
                <w:color w:val="000000"/>
                <w:sz w:val="20"/>
                <w:u w:val="none"/>
              </w:rPr>
              <w:t>$</w:t>
              <w:tab/>
              <w:t>89,000</w:t>
              <w:tab/>
            </w: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Significant segment expenses</w:t>
            </w: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Compensation</w:t>
            </w: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22,926</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20,950</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67,894</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61,553</w:t>
              <w:tab/>
            </w: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Non-compensation</w:t>
            </w: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11,902</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2"/>
                <w:tab w:val="left" w:pos="1177"/>
              </w:tabs>
              <w:spacing w:before="53" w:after="30" w:line="240" w:lineRule="auto"/>
              <w:jc w:val="right"/>
            </w:pPr>
            <w:r>
              <w:rPr>
                <w:rFonts w:ascii="Times New Roman" w:eastAsia="Times New Roman" w:hAnsi="Times New Roman" w:cs="Times New Roman"/>
                <w:b w:val="0"/>
                <w:i w:val="0"/>
                <w:color w:val="000000"/>
                <w:sz w:val="20"/>
                <w:u w:val="none"/>
              </w:rPr>
              <w:tab/>
              <w:t>7,507</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30,081</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23,497</w:t>
              <w:tab/>
            </w: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Deferred software and commission costs</w:t>
            </w: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ab/>
              <w:t>(4,233)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ab/>
              <w:t>(2,965)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476"/>
              </w:tabs>
              <w:spacing w:before="53" w:after="30" w:line="240" w:lineRule="auto"/>
              <w:jc w:val="right"/>
            </w:pPr>
            <w:r>
              <w:rPr>
                <w:rFonts w:ascii="Times New Roman" w:eastAsia="Times New Roman" w:hAnsi="Times New Roman" w:cs="Times New Roman"/>
                <w:b w:val="0"/>
                <w:i w:val="0"/>
                <w:color w:val="000000"/>
                <w:sz w:val="20"/>
                <w:u w:val="none"/>
              </w:rPr>
              <w:tab/>
              <w:t>(11,649)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576"/>
              </w:tabs>
              <w:spacing w:before="53" w:after="30" w:line="240" w:lineRule="auto"/>
              <w:jc w:val="right"/>
            </w:pPr>
            <w:r>
              <w:rPr>
                <w:rFonts w:ascii="Times New Roman" w:eastAsia="Times New Roman" w:hAnsi="Times New Roman" w:cs="Times New Roman"/>
                <w:b w:val="0"/>
                <w:i w:val="0"/>
                <w:color w:val="000000"/>
                <w:sz w:val="20"/>
                <w:u w:val="none"/>
              </w:rPr>
              <w:tab/>
              <w:t>(8,990)</w:t>
            </w: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ind w:left="120"/>
              <w:jc w:val="left"/>
            </w:pPr>
            <w:r>
              <w:rPr>
                <w:rFonts w:ascii="Times New Roman" w:eastAsia="Times New Roman" w:hAnsi="Times New Roman" w:cs="Times New Roman"/>
                <w:b w:val="0"/>
                <w:i w:val="0"/>
                <w:color w:val="000000"/>
                <w:sz w:val="20"/>
                <w:u w:val="none"/>
              </w:rPr>
              <w:t>Amortization, depreciation, and other noncash expenses</w:t>
            </w: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2"/>
                <w:tab w:val="left" w:pos="1177"/>
              </w:tabs>
              <w:spacing w:before="53" w:after="30" w:line="240" w:lineRule="auto"/>
              <w:jc w:val="right"/>
            </w:pPr>
            <w:r>
              <w:rPr>
                <w:rFonts w:ascii="Times New Roman" w:eastAsia="Times New Roman" w:hAnsi="Times New Roman" w:cs="Times New Roman"/>
                <w:b w:val="0"/>
                <w:i w:val="0"/>
                <w:color w:val="000000"/>
                <w:sz w:val="20"/>
                <w:u w:val="none"/>
              </w:rPr>
              <w:tab/>
              <w:t>9,518</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662"/>
                <w:tab w:val="left" w:pos="1177"/>
              </w:tabs>
              <w:spacing w:before="53" w:after="30" w:line="240" w:lineRule="auto"/>
              <w:jc w:val="right"/>
            </w:pPr>
            <w:r>
              <w:rPr>
                <w:rFonts w:ascii="Times New Roman" w:eastAsia="Times New Roman" w:hAnsi="Times New Roman" w:cs="Times New Roman"/>
                <w:b w:val="0"/>
                <w:i w:val="0"/>
                <w:color w:val="000000"/>
                <w:sz w:val="20"/>
                <w:u w:val="none"/>
              </w:rPr>
              <w:tab/>
              <w:t>7,604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26,566</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53" w:after="30" w:line="240" w:lineRule="auto"/>
              <w:jc w:val="right"/>
            </w:pPr>
            <w:r>
              <w:rPr>
                <w:rFonts w:ascii="Times New Roman" w:eastAsia="Times New Roman" w:hAnsi="Times New Roman" w:cs="Times New Roman"/>
                <w:b w:val="0"/>
                <w:i w:val="0"/>
                <w:color w:val="000000"/>
                <w:sz w:val="20"/>
                <w:u w:val="none"/>
              </w:rPr>
              <w:tab/>
              <w:t>21,619</w:t>
              <w:tab/>
            </w: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numPr>
                <w:ilvl w:val="0"/>
                <w:numId w:val="0"/>
              </w:numPr>
              <w:spacing w:before="53" w:after="30" w:line="240" w:lineRule="auto"/>
              <w:ind w:left="12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Other segment expenses (income)</w:t>
            </w:r>
            <w:r>
              <w:rPr>
                <w:rFonts w:ascii="Times New Roman" w:eastAsia="Times New Roman" w:hAnsi="Times New Roman" w:cs="Times New Roman"/>
                <w:b w:val="0"/>
                <w:i w:val="0"/>
                <w:sz w:val="20"/>
                <w:vertAlign w:val="superscript"/>
              </w:rPr>
              <w:t>(1)</w:t>
            </w: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2"/>
                <w:tab w:val="left" w:pos="1177"/>
              </w:tabs>
              <w:spacing w:before="53" w:after="30" w:line="240" w:lineRule="auto"/>
              <w:jc w:val="right"/>
            </w:pPr>
            <w:r>
              <w:rPr>
                <w:rFonts w:ascii="Times New Roman" w:eastAsia="Times New Roman" w:hAnsi="Times New Roman" w:cs="Times New Roman"/>
                <w:b w:val="0"/>
                <w:i w:val="0"/>
                <w:color w:val="000000"/>
                <w:sz w:val="20"/>
                <w:u w:val="none"/>
              </w:rPr>
              <w:tab/>
              <w:t>1,501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812"/>
                <w:tab w:val="left" w:pos="1177"/>
              </w:tabs>
              <w:spacing w:before="53" w:after="30" w:line="240" w:lineRule="auto"/>
              <w:jc w:val="right"/>
            </w:pPr>
            <w:r>
              <w:rPr>
                <w:rFonts w:ascii="Times New Roman" w:eastAsia="Times New Roman" w:hAnsi="Times New Roman" w:cs="Times New Roman"/>
                <w:b w:val="0"/>
                <w:i w:val="0"/>
                <w:color w:val="000000"/>
                <w:sz w:val="20"/>
                <w:u w:val="none"/>
              </w:rPr>
              <w:tab/>
              <w:t>109</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662"/>
                <w:tab w:val="left" w:pos="1177"/>
              </w:tabs>
              <w:spacing w:before="53" w:after="30" w:line="240" w:lineRule="auto"/>
              <w:jc w:val="right"/>
            </w:pPr>
            <w:r>
              <w:rPr>
                <w:rFonts w:ascii="Times New Roman" w:eastAsia="Times New Roman" w:hAnsi="Times New Roman" w:cs="Times New Roman"/>
                <w:b w:val="0"/>
                <w:i w:val="0"/>
                <w:color w:val="000000"/>
                <w:sz w:val="20"/>
                <w:u w:val="none"/>
              </w:rPr>
              <w:tab/>
              <w:t>2,221</w:t>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2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6"/>
              </w:tabs>
              <w:spacing w:before="53" w:after="30" w:line="240" w:lineRule="auto"/>
              <w:jc w:val="right"/>
            </w:pPr>
            <w:r>
              <w:rPr>
                <w:rFonts w:ascii="Times New Roman" w:eastAsia="Times New Roman" w:hAnsi="Times New Roman" w:cs="Times New Roman"/>
                <w:b w:val="0"/>
                <w:i w:val="0"/>
                <w:color w:val="000000"/>
                <w:sz w:val="20"/>
                <w:u w:val="none"/>
              </w:rPr>
              <w:tab/>
              <w:t>(110)</w:t>
            </w:r>
          </w:p>
        </w:tc>
      </w:tr>
      <w:tr>
        <w:tblPrEx>
          <w:tblW w:w="10245" w:type="dxa"/>
          <w:tblLayout w:type="fixed"/>
        </w:tblPrEx>
        <w:trPr>
          <w:cantSplit/>
          <w:trHeight w:hRule="exact" w:val="285"/>
        </w:trPr>
        <w:tc>
          <w:tcPr>
            <w:tcW w:w="5040"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Total expenses</w:t>
            </w: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33" w:after="30" w:line="240" w:lineRule="auto"/>
              <w:jc w:val="right"/>
            </w:pPr>
            <w:r>
              <w:rPr>
                <w:rFonts w:ascii="Times New Roman" w:eastAsia="Times New Roman" w:hAnsi="Times New Roman" w:cs="Times New Roman"/>
                <w:b w:val="0"/>
                <w:i w:val="0"/>
                <w:color w:val="000000"/>
                <w:sz w:val="20"/>
                <w:u w:val="none"/>
              </w:rPr>
              <w:tab/>
              <w:t>41,614</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33" w:after="30" w:line="240" w:lineRule="auto"/>
              <w:jc w:val="right"/>
            </w:pPr>
            <w:r>
              <w:rPr>
                <w:rFonts w:ascii="Times New Roman" w:eastAsia="Times New Roman" w:hAnsi="Times New Roman" w:cs="Times New Roman"/>
                <w:b w:val="0"/>
                <w:i w:val="0"/>
                <w:color w:val="000000"/>
                <w:sz w:val="20"/>
                <w:u w:val="none"/>
              </w:rPr>
              <w:tab/>
              <w:t>33,205</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462"/>
                <w:tab w:val="left" w:pos="1177"/>
              </w:tabs>
              <w:spacing w:before="33" w:after="30" w:line="240" w:lineRule="auto"/>
              <w:jc w:val="right"/>
            </w:pPr>
            <w:r>
              <w:rPr>
                <w:rFonts w:ascii="Times New Roman" w:eastAsia="Times New Roman" w:hAnsi="Times New Roman" w:cs="Times New Roman"/>
                <w:b w:val="0"/>
                <w:i w:val="0"/>
                <w:color w:val="000000"/>
                <w:sz w:val="20"/>
                <w:u w:val="none"/>
              </w:rPr>
              <w:tab/>
              <w:t>115,113</w:t>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2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pPr>
              <w:keepNext/>
              <w:pageBreakBefore w:val="0"/>
              <w:tabs>
                <w:tab w:val="left" w:pos="562"/>
                <w:tab w:val="left" w:pos="1177"/>
              </w:tabs>
              <w:spacing w:before="33" w:after="30" w:line="240" w:lineRule="auto"/>
              <w:jc w:val="right"/>
            </w:pPr>
            <w:r>
              <w:rPr>
                <w:rFonts w:ascii="Times New Roman" w:eastAsia="Times New Roman" w:hAnsi="Times New Roman" w:cs="Times New Roman"/>
                <w:b w:val="0"/>
                <w:i w:val="0"/>
                <w:color w:val="000000"/>
                <w:sz w:val="20"/>
                <w:u w:val="none"/>
              </w:rPr>
              <w:tab/>
              <w:t>97,569</w:t>
              <w:tab/>
            </w:r>
          </w:p>
        </w:tc>
      </w:tr>
      <w:tr>
        <w:tblPrEx>
          <w:tblW w:w="10245" w:type="dxa"/>
          <w:tblLayout w:type="fixed"/>
        </w:tblPrEx>
        <w:trPr>
          <w:cantSplit/>
          <w:trHeight w:hRule="exact" w:val="285"/>
        </w:trPr>
        <w:tc>
          <w:tcPr>
            <w:tcW w:w="5040"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Net loss</w:t>
            </w: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76"/>
              </w:tabs>
              <w:spacing w:before="33" w:after="30" w:line="240" w:lineRule="auto"/>
              <w:jc w:val="right"/>
            </w:pPr>
            <w:r>
              <w:rPr>
                <w:rFonts w:ascii="Times New Roman" w:eastAsia="Times New Roman" w:hAnsi="Times New Roman" w:cs="Times New Roman"/>
                <w:b w:val="0"/>
                <w:i w:val="0"/>
                <w:color w:val="000000"/>
                <w:sz w:val="20"/>
                <w:u w:val="none"/>
              </w:rPr>
              <w:t>$</w:t>
              <w:tab/>
              <w:t>(5,362)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76"/>
              </w:tabs>
              <w:spacing w:before="33" w:after="30" w:line="240" w:lineRule="auto"/>
              <w:jc w:val="right"/>
            </w:pPr>
            <w:r>
              <w:rPr>
                <w:rFonts w:ascii="Times New Roman" w:eastAsia="Times New Roman" w:hAnsi="Times New Roman" w:cs="Times New Roman"/>
                <w:b w:val="0"/>
                <w:i w:val="0"/>
                <w:color w:val="000000"/>
                <w:sz w:val="20"/>
                <w:u w:val="none"/>
              </w:rPr>
              <w:t>$</w:t>
              <w:tab/>
              <w:t>(3,901)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476"/>
              </w:tabs>
              <w:spacing w:before="33" w:after="30" w:line="240" w:lineRule="auto"/>
              <w:jc w:val="right"/>
            </w:pPr>
            <w:r>
              <w:rPr>
                <w:rFonts w:ascii="Times New Roman" w:eastAsia="Times New Roman" w:hAnsi="Times New Roman" w:cs="Times New Roman"/>
                <w:b w:val="0"/>
                <w:i w:val="0"/>
                <w:color w:val="000000"/>
                <w:sz w:val="20"/>
                <w:u w:val="none"/>
              </w:rPr>
              <w:t>$</w:t>
              <w:tab/>
              <w:t>(13,883)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2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pPr>
              <w:pageBreakBefore w:val="0"/>
              <w:tabs>
                <w:tab w:val="left" w:pos="576"/>
              </w:tabs>
              <w:spacing w:before="33" w:after="30" w:line="240" w:lineRule="auto"/>
              <w:jc w:val="right"/>
            </w:pPr>
            <w:r>
              <w:rPr>
                <w:rFonts w:ascii="Times New Roman" w:eastAsia="Times New Roman" w:hAnsi="Times New Roman" w:cs="Times New Roman"/>
                <w:b w:val="0"/>
                <w:i w:val="0"/>
                <w:color w:val="000000"/>
                <w:sz w:val="20"/>
                <w:u w:val="none"/>
              </w:rPr>
              <w:t>$</w:t>
              <w:tab/>
              <w:t>(8,569)</w:t>
            </w:r>
          </w:p>
        </w:tc>
      </w:tr>
    </w:tbl>
    <w:p>
      <w:pPr>
        <w:keepNext w:val="0"/>
        <w:keepLines/>
        <w:pageBreakBefore w:val="0"/>
        <w:widowControl w:val="0"/>
        <w:numPr>
          <w:ilvl w:val="0"/>
          <w:numId w:val="17"/>
        </w:numPr>
        <w:spacing w:before="0" w:after="0" w:line="288" w:lineRule="auto"/>
        <w:ind w:left="720" w:right="0" w:hanging="72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Other segment expenses include interest expense (income) and other business expense (income)</w:t>
      </w:r>
    </w:p>
    <w:p>
      <w:pPr>
        <w:keepNext w:val="0"/>
        <w:keepLines/>
        <w:pageBreakBefore w:val="0"/>
        <w:widowControl w:val="0"/>
        <w:numPr>
          <w:ilvl w:val="0"/>
          <w:numId w:val="17"/>
        </w:numPr>
        <w:spacing w:before="0" w:after="0" w:line="288" w:lineRule="auto"/>
        <w:ind w:left="720" w:right="0" w:hanging="720"/>
        <w:jc w:val="left"/>
        <w:outlineLvl w:val="9"/>
        <w:rPr>
          <w:rFonts w:ascii="Times New Roman" w:eastAsia="Times New Roman" w:hAnsi="Times New Roman" w:cs="Times New Roman"/>
          <w:b w:val="0"/>
          <w:i w:val="0"/>
          <w:sz w:val="16"/>
        </w:rPr>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color w:val="000000"/>
          <w:sz w:val="20"/>
          <w:u w:val="none"/>
          <w:shd w:val="clear" w:color="auto" w:fill="FFFFFF"/>
        </w:rPr>
      </w:pPr>
      <w:bookmarkStart w:id="20" w:name="Section21"/>
      <w:bookmarkEnd w:id="20"/>
    </w:p>
    <w:p>
      <w:pPr>
        <w:keepNext/>
        <w:keepLines/>
        <w:pageBreakBefore w:val="0"/>
        <w:widowControl w:val="0"/>
        <w:numPr>
          <w:ilvl w:val="0"/>
          <w:numId w:val="0"/>
        </w:numPr>
        <w:spacing w:before="0" w:after="0" w:line="288" w:lineRule="auto"/>
        <w:ind w:left="0" w:right="0" w:firstLine="0"/>
        <w:jc w:val="left"/>
        <w:outlineLvl w:val="3"/>
        <w:rPr>
          <w:rFonts w:ascii="Times New Roman" w:eastAsia="Times New Roman" w:hAnsi="Times New Roman" w:cs="Times New Roman"/>
          <w:b/>
          <w:i w:val="0"/>
          <w:color w:val="000000"/>
          <w:sz w:val="20"/>
          <w:u w:val="none"/>
          <w:shd w:val="clear" w:color="auto" w:fill="FFFFFF"/>
        </w:rPr>
      </w:pPr>
      <w:r>
        <w:rPr>
          <w:rFonts w:ascii="Times New Roman" w:eastAsia="Times New Roman" w:hAnsi="Times New Roman" w:cs="Times New Roman"/>
          <w:b/>
          <w:i w:val="0"/>
          <w:color w:val="000000"/>
          <w:sz w:val="20"/>
          <w:u w:val="none"/>
          <w:shd w:val="clear" w:color="auto" w:fill="FFFFFF"/>
        </w:rPr>
        <w:t xml:space="preserve">NOTE 12 - </w:t>
      </w:r>
      <w:r>
        <w:rPr>
          <w:rFonts w:ascii="Times New Roman" w:eastAsia="Times New Roman" w:hAnsi="Times New Roman" w:cs="Times New Roman"/>
          <w:b/>
          <w:i w:val="0"/>
          <w:color w:val="000000"/>
          <w:sz w:val="20"/>
          <w:u w:val="none"/>
        </w:rPr>
        <w:t>SUBSEQUENT EVENTS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 xml:space="preserve">Subsequent to </w:t>
      </w:r>
      <w:r>
        <w:rPr>
          <w:rFonts w:ascii="Times New Roman" w:eastAsia="Times New Roman" w:hAnsi="Times New Roman" w:cs="Times New Roman"/>
          <w:b w:val="0"/>
          <w:i w:val="0"/>
          <w:color w:val="000000"/>
          <w:sz w:val="20"/>
          <w:u w:val="none"/>
        </w:rPr>
        <w:t xml:space="preserve">September 30, 2025, but before the filing of the financial statements, we completed a customer relationship asset acquisition. The total purchase price of this acquisition was </w:t>
      </w:r>
      <w:r>
        <w:rPr>
          <w:rFonts w:ascii="Times New Roman" w:eastAsia="Times New Roman" w:hAnsi="Times New Roman" w:cs="Times New Roman"/>
          <w:b w:val="0"/>
          <w:i w:val="0"/>
          <w:color w:val="000000"/>
          <w:sz w:val="20"/>
          <w:u w:val="none"/>
        </w:rPr>
        <w:t>$1,146</w:t>
      </w:r>
      <w:r>
        <w:rPr>
          <w:rFonts w:ascii="Times New Roman" w:eastAsia="Times New Roman" w:hAnsi="Times New Roman" w:cs="Times New Roman"/>
          <w:b w:val="0"/>
          <w:i w:val="0"/>
          <w:color w:val="000000"/>
          <w:sz w:val="20"/>
          <w:u w:val="none"/>
        </w:rPr>
        <w:t xml:space="preserve">, which consisted of </w:t>
      </w:r>
      <w:r>
        <w:rPr>
          <w:rFonts w:ascii="Times New Roman" w:eastAsia="Times New Roman" w:hAnsi="Times New Roman" w:cs="Times New Roman"/>
          <w:b w:val="0"/>
          <w:i w:val="0"/>
          <w:color w:val="000000"/>
          <w:sz w:val="20"/>
          <w:u w:val="none"/>
        </w:rPr>
        <w:t>$700</w:t>
      </w:r>
      <w:r>
        <w:rPr>
          <w:rFonts w:ascii="Times New Roman" w:eastAsia="Times New Roman" w:hAnsi="Times New Roman" w:cs="Times New Roman"/>
          <w:b w:val="0"/>
          <w:i w:val="0"/>
          <w:color w:val="000000"/>
          <w:sz w:val="20"/>
          <w:u w:val="none"/>
        </w:rPr>
        <w:t xml:space="preserve"> of cash paid at close and the delivery of a promissory note in the amount of </w:t>
      </w:r>
      <w:r>
        <w:rPr>
          <w:rFonts w:ascii="Times New Roman" w:eastAsia="Times New Roman" w:hAnsi="Times New Roman" w:cs="Times New Roman"/>
          <w:b w:val="0"/>
          <w:i w:val="0"/>
          <w:color w:val="000000"/>
          <w:sz w:val="20"/>
          <w:u w:val="none"/>
        </w:rPr>
        <w:t>$446</w:t>
      </w:r>
      <w:r>
        <w:rPr>
          <w:rFonts w:ascii="Times New Roman" w:eastAsia="Times New Roman" w:hAnsi="Times New Roman" w:cs="Times New Roman"/>
          <w:b w:val="0"/>
          <w:i w:val="0"/>
          <w:color w:val="000000"/>
          <w:sz w:val="20"/>
          <w:u w:val="none"/>
        </w:rPr>
        <w:t>, net of discount.</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color w:val="000000"/>
          <w:sz w:val="20"/>
          <w:u w:val="none"/>
        </w:rPr>
        <w:t xml:space="preserve">On </w:t>
      </w:r>
      <w:r>
        <w:rPr>
          <w:rFonts w:ascii="Times New Roman" w:eastAsia="Times New Roman" w:hAnsi="Times New Roman" w:cs="Times New Roman"/>
          <w:b w:val="0"/>
          <w:i w:val="0"/>
          <w:color w:val="000000"/>
          <w:sz w:val="20"/>
          <w:u w:val="none"/>
        </w:rPr>
        <w:t>October 30, 2025</w:t>
      </w:r>
      <w:r>
        <w:rPr>
          <w:rFonts w:ascii="Times New Roman" w:eastAsia="Times New Roman" w:hAnsi="Times New Roman" w:cs="Times New Roman"/>
          <w:b w:val="0"/>
          <w:i w:val="0"/>
          <w:color w:val="000000"/>
          <w:sz w:val="20"/>
          <w:u w:val="none"/>
        </w:rPr>
        <w:t xml:space="preserve">, we partially repaid the outstanding balance on one of our acquisition-related promissory notes through the issuance of shares of our common stock and cash payment of accrued interest. Prior to the transaction, the promissory note had an outstanding principal balance of </w:t>
      </w:r>
      <w:r>
        <w:rPr>
          <w:rFonts w:ascii="Times New Roman" w:eastAsia="Times New Roman" w:hAnsi="Times New Roman" w:cs="Times New Roman"/>
          <w:b w:val="0"/>
          <w:i w:val="0"/>
          <w:color w:val="000000"/>
          <w:sz w:val="20"/>
          <w:u w:val="none"/>
        </w:rPr>
        <w:t>$3,000</w:t>
      </w:r>
      <w:r>
        <w:rPr>
          <w:rFonts w:ascii="Times New Roman" w:eastAsia="Times New Roman" w:hAnsi="Times New Roman" w:cs="Times New Roman"/>
          <w:b w:val="0"/>
          <w:i w:val="0"/>
          <w:color w:val="000000"/>
          <w:sz w:val="20"/>
          <w:u w:val="none"/>
        </w:rPr>
        <w:t xml:space="preserve"> and would mature on </w:t>
      </w:r>
      <w:r>
        <w:rPr>
          <w:rFonts w:ascii="Times New Roman" w:eastAsia="Times New Roman" w:hAnsi="Times New Roman" w:cs="Times New Roman"/>
          <w:b w:val="0"/>
          <w:i w:val="0"/>
          <w:color w:val="000000"/>
          <w:sz w:val="20"/>
          <w:u w:val="none"/>
        </w:rPr>
        <w:t>July 1, 2029</w:t>
      </w:r>
      <w:r>
        <w:rPr>
          <w:rFonts w:ascii="Times New Roman" w:eastAsia="Times New Roman" w:hAnsi="Times New Roman" w:cs="Times New Roman"/>
          <w:b w:val="0"/>
          <w:i w:val="0"/>
          <w:color w:val="000000"/>
          <w:sz w:val="20"/>
          <w:u w:val="none"/>
        </w:rPr>
        <w:t xml:space="preserve">. In connection with the partial extinguishment, the holders of the promissory note agreed to reduce the principal balance of the portion of the note by </w:t>
      </w:r>
      <w:r>
        <w:rPr>
          <w:rFonts w:ascii="Times New Roman" w:eastAsia="Times New Roman" w:hAnsi="Times New Roman" w:cs="Times New Roman"/>
          <w:b w:val="0"/>
          <w:i w:val="0"/>
          <w:color w:val="000000"/>
          <w:sz w:val="20"/>
          <w:u w:val="none"/>
        </w:rPr>
        <w:t>$300</w:t>
      </w:r>
      <w:r>
        <w:rPr>
          <w:rFonts w:ascii="Times New Roman" w:eastAsia="Times New Roman" w:hAnsi="Times New Roman" w:cs="Times New Roman"/>
          <w:b w:val="0"/>
          <w:i w:val="0"/>
          <w:color w:val="000000"/>
          <w:sz w:val="20"/>
          <w:u w:val="none"/>
        </w:rPr>
        <w:t xml:space="preserve"> in consideration of the early repayment. The remaining </w:t>
      </w:r>
      <w:r>
        <w:rPr>
          <w:rFonts w:ascii="Times New Roman" w:eastAsia="Times New Roman" w:hAnsi="Times New Roman" w:cs="Times New Roman"/>
          <w:b w:val="0"/>
          <w:i w:val="0"/>
          <w:color w:val="000000"/>
          <w:sz w:val="20"/>
          <w:u w:val="none"/>
        </w:rPr>
        <w:t>$1,700</w:t>
      </w:r>
      <w:r>
        <w:rPr>
          <w:rFonts w:ascii="Times New Roman" w:eastAsia="Times New Roman" w:hAnsi="Times New Roman" w:cs="Times New Roman"/>
          <w:b w:val="0"/>
          <w:i w:val="0"/>
          <w:color w:val="000000"/>
          <w:sz w:val="20"/>
          <w:u w:val="none"/>
        </w:rPr>
        <w:t xml:space="preserve"> of principal was repaid with </w:t>
      </w:r>
      <w:r>
        <w:rPr>
          <w:rFonts w:ascii="Times New Roman" w:eastAsia="Times New Roman" w:hAnsi="Times New Roman" w:cs="Times New Roman"/>
          <w:b w:val="0"/>
          <w:i w:val="0"/>
          <w:color w:val="000000"/>
          <w:sz w:val="20"/>
          <w:u w:val="none"/>
        </w:rPr>
        <w:t>201</w:t>
      </w:r>
      <w:r>
        <w:rPr>
          <w:rFonts w:ascii="Times New Roman" w:eastAsia="Times New Roman" w:hAnsi="Times New Roman" w:cs="Times New Roman"/>
          <w:b w:val="0"/>
          <w:i w:val="0"/>
          <w:color w:val="000000"/>
          <w:sz w:val="20"/>
          <w:u w:val="none"/>
        </w:rPr>
        <w:t xml:space="preserve"> shares of common stock, having an estimated fair value of </w:t>
      </w:r>
      <w:r>
        <w:rPr>
          <w:rFonts w:ascii="Times New Roman" w:eastAsia="Times New Roman" w:hAnsi="Times New Roman" w:cs="Times New Roman"/>
          <w:b w:val="0"/>
          <w:i w:val="0"/>
          <w:color w:val="000000"/>
          <w:sz w:val="20"/>
          <w:u w:val="none"/>
        </w:rPr>
        <w:t>$1,511</w:t>
      </w:r>
      <w:r>
        <w:rPr>
          <w:rFonts w:ascii="Times New Roman" w:eastAsia="Times New Roman" w:hAnsi="Times New Roman" w:cs="Times New Roman"/>
          <w:b w:val="0"/>
          <w:i w:val="0"/>
          <w:color w:val="000000"/>
          <w:sz w:val="20"/>
          <w:u w:val="none"/>
        </w:rPr>
        <w:t xml:space="preserve">, and </w:t>
      </w:r>
      <w:r>
        <w:rPr>
          <w:rFonts w:ascii="Times New Roman" w:eastAsia="Times New Roman" w:hAnsi="Times New Roman" w:cs="Times New Roman"/>
          <w:b w:val="0"/>
          <w:i w:val="0"/>
          <w:color w:val="000000"/>
          <w:sz w:val="20"/>
          <w:u w:val="none"/>
        </w:rPr>
        <w:t>$20</w:t>
      </w:r>
      <w:r>
        <w:rPr>
          <w:rFonts w:ascii="Times New Roman" w:eastAsia="Times New Roman" w:hAnsi="Times New Roman" w:cs="Times New Roman"/>
          <w:b w:val="0"/>
          <w:i w:val="0"/>
          <w:color w:val="000000"/>
          <w:sz w:val="20"/>
          <w:u w:val="none"/>
        </w:rPr>
        <w:t xml:space="preserve"> of accrued interest was paid with cash. After the partial extinguishment, the outstanding principal balance of the note is </w:t>
      </w:r>
      <w:r>
        <w:rPr>
          <w:rFonts w:ascii="Times New Roman" w:eastAsia="Times New Roman" w:hAnsi="Times New Roman" w:cs="Times New Roman"/>
          <w:b w:val="0"/>
          <w:i w:val="0"/>
          <w:color w:val="000000"/>
          <w:sz w:val="20"/>
          <w:u w:val="none"/>
        </w:rPr>
        <w:t>$1,000</w:t>
      </w:r>
      <w:r>
        <w:rPr>
          <w:rFonts w:ascii="Times New Roman" w:eastAsia="Times New Roman" w:hAnsi="Times New Roman" w:cs="Times New Roman"/>
          <w:b w:val="0"/>
          <w:i w:val="0"/>
          <w:color w:val="000000"/>
          <w:sz w:val="20"/>
          <w:u w:val="none"/>
        </w:rPr>
        <w:t>.</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p>
    <w:p>
      <w:pPr>
        <w:keepNext/>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bookmarkStart w:id="21" w:name="Section22"/>
      <w:bookmarkEnd w:id="21"/>
      <w:r>
        <w:rPr>
          <w:rFonts w:ascii="Times New Roman" w:eastAsia="Times New Roman" w:hAnsi="Times New Roman" w:cs="Times New Roman"/>
          <w:b/>
          <w:i w:val="0"/>
          <w:sz w:val="20"/>
        </w:rPr>
        <w:t>ITEM 2. MANAGEMENT’S DISCUSSION AND ANALYSIS OF FINANCIAL CONDITION AND RESULTS OF OPERATIONS</w:t>
      </w:r>
    </w:p>
    <w:p>
      <w:pPr>
        <w:keepNext/>
        <w:keepLines/>
        <w:pageBreakBefore w:val="0"/>
        <w:widowControl w:val="0"/>
        <w:numPr>
          <w:ilvl w:val="0"/>
          <w:numId w:val="0"/>
        </w:numPr>
        <w:spacing w:before="0" w:after="0" w:line="288" w:lineRule="auto"/>
        <w:ind w:left="0" w:right="0" w:firstLine="0"/>
        <w:jc w:val="left"/>
        <w:outlineLvl w:val="1"/>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22" w:name="Section23"/>
      <w:bookmarkEnd w:id="22"/>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sz w:val="20"/>
        </w:rPr>
      </w:pPr>
      <w:r>
        <w:rPr>
          <w:rFonts w:ascii="Times New Roman" w:eastAsia="Times New Roman" w:hAnsi="Times New Roman" w:cs="Times New Roman"/>
          <w:b/>
          <w:i w:val="0"/>
          <w:sz w:val="20"/>
        </w:rPr>
        <w:t>CAUTIONARY STATEMENT REGARDING FORWARD-LOOKING STATEMENTS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shd w:val="clear" w:color="auto" w:fill="FFFF00"/>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This Quarterly Report on Form 10-Q contains certain statements made by management that may constitute “forward-looking” statements within the meaning of the safe harbor provisions of the U.S. Private Securities Litigation Reform Act of 1995. These forward-looking statements about our financial results may include expected or projected U.S GAAP and other operating and non-operating results. The words “believe,” “may,” “will,” “estimate,” “projects,” “anticipate,” “intend,” “expect,” “should,” “plan,” and similar expressions are intended to identify forward-looking statements. Examples of forward-looking statements include statements we make regarding our operating performance, future results of operations and financial position, revenue growth, earnings or other projections. We have based these forward-looking statements largely on our current expectations and projections about future events and trends that we believe may affect our financial condition, results of operations, business strategy, short-term and long-term business operations and objectives, and financial needs. The achievement or success of the matters covered by such forward-looking statements involves risks, uncertainties and assumptions, over many of which we have no control. If any such risks or uncertainties materialize or if any of the assumptions prove incorrect, our results could differ materially from the results expressed or implied by the forward-looking statements we make. The risks and uncertainties referred to above include—but are not limited to—</w:t>
      </w:r>
      <w:r>
        <w:rPr>
          <w:rFonts w:ascii="Times New Roman" w:eastAsia="Times New Roman" w:hAnsi="Times New Roman" w:cs="Times New Roman"/>
          <w:b w:val="0"/>
          <w:i w:val="0"/>
          <w:color w:val="000000"/>
          <w:sz w:val="20"/>
          <w:u w:val="none"/>
          <w:shd w:val="clear" w:color="auto" w:fill="FFFFFF"/>
        </w:rPr>
        <w:t>risks associated with breaches of our security measures; risks related to material weaknesses; possible fluctuations in our financial and operating results; privacy concerns and laws and other regulations that may limit the effectiveness of our applications; the financial and other impact of any previous and future acquisitions; domestic and international regulatory developments, including tarriffs, changes to or applicability to our business of privacy and data securities laws, money transmitter laws, laws related to earned wage access and anti-money laundering laws; regulatory pressures on economic relief enacted as a result of the COVID-19 pandemic that change or cause different interpretations with respect to eligibility for such programs; risk of our software and solutions not functioning adequately; interruptions, delays or changes in our services or our Web hosting; potential debt incurred to meet future capital requirements; volatility and weakness in bank and capital markets; access to additional capital; significant costs as a result of operating as a public company; the expiration of Employee Retention Tax Credits (“ERTC”) and the impact of recent regulatory and other measures by governmental authorities regarding ERTC claims and the corresponding cash collections of existing receivables; the inability to continue to release timely updates for changes in laws; the inability to develop new and improved versions of our services and technological developments; customer’s nonrenewal of their agreements and other similar changes could negatively impact revenue, operating results and financial conditions; the exposure of market, interest, credit and liquidity risk on client funds held in trust; our operations in highly competitive markets; risk that our clients could have insufficient funds that could result in limitations in the ability to transmit ACH transactions; impairment of intangible assets; litigation and any related claims, negotiations and settlements, including with respect to intellectual property matters or industry-specific regulations; various financial aspects of our Software-as-a-Service model; adverse effects to our business a result of claims, lawsuits, and other proceedings; issues in the use of artificial intelligence in our HCM products and services; adverse changes to financial accounting standards to us; inability to maintain third-party licensed software; evolving regulation of the Internet, changes in the infrastructure underlying the Internet or interruptions in Internet services; factors affecting our deferred tax assets and ability to value and utilize them; the nature of our business model; inability to adopt new or correctly interpret existing money service and money transmitter business status; our ability to hire, retain and motivate employees and manage our growth; interruptions to supply chains and extended shut down of businesses; potential enactment of adverse tax laws, regulation, political, economic and social factors; potential sales of a substantial number of shares of our common stock along with its volatility; and risks associated with potential equity-related transactions including dividends, rights under the stockholder plan to discourage certain actions and other impacts as a result of actions of our stockholders.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00FF0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Further information on these and other factors that could affect our financial results is included in the reports on Forms 10-K, 10-Q and 8-K, and in other filings we make with the Securities and Exchange Commission (the “SEC”) from time to time. These documents are available on the SEC Filings section of the Investor Information section of our website at investor.asuresoftware.com. Asure assumes no obligation and does not intend to update these forward-looking statements, except as required by law.</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3" w:name="Section24"/>
      <w:bookmarkEnd w:id="23"/>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color w:val="000000"/>
          <w:sz w:val="20"/>
          <w:u w:val="none"/>
          <w:shd w:val="clear" w:color="auto" w:fill="FFFFFF"/>
        </w:rPr>
      </w:pPr>
      <w:r>
        <w:rPr>
          <w:rFonts w:ascii="Times New Roman" w:eastAsia="Times New Roman" w:hAnsi="Times New Roman" w:cs="Times New Roman"/>
          <w:b/>
          <w:i w:val="0"/>
          <w:color w:val="000000"/>
          <w:sz w:val="20"/>
          <w:u w:val="none"/>
          <w:shd w:val="clear" w:color="auto" w:fill="FFFFFF"/>
        </w:rPr>
        <w:t>OVERVIEW</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shd w:val="clear" w:color="auto" w:fill="FFFFFF"/>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following review of Asure’s financial position as of September 30, 2025, and December 31, 2024, and results of operations for the three and nine months ended September 30, 2025 and 2024, should be read in conjunction with our 2024 Annual Report on Form 10-K filed with the SEC on March 6, 2025 and our quarterly reports filed with the SEC on May 1, 2025, and July 31, 2025. Our annual reports on Form 10-K, quarterly reports on Form 10-Q, current reports on Form 8-K and amendments to those reports filed or furnished pursuant to Section 13(a) or 15(d) of the Securities Exchange Act of 1934, as amended (the “Exchange Act”) are available through the investor relations page of our internet website free of charge as soon as reasonably practicable after they are electronically filed, or furnished to, the SEC. Asure’s internet website and the information contained in our website or connected to our website are not incorporated into this Quarterly Report on Form 10-Q. However, we do post information on the investor relations page of our website that we believe may be of interest to our investors. Asure’s internet website address is www.asuresoftware.com.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Our Business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are a provider of cloud-based Human Capital Management (“HCM”) software solutions delivered as Software-as-a-Service (“SaaS”) to businesses of all sizes. We offer human resources (“HR”) tools necessary to build a thriving workforce, provide the resources to stay compliant with dynamic federal, state, and local tax jurisdictions and their respective labor laws, freeing cash flows so these businesses can spend their financial capital on growing their businesses rather than administrative overhead that can impede growth. Our solutions also provide new ways for employers to connect with their employees and strengthen relationships with their talent. At the core of our offering is the Asure HCM platform—a SaaS-based system that includes Payroll &amp; Tax filing, Recruiting, Time &amp; Attendance software, HR management tools, and Benefits Administration. This platform serves as the foundation for delivering both our core software and a range of complementary, technology-enabled services. These include AsureMarketplace™, which automates data exchange between our HCM system and third-party providers to increase efficiency, accuracy, and breadth of services. Our HR Compliance services combine expert guidance with scalable digital delivery. AsurePay™, our payroll card, which we provide in association with our partners, offers employees fast, secure access to earned wages. Additionally, through our licensed brokerage, we offer Insurance Services that help employers manage benefits and reduce administrative costs. We deliver our solutions directly and through a national network of Reseller Partners.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sz w:val="20"/>
        </w:rPr>
        <w:t>We strive to be the most trusted HCM resource. Our solutions solve three primary challenges that prevent businesses from growing: HR complexity, allocation of human and financial capital, and the ability to build great teams. We sell our solutions through both direct and partner channels. We supplement our direct sales efforts with partner programs that afford us access to opportunities in various geographic and industry niches. Asure has two types of partners: Reseller Partners that white label our product</w:t>
      </w:r>
      <w:r>
        <w:rPr>
          <w:rFonts w:ascii="Times New Roman" w:eastAsia="Times New Roman" w:hAnsi="Times New Roman" w:cs="Times New Roman"/>
          <w:b w:val="0"/>
          <w:i w:val="0"/>
          <w:color w:val="000000"/>
          <w:sz w:val="20"/>
          <w:u w:val="none"/>
          <w:shd w:val="clear" w:color="auto" w:fill="FFFFFF"/>
        </w:rPr>
        <w:t xml:space="preserve">s while providing value-added services to their clients (our indirect clients) and Referral Partners that provide us with client leads but do not resell our solutions. </w:t>
      </w:r>
      <w:r>
        <w:rPr>
          <w:rFonts w:ascii="Times New Roman" w:eastAsia="Times New Roman" w:hAnsi="Times New Roman" w:cs="Times New Roman"/>
          <w:b w:val="0"/>
          <w:i w:val="0"/>
          <w:sz w:val="20"/>
        </w:rPr>
        <w:t>We have and will continue to invest in research and development to expand our solutions. Our solutions reduce the administrative burden on employers and increase employee productivity while managing the employment lifecycle. The Asure HCM suite includes eight product lines: Asure Payroll &amp; Tax, Asure Tax Management Solutions, AsureRecruiting™, Asure Time &amp; Attendance, Asure HR Compliance, Asure Insurance and Benefits Administration, AsureMarketplace™, and AsurePay™.</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From recruitment to retirement, our solutions help more than 100,000 clients across the United States. Approximately 20% of our clients are direct and the remaining clients are indirect, as they have contracts with reseller partners who white label our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trike/>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On July 1, 2025, we acquired Lathem Time 2025 LLC (f/k/a Lathem Time Corporation, “Lathem”), a trusted name in employee time and attendance solutions. Lathem’s existing cloud-based time and attendance solutions and customer base will add to the scale of our existing time and attendance business. The acquisition enables us to both improve our existing time and attendance offerings as well as allow us to cross-sell our full suite of HCM products to the new customer base.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During the</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sz w:val="20"/>
        </w:rPr>
        <w:t xml:space="preserve">three months ended September 30, 2025, we completed two customer relationship asset acquisitions as part of our ongoing acquisition strategy. The total purchase price of these acquisitions was </w:t>
      </w:r>
      <w:r>
        <w:rPr>
          <w:rFonts w:ascii="Times New Roman" w:eastAsia="Times New Roman" w:hAnsi="Times New Roman" w:cs="Times New Roman"/>
          <w:b w:val="0"/>
          <w:i w:val="0"/>
          <w:color w:val="000000"/>
          <w:sz w:val="20"/>
          <w:u w:val="none"/>
        </w:rPr>
        <w:t>$11,227</w:t>
      </w:r>
      <w:r>
        <w:rPr>
          <w:rFonts w:ascii="Times New Roman" w:eastAsia="Times New Roman" w:hAnsi="Times New Roman" w:cs="Times New Roman"/>
          <w:b w:val="0"/>
          <w:i w:val="0"/>
          <w:sz w:val="20"/>
        </w:rPr>
        <w:t xml:space="preserve">, which consisted of </w:t>
      </w:r>
      <w:r>
        <w:rPr>
          <w:rFonts w:ascii="Times New Roman" w:eastAsia="Times New Roman" w:hAnsi="Times New Roman" w:cs="Times New Roman"/>
          <w:b w:val="0"/>
          <w:i w:val="0"/>
          <w:color w:val="000000"/>
          <w:sz w:val="20"/>
          <w:u w:val="none"/>
        </w:rPr>
        <w:t>$8,252</w:t>
      </w:r>
      <w:r>
        <w:rPr>
          <w:rFonts w:ascii="Times New Roman" w:eastAsia="Times New Roman" w:hAnsi="Times New Roman" w:cs="Times New Roman"/>
          <w:b w:val="0"/>
          <w:i w:val="0"/>
          <w:sz w:val="20"/>
        </w:rPr>
        <w:t xml:space="preserve"> of cash paid during the three months ended September 30, 2025</w:t>
      </w:r>
      <w:r>
        <w:rPr>
          <w:rFonts w:ascii="Times New Roman" w:eastAsia="Times New Roman" w:hAnsi="Times New Roman" w:cs="Times New Roman"/>
          <w:b w:val="0"/>
          <w:i w:val="0"/>
          <w:color w:val="000000"/>
          <w:sz w:val="20"/>
          <w:u w:val="none"/>
          <w:shd w:val="clear" w:color="auto" w:fill="FFFFFF"/>
        </w:rPr>
        <w:t xml:space="preserve">, </w:t>
      </w:r>
      <w:r>
        <w:rPr>
          <w:rFonts w:ascii="Times New Roman" w:eastAsia="Times New Roman" w:hAnsi="Times New Roman" w:cs="Times New Roman"/>
          <w:b w:val="0"/>
          <w:i w:val="0"/>
          <w:color w:val="000000"/>
          <w:sz w:val="20"/>
          <w:u w:val="none"/>
          <w:shd w:val="clear" w:color="auto" w:fill="FFFFFF"/>
        </w:rPr>
        <w:t>$173</w:t>
      </w:r>
      <w:r>
        <w:rPr>
          <w:rFonts w:ascii="Times New Roman" w:eastAsia="Times New Roman" w:hAnsi="Times New Roman" w:cs="Times New Roman"/>
          <w:b w:val="0"/>
          <w:i w:val="0"/>
          <w:sz w:val="20"/>
        </w:rPr>
        <w:t xml:space="preserve"> of cash to be paid over the next 12 months, the delivery of promissory notes in the amount of </w:t>
      </w:r>
      <w:r>
        <w:rPr>
          <w:rFonts w:ascii="Times New Roman" w:eastAsia="Times New Roman" w:hAnsi="Times New Roman" w:cs="Times New Roman"/>
          <w:b w:val="0"/>
          <w:i w:val="0"/>
          <w:color w:val="000000"/>
          <w:sz w:val="20"/>
          <w:u w:val="none"/>
        </w:rPr>
        <w:t>$1,896</w:t>
      </w:r>
      <w:r>
        <w:rPr>
          <w:rFonts w:ascii="Times New Roman" w:eastAsia="Times New Roman" w:hAnsi="Times New Roman" w:cs="Times New Roman"/>
          <w:b w:val="0"/>
          <w:i w:val="0"/>
          <w:sz w:val="20"/>
        </w:rPr>
        <w:t xml:space="preserve">, net of discounts, and the delivery of </w:t>
      </w:r>
      <w:r>
        <w:rPr>
          <w:rFonts w:ascii="Times New Roman" w:eastAsia="Times New Roman" w:hAnsi="Times New Roman" w:cs="Times New Roman"/>
          <w:b w:val="0"/>
          <w:i w:val="0"/>
          <w:color w:val="000000"/>
          <w:sz w:val="20"/>
          <w:u w:val="none"/>
        </w:rPr>
        <w:t>124</w:t>
      </w:r>
      <w:r>
        <w:rPr>
          <w:rFonts w:ascii="Times New Roman" w:eastAsia="Times New Roman" w:hAnsi="Times New Roman" w:cs="Times New Roman"/>
          <w:b w:val="0"/>
          <w:i w:val="0"/>
          <w:sz w:val="20"/>
        </w:rPr>
        <w:t xml:space="preserve"> shares of Asure common stock, which had an aggregate fair value of </w:t>
      </w:r>
      <w:r>
        <w:rPr>
          <w:rFonts w:ascii="Times New Roman" w:eastAsia="Times New Roman" w:hAnsi="Times New Roman" w:cs="Times New Roman"/>
          <w:b w:val="0"/>
          <w:i w:val="0"/>
          <w:color w:val="000000"/>
          <w:sz w:val="20"/>
          <w:u w:val="none"/>
        </w:rPr>
        <w:t>$956</w:t>
      </w:r>
      <w:r>
        <w:rPr>
          <w:rFonts w:ascii="Times New Roman" w:eastAsia="Times New Roman" w:hAnsi="Times New Roman" w:cs="Times New Roman"/>
          <w:b w:val="0"/>
          <w:i w:val="0"/>
          <w:sz w:val="20"/>
        </w:rPr>
        <w:t xml:space="preserve"> at the acquisition dates. The purchase price for one acquisition is subject to an adjustment for contingent events which are generally expected to occur over the next one to two years, including revenue generated from the acquired assets.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 xml:space="preserve">Subsequent to </w:t>
      </w:r>
      <w:r>
        <w:rPr>
          <w:rFonts w:ascii="Times New Roman" w:eastAsia="Times New Roman" w:hAnsi="Times New Roman" w:cs="Times New Roman"/>
          <w:b w:val="0"/>
          <w:i w:val="0"/>
          <w:sz w:val="20"/>
        </w:rPr>
        <w:t xml:space="preserve">September 30, 2025, but before the filing of the financial statements, we completed a customer relationship asset acquisition. The total purchase price of this acquisition was </w:t>
      </w:r>
      <w:r>
        <w:rPr>
          <w:rFonts w:ascii="Times New Roman" w:eastAsia="Times New Roman" w:hAnsi="Times New Roman" w:cs="Times New Roman"/>
          <w:b w:val="0"/>
          <w:i w:val="0"/>
          <w:color w:val="000000"/>
          <w:sz w:val="20"/>
          <w:u w:val="none"/>
        </w:rPr>
        <w:t>$1,146</w:t>
      </w:r>
      <w:r>
        <w:rPr>
          <w:rFonts w:ascii="Times New Roman" w:eastAsia="Times New Roman" w:hAnsi="Times New Roman" w:cs="Times New Roman"/>
          <w:b w:val="0"/>
          <w:i w:val="0"/>
          <w:sz w:val="20"/>
        </w:rPr>
        <w:t xml:space="preserve">, which consisted of </w:t>
      </w:r>
      <w:r>
        <w:rPr>
          <w:rFonts w:ascii="Times New Roman" w:eastAsia="Times New Roman" w:hAnsi="Times New Roman" w:cs="Times New Roman"/>
          <w:b w:val="0"/>
          <w:i w:val="0"/>
          <w:color w:val="000000"/>
          <w:sz w:val="20"/>
          <w:u w:val="none"/>
        </w:rPr>
        <w:t>$700</w:t>
      </w:r>
      <w:r>
        <w:rPr>
          <w:rFonts w:ascii="Times New Roman" w:eastAsia="Times New Roman" w:hAnsi="Times New Roman" w:cs="Times New Roman"/>
          <w:b w:val="0"/>
          <w:i w:val="0"/>
          <w:sz w:val="20"/>
        </w:rPr>
        <w:t xml:space="preserve"> of cash paid at close and the delivery of a promissory note in the amount of </w:t>
      </w:r>
      <w:r>
        <w:rPr>
          <w:rFonts w:ascii="Times New Roman" w:eastAsia="Times New Roman" w:hAnsi="Times New Roman" w:cs="Times New Roman"/>
          <w:b w:val="0"/>
          <w:i w:val="0"/>
          <w:color w:val="000000"/>
          <w:sz w:val="20"/>
          <w:u w:val="none"/>
        </w:rPr>
        <w:t>$446</w:t>
      </w:r>
      <w:r>
        <w:rPr>
          <w:rFonts w:ascii="Times New Roman" w:eastAsia="Times New Roman" w:hAnsi="Times New Roman" w:cs="Times New Roman"/>
          <w:b w:val="0"/>
          <w:i w:val="0"/>
          <w:sz w:val="20"/>
        </w:rPr>
        <w:t>, net of discount.</w:t>
      </w:r>
    </w:p>
    <w:p>
      <w:pPr>
        <w:keepNext/>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left"/>
        <w:outlineLvl w:val="2"/>
        <w:rPr>
          <w:rFonts w:ascii="Times New Roman" w:eastAsia="Times New Roman" w:hAnsi="Times New Roman" w:cs="Times New Roman"/>
          <w:b/>
          <w:i w:val="0"/>
          <w:sz w:val="20"/>
        </w:rPr>
      </w:pPr>
      <w:bookmarkStart w:id="24" w:name="Section25"/>
      <w:bookmarkEnd w:id="24"/>
      <w:r>
        <w:rPr>
          <w:rFonts w:ascii="Times New Roman" w:eastAsia="Times New Roman" w:hAnsi="Times New Roman" w:cs="Times New Roman"/>
          <w:b/>
          <w:i w:val="0"/>
          <w:sz w:val="20"/>
        </w:rPr>
        <w:t xml:space="preserve">RESULTS OF OPERATIONS </w:t>
      </w:r>
      <w:r>
        <w:rPr>
          <w:rFonts w:ascii="Times New Roman" w:eastAsia="Times New Roman" w:hAnsi="Times New Roman" w:cs="Times New Roman"/>
          <w:b w:val="0"/>
          <w:i w:val="0"/>
          <w:sz w:val="20"/>
        </w:rPr>
        <w:t>(in thousands)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val="0"/>
          <w:i w:val="0"/>
          <w:sz w:val="20"/>
        </w:rPr>
        <w:t>The following table sets forth, for the fiscal periods indicated, the percentage of total revenue represented by certain items in our Condensed Consolidated Statements of Comprehensive Loss:</w:t>
      </w:r>
    </w:p>
    <w:tbl>
      <w:tblPr>
        <w:tblW w:w="8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05"/>
        <w:gridCol w:w="105"/>
        <w:gridCol w:w="1515"/>
        <w:gridCol w:w="75"/>
        <w:gridCol w:w="1515"/>
      </w:tblGrid>
      <w:tr>
        <w:tblPrEx>
          <w:tblW w:w="8415" w:type="dxa"/>
          <w:tblLayout w:type="fixed"/>
        </w:tblPrEx>
        <w:trPr>
          <w:cantSplit/>
          <w:trHeight w:hRule="exact" w:val="285"/>
        </w:trPr>
        <w:tc>
          <w:tcPr>
            <w:tcW w:w="520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105"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Nine Months Ended September 30,</w:t>
            </w:r>
          </w:p>
        </w:tc>
      </w:tr>
      <w:tr>
        <w:tblPrEx>
          <w:tblW w:w="8415" w:type="dxa"/>
          <w:tblLayout w:type="fixed"/>
        </w:tblPrEx>
        <w:trPr>
          <w:cantSplit/>
          <w:trHeight w:hRule="exact" w:val="285"/>
        </w:trPr>
        <w:tc>
          <w:tcPr>
            <w:tcW w:w="520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1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5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75"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5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r>
      <w:tr>
        <w:tblPrEx>
          <w:tblW w:w="8415" w:type="dxa"/>
          <w:tblLayout w:type="fixed"/>
        </w:tblPrEx>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Revenue</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69"/>
              </w:tabs>
              <w:spacing w:before="33" w:after="30" w:line="240" w:lineRule="auto"/>
              <w:jc w:val="right"/>
            </w:pPr>
            <w:r>
              <w:rPr>
                <w:rFonts w:ascii="Times New Roman" w:eastAsia="Times New Roman" w:hAnsi="Times New Roman" w:cs="Times New Roman"/>
                <w:b w:val="0"/>
                <w:i w:val="0"/>
                <w:color w:val="000000"/>
                <w:sz w:val="20"/>
                <w:u w:val="none"/>
              </w:rPr>
              <w:tab/>
              <w:t>100</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69"/>
              </w:tabs>
              <w:spacing w:before="33" w:after="30" w:line="240" w:lineRule="auto"/>
              <w:jc w:val="right"/>
            </w:pPr>
            <w:r>
              <w:rPr>
                <w:rFonts w:ascii="Times New Roman" w:eastAsia="Times New Roman" w:hAnsi="Times New Roman" w:cs="Times New Roman"/>
                <w:b w:val="0"/>
                <w:i w:val="0"/>
                <w:color w:val="000000"/>
                <w:sz w:val="20"/>
                <w:u w:val="none"/>
              </w:rPr>
              <w:tab/>
              <w:t>100</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Gross profit</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67</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69</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Sales and marketing</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25</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24</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General and administrative</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34</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34</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Research and development</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4</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6</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Amortization of intangible assets</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13</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13</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Total operating expenses</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77</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78</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Interest income</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1</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169"/>
              </w:tabs>
              <w:spacing w:before="53" w:after="30" w:line="240" w:lineRule="auto"/>
              <w:jc w:val="right"/>
            </w:pPr>
            <w:r>
              <w:rPr>
                <w:rFonts w:ascii="Times New Roman" w:eastAsia="Times New Roman" w:hAnsi="Times New Roman" w:cs="Times New Roman"/>
                <w:b w:val="0"/>
                <w:i w:val="0"/>
                <w:color w:val="000000"/>
                <w:sz w:val="20"/>
                <w:u w:val="none"/>
              </w:rPr>
              <w:tab/>
              <w:t>1</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Interest expense</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(3)</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(1)</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Other income, net</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keepNext/>
              <w:pageBreakBefore w:val="0"/>
              <w:tabs>
                <w:tab w:val="left" w:pos="1"/>
                <w:tab w:val="left" w:pos="269"/>
              </w:tabs>
              <w:spacing w:before="53" w:after="30" w:line="240" w:lineRule="auto"/>
              <w:jc w:val="right"/>
            </w:pPr>
            <w:r>
              <w:rPr>
                <w:rFonts w:ascii="Times New Roman" w:eastAsia="Times New Roman" w:hAnsi="Times New Roman" w:cs="Times New Roman"/>
                <w:b w:val="0"/>
                <w:i w:val="0"/>
                <w:color w:val="000000"/>
                <w:sz w:val="20"/>
                <w:u w:val="none"/>
              </w:rPr>
              <w:tab/>
              <w:t>—</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Loss from operations before income taxes</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336"/>
              </w:tabs>
              <w:spacing w:before="53" w:after="30" w:line="240" w:lineRule="auto"/>
              <w:jc w:val="right"/>
            </w:pPr>
            <w:r>
              <w:rPr>
                <w:rFonts w:ascii="Times New Roman" w:eastAsia="Times New Roman" w:hAnsi="Times New Roman" w:cs="Times New Roman"/>
                <w:b w:val="0"/>
                <w:i w:val="0"/>
                <w:color w:val="000000"/>
                <w:sz w:val="20"/>
                <w:u w:val="none"/>
              </w:rPr>
              <w:tab/>
              <w:t>(12)</w:t>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36"/>
              </w:tabs>
              <w:spacing w:before="53" w:after="30" w:line="240" w:lineRule="auto"/>
              <w:jc w:val="right"/>
            </w:pPr>
            <w:r>
              <w:rPr>
                <w:rFonts w:ascii="Times New Roman" w:eastAsia="Times New Roman" w:hAnsi="Times New Roman" w:cs="Times New Roman"/>
                <w:b w:val="0"/>
                <w:i w:val="0"/>
                <w:color w:val="000000"/>
                <w:sz w:val="20"/>
                <w:u w:val="none"/>
              </w:rPr>
              <w:tab/>
              <w:t>(9)</w:t>
              <w:tab/>
              <w:t>%</w:t>
            </w:r>
          </w:p>
        </w:tc>
      </w:tr>
      <w:tr>
        <w:tblPrEx>
          <w:tblW w:w="8415" w:type="dxa"/>
          <w:tblLayout w:type="fixed"/>
        </w:tblPrEx>
        <w:trPr>
          <w:cantSplit/>
          <w:trHeight w:hRule="exact" w:val="285"/>
        </w:trPr>
        <w:tc>
          <w:tcPr>
            <w:tcW w:w="5205" w:type="dxa"/>
            <w:tcBorders>
              <w:top w:val="nil"/>
              <w:left w:val="nil"/>
              <w:bottom w:val="nil"/>
              <w:right w:val="nil"/>
            </w:tcBorders>
            <w:shd w:val="clear" w:color="auto" w:fill="FFFFFF"/>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val="0"/>
                <w:i w:val="0"/>
                <w:color w:val="000000"/>
                <w:sz w:val="20"/>
                <w:u w:val="none"/>
              </w:rPr>
              <w:t>Net loss</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36"/>
              </w:tabs>
              <w:spacing w:before="53" w:after="30" w:line="240" w:lineRule="auto"/>
              <w:jc w:val="right"/>
            </w:pPr>
            <w:r>
              <w:rPr>
                <w:rFonts w:ascii="Times New Roman" w:eastAsia="Times New Roman" w:hAnsi="Times New Roman" w:cs="Times New Roman"/>
                <w:b w:val="0"/>
                <w:i w:val="0"/>
                <w:color w:val="000000"/>
                <w:sz w:val="20"/>
                <w:u w:val="none"/>
              </w:rPr>
              <w:tab/>
              <w:t>(14)</w:t>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pPr>
              <w:pageBreakBefore w:val="0"/>
              <w:spacing w:before="0" w:after="0"/>
            </w:pPr>
          </w:p>
        </w:tc>
        <w:tc>
          <w:tcPr>
            <w:tcW w:w="1515" w:type="dxa"/>
            <w:tcBorders>
              <w:top w:val="nil"/>
              <w:left w:val="nil"/>
              <w:bottom w:val="nil"/>
              <w:right w:val="nil"/>
            </w:tcBorders>
            <w:shd w:val="clear" w:color="auto" w:fill="FFFFFF"/>
            <w:tcMar>
              <w:top w:w="0" w:type="dxa"/>
              <w:left w:w="0" w:type="dxa"/>
              <w:bottom w:w="0" w:type="dxa"/>
              <w:right w:w="15" w:type="dxa"/>
            </w:tcMar>
            <w:vAlign w:val="bottom"/>
          </w:tcPr>
          <w:p>
            <w:pPr>
              <w:pageBreakBefore w:val="0"/>
              <w:tabs>
                <w:tab w:val="left" w:pos="1"/>
                <w:tab w:val="left" w:pos="336"/>
              </w:tabs>
              <w:spacing w:before="53" w:after="30" w:line="240" w:lineRule="auto"/>
              <w:jc w:val="right"/>
            </w:pPr>
            <w:r>
              <w:rPr>
                <w:rFonts w:ascii="Times New Roman" w:eastAsia="Times New Roman" w:hAnsi="Times New Roman" w:cs="Times New Roman"/>
                <w:b w:val="0"/>
                <w:i w:val="0"/>
                <w:color w:val="000000"/>
                <w:sz w:val="20"/>
                <w:u w:val="none"/>
              </w:rPr>
              <w:tab/>
              <w:t>(10)</w:t>
              <w:tab/>
              <w:t>%</w:t>
            </w:r>
          </w:p>
        </w:tc>
      </w:tr>
    </w:tbl>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Revenue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Revenue is comprised of recurring revenue, professional services, hardware, and other revenue. We expect our revenue to increase as we introduce new applications, expand our client base and renew and expand relationships with existing clients. As a percentage of total revenue, we expect our mix of recurring revenue, and professional services, hardware and other revenue to remain relatively constant. While revenue mix varies by product, recurring revenue represented over 88% and 92% of total revenue in the three and nine months ended September 30, 2025, respectively, compared to 98% and 97% in the three and nine months ended September 30, 2024, respectively. This decrease was due to the increase in hardware sales as a result of time and attendance business growth.</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revenue was derived from the following sources (in thousands):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tbl>
      <w:tblPr>
        <w:tblW w:w="102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45"/>
        <w:gridCol w:w="1305"/>
        <w:gridCol w:w="60"/>
        <w:gridCol w:w="1305"/>
        <w:gridCol w:w="60"/>
        <w:gridCol w:w="1305"/>
        <w:gridCol w:w="60"/>
        <w:gridCol w:w="1305"/>
      </w:tblGrid>
      <w:tr>
        <w:tblPrEx>
          <w:tblW w:w="10245" w:type="dxa"/>
          <w:tblInd w:w="0" w:type="dxa"/>
          <w:tblLayout w:type="fixed"/>
        </w:tblPrEx>
        <w:trPr>
          <w:cantSplit/>
          <w:trHeight w:hRule="exact" w:val="465"/>
        </w:trPr>
        <w:tc>
          <w:tcPr>
            <w:tcW w:w="48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Three Months Ended</w:t>
            </w:r>
          </w:p>
          <w:p>
            <w:pPr>
              <w:spacing w:after="30" w:line="240" w:lineRule="auto"/>
              <w:jc w:val="center"/>
            </w:pPr>
            <w:r>
              <w:rPr>
                <w:rFonts w:ascii="Times New Roman" w:eastAsia="Times New Roman" w:hAnsi="Times New Roman" w:cs="Times New Roman"/>
                <w:b/>
                <w:i w:val="0"/>
                <w:color w:val="000000"/>
                <w:sz w:val="20"/>
                <w:u w:val="none"/>
              </w:rPr>
              <w:t>September 30,</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Variance</w:t>
            </w:r>
          </w:p>
        </w:tc>
      </w:tr>
      <w:tr>
        <w:tblPrEx>
          <w:tblW w:w="10245" w:type="dxa"/>
          <w:tblInd w:w="0" w:type="dxa"/>
          <w:tblLayout w:type="fixed"/>
        </w:tblPrEx>
        <w:trPr>
          <w:cantSplit/>
          <w:trHeight w:hRule="exact" w:val="285"/>
        </w:trPr>
        <w:tc>
          <w:tcPr>
            <w:tcW w:w="484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t>
            </w:r>
          </w:p>
        </w:tc>
      </w:tr>
      <w:tr>
        <w:tblPrEx>
          <w:tblW w:w="10245" w:type="dxa"/>
          <w:tblInd w:w="0" w:type="dxa"/>
          <w:tblLayout w:type="fixed"/>
        </w:tblPrEx>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Recurring</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31,841</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28,626</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3,215</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269"/>
              </w:tabs>
              <w:spacing w:before="33" w:after="30" w:line="240" w:lineRule="auto"/>
              <w:jc w:val="right"/>
            </w:pPr>
            <w:r>
              <w:rPr>
                <w:rFonts w:ascii="Times New Roman" w:eastAsia="Times New Roman" w:hAnsi="Times New Roman" w:cs="Times New Roman"/>
                <w:b w:val="0"/>
                <w:i w:val="0"/>
                <w:color w:val="000000"/>
                <w:sz w:val="20"/>
                <w:u w:val="none"/>
              </w:rPr>
              <w:tab/>
              <w:t>11</w:t>
              <w:tab/>
              <w:t>%</w:t>
            </w:r>
          </w:p>
        </w:tc>
      </w:tr>
      <w:tr>
        <w:tblPrEx>
          <w:tblW w:w="10245" w:type="dxa"/>
          <w:tblInd w:w="0" w:type="dxa"/>
          <w:tblLayout w:type="fixed"/>
        </w:tblPrEx>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Professional services, hardware and other</w:t>
            </w:r>
          </w:p>
        </w:tc>
        <w:tc>
          <w:tcPr>
            <w:tcW w:w="130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722"/>
                <w:tab w:val="left" w:pos="1237"/>
              </w:tabs>
              <w:spacing w:before="53" w:after="30" w:line="240" w:lineRule="auto"/>
              <w:jc w:val="right"/>
            </w:pPr>
            <w:r>
              <w:rPr>
                <w:rFonts w:ascii="Times New Roman" w:eastAsia="Times New Roman" w:hAnsi="Times New Roman" w:cs="Times New Roman"/>
                <w:b w:val="0"/>
                <w:i w:val="0"/>
                <w:color w:val="000000"/>
                <w:sz w:val="20"/>
                <w:u w:val="none"/>
              </w:rPr>
              <w:tab/>
              <w:t>4,411</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872"/>
                <w:tab w:val="left" w:pos="1237"/>
              </w:tabs>
              <w:spacing w:before="53" w:after="30" w:line="240" w:lineRule="auto"/>
              <w:jc w:val="right"/>
            </w:pPr>
            <w:r>
              <w:rPr>
                <w:rFonts w:ascii="Times New Roman" w:eastAsia="Times New Roman" w:hAnsi="Times New Roman" w:cs="Times New Roman"/>
                <w:b w:val="0"/>
                <w:i w:val="0"/>
                <w:color w:val="000000"/>
                <w:sz w:val="20"/>
                <w:u w:val="none"/>
              </w:rPr>
              <w:tab/>
              <w:t>678</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722"/>
                <w:tab w:val="left" w:pos="1237"/>
              </w:tabs>
              <w:spacing w:before="53" w:after="30" w:line="240" w:lineRule="auto"/>
              <w:jc w:val="right"/>
            </w:pPr>
            <w:r>
              <w:rPr>
                <w:rFonts w:ascii="Times New Roman" w:eastAsia="Times New Roman" w:hAnsi="Times New Roman" w:cs="Times New Roman"/>
                <w:b w:val="0"/>
                <w:i w:val="0"/>
                <w:color w:val="000000"/>
                <w:sz w:val="20"/>
                <w:u w:val="none"/>
              </w:rPr>
              <w:tab/>
              <w:t>3,733</w:t>
              <w:tab/>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0" w:type="dxa"/>
              <w:bottom w:w="0" w:type="dxa"/>
              <w:right w:w="15" w:type="dxa"/>
            </w:tcMar>
            <w:vAlign w:val="bottom"/>
          </w:tcPr>
          <w:p>
            <w:pPr>
              <w:keepNext/>
              <w:pageBreakBefore w:val="0"/>
              <w:tabs>
                <w:tab w:val="left" w:pos="1"/>
                <w:tab w:val="left" w:pos="369"/>
              </w:tabs>
              <w:spacing w:before="53" w:after="30" w:line="240" w:lineRule="auto"/>
              <w:jc w:val="right"/>
            </w:pPr>
            <w:r>
              <w:rPr>
                <w:rFonts w:ascii="Times New Roman" w:eastAsia="Times New Roman" w:hAnsi="Times New Roman" w:cs="Times New Roman"/>
                <w:b w:val="0"/>
                <w:i w:val="0"/>
                <w:color w:val="000000"/>
                <w:sz w:val="20"/>
                <w:u w:val="none"/>
              </w:rPr>
              <w:tab/>
              <w:t>551</w:t>
              <w:tab/>
              <w:t>%</w:t>
            </w:r>
          </w:p>
        </w:tc>
      </w:tr>
      <w:tr>
        <w:tblPrEx>
          <w:tblW w:w="10245" w:type="dxa"/>
          <w:tblInd w:w="0" w:type="dxa"/>
          <w:tblLayout w:type="fixed"/>
        </w:tblPrEx>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36,252</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29,304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7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6,948</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
                <w:tab w:val="left" w:pos="269"/>
              </w:tabs>
              <w:spacing w:before="33" w:after="30" w:line="240" w:lineRule="auto"/>
              <w:jc w:val="right"/>
            </w:pPr>
            <w:r>
              <w:rPr>
                <w:rFonts w:ascii="Times New Roman" w:eastAsia="Times New Roman" w:hAnsi="Times New Roman" w:cs="Times New Roman"/>
                <w:b w:val="0"/>
                <w:i w:val="0"/>
                <w:color w:val="000000"/>
                <w:sz w:val="20"/>
                <w:u w:val="none"/>
              </w:rPr>
              <w:tab/>
              <w:t>24</w:t>
              <w:tab/>
              <w:t>%</w:t>
            </w:r>
          </w:p>
        </w:tc>
      </w:tr>
    </w:tbl>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tbl>
      <w:tblPr>
        <w:tblW w:w="10245"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45"/>
        <w:gridCol w:w="1305"/>
        <w:gridCol w:w="60"/>
        <w:gridCol w:w="1305"/>
        <w:gridCol w:w="60"/>
        <w:gridCol w:w="1305"/>
        <w:gridCol w:w="60"/>
        <w:gridCol w:w="1305"/>
      </w:tblGrid>
      <w:tr>
        <w:tblPrEx>
          <w:tblW w:w="10245" w:type="dxa"/>
          <w:tblInd w:w="0" w:type="dxa"/>
          <w:tblLayout w:type="fixed"/>
        </w:tblPrEx>
        <w:trPr>
          <w:cantSplit/>
          <w:trHeight w:hRule="exact" w:val="465"/>
        </w:trPr>
        <w:tc>
          <w:tcPr>
            <w:tcW w:w="484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line="240" w:lineRule="auto"/>
              <w:jc w:val="center"/>
            </w:pPr>
            <w:r>
              <w:rPr>
                <w:rFonts w:ascii="Times New Roman" w:eastAsia="Times New Roman" w:hAnsi="Times New Roman" w:cs="Times New Roman"/>
                <w:b/>
                <w:i w:val="0"/>
                <w:color w:val="000000"/>
                <w:sz w:val="20"/>
                <w:u w:val="none"/>
              </w:rPr>
              <w:t>Nine Months Ended</w:t>
            </w:r>
          </w:p>
          <w:p>
            <w:pPr>
              <w:spacing w:after="30" w:line="240" w:lineRule="auto"/>
              <w:jc w:val="center"/>
            </w:pPr>
            <w:r>
              <w:rPr>
                <w:rFonts w:ascii="Times New Roman" w:eastAsia="Times New Roman" w:hAnsi="Times New Roman" w:cs="Times New Roman"/>
                <w:b/>
                <w:i w:val="0"/>
                <w:color w:val="000000"/>
                <w:sz w:val="20"/>
                <w:u w:val="none"/>
              </w:rPr>
              <w:t>September 30,</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Variance</w:t>
            </w:r>
          </w:p>
        </w:tc>
      </w:tr>
      <w:tr>
        <w:tblPrEx>
          <w:tblW w:w="10245" w:type="dxa"/>
          <w:tblInd w:w="0" w:type="dxa"/>
          <w:tblLayout w:type="fixed"/>
        </w:tblPrEx>
        <w:trPr>
          <w:cantSplit/>
          <w:trHeight w:hRule="exact" w:val="285"/>
        </w:trPr>
        <w:tc>
          <w:tcPr>
            <w:tcW w:w="484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2025</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2024</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t>
            </w:r>
          </w:p>
        </w:tc>
        <w:tc>
          <w:tcPr>
            <w:tcW w:w="60" w:type="dxa"/>
            <w:tcBorders>
              <w:top w:val="single" w:sz="8" w:space="0" w:color="000000"/>
              <w:left w:val="nil"/>
              <w:bottom w:val="nil"/>
              <w:right w:val="nil"/>
            </w:tcBorders>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center"/>
            </w:pPr>
            <w:r>
              <w:rPr>
                <w:rFonts w:ascii="Times New Roman" w:eastAsia="Times New Roman" w:hAnsi="Times New Roman" w:cs="Times New Roman"/>
                <w:b/>
                <w:i w:val="0"/>
                <w:color w:val="000000"/>
                <w:sz w:val="20"/>
                <w:u w:val="none"/>
              </w:rPr>
              <w:t>%</w:t>
            </w:r>
          </w:p>
        </w:tc>
      </w:tr>
      <w:tr>
        <w:tblPrEx>
          <w:tblW w:w="10245" w:type="dxa"/>
          <w:tblInd w:w="0" w:type="dxa"/>
          <w:tblLayout w:type="fixed"/>
        </w:tblPrEx>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Recurring</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93,624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6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85,950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7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7,674</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keepNext/>
              <w:pageBreakBefore w:val="0"/>
              <w:spacing w:before="0" w:after="0"/>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keepNext/>
              <w:pageBreakBefore w:val="0"/>
              <w:tabs>
                <w:tab w:val="left" w:pos="1"/>
                <w:tab w:val="left" w:pos="169"/>
              </w:tabs>
              <w:spacing w:before="33" w:after="30" w:line="240" w:lineRule="auto"/>
              <w:jc w:val="right"/>
            </w:pPr>
            <w:r>
              <w:rPr>
                <w:rFonts w:ascii="Times New Roman" w:eastAsia="Times New Roman" w:hAnsi="Times New Roman" w:cs="Times New Roman"/>
                <w:b w:val="0"/>
                <w:i w:val="0"/>
                <w:color w:val="000000"/>
                <w:sz w:val="20"/>
                <w:u w:val="none"/>
              </w:rPr>
              <w:tab/>
              <w:t>9</w:t>
              <w:tab/>
              <w:t>%</w:t>
            </w:r>
          </w:p>
        </w:tc>
      </w:tr>
      <w:tr>
        <w:tblPrEx>
          <w:tblW w:w="10245" w:type="dxa"/>
          <w:tblInd w:w="0" w:type="dxa"/>
          <w:tblLayout w:type="fixed"/>
        </w:tblPrEx>
        <w:trPr>
          <w:cantSplit/>
          <w:trHeight w:hRule="exact" w:val="285"/>
        </w:trPr>
        <w:tc>
          <w:tcPr>
            <w:tcW w:w="484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Professional services, hardware and other</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53" w:after="30" w:line="240" w:lineRule="auto"/>
              <w:jc w:val="right"/>
            </w:pPr>
            <w:r>
              <w:rPr>
                <w:rFonts w:ascii="Times New Roman" w:eastAsia="Times New Roman" w:hAnsi="Times New Roman" w:cs="Times New Roman"/>
                <w:b w:val="0"/>
                <w:i w:val="0"/>
                <w:color w:val="000000"/>
                <w:sz w:val="20"/>
                <w:u w:val="none"/>
              </w:rPr>
              <w:tab/>
              <w:t>7,606</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53" w:after="30" w:line="240" w:lineRule="auto"/>
              <w:jc w:val="right"/>
            </w:pPr>
            <w:r>
              <w:rPr>
                <w:rFonts w:ascii="Times New Roman" w:eastAsia="Times New Roman" w:hAnsi="Times New Roman" w:cs="Times New Roman"/>
                <w:b w:val="0"/>
                <w:i w:val="0"/>
                <w:color w:val="000000"/>
                <w:sz w:val="20"/>
                <w:u w:val="none"/>
              </w:rPr>
              <w:tab/>
              <w:t>3,050</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722"/>
                <w:tab w:val="left" w:pos="1237"/>
              </w:tabs>
              <w:spacing w:before="53" w:after="30" w:line="240" w:lineRule="auto"/>
              <w:jc w:val="right"/>
            </w:pPr>
            <w:r>
              <w:rPr>
                <w:rFonts w:ascii="Times New Roman" w:eastAsia="Times New Roman" w:hAnsi="Times New Roman" w:cs="Times New Roman"/>
                <w:b w:val="0"/>
                <w:i w:val="0"/>
                <w:color w:val="000000"/>
                <w:sz w:val="20"/>
                <w:u w:val="none"/>
              </w:rPr>
              <w:tab/>
              <w:t>4,556</w:t>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pPr>
              <w:keepNext/>
              <w:pageBreakBefore w:val="0"/>
              <w:spacing w:before="0" w:after="0"/>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pPr>
              <w:keepNext/>
              <w:pageBreakBefore w:val="0"/>
              <w:tabs>
                <w:tab w:val="left" w:pos="1"/>
                <w:tab w:val="left" w:pos="369"/>
              </w:tabs>
              <w:spacing w:before="53" w:after="30" w:line="240" w:lineRule="auto"/>
              <w:jc w:val="right"/>
            </w:pPr>
            <w:r>
              <w:rPr>
                <w:rFonts w:ascii="Times New Roman" w:eastAsia="Times New Roman" w:hAnsi="Times New Roman" w:cs="Times New Roman"/>
                <w:b w:val="0"/>
                <w:i w:val="0"/>
                <w:color w:val="000000"/>
                <w:sz w:val="20"/>
                <w:u w:val="none"/>
              </w:rPr>
              <w:tab/>
              <w:t>149</w:t>
              <w:tab/>
              <w:t>%</w:t>
            </w:r>
          </w:p>
        </w:tc>
      </w:tr>
      <w:tr>
        <w:tblPrEx>
          <w:tblW w:w="10245" w:type="dxa"/>
          <w:tblInd w:w="0" w:type="dxa"/>
          <w:tblLayout w:type="fixed"/>
        </w:tblPrEx>
        <w:trPr>
          <w:cantSplit/>
          <w:trHeight w:hRule="exact" w:val="285"/>
        </w:trPr>
        <w:tc>
          <w:tcPr>
            <w:tcW w:w="484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spacing w:before="33" w:after="30" w:line="240" w:lineRule="auto"/>
              <w:jc w:val="left"/>
            </w:pPr>
            <w:r>
              <w:rPr>
                <w:rFonts w:ascii="Times New Roman" w:eastAsia="Times New Roman" w:hAnsi="Times New Roman" w:cs="Times New Roman"/>
                <w:b w:val="0"/>
                <w:i w:val="0"/>
                <w:color w:val="000000"/>
                <w:sz w:val="20"/>
                <w:u w:val="none"/>
              </w:rPr>
              <w:t>Total</w:t>
            </w: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5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101,230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89,000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622"/>
                <w:tab w:val="left" w:pos="1237"/>
              </w:tabs>
              <w:spacing w:before="33" w:after="30" w:line="240" w:lineRule="auto"/>
              <w:jc w:val="right"/>
            </w:pPr>
            <w:r>
              <w:rPr>
                <w:rFonts w:ascii="Times New Roman" w:eastAsia="Times New Roman" w:hAnsi="Times New Roman" w:cs="Times New Roman"/>
                <w:b w:val="0"/>
                <w:i w:val="0"/>
                <w:color w:val="000000"/>
                <w:sz w:val="20"/>
                <w:u w:val="none"/>
              </w:rPr>
              <w:t>$</w:t>
              <w:tab/>
              <w:t>12,230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pPr>
              <w:pageBreakBefore w:val="0"/>
              <w:tabs>
                <w:tab w:val="left" w:pos="1"/>
                <w:tab w:val="left" w:pos="269"/>
              </w:tabs>
              <w:spacing w:before="33" w:after="30" w:line="240" w:lineRule="auto"/>
              <w:jc w:val="right"/>
            </w:pPr>
            <w:r>
              <w:rPr>
                <w:rFonts w:ascii="Times New Roman" w:eastAsia="Times New Roman" w:hAnsi="Times New Roman" w:cs="Times New Roman"/>
                <w:b w:val="0"/>
                <w:i w:val="0"/>
                <w:color w:val="000000"/>
                <w:sz w:val="20"/>
                <w:u w:val="none"/>
              </w:rPr>
              <w:tab/>
              <w:t>14</w:t>
              <w:tab/>
              <w:t>%</w:t>
            </w:r>
          </w:p>
        </w:tc>
      </w:tr>
    </w:tb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color w:val="000000"/>
          <w:sz w:val="20"/>
          <w:u w:val="none"/>
          <w:shd w:val="clear" w:color="auto" w:fill="FFFFFF"/>
        </w:rPr>
      </w:pPr>
    </w:p>
    <w:p>
      <w:pPr>
        <w:keepNext w:val="0"/>
        <w:keepLines/>
        <w:pageBreakBefore/>
        <w:widowControl w:val="0"/>
        <w:numPr>
          <w:ilvl w:val="0"/>
          <w:numId w:val="0"/>
        </w:numPr>
        <w:spacing w:before="0" w:after="0" w:line="288" w:lineRule="auto"/>
        <w:ind w:left="0" w:right="0" w:firstLine="720"/>
        <w:jc w:val="left"/>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color w:val="000000"/>
          <w:sz w:val="20"/>
          <w:u w:val="none"/>
          <w:shd w:val="clear" w:color="auto" w:fill="FFFFFF"/>
        </w:rPr>
        <w:t>Recurring Revenue</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color w:val="000000"/>
          <w:sz w:val="20"/>
          <w:u w:val="none"/>
          <w:shd w:val="clear" w:color="auto" w:fill="FFFFFF"/>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color w:val="000000"/>
          <w:sz w:val="20"/>
          <w:u w:val="none"/>
          <w:shd w:val="clear" w:color="auto" w:fill="FFFFFF"/>
        </w:rPr>
      </w:pPr>
      <w:r>
        <w:rPr>
          <w:rFonts w:ascii="Times New Roman" w:eastAsia="Times New Roman" w:hAnsi="Times New Roman" w:cs="Times New Roman"/>
          <w:b w:val="0"/>
          <w:i w:val="0"/>
          <w:sz w:val="20"/>
        </w:rPr>
        <w:t>Recurring revenues include fees for our payroll and tax management, recruiting services, HR compliance, time and labor management, insurance and benefits administration, AsureMarketplace™ and other Asure solutions as well as fees charged for form filings and delivery of client payroll checks and reports. These revenues are derived from fixed amounts charged per billing period and sometimes an additional fee per employee or transaction processed. We do not require clients to enter into long-term contractual commitments for our services. Our billing period varies by client based on when each client pays its employees, which may be weekly, bi-weekly, semi-monthly or monthly. We also generate recurring revenues from our Reseller Partners that license our solutions. Because recurring revenues are based, in part, on fees for use of our applications and the delivery of checks and reports that are levied on a per-employee basis, our recurring revenues increase as our clients hire more employees. Recurring revenues are recognized in the period services are rendered.</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Recurring revenues include revenues relating to the annual processing of payroll forms, such as Form W-2 and Form 1099, and revenues from processing unscheduled payroll runs (such as bonuses) for our clients. Because payroll forms are typically processed in the first quarter of the year and many of our clients are subject to form filing requirements mandated by the Affordable Care Act (“ACA”), first quarter revenues and margins are generally higher than in subsequent quarters. We anticipate our revenues will continue to exhibit this seasonal pattern related to ACA form filings for so long as the ACA (or replacement legislation) includes employer reporting requirements. In addition, we often experience increased revenues during the fourth quarter due to unscheduled payroll runs for our clients that occur before the end of the year. We expect the seasonality of our revenue cycle to decrease to the extent clients utilize more of our non-payroll applications.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This revenue line also includes interest earned on funds held for clients. Interest earned is generated from funds we collect from clients in advance of either the applicable due date for payroll tax submissions or the applicable disbursement date for employee payment services. These collections from clients are typically disbursed from one to 30 days after receipt, with some funds being held for up to 120 days. We typically invest funds held for clients in money market funds, demand deposit accounts, commercial paper, fixed income securities and certificates of deposit until they are paid to the applicable tax or regulatory agencies or to client employees. The amount of interest we earn from the investment of client funds is also impacted by changes in interest rates.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00"/>
        </w:rPr>
      </w:pPr>
      <w:r>
        <w:rPr>
          <w:rFonts w:ascii="Times New Roman" w:eastAsia="Times New Roman" w:hAnsi="Times New Roman" w:cs="Times New Roman"/>
          <w:b w:val="0"/>
          <w:i w:val="0"/>
          <w:sz w:val="20"/>
        </w:rPr>
        <w:t>Recurring revenue for the three months ended September 30, 2025, was $31,841, an increase of $3,215, or 11%, from $28,626 for the three months ended September 30, 2024. The increase is primarily due to an increase in time and attendance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Recurring revenue for the nine months ended September 30, 2025, was $93,624, an increase of $7,674, or 9%, from $85,950 for the nine months ended September 30, 2024. The increase is primarily due to an increase in tax management solutions and time and attendance solutions.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r>
        <w:rPr>
          <w:rFonts w:ascii="Times New Roman" w:eastAsia="Times New Roman" w:hAnsi="Times New Roman" w:cs="Times New Roman"/>
          <w:b w:val="0"/>
          <w:i/>
          <w:sz w:val="20"/>
        </w:rPr>
        <w:t>Professional Services, Hardware and Other Revenue</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Professional Services, Hardware and Other Revenues represents implementation fees, one-time consulting projects, on-premise maintenance, hardware devices to enhance our software products.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Professional services, hardware and other revenue for the three months ended September 30, 2025, was 4,411, an increase of $3,733, or 551%, from $678 for the three months ended September 30, 2024. This increase is primarily due to an increase in hardware related to our time and attendance solutions.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Professional services, hardware, and other revenue for the nine months ended September 30, 2025, was 7,606, an increase of $4,556, or 149%, from $3,050 for the nine months ended September 30, 2024. The increase is primarily due to an increase in professional services and our time and attendance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Our total customer base is widely spread across industries and sizes. Geographically, we sell our products primarily in the United States.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In addition to continuing to develop our workforce solutions and release of new software updates and enhancements, we continue to actively explore other opportunities to acquire additional products or technologies to complement our current software and services.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sz w:val="20"/>
        </w:rPr>
        <w:t>Gross Profit and Gross Margin</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Consolidated gross profit for the three months ended September 30, 2025, was $23,142, an increase of $3,438, or 17%, from $19,704 for the three months ended September 30, 2024. Gross profit as a percentage of revenue decreased to 64% for the three months ended September 30, 2025, from 67% for the same period in 2024. The decrease is primarily attributable to the growth in our time and attendance solutions.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Consolidated gross profit for the nine months ended September 30, 2025, was $67,661, an increase of $6,482, or 11%, from $61,179 for the nine months ended September 30, 2024. Gross profit as a percentage of revenue decreased to 67% for the nine months ended September 30, 2025, from 69% for the same period in 2024. The decrease is primarily attributable to the growth in our time and attendance solutions.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Our cost of sales relates primarily to direct product costs, compensation for operations and related consulting expenses, hardware expenses, facilities, and related expenses and the amortization of our purchased software development costs. We include intangible amortization related to developed and acquired technology within cost of sales.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sz w:val="20"/>
        </w:rPr>
        <w:t>Sales and Marketing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Sales and marketing expenses primarily consist of salaries and related expenses for sales and marketing staff, including stock-based expenses, commissions, as well as marketing programs, which include events, corporate communications and product marketing activities.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Sales and marketing expenses for the three months ended September 30, 2025, were $9,043, an increase of $2,363, or 35%, from $6,680 for the three months ended September 30, 2024. The increase is primarily due to an increase in bad debt and headcount resulting in an increase in salaries and wages. Sales and marketing expenses as a percentage of revenue increased to 25% for the three months ended September 30, 2025, from 23% for the same period in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Sales and marketing expenses for the nine months ended September 30, 2025, were $25,578, an increase of $4,207, or 20%, from $21,371 for the nine months ended September 30, 2024. The increase is primarily due to an increase in bad debt and headcount resulting in an increase in salaries and wages. Sales and marketing expenses as a percentage of revenue increased to 25% for the nine months ended September 30, 2025, from 24% for the same period in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We expect to continue to expand and increase selling costs as we focus on hiring direct sales personnel, expanding recognition of our brand, and lead generation.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sz w:val="20"/>
        </w:rPr>
        <w:t>General and Administrative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General and administrative expenses primarily consist of salaries and related expenses, including stock-based expenses for finance and accounting, legal, internal audit, human resources and management information systems personnel, legal costs, professional fees, and other corporate expenses such as transaction costs for acquisitions.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General and administrative expenses for the three months ended September 30, 2025, were $11,655, an increase of $1,277, or 12%, from $10,378 for the three months ended September 30, 2024. The increase is primarily attributable to increased personnel compensation expenses along with higher service costs associated with regulatory compliance and our acquisitions. General and administrative expenses as a percentage of revenue decreased to 32% for the three months ended September 30, 2025, from 35% for the same period in 2024.</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General and administrative expenses for the nine months ended September 30, 2025, were $34,523, an increase of $3,964, or 13%, from $30,559 for the nine months ended September 30, 2024. The increase is primarily attributable to an increased personnel compensation expenses along with higher service costs associated with regulatory compliance and our acquisitions. General and administrative expenses as a percentage of revenue remained flat at 34% for the nine months ended September 30, 2025 and 2024.</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sz w:val="20"/>
        </w:rPr>
        <w:t>Research and Development Expenses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Research and development (“R&amp;D”) expenses consist primarily of salaries and related expenses, including stock-based expenses for employees supporting our R&amp;D activities.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R&amp;D expenses for the three months ended September 30, 2025, were $1,174, a decrease of $799, or 40%, from $1,973 for the three months ended September 30, 2024. The decrease is primarily attributable to an increase in capitalization of software development expenses driven by continued investments in the development of our products, partially offset by an increase in personnel compensation expenses. R&amp;D expenses as a percentage of revenue decreased to 3% for the three months ended September 30, 2025, from 7% for the same period in 2024.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R&amp;D expenses for the nine months ended September 30, 2025, were $4,476, a decrease of $1,228, or 22%, from $5,704 for the nine months ended September 30, 2024. The decrease is primarily attributable to an increase in capitalization of software development expenses driven by continued investments in the development of our products, partially offset by an increase in personnel compensation expenses. R&amp;D expenses as a percentage of revenue decreased to 4% for the nine months ended September 30, 2025, from 6% for the same period in 2024.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sz w:val="20"/>
        </w:rPr>
        <w:t>Amortization of Intangible Assets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Amortization expense for the three months ended September 30, 2025, was $4,769, an increase of $474, or 11%, from $4,295 for the three months ended September 30, 2024. The increase is primarily attributable to our continuing acquisitions strategy, with additional acquisitions occurring each quarter. Amortization expense as a percentage of revenue decreased to 13% for the three months ended September 30, 2025, from 15% for the same period in 2024.</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Amortization expense for the nine months ended September 30, 2025, was $13,250, an increase of $1,460, or 12%, from $11,790 for the nine months ended September 30, 2024. The increase is primarily attributable to our continuing acquisitions strategy, with additional acquisitions occurring each quarter. Amortization expense as a percentage of revenue remained flat at 13% for the nine months ended September 30, 2025 and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sz w:val="20"/>
        </w:rPr>
        <w:t>Interest Income and Expense</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Interest income for the three months ended September 30, 2025, was $250 compared to interest income of $165 for the three months ended September 30, 2024. Interest income as a percentage of revenue was 1% for the three months ended September 30, 2025 and 2024. Interest expense for the three months ended September 30, 2025 was $1,966 compared to interest expense of $274 for the three months ended September 30, 2024. Interest expense as a percentage of revenue was 5% for the three months ended September 30, 2025 compared to 1% for the same period in 2024. The increase in Interest expense in the three months ended September 30, 2025, is primarily related to interest accrued under our Loan Agreement (defined below) with MidCap Financial Trust (“MidCap”).</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Interest income for the nine months ended September 30, 2025 was $698 compared to interest income of $762 for the nine months ended September 30, 2024. Interest income as a percentage of revenue was 1% for the three months ended September 30, 2025 and 2024. Interest expense for the nine months ended September 30, 2025 was $3,226 compared to interest expense of $662 for the nine months ended September 30, 2024. Interest expense as a percentage of revenue was 3% for the nine months ended September 30, 2025 compared to 1% for the same period in 2024. The increase in interest expense in the nine months ended September 30, 2025, is primarily related to interest accrued under our Loan Agreement with MidCap.</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i w:val="0"/>
          <w:sz w:val="20"/>
        </w:rPr>
        <w:t>Other Income, Net</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Other income, net for the three months ended September 30, 2025 was $220 compared to $0 for the three months ended September 30, 2024. Other income, net as a percentage of revenue was 1% for the three months ended September 30, 2025, compared to a negligible amount for the same period in 2024.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Other income, net for the nine months ended September 30, 2025 was $312 compared to $10 for the nine months ended September 30, 2024. Other income, net as a percentage of revenue was negligible for the nine months ended September 30, 2025 and 2024.</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sz w:val="20"/>
        </w:rPr>
        <w:t>Income Taxes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For the three months ended September 30, 2025 and 2024, we recorded income tax expense attributable to continuing operations of $367 and $170, respectively, an increase of $197.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For the nine months ended September 30, 2025 and 2024, we recorded income tax expense attributable to continuing operations of $1,501 and $434, respectively, an increase of $1,067.</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rPr>
      </w:pPr>
      <w:r>
        <w:rPr>
          <w:rFonts w:ascii="Times New Roman" w:eastAsia="Times New Roman" w:hAnsi="Times New Roman" w:cs="Times New Roman"/>
          <w:b/>
          <w:i w:val="0"/>
          <w:sz w:val="20"/>
        </w:rPr>
        <w:t>Net Loss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We incurred a loss of $5,362, or $0.19 per share, during the three months ended September 30, 2025, compared to a loss of $3,901, or $0.15 per share, during the three months ended September 30, 2024. Loss as a percentage of total revenue was 15% and 13% for the three months ended September 30, 2025 and 2024, respectively.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rPr>
      </w:pPr>
      <w:r>
        <w:rPr>
          <w:rFonts w:ascii="Times New Roman" w:eastAsia="Times New Roman" w:hAnsi="Times New Roman" w:cs="Times New Roman"/>
          <w:b w:val="0"/>
          <w:i w:val="0"/>
          <w:sz w:val="20"/>
        </w:rPr>
        <w:t xml:space="preserve">We incurred a loss of $13,883, or $0.51 per share, during the nine months ended September 30, 2025, compared to a loss of $8,569, or $0.33 per share, during the nine months ended September 30, 2024. Loss as a percentage of total revenue was 14% and 10% for the nine months ended September 30, 2025 and 2024, respectively. </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color w:val="000000"/>
          <w:sz w:val="20"/>
          <w:u w:val="none"/>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5" w:name="Section26"/>
      <w:bookmarkEnd w:id="25"/>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color w:val="000000"/>
          <w:sz w:val="20"/>
          <w:u w:val="none"/>
          <w:shd w:val="clear" w:color="auto" w:fill="FFFFFF"/>
        </w:rPr>
      </w:pPr>
      <w:r>
        <w:rPr>
          <w:rFonts w:ascii="Times New Roman" w:eastAsia="Times New Roman" w:hAnsi="Times New Roman" w:cs="Times New Roman"/>
          <w:b/>
          <w:i w:val="0"/>
          <w:color w:val="000000"/>
          <w:sz w:val="20"/>
          <w:u w:val="none"/>
          <w:shd w:val="clear" w:color="auto" w:fill="FFFFFF"/>
        </w:rPr>
        <w:t xml:space="preserve">LIQUIDITY AND CAPITAL RESOURCES </w:t>
      </w:r>
      <w:r>
        <w:rPr>
          <w:rFonts w:ascii="Times New Roman" w:eastAsia="Times New Roman" w:hAnsi="Times New Roman" w:cs="Times New Roman"/>
          <w:b w:val="0"/>
          <w:i w:val="0"/>
          <w:color w:val="000000"/>
          <w:sz w:val="20"/>
          <w:u w:val="none"/>
          <w:shd w:val="clear" w:color="auto" w:fill="FFFFFF"/>
        </w:rPr>
        <w:t>(in thousands)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65"/>
        <w:gridCol w:w="2025"/>
        <w:gridCol w:w="60"/>
        <w:gridCol w:w="2010"/>
      </w:tblGrid>
      <w:tr>
        <w:tblPrEx>
          <w:tblW w:w="10260" w:type="dxa"/>
          <w:tblLayout w:type="fixed"/>
        </w:tblPrEx>
        <w:trPr>
          <w:cantSplit/>
          <w:trHeight w:hRule="exact" w:val="285"/>
        </w:trPr>
        <w:tc>
          <w:tcPr>
            <w:tcW w:w="6165" w:type="dxa"/>
            <w:tcBorders>
              <w:top w:val="nil"/>
              <w:left w:val="nil"/>
              <w:bottom w:val="nil"/>
              <w:right w:val="nil"/>
            </w:tcBorders>
            <w:tcMar>
              <w:top w:w="0" w:type="dxa"/>
              <w:left w:w="53" w:type="dxa"/>
              <w:bottom w:w="0" w:type="dxa"/>
              <w:right w:w="53" w:type="dxa"/>
            </w:tcMar>
            <w:vAlign w:val="bottom"/>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202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September 30, 2025</w:t>
            </w:r>
          </w:p>
        </w:tc>
        <w:tc>
          <w:tcPr>
            <w:tcW w:w="60"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20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53" w:after="30" w:line="240" w:lineRule="auto"/>
              <w:jc w:val="center"/>
            </w:pPr>
            <w:r>
              <w:rPr>
                <w:rFonts w:ascii="Times New Roman" w:eastAsia="Times New Roman" w:hAnsi="Times New Roman" w:cs="Times New Roman"/>
                <w:b/>
                <w:i w:val="0"/>
                <w:color w:val="000000"/>
                <w:sz w:val="20"/>
                <w:u w:val="none"/>
              </w:rPr>
              <w:t>December 31, 2024</w:t>
            </w:r>
          </w:p>
        </w:tc>
      </w:tr>
      <w:tr>
        <w:tblPrEx>
          <w:tblW w:w="10260" w:type="dxa"/>
          <w:tblLayout w:type="fixed"/>
        </w:tblPrEx>
        <w:trPr>
          <w:cantSplit/>
          <w:trHeight w:hRule="exact" w:val="300"/>
        </w:trPr>
        <w:tc>
          <w:tcPr>
            <w:tcW w:w="6165" w:type="dxa"/>
            <w:tcBorders>
              <w:top w:val="nil"/>
              <w:left w:val="nil"/>
              <w:bottom w:val="nil"/>
              <w:right w:val="nil"/>
            </w:tcBorders>
            <w:shd w:val="clear" w:color="auto" w:fill="CCEEFF"/>
            <w:tcMar>
              <w:top w:w="0" w:type="dxa"/>
              <w:left w:w="53" w:type="dxa"/>
              <w:bottom w:w="0" w:type="dxa"/>
              <w:right w:w="53" w:type="dxa"/>
            </w:tcMar>
            <w:vAlign w:val="bottom"/>
          </w:tcPr>
          <w:p>
            <w:pPr>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Cash and cash equivalents</w:t>
            </w:r>
            <w:r>
              <w:rPr>
                <w:rFonts w:ascii="Times New Roman" w:eastAsia="Times New Roman" w:hAnsi="Times New Roman" w:cs="Times New Roman"/>
                <w:b w:val="0"/>
                <w:i w:val="0"/>
                <w:sz w:val="20"/>
                <w:vertAlign w:val="superscript"/>
              </w:rPr>
              <w:t>(1)</w:t>
            </w:r>
          </w:p>
        </w:tc>
        <w:tc>
          <w:tcPr>
            <w:tcW w:w="20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342"/>
                <w:tab w:val="left" w:pos="1957"/>
              </w:tabs>
              <w:spacing w:before="33" w:after="30" w:line="240" w:lineRule="auto"/>
              <w:jc w:val="right"/>
            </w:pPr>
            <w:r>
              <w:rPr>
                <w:rFonts w:ascii="Times New Roman" w:eastAsia="Times New Roman" w:hAnsi="Times New Roman" w:cs="Times New Roman"/>
                <w:b w:val="0"/>
                <w:i w:val="0"/>
                <w:color w:val="000000"/>
                <w:sz w:val="20"/>
                <w:u w:val="none"/>
              </w:rPr>
              <w:t>$</w:t>
              <w:tab/>
              <w:t>21,520</w:t>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pPr>
              <w:pageBreakBefore w:val="0"/>
              <w:spacing w:before="0" w:after="0"/>
            </w:pPr>
          </w:p>
        </w:tc>
        <w:tc>
          <w:tcPr>
            <w:tcW w:w="20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pPr>
              <w:pageBreakBefore w:val="0"/>
              <w:tabs>
                <w:tab w:val="left" w:pos="1327"/>
                <w:tab w:val="left" w:pos="1942"/>
              </w:tabs>
              <w:spacing w:before="33" w:after="30" w:line="240" w:lineRule="auto"/>
              <w:jc w:val="right"/>
            </w:pPr>
            <w:r>
              <w:rPr>
                <w:rFonts w:ascii="Times New Roman" w:eastAsia="Times New Roman" w:hAnsi="Times New Roman" w:cs="Times New Roman"/>
                <w:b w:val="0"/>
                <w:i w:val="0"/>
                <w:color w:val="000000"/>
                <w:sz w:val="20"/>
                <w:u w:val="none"/>
              </w:rPr>
              <w:t>$</w:t>
              <w:tab/>
              <w:t>21,425</w:t>
              <w:tab/>
            </w:r>
          </w:p>
        </w:tc>
      </w:tr>
    </w:tbl>
    <w:p>
      <w:pPr>
        <w:keepNext/>
        <w:keepLines/>
        <w:pageBreakBefore w:val="0"/>
        <w:widowControl w:val="0"/>
        <w:numPr>
          <w:ilvl w:val="0"/>
          <w:numId w:val="18"/>
        </w:numPr>
        <w:spacing w:before="0" w:after="0" w:line="288" w:lineRule="auto"/>
        <w:ind w:left="720" w:right="0" w:hanging="720"/>
        <w:jc w:val="left"/>
        <w:outlineLvl w:val="9"/>
        <w:rPr>
          <w:rFonts w:ascii="Times New Roman" w:eastAsia="Times New Roman" w:hAnsi="Times New Roman" w:cs="Times New Roman"/>
          <w:b w:val="0"/>
          <w:i w:val="0"/>
          <w:sz w:val="16"/>
        </w:rPr>
      </w:pPr>
      <w:r>
        <w:rPr>
          <w:rFonts w:ascii="Times New Roman" w:eastAsia="Times New Roman" w:hAnsi="Times New Roman" w:cs="Times New Roman"/>
          <w:b w:val="0"/>
          <w:i w:val="0"/>
          <w:sz w:val="16"/>
        </w:rPr>
        <w:t>This balance excludes cash equivalents in funds held for clients.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Working Capital</w:t>
      </w:r>
      <w:r>
        <w:rPr>
          <w:rFonts w:ascii="Times New Roman" w:eastAsia="Times New Roman" w:hAnsi="Times New Roman" w:cs="Times New Roman"/>
          <w:b w:val="0"/>
          <w:i w:val="0"/>
          <w:sz w:val="20"/>
        </w:rPr>
        <w:t>. We had working capital of $14,838 at September 30, 2025, an increase of $1,197 from working capital of $13,641 at December 31, 2024. Working capital as of September 30, 2025 and December 31, 2024 includes $7,090 and $8,363 of short-term deferred revenue, respectively. Deferred revenue is an obligation to perform future services. We expect that deferred revenue will convert to future revenue as we perform our services, but this does not represent future payments. Deferred revenue can vary based on seasonality, expiration of initial multi-year contracts and deals that are billed after implementation rather than in advance of service delivery.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Operating Activities</w:t>
      </w:r>
      <w:r>
        <w:rPr>
          <w:rFonts w:ascii="Times New Roman" w:eastAsia="Times New Roman" w:hAnsi="Times New Roman" w:cs="Times New Roman"/>
          <w:b w:val="0"/>
          <w:i w:val="0"/>
          <w:sz w:val="20"/>
        </w:rPr>
        <w:t>. Net cash provided by operating activities of $10,924 for the nine months ended September 30, 2025 was primarily driven by non-cash adjustments to our net loss of approximately $29,526, primarily due to depreciation, amortization, and share-based compensation. This was offset by changes in operating assets and liabilities, which resulted in a use of $4,719 in cash. Net cash used in operating activities of $394 for the nine months ended September 30, 2024 was primarily driven by non-cash adjustments to our net loss of approximately $21,034, primarily due to depreciation, amortization, and share-based compensation. This was offset by changes in operating assets and liabilities, which results in a use of $12,859 in cash.</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Investing Activities</w:t>
      </w:r>
      <w:r>
        <w:rPr>
          <w:rFonts w:ascii="Times New Roman" w:eastAsia="Times New Roman" w:hAnsi="Times New Roman" w:cs="Times New Roman"/>
          <w:b w:val="0"/>
          <w:i w:val="0"/>
          <w:sz w:val="20"/>
        </w:rPr>
        <w:t>. Net cash used in investing activities of $78,170 for the nine months ended September 30, 2025, is primarily due to cash paid in business combinations or asset acquisitions of 52,467, which primarily consists of the acquisition of Lathem, purchases of available-for-sale securities  of $36,655, and software capitalization costs of $10,271, partially offset by proceeds from sales and maturities of available-for-sale securities of $21,738. Net cash used in investing activities of $18,209 for the nine months ended September 30, 2024, is primarily due to cash paid in business combinations or asset acquisitions of 12,397, purchases of available-for-sale securities of $10,914, and software capitalization costs of $7,677, partially offset by proceeds from sales and maturities of available-for-sale securities of $13,325.</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Financing Activities</w:t>
      </w:r>
      <w:r>
        <w:rPr>
          <w:rFonts w:ascii="Times New Roman" w:eastAsia="Times New Roman" w:hAnsi="Times New Roman" w:cs="Times New Roman"/>
          <w:b w:val="0"/>
          <w:i w:val="0"/>
          <w:sz w:val="20"/>
        </w:rPr>
        <w:t>. Net cash provided by financing activities was $7,001 for the nine months ended September 30, 2025, which primarily consisted of net proceeds of $57,982 from the Loan Agreement (defined below) with MidCap offset by a net decrease in client fund obligations of $45,506. Net cash used in financing activities was $26,291 for the nine months ended September 30, 2024, which primarily consisted of a net decrease in client fund obligations of $26,068.</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 xml:space="preserve">As of </w:t>
      </w:r>
      <w:r>
        <w:rPr>
          <w:rFonts w:ascii="Times New Roman" w:eastAsia="Times New Roman" w:hAnsi="Times New Roman" w:cs="Times New Roman"/>
          <w:b w:val="0"/>
          <w:i w:val="0"/>
          <w:sz w:val="20"/>
        </w:rPr>
        <w:t>September 30, 2025, we have nine subordinated promissory notes outstanding, all of which related to acquisitions that occurred during the nine months ended September 30, 2025 and and periods prior to January 1, 2025, with a combined outstanding principal balance of 14,475 and maturity dates ranging from October 1, 2025 to July 1, 2029.</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 xml:space="preserve">After </w:t>
      </w:r>
      <w:r>
        <w:rPr>
          <w:rFonts w:ascii="Times New Roman" w:eastAsia="Times New Roman" w:hAnsi="Times New Roman" w:cs="Times New Roman"/>
          <w:b w:val="0"/>
          <w:i w:val="0"/>
          <w:sz w:val="20"/>
        </w:rPr>
        <w:t>September 30, 2025, but before the filing of the financial statements, we repaid two subordinated promissory notes having maturity dates during such period, as well as a partial prepayment of one subordinated promissory note, having an original maturity date of July 1, 2029, reducing the principal balance of such note to $1,000. As of October 30, 2025, the combined outstanding principal balance of our subordinated promissory notes is $10,275.</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color w:val="000000"/>
          <w:sz w:val="20"/>
          <w:u w:val="none"/>
          <w:shd w:val="clear" w:color="auto" w:fill="FFFFFF"/>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sz w:val="20"/>
        </w:rPr>
        <w:t>On April 10, 2025, we entered into a Credit, Security and Guaranty Agreement (as amended, the “Loan Agreement”) with MidCap and the lenders from time to time party thereto (such lenders collectively with MidCap, the “Lenders”).</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Under the Loan Agreement, we may borrow up to </w:t>
      </w:r>
      <w:r>
        <w:rPr>
          <w:rFonts w:ascii="Times New Roman" w:eastAsia="Times New Roman" w:hAnsi="Times New Roman" w:cs="Times New Roman"/>
          <w:b w:val="0"/>
          <w:i w:val="0"/>
          <w:color w:val="000000"/>
          <w:sz w:val="20"/>
          <w:u w:val="none"/>
        </w:rPr>
        <w:t>$60,000</w:t>
      </w:r>
      <w:r>
        <w:rPr>
          <w:rFonts w:ascii="Times New Roman" w:eastAsia="Times New Roman" w:hAnsi="Times New Roman" w:cs="Times New Roman"/>
          <w:b w:val="0"/>
          <w:i w:val="0"/>
          <w:sz w:val="20"/>
        </w:rPr>
        <w:t xml:space="preserve"> from the Lenders, all of which has been funded as of June 30, 2025. The maturity date of the loan as provided under the Loan Agreement is April 1, 2030 (the “Maturity Date”).</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Interest on the outstanding loan balance is payable monthly in arrears at an annual rate of Term SOFR plus </w:t>
      </w:r>
      <w:r>
        <w:rPr>
          <w:rFonts w:ascii="Times New Roman" w:eastAsia="Times New Roman" w:hAnsi="Times New Roman" w:cs="Times New Roman"/>
          <w:b w:val="0"/>
          <w:i w:val="0"/>
          <w:color w:val="000000"/>
          <w:sz w:val="20"/>
          <w:u w:val="none"/>
        </w:rPr>
        <w:t>5.00%</w:t>
      </w:r>
      <w:r>
        <w:rPr>
          <w:rFonts w:ascii="Times New Roman" w:eastAsia="Times New Roman" w:hAnsi="Times New Roman" w:cs="Times New Roman"/>
          <w:b w:val="0"/>
          <w:i w:val="0"/>
          <w:sz w:val="20"/>
        </w:rPr>
        <w:t xml:space="preserve">, subject to a Secured Overnight Financing Rate (“SOFR”) floor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Prior to April 1, 2029 (the “Amortization Start Date”), we must make interest-only payments on the outstanding loan balance. Commencing on the Amortization Start Date and continuing on the first day of each calendar month thereafter, we will pay an amount equal to the total principal of the outstanding loan balance divided by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for a twelve (</w:t>
      </w:r>
      <w:r>
        <w:rPr>
          <w:rFonts w:ascii="Times New Roman" w:eastAsia="Times New Roman" w:hAnsi="Times New Roman" w:cs="Times New Roman"/>
          <w:b w:val="0"/>
          <w:i w:val="0"/>
          <w:color w:val="000000"/>
          <w:sz w:val="20"/>
          <w:u w:val="none"/>
        </w:rPr>
        <w:t>12</w:t>
      </w:r>
      <w:r>
        <w:rPr>
          <w:rFonts w:ascii="Times New Roman" w:eastAsia="Times New Roman" w:hAnsi="Times New Roman" w:cs="Times New Roman"/>
          <w:b w:val="0"/>
          <w:i w:val="0"/>
          <w:sz w:val="20"/>
        </w:rPr>
        <w:t xml:space="preserve">) month straight-line amortization of equal monthly principal payments. Also on a monthly basis, we must pay an administrative agency fee to MidCap equal to </w:t>
      </w:r>
      <w:r>
        <w:rPr>
          <w:rFonts w:ascii="Times New Roman" w:eastAsia="Times New Roman" w:hAnsi="Times New Roman" w:cs="Times New Roman"/>
          <w:b w:val="0"/>
          <w:i w:val="0"/>
          <w:color w:val="000000"/>
          <w:sz w:val="20"/>
          <w:u w:val="none"/>
        </w:rPr>
        <w:t>0.25%</w:t>
      </w:r>
      <w:r>
        <w:rPr>
          <w:rFonts w:ascii="Times New Roman" w:eastAsia="Times New Roman" w:hAnsi="Times New Roman" w:cs="Times New Roman"/>
          <w:b w:val="0"/>
          <w:i w:val="0"/>
          <w:sz w:val="20"/>
        </w:rPr>
        <w:t xml:space="preserve"> of the average end-of-day principal balance outstanding during the immediately preceding month. At the time of the final payment of the loan, we will provide a final payment fee of </w:t>
      </w:r>
      <w:r>
        <w:rPr>
          <w:rFonts w:ascii="Times New Roman" w:eastAsia="Times New Roman" w:hAnsi="Times New Roman" w:cs="Times New Roman"/>
          <w:b w:val="0"/>
          <w:i w:val="0"/>
          <w:color w:val="000000"/>
          <w:sz w:val="20"/>
          <w:u w:val="none"/>
        </w:rPr>
        <w:t>2.00%</w:t>
      </w:r>
      <w:r>
        <w:rPr>
          <w:rFonts w:ascii="Times New Roman" w:eastAsia="Times New Roman" w:hAnsi="Times New Roman" w:cs="Times New Roman"/>
          <w:b w:val="0"/>
          <w:i w:val="0"/>
          <w:sz w:val="20"/>
        </w:rPr>
        <w:t xml:space="preserve"> of the amount advanced thereunder except in the case of a refinance of the loan with MidCap and the Lenders.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We are subject to customary events of default as described in the Loan Agreement. In such event, and for so long as it continues, the outstanding loan balance will bear interest at </w:t>
      </w:r>
      <w:r>
        <w:rPr>
          <w:rFonts w:ascii="Times New Roman" w:eastAsia="Times New Roman" w:hAnsi="Times New Roman" w:cs="Times New Roman"/>
          <w:b w:val="0"/>
          <w:i w:val="0"/>
          <w:color w:val="000000"/>
          <w:sz w:val="20"/>
          <w:u w:val="none"/>
        </w:rPr>
        <w:t>2.0%</w:t>
      </w:r>
      <w:r>
        <w:rPr>
          <w:rFonts w:ascii="Times New Roman" w:eastAsia="Times New Roman" w:hAnsi="Times New Roman" w:cs="Times New Roman"/>
          <w:b w:val="0"/>
          <w:i w:val="0"/>
          <w:sz w:val="20"/>
        </w:rPr>
        <w:t xml:space="preserve"> per annum in excess of the rate otherwise payable. Under the Loan Agreement, we covenant to maintain (1) Total Leverage Ratio (as defined in the Loan Agreement), as tested quarterly, no greater than </w:t>
      </w:r>
      <w:r>
        <w:rPr>
          <w:rFonts w:ascii="Times New Roman" w:eastAsia="Times New Roman" w:hAnsi="Times New Roman" w:cs="Times New Roman"/>
          <w:b w:val="0"/>
          <w:i w:val="0"/>
          <w:color w:val="000000"/>
          <w:sz w:val="20"/>
          <w:u w:val="none"/>
        </w:rPr>
        <w:t>5.50</w:t>
      </w:r>
      <w:r>
        <w:rPr>
          <w:rFonts w:ascii="Times New Roman" w:eastAsia="Times New Roman" w:hAnsi="Times New Roman" w:cs="Times New Roman"/>
          <w:b w:val="0"/>
          <w:i w:val="0"/>
          <w:sz w:val="20"/>
        </w:rPr>
        <w:t xml:space="preserve"> to 1.00, and (2) minimum liquidity threshold of </w:t>
      </w:r>
      <w:r>
        <w:rPr>
          <w:rFonts w:ascii="Times New Roman" w:eastAsia="Times New Roman" w:hAnsi="Times New Roman" w:cs="Times New Roman"/>
          <w:b w:val="0"/>
          <w:i w:val="0"/>
          <w:color w:val="000000"/>
          <w:sz w:val="20"/>
          <w:u w:val="none"/>
        </w:rPr>
        <w:t>$10,000</w:t>
      </w:r>
      <w:r>
        <w:rPr>
          <w:rFonts w:ascii="Times New Roman" w:eastAsia="Times New Roman" w:hAnsi="Times New Roman" w:cs="Times New Roman"/>
          <w:b w:val="0"/>
          <w:i w:val="0"/>
          <w:sz w:val="20"/>
        </w:rPr>
        <w:t>. As of September 30, 2025, we are in compliance with all covenants under the Loan Agreement.</w:t>
      </w: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p>
    <w:p>
      <w:pPr>
        <w:keepNext w:val="0"/>
        <w:keepLines/>
        <w:pageBreakBefore w:val="0"/>
        <w:widowControl w:val="0"/>
        <w:numPr>
          <w:ilvl w:val="0"/>
          <w:numId w:val="0"/>
        </w:numPr>
        <w:spacing w:before="0" w:after="0" w:line="240" w:lineRule="exact"/>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color w:val="000000"/>
          <w:sz w:val="20"/>
          <w:u w:val="single"/>
        </w:rPr>
        <w:t>Sources of Liquidity</w:t>
      </w:r>
      <w:r>
        <w:rPr>
          <w:rFonts w:ascii="Times New Roman" w:eastAsia="Times New Roman" w:hAnsi="Times New Roman" w:cs="Times New Roman"/>
          <w:b w:val="0"/>
          <w:i w:val="0"/>
          <w:sz w:val="20"/>
        </w:rPr>
        <w:t>. As of September 30, 2025, our principal sources of liquidity consisted of $21,520 of cash and cash equivalents generated from operations of our business, which we expect to be our principal source of liquidity over the next twelve months. Additionally, we have access to an “at the market offering” program entered in October 31, 2024, under which we may offer and sell up to $25,000 of newly issued shares of common stock. As of September 30, 2025, there are $25,000 of shares of common stock available for issuance under this program.</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cannot ensure that we can grow our cash balances or limit our cash consumption and thus maintain sufficient cash balances for our planned operations or future acquisitions; however, we do believe that we have sufficient liquidity to support our business operations for at least the next twelve months. Future business demands may lead to cash utilization at levels greater than recently experienced or expected. We may need to raise additional capital in the future in order to grow our existing software operations and to seek additional strategic acquisitions in the near future. Further, we cannot ensure that we will be able to raise additional capital on acceptable terms, or at all, or at the time we need it.</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16"/>
        </w:rPr>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6" w:name="Section27"/>
      <w:bookmarkEnd w:id="26"/>
    </w:p>
    <w:p>
      <w:pPr>
        <w:keepNext/>
        <w:keepLines/>
        <w:pageBreakBefore w:val="0"/>
        <w:widowControl w:val="0"/>
        <w:numPr>
          <w:ilvl w:val="0"/>
          <w:numId w:val="0"/>
        </w:numPr>
        <w:spacing w:before="0" w:after="0" w:line="288" w:lineRule="auto"/>
        <w:ind w:left="0" w:right="0" w:firstLine="0"/>
        <w:jc w:val="both"/>
        <w:outlineLvl w:val="2"/>
        <w:rPr>
          <w:rFonts w:ascii="Times New Roman" w:eastAsia="Times New Roman" w:hAnsi="Times New Roman" w:cs="Times New Roman"/>
          <w:b/>
          <w:i w:val="0"/>
          <w:sz w:val="20"/>
        </w:rPr>
      </w:pPr>
      <w:r>
        <w:rPr>
          <w:rFonts w:ascii="Times New Roman" w:eastAsia="Times New Roman" w:hAnsi="Times New Roman" w:cs="Times New Roman"/>
          <w:b/>
          <w:i w:val="0"/>
          <w:sz w:val="20"/>
        </w:rPr>
        <w:t>CRITICAL ACCOUNTING POLICIES AND ESTIMATES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preparation of the Condensed Consolidated Financial Statements in conformity with U.S. generally accepted accounting principles requires management to make estimates and assumptions that affect the reported amounts of the assets and liabilities at the date of the financial statements and the reported amounts of revenues and expenses during the reporting period. These estimates are subjective in nature and involve judgments that affect the amounts reported. The Condensed Consolidated Financial Statements and the Notes to the Condensed Consolidated Financial Statements in Item 1 of this Form 10-Q, and the Notes to the Consolidated Financial Statements in Part II, Item 8 of our Annual Report on Form 10-K for the year ended December 31, 2024, describe the significant accounting policies and methods used in the preparation of our consolidated financial statements. There have been no material changes to our critical accounting estimates included in our Annual Report on Form 10-K for the year ended </w:t>
      </w:r>
      <w:r>
        <w:rPr>
          <w:rFonts w:ascii="Times New Roman" w:eastAsia="Times New Roman" w:hAnsi="Times New Roman" w:cs="Times New Roman"/>
          <w:b w:val="0"/>
          <w:i w:val="0"/>
          <w:sz w:val="20"/>
        </w:rPr>
        <w:t>December 31, 2024</w:t>
      </w:r>
      <w:r>
        <w:rPr>
          <w:rFonts w:ascii="Times New Roman" w:eastAsia="Times New Roman" w:hAnsi="Times New Roman" w:cs="Times New Roman"/>
          <w:b w:val="0"/>
          <w:i w:val="0"/>
          <w:sz w:val="20"/>
        </w:rPr>
        <w:t>.</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bookmarkStart w:id="27" w:name="Section28"/>
      <w:bookmarkEnd w:id="27"/>
      <w:r>
        <w:rPr>
          <w:rFonts w:ascii="Times New Roman" w:eastAsia="Times New Roman" w:hAnsi="Times New Roman" w:cs="Times New Roman"/>
          <w:b/>
          <w:i w:val="0"/>
          <w:sz w:val="20"/>
        </w:rPr>
        <w:t>ITEM 3. QUANTITATIVE AND QUALITATIVE DISCLOSURES ABOUT MARKET RISK</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There have been no material changes to our exposure from market risks from those disclosed in our 2024 Annual Report on Form 10-K.</w:t>
      </w:r>
    </w:p>
    <w:p>
      <w:pPr>
        <w:keepNext/>
        <w:keepLines/>
        <w:pageBreakBefore w:val="0"/>
        <w:widowControl w:val="0"/>
        <w:numPr>
          <w:ilvl w:val="0"/>
          <w:numId w:val="0"/>
        </w:numPr>
        <w:spacing w:before="0" w:after="0" w:line="288" w:lineRule="auto"/>
        <w:ind w:left="0" w:right="0" w:firstLine="720"/>
        <w:jc w:val="both"/>
        <w:outlineLvl w:val="9"/>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28" w:name="Section29"/>
      <w:bookmarkEnd w:id="28"/>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4. CONTROLS AND PROCEDURES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Evaluation of Disclosure Control and Procedures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management, with the participation of our chief executive officer and chief financial officer evaluated the effectiveness of our disclosure controls and procedures pursuant to Rule 13a-15 under the Exchange Act, as of September 30, 2025. The term “disclosure controls and procedures,” as defined in Rules 13a-15(e) and 15d-15(e) under the Exchange Act, means controls and other procedures of a company that are designed to ensure that information required to be disclosed by a company in the reports that it files or submits under the Exchange Act is recorded, processed, summarized, and reported within the time periods specified in the United States Securities and Exchange Commission’s rules and forms. Disclosure controls and procedures include, without limitation, controls and procedures designed to ensure that information required to be disclosed by a company in the reports that it files or submits under the Exchange Act is accumulated and communicated to our management, including our principal executive and principal financial officers, as appropriate, to allow timely decisions regarding required disclosure.</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In connection with our chief executive officer and chief financial officer’s review of the disclosure controls and procedures for our Annual Report on Form 10-K for the year ended December 31, 2024, our management concluded that there was a material weakness in our disclosure controls and procedures as described below. </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the evaluation of our disclosure controls and procedures as of September 30, 2025, our chief executive officer and chief financial officer concluded that, as of such date, our disclosure controls and procedures were not effective at the reasonable assurance level because of the existence of a material weakness as described below. Notwithstanding the material weakness in our internal control over financial reporting described below, management believes that the consolidated financial statements and related financial information included in this Quarterly Report on Form 10-Q fairly present in all material respects our financial condition, results of operations, and cash flows as of the dates presented, and for the periods ended on such dates, in conformity with accounting principles generally accepted in the United States of America.</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Identified Material Weakness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material weakness is a deficiency, or a combination of deficiencies, in internal control over financial reporting, such that there is a reasonable possibility that a material misstatement of our annual or interim financial statements will not be prevented or detected on a timely basis.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management identified that as of December 31, 2024, we had ineffective design and operation of controls over program change management due to a lack of complete program and data change logs for certain financially relevant applications. Automated process-level and manual controls that are dependent upon the information derived from such financially relevant systems were determined to be ineffective as a result of such deficiency.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material weakness did not result in a material misstatement to our consolidated financial statements, however, the control deficiency described above created a reasonable possibility that a material misstatement to the consolidated financial statements would not be prevented or detected on a timely basis. We concluded that the deficiency represents a material weakness in our internal control over financial reporting and that our disclosure controls and procedures were not effective as of December 31, 2024.</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Status of Remediation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r>
        <w:rPr>
          <w:rFonts w:ascii="Times New Roman" w:eastAsia="Times New Roman" w:hAnsi="Times New Roman" w:cs="Times New Roman"/>
          <w:b w:val="0"/>
          <w:i w:val="0"/>
          <w:sz w:val="20"/>
        </w:rPr>
        <w:t>Management, with oversight from the Audit Committee, has implemented remediation measures to address this material weakness. As of April 29, 2025, automated tracking tools were implemented and activated to ensure complete logging of all program and data changes from the impacted financially relevant systems.</w:t>
      </w:r>
    </w:p>
    <w:p>
      <w:pPr>
        <w:keepNext w:val="0"/>
        <w:keepLines/>
        <w:pageBreakBefore w:val="0"/>
        <w:widowControl w:val="0"/>
        <w:numPr>
          <w:ilvl w:val="0"/>
          <w:numId w:val="0"/>
        </w:numPr>
        <w:spacing w:before="0" w:after="0" w:line="288" w:lineRule="auto"/>
        <w:ind w:left="72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While these remediation activities were completed as of April 29, 2025, the material weakness cannot be considered fully remediated until the updated controls have been in place and operating effectively for a sufficient period of time and management has completed testing to confirm their effectiveness. Management will continue to monitor and evaluate the design and operating effectiveness of these controls.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val="0"/>
          <w:sz w:val="20"/>
        </w:rPr>
        <w:t>Planned Conclusion</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 expects to continue evaluating the effectiveness of the remediated controls throughout the remainder of the year. If these controls are determined to operate effectively through the remainder of the year, management expects that will be a sufficient period of time to conclude that the material weakness has been fully remediated in a future reporting period based on sufficient and appropriate evidence of operating effectiveness.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Change in Internal Controls over Financial Reporting</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Other than the material weakness and remediation discussed above, there have been no other changes in our internal control over financial reporting (as defined in Rules 13a-15(f) or 15d-15(f) of the Exchange Act) that occurred during the period ended September 30, 2025, that have materially affected, or are reasonably likely to materially affect, our internal control over financial reporting.</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855"/>
        <w:jc w:val="center"/>
        <w:outlineLvl w:val="0"/>
        <w:rPr>
          <w:rFonts w:ascii="Times New Roman" w:eastAsia="Times New Roman" w:hAnsi="Times New Roman" w:cs="Times New Roman"/>
          <w:b/>
          <w:i w:val="0"/>
          <w:sz w:val="20"/>
        </w:rPr>
      </w:pPr>
      <w:bookmarkStart w:id="29" w:name="Section30"/>
      <w:bookmarkEnd w:id="29"/>
      <w:r>
        <w:rPr>
          <w:rFonts w:ascii="Times New Roman" w:eastAsia="Times New Roman" w:hAnsi="Times New Roman" w:cs="Times New Roman"/>
          <w:b/>
          <w:i w:val="0"/>
          <w:sz w:val="20"/>
        </w:rPr>
        <w:t>PART II – OTHER INFORMATION</w:t>
      </w:r>
    </w:p>
    <w:p>
      <w:pPr>
        <w:keepNext w:val="0"/>
        <w:keepLines/>
        <w:pageBreakBefore w:val="0"/>
        <w:widowControl w:val="0"/>
        <w:numPr>
          <w:ilvl w:val="0"/>
          <w:numId w:val="0"/>
        </w:numPr>
        <w:spacing w:before="0" w:after="0" w:line="288" w:lineRule="auto"/>
        <w:ind w:left="0" w:right="0" w:firstLine="855"/>
        <w:jc w:val="center"/>
        <w:outlineLvl w:val="0"/>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bookmarkStart w:id="30" w:name="Section31"/>
      <w:bookmarkEnd w:id="30"/>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1. LEGAL PROCEEDINGS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single"/>
        </w:rPr>
      </w:pPr>
      <w:r>
        <w:rPr>
          <w:rFonts w:ascii="Times New Roman" w:eastAsia="Times New Roman" w:hAnsi="Times New Roman" w:cs="Times New Roman"/>
          <w:b w:val="0"/>
          <w:i w:val="0"/>
          <w:sz w:val="20"/>
        </w:rPr>
        <w:t xml:space="preserve">We have been, and in the future may be, the defendant or plaintiff in various actions arising in the normal course of business. As of September 30, 2025, we were not party to any material legal proceedings. </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1" w:name="Section32"/>
      <w:bookmarkEnd w:id="31"/>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color w:val="000000"/>
          <w:sz w:val="20"/>
          <w:u w:val="none"/>
          <w:shd w:val="clear" w:color="auto" w:fill="FFFFFF"/>
        </w:rPr>
      </w:pPr>
      <w:r>
        <w:rPr>
          <w:rFonts w:ascii="Times New Roman" w:eastAsia="Times New Roman" w:hAnsi="Times New Roman" w:cs="Times New Roman"/>
          <w:b/>
          <w:i w:val="0"/>
          <w:color w:val="000000"/>
          <w:sz w:val="20"/>
          <w:u w:val="none"/>
          <w:shd w:val="clear" w:color="auto" w:fill="FFFFFF"/>
        </w:rPr>
        <w:t>ITEM 1A. RISK FACTORS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We have updated certain risk factors described in Part I, Item 1A. “Risk Factors” in our 2024 Annual Report on Form 10-K (the “Risk Factors”) to reflect the entering of the Credit, Security and Guaranty Agreement with MidCap Financial Trust and the acquisition of Lathem. The Risk Factors, as updated below, should be carefully considered, together with the other information contained or incorporated by reference in this Quarterly Report on Form 10-Q and in our other filings with the SEC, in connection with evaluating the Company, our business, and the forward-looking statements contained in this Quarterly Report on Form 10-Q. Other risks that we do not presently know about or that we presently believe are not material could also adversely affect us. The risk factors described below update the risk factors disclosed in Part I, Item 1A. in our 2024 Annual Report on Form 10-K to include additional information and should be read in conjunction with the risk factors in our 2024 Annual Report on Form 10-K.</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ability to make scheduled payments on or to refinance our existing indebtedness (including the indebtedness under our Credit, Security and Guaranty Agreement with MidCap Financial Trust and our subordinated promissory notes) depends on our future performance, which is subject to economic, financial, competitive and other factors that may be beyond our control.</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business may not generate cash flow from operations in the future sufficient to service our debt and support our growth strategies. If we are unable to generate sufficient cash flow, we may be required to pursue one or more alternatives, such as selling assets, restructuring debt or obtaining additional equity capital on terms that may be onerous or dilutive. Our ability to refinance our indebtedness will depend on the capital markets and our financial condition at such time. We may not be able to engage in any of these activities or on desirable terms, which could result in a default on our debt obligations, including under our current debt obligations. In addition, if for any reason we are unable to meet our debt service and repayment obligations, we would be in default under the terms of our Credit, Security and Guaranty Agreement with MidCap Financial Trust, which would allow our creditors at that time to declare all outstanding indebtedness to be due and payable. Under these circumstances, our lenders could compel us to apply all of our available cash to repay our indebtedness.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r>
        <w:rPr>
          <w:rFonts w:ascii="Times New Roman" w:eastAsia="Times New Roman" w:hAnsi="Times New Roman" w:cs="Times New Roman"/>
          <w:b/>
          <w:i/>
          <w:sz w:val="20"/>
        </w:rPr>
        <w:t>Our ability to incur debt and the use of our funds could be limited by the restrictive covenants in our loan agreement for our term loan and credit facility.</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Our agreement with MidCap Financial Trust provides for a credit facility that contains restrictive covenants, including restrictions on our ability to pay dividends to stockholders, as well as requirements to comply with certain leverage ratios and other financial maintenance tests and stringent requirements around regulatory compliance. These restrictive covenants and requirements limit the amount of borrowings that are available to us. The agreement covenants may also affect our ability to obtain future financing and to pursue attractive business opportunities and our flexibility in planning for, and reacting to, changes in business conditions. These covenants could place us at a disadvantage compared to some of our competitors, who may have fewer restrictive covenants and may not be required to operate under these restrictions. Further, the proceeds from our credit facility are only available for use in connection with permitted acquisitions (as defined in the Loan Agreement), which means the funds may not be used for general corporate purposes and thus may not be available when we need them.</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sz w:val="20"/>
        </w:rPr>
      </w:pPr>
    </w:p>
    <w:p>
      <w:pPr>
        <w:keepNext/>
        <w:keepLines/>
        <w:pageBreakBefore/>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i/>
          <w:sz w:val="20"/>
        </w:rPr>
        <w:t>Volatility and weakness in bank and capital markets may adversely affect credit availability and related interest and financing costs for us.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Banking and capital markets have recently and may in the future experience periods of volatility and disruption. If the disruption in these markets is prolonged, our ability to refinance, and the related cost of refinancing, some or all of our debt could be adversely affected. Although we currently can access the bank and capital markets, there is no assurance that such markets will continue to be a reliable source of financing for us. These factors, including the tightening of credit markets, could adversely affect our ability to obtain cost effective financing. Increased volatility and disruptions in the financial markets also could make it more difficult and more expensive for us to refinance outstanding indebtedness and to obtain financing. If we are unable to refinance outstanding debt, such volatility could also increase interest rates, which would increase costs related to our variable-rate debt agreement. In addition, the adoption of new statutes and regulations, the implementation of recently enacted laws, or new interpretations or the enforcement of older laws and regulations applicable to the financial markets or the financial services industry could result in a reduction in the amount of available credit or an increase in the cost of credit. Disruptions in the financial markets can also adversely affect our lenders, insurers, customers, and other counterparties. Any of these results could have a material adverse effect on our business, financial condition, and results of operations.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r>
        <w:rPr>
          <w:rFonts w:ascii="Times New Roman" w:eastAsia="Times New Roman" w:hAnsi="Times New Roman" w:cs="Times New Roman"/>
          <w:b/>
          <w:i/>
          <w:sz w:val="20"/>
        </w:rPr>
        <w:t>Changes in international trade policies, tariffs, and treaties affecting imports may have a material adverse effect on our business, financial condition, and results of operations.</w:t>
      </w: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i w:val="0"/>
          <w:color w:val="000000"/>
          <w:sz w:val="20"/>
          <w:u w:val="single"/>
        </w:rPr>
      </w:pPr>
      <w:r>
        <w:rPr>
          <w:rFonts w:ascii="Times New Roman" w:eastAsia="Times New Roman" w:hAnsi="Times New Roman" w:cs="Times New Roman"/>
          <w:b w:val="0"/>
          <w:i w:val="0"/>
          <w:sz w:val="20"/>
        </w:rPr>
        <w:t>Recent increase in tariffs and the impositions of new trade restrictions by the United States and other countries have created uncertainty and volatility in global markets. These tariffs, particularly those affecting the imports of raw materials, components, and finished goods from key manufacturing regions, may significantly increase our cost of sales for our Time and Attendance products. Furthermore, changes in trade policy, the introduction of new tariffs, or further escalation of trade tensions could exacerbate these risks. If we are unable to mitigate these increased costs through pricing changes or finding alternative sourcing solutions, our financial position and results of operations may be adversely effected.</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color w:val="000000"/>
          <w:sz w:val="20"/>
          <w:u w:val="none"/>
          <w:shd w:val="clear" w:color="auto" w:fill="FFFFFF"/>
        </w:rPr>
      </w:pPr>
      <w:bookmarkStart w:id="32" w:name="Section33"/>
      <w:bookmarkEnd w:id="32"/>
    </w:p>
    <w:p>
      <w:pPr>
        <w:keepNext w:val="0"/>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color w:val="000000"/>
          <w:sz w:val="20"/>
          <w:u w:val="none"/>
          <w:shd w:val="clear" w:color="auto" w:fill="FFFFFF"/>
        </w:rPr>
      </w:pPr>
      <w:r>
        <w:rPr>
          <w:rFonts w:ascii="Times New Roman" w:eastAsia="Times New Roman" w:hAnsi="Times New Roman" w:cs="Times New Roman"/>
          <w:b/>
          <w:i w:val="0"/>
          <w:color w:val="000000"/>
          <w:sz w:val="20"/>
          <w:u w:val="none"/>
          <w:shd w:val="clear" w:color="auto" w:fill="FFFFFF"/>
        </w:rPr>
        <w:t>ITEM 2. UNREGISTERED SALES OF EQUITY SECURITIES AND USE OF PROCEEDS</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On August 1, 2025, we issued 124 shares of our common stock to a reseller partner from whom we acquired certain assets. These shares were part of the purchase price consideration in connection with such purchase. The shares were valued at $10.93 per share, or an aggregate of $1,350. The issuance and sale of the shares of our common stock in connection with this settlement are exempt from the registration requirements of the Securities Act of 1933 pursuant to Section 4(a)(2) thereof and Rule 506(b) of Regulation D thereunder.</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On August 13, 2025, we issued 91 shares of our common stock in prepayment of outstanding principal (which had been reduced in settlement of indemnity claims) and accrued interest of one of our acquisition-related promissory notes. The shares were valued at $10.56 per share, or an aggregate of $956. The issuance and sale of the shares of our common stock in connection with this settlement are exempt from the registration requirements of the Securities Act of 1933 pursuant to Section 4(a)(2) thereof and Rule 506(b) of Regulation D thereunder.</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r>
        <w:rPr>
          <w:rFonts w:ascii="Times New Roman" w:eastAsia="Times New Roman" w:hAnsi="Times New Roman" w:cs="Times New Roman"/>
          <w:b w:val="0"/>
          <w:i w:val="0"/>
          <w:color w:val="000000"/>
          <w:sz w:val="20"/>
          <w:u w:val="none"/>
          <w:shd w:val="clear" w:color="auto" w:fill="FFFFFF"/>
        </w:rPr>
        <w:t>On September 30, 2025, we made a scheduled installment payment of principal to the holder of one of our acquisition-related promissory notes. The payment was made through the issuance of 47 shares of our common stock. The shares were valued at $8.00 per share, or an aggregate of $378. The issuance and sale of the shares of our common stock in connection with this payment are exempt from the registration requirements of the Securities Act of 1933 pursuant to Section 4(a)(2) thereof and Rule 506(b) of Regulation D thereunder.</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color w:val="000000"/>
          <w:sz w:val="20"/>
          <w:u w:val="none"/>
          <w:shd w:val="clear" w:color="auto" w:fill="FFFFFF"/>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On October 30, 2025, we issued 201 shares of our common stock in partial prepayment of outstanding principal (which had been reduced as consideration for early repayment) of one of our acquisition-related promissory notes. The shares were valued at $8.47 per share, or an aggregate of $1,700. The issuance and sale of the shares of our common stock in connection with this settlement are exempt from the registration requirements of the Securities Act of 1933 pursuant to Section 4(a)(2) thereof and Rule 506(b) of Regulation D thereunder.</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3" w:name="Section34"/>
      <w:bookmarkEnd w:id="33"/>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3. DEFAULTS UPON SENIOR SECURITIES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bookmarkStart w:id="34" w:name="Section35"/>
      <w:bookmarkEnd w:id="34"/>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r>
        <w:rPr>
          <w:rFonts w:ascii="Times New Roman" w:eastAsia="Times New Roman" w:hAnsi="Times New Roman" w:cs="Times New Roman"/>
          <w:b/>
          <w:i w:val="0"/>
          <w:sz w:val="20"/>
        </w:rPr>
        <w:t>ITEM 4. MINE SAFETY DISCLOSURES</w:t>
      </w:r>
    </w:p>
    <w:p>
      <w:pPr>
        <w:keepNext/>
        <w:keepLines/>
        <w:pageBreakBefore w:val="0"/>
        <w:widowControl w:val="0"/>
        <w:numPr>
          <w:ilvl w:val="0"/>
          <w:numId w:val="0"/>
        </w:numPr>
        <w:spacing w:before="0" w:after="0" w:line="288" w:lineRule="auto"/>
        <w:ind w:left="0" w:right="0" w:firstLine="0"/>
        <w:jc w:val="both"/>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None.</w:t>
      </w:r>
    </w:p>
    <w:p>
      <w:pPr>
        <w:keepNext w:val="0"/>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both"/>
        <w:outlineLvl w:val="1"/>
        <w:rPr>
          <w:rFonts w:ascii="Times New Roman" w:eastAsia="Times New Roman" w:hAnsi="Times New Roman" w:cs="Times New Roman"/>
          <w:b/>
          <w:i w:val="0"/>
          <w:sz w:val="20"/>
        </w:rPr>
      </w:pPr>
      <w:bookmarkStart w:id="35" w:name="Section36"/>
      <w:bookmarkEnd w:id="35"/>
      <w:r>
        <w:rPr>
          <w:rFonts w:ascii="Times New Roman" w:eastAsia="Times New Roman" w:hAnsi="Times New Roman" w:cs="Times New Roman"/>
          <w:b/>
          <w:i w:val="0"/>
          <w:sz w:val="20"/>
        </w:rPr>
        <w:t>ITEM 5. OTHER INFORMATION</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p>
      <w:pPr>
        <w:keepNext/>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During the three months ended September 30, 2025, </w:t>
      </w:r>
      <w:r>
        <w:rPr>
          <w:rFonts w:ascii="Times New Roman" w:eastAsia="Times New Roman" w:hAnsi="Times New Roman" w:cs="Times New Roman"/>
          <w:b w:val="0"/>
          <w:i w:val="0"/>
          <w:color w:val="000000"/>
          <w:sz w:val="20"/>
          <w:u w:val="none"/>
        </w:rPr>
        <w:t>none of our directors or officers have entered into, amended, or terminated, a 10b5-1 trading plan.</w:t>
      </w:r>
      <w:r>
        <w:rPr>
          <w:rFonts w:ascii="Times New Roman" w:eastAsia="Times New Roman" w:hAnsi="Times New Roman" w:cs="Times New Roman"/>
          <w:b w:val="0"/>
          <w:i w:val="0"/>
          <w:sz w:val="20"/>
        </w:rPr>
        <w:t xml:space="preserve"> </w:t>
      </w:r>
    </w:p>
    <w:p>
      <w:pPr>
        <w:keepNext/>
        <w:keepLines/>
        <w:pageBreakBefore w:val="0"/>
        <w:widowControl w:val="0"/>
        <w:numPr>
          <w:ilvl w:val="0"/>
          <w:numId w:val="0"/>
        </w:numPr>
        <w:spacing w:before="0" w:after="0" w:line="288" w:lineRule="auto"/>
        <w:ind w:left="0" w:right="0" w:firstLine="720"/>
        <w:jc w:val="both"/>
        <w:outlineLvl w:val="9"/>
        <w:sectPr>
          <w:type w:val="continuous"/>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left"/>
        <w:outlineLvl w:val="1"/>
        <w:rPr>
          <w:rFonts w:ascii="Times New Roman" w:eastAsia="Times New Roman" w:hAnsi="Times New Roman" w:cs="Times New Roman"/>
          <w:b/>
          <w:i w:val="0"/>
          <w:sz w:val="20"/>
        </w:rPr>
      </w:pPr>
      <w:bookmarkStart w:id="36" w:name="Section37"/>
      <w:bookmarkEnd w:id="36"/>
      <w:r>
        <w:rPr>
          <w:rFonts w:ascii="Times New Roman" w:eastAsia="Times New Roman" w:hAnsi="Times New Roman" w:cs="Times New Roman"/>
          <w:b/>
          <w:i w:val="0"/>
          <w:sz w:val="20"/>
        </w:rPr>
        <w:t>ITEM 6. EXHIBITS, FINANCIAL STATEMENT SCHEDULES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i w:val="0"/>
          <w:sz w:val="20"/>
        </w:rPr>
      </w:pPr>
    </w:p>
    <w:p>
      <w:pPr>
        <w:keepNext/>
        <w:keepLines/>
        <w:pageBreakBefore w:val="0"/>
        <w:widowControl w:val="0"/>
        <w:numPr>
          <w:ilvl w:val="0"/>
          <w:numId w:val="19"/>
        </w:numPr>
        <w:spacing w:before="0" w:after="0" w:line="288" w:lineRule="auto"/>
        <w:ind w:left="72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following documents are filed as a part of this Quarterly Report on Form 10-Q:</w:t>
      </w:r>
    </w:p>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20"/>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Financial Statements:</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144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Financial Statements required by this item are submitted in Part II, Item 8 of this report.</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20"/>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Financial Statement Schedules:</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144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schedules are omitted because they are not applicable, or the required information is shown in the Financial Statements or in the notes thereto.</w:t>
      </w:r>
    </w:p>
    <w:p>
      <w:pPr>
        <w:keepNext w:val="0"/>
        <w:keepLines/>
        <w:pageBreakBefore w:val="0"/>
        <w:widowControl w:val="0"/>
        <w:numPr>
          <w:ilvl w:val="0"/>
          <w:numId w:val="0"/>
        </w:numPr>
        <w:spacing w:before="0" w:after="0" w:line="288" w:lineRule="auto"/>
        <w:ind w:left="720" w:right="0" w:firstLine="0"/>
        <w:jc w:val="left"/>
        <w:outlineLvl w:val="9"/>
        <w:rPr>
          <w:rFonts w:ascii="Times New Roman" w:eastAsia="Times New Roman" w:hAnsi="Times New Roman" w:cs="Times New Roman"/>
          <w:b w:val="0"/>
          <w:i w:val="0"/>
          <w:sz w:val="20"/>
        </w:rPr>
      </w:pPr>
    </w:p>
    <w:p>
      <w:pPr>
        <w:keepNext/>
        <w:keepLines/>
        <w:pageBreakBefore w:val="0"/>
        <w:widowControl w:val="0"/>
        <w:numPr>
          <w:ilvl w:val="0"/>
          <w:numId w:val="20"/>
        </w:numPr>
        <w:spacing w:before="0" w:after="0" w:line="288" w:lineRule="auto"/>
        <w:ind w:left="1440" w:right="0" w:hanging="36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Exhibits:</w:t>
      </w:r>
    </w:p>
    <w:p>
      <w:pPr>
        <w:keepNext/>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tbl>
      <w:tblPr>
        <w:tblW w:w="102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140"/>
        <w:gridCol w:w="195"/>
        <w:gridCol w:w="8895"/>
      </w:tblGrid>
      <w:tr>
        <w:tblPrEx>
          <w:tblW w:w="10230" w:type="dxa"/>
          <w:tblInd w:w="0" w:type="dxa"/>
          <w:tblLayout w:type="fixed"/>
        </w:tblPrEx>
        <w:trPr>
          <w:cantSplit/>
          <w:trHeight w:hRule="exact" w:val="480"/>
          <w:tblHeader/>
        </w:trPr>
        <w:tc>
          <w:tcPr>
            <w:tcW w:w="1140" w:type="dxa"/>
            <w:tcBorders>
              <w:top w:val="nil"/>
              <w:left w:val="nil"/>
              <w:bottom w:val="single" w:sz="8" w:space="0" w:color="000000"/>
              <w:right w:val="nil"/>
            </w:tcBorders>
            <w:tcMar>
              <w:top w:w="0" w:type="dxa"/>
              <w:left w:w="53" w:type="dxa"/>
              <w:bottom w:w="0" w:type="dxa"/>
              <w:right w:w="53" w:type="dxa"/>
            </w:tcMar>
            <w:vAlign w:val="bottom"/>
          </w:tcPr>
          <w:p>
            <w:pPr>
              <w:pageBreakBefore w:val="0"/>
              <w:spacing w:before="53" w:after="30" w:line="240" w:lineRule="auto"/>
              <w:jc w:val="left"/>
            </w:pPr>
            <w:r>
              <w:rPr>
                <w:rFonts w:ascii="Times New Roman" w:eastAsia="Times New Roman" w:hAnsi="Times New Roman" w:cs="Times New Roman"/>
                <w:b/>
                <w:i w:val="0"/>
                <w:color w:val="000000"/>
                <w:sz w:val="20"/>
                <w:u w:val="none"/>
              </w:rPr>
              <w:t>EXHIBIT NUMBER</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spacing w:before="53" w:after="30" w:line="240" w:lineRule="auto"/>
              <w:jc w:val="both"/>
            </w:pPr>
            <w:r>
              <w:rPr>
                <w:rFonts w:ascii="Times New Roman" w:eastAsia="Times New Roman" w:hAnsi="Times New Roman" w:cs="Times New Roman"/>
                <w:b/>
                <w:i w:val="0"/>
                <w:color w:val="000000"/>
                <w:sz w:val="20"/>
                <w:u w:val="none"/>
              </w:rPr>
              <w:t>DESCRIPTION</w:t>
            </w:r>
          </w:p>
        </w:tc>
      </w:tr>
      <w:tr>
        <w:tblPrEx>
          <w:tblW w:w="10230" w:type="dxa"/>
          <w:tblInd w:w="0" w:type="dxa"/>
          <w:tblLayout w:type="fixed"/>
        </w:tblPrEx>
        <w:trPr>
          <w:cantSplit/>
          <w:trHeight w:hRule="exact" w:val="675"/>
          <w:tblHeader/>
        </w:trPr>
        <w:tc>
          <w:tcPr>
            <w:tcW w:w="1140" w:type="dxa"/>
            <w:tcBorders>
              <w:top w:val="single" w:sz="8" w:space="0" w:color="000000"/>
              <w:left w:val="nil"/>
              <w:bottom w:val="nil"/>
              <w:right w:val="nil"/>
            </w:tcBorders>
            <w:tcMar>
              <w:top w:w="0" w:type="dxa"/>
              <w:left w:w="53" w:type="dxa"/>
              <w:bottom w:w="0" w:type="dxa"/>
              <w:right w:w="53" w:type="dxa"/>
            </w:tcMar>
            <w:vAlign w:val="top"/>
          </w:tcPr>
          <w:p>
            <w:pPr>
              <w:pageBreakBefore w:val="0"/>
              <w:numPr>
                <w:ilvl w:val="0"/>
                <w:numId w:val="0"/>
              </w:numPr>
              <w:spacing w:before="3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1" w:history="1">
              <w:r>
                <w:rPr>
                  <w:rFonts w:ascii="Times New Roman" w:eastAsia="Times New Roman" w:hAnsi="Times New Roman" w:cs="Times New Roman"/>
                  <w:b w:val="0"/>
                  <w:i w:val="0"/>
                  <w:color w:val="0000FF"/>
                  <w:sz w:val="20"/>
                  <w:u w:val="single"/>
                  <w:shd w:val="clear" w:color="auto" w:fill="auto"/>
                </w:rPr>
                <w:t>2.1+</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3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2" w:history="1">
              <w:r>
                <w:rPr>
                  <w:rFonts w:ascii="Times New Roman" w:eastAsia="Times New Roman" w:hAnsi="Times New Roman" w:cs="Times New Roman"/>
                  <w:b w:val="0"/>
                  <w:i w:val="0"/>
                  <w:color w:val="0000FF"/>
                  <w:sz w:val="20"/>
                  <w:u w:val="single"/>
                  <w:shd w:val="clear" w:color="auto" w:fill="auto"/>
                </w:rPr>
                <w:t>Equity Purchase Agreement, dated July 1, 2025, by and among Pendulum Holding, Inc., the equityholders of Pendulum Holding, Inc., Lathem Time 2025, LLC (f/k/a Lathem Time Corporation) and Asure Software, Inc (Previously filed as Exhibit 2.1 to the Company’s Current Report on Form 8-K, filed July 1, 2025.</w:t>
              </w:r>
            </w:hyperlink>
          </w:p>
        </w:tc>
      </w:tr>
      <w:tr>
        <w:tblPrEx>
          <w:tblW w:w="10230" w:type="dxa"/>
          <w:tblInd w:w="0" w:type="dxa"/>
          <w:tblLayout w:type="fixed"/>
        </w:tblPrEx>
        <w:trPr>
          <w:cantSplit/>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1065"/>
        </w:trPr>
        <w:tc>
          <w:tcPr>
            <w:tcW w:w="114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3" w:history="1">
              <w:r>
                <w:rPr>
                  <w:rFonts w:ascii="Times New Roman" w:eastAsia="Times New Roman" w:hAnsi="Times New Roman" w:cs="Times New Roman"/>
                  <w:b w:val="0"/>
                  <w:i w:val="0"/>
                  <w:color w:val="0000FF"/>
                  <w:sz w:val="20"/>
                  <w:u w:val="single"/>
                  <w:shd w:val="clear" w:color="auto" w:fill="auto"/>
                </w:rPr>
                <w:t>10.1+</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4" w:history="1">
              <w:r>
                <w:rPr>
                  <w:rFonts w:ascii="Times New Roman" w:eastAsia="Times New Roman" w:hAnsi="Times New Roman" w:cs="Times New Roman"/>
                  <w:b w:val="0"/>
                  <w:i w:val="0"/>
                  <w:color w:val="0000FF"/>
                  <w:sz w:val="20"/>
                  <w:u w:val="single"/>
                  <w:shd w:val="clear" w:color="auto" w:fill="auto"/>
                </w:rPr>
                <w:t>Limited Consent, Amendment No. 1 and Joinder to Credit, Security and Guaranty Agreement, dated July 1, 2025, by and among Asure Software, Inc., Asure Operations LLC, Asure Customer &amp; IP Holdco LLC, Asure Payroll Tax Management LLC, Asure Benefits Management LLC, Asure Treasury Management, LLC, Lathem Time 2025 LLC, MidCap Financial Trust and the lenders from time to time party thereto (Previously filed as Exhibit 10.1 to the Company’s Current Report on Form 8-K, filed July 1, 2025.</w:t>
              </w:r>
            </w:hyperlink>
          </w:p>
        </w:tc>
      </w:tr>
      <w:tr>
        <w:tblPrEx>
          <w:tblW w:w="10230" w:type="dxa"/>
          <w:tblInd w:w="0" w:type="dxa"/>
          <w:tblLayout w:type="fixed"/>
        </w:tblPrEx>
        <w:trPr>
          <w:cantSplit/>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1065"/>
        </w:trPr>
        <w:tc>
          <w:tcPr>
            <w:tcW w:w="114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5" w:history="1">
              <w:r>
                <w:rPr>
                  <w:rFonts w:ascii="Times New Roman" w:eastAsia="Times New Roman" w:hAnsi="Times New Roman" w:cs="Times New Roman"/>
                  <w:b w:val="0"/>
                  <w:i w:val="0"/>
                  <w:color w:val="0000FF"/>
                  <w:sz w:val="20"/>
                  <w:u w:val="single"/>
                  <w:shd w:val="clear" w:color="auto" w:fill="auto"/>
                </w:rPr>
                <w:t>10.2</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6" w:history="1">
              <w:r>
                <w:rPr>
                  <w:rFonts w:ascii="Times New Roman" w:eastAsia="Times New Roman" w:hAnsi="Times New Roman" w:cs="Times New Roman"/>
                  <w:b w:val="0"/>
                  <w:i w:val="0"/>
                  <w:color w:val="0000FF"/>
                  <w:sz w:val="20"/>
                  <w:u w:val="single"/>
                  <w:shd w:val="clear" w:color="auto" w:fill="auto"/>
                </w:rPr>
                <w:t>Amendment No. 2 to the Credit, Security and Guaranty Agreement, dated July 31, 2025, by and among Asure Software, Inc., Asure Operations LLC, Asure Customer IP &amp; Holdco LLC, Asure Payroll Tax Management LLC, Asure Benefits Management LLC, Asure Treasury Management LLC, Lathem Time 2025 LLC, MidCap Financial Trust and the lenders from time to time party thereto (Previously filed as Exhibit 10.3 to the Company’s Quarterly Report on form 10-Q, filed July 31,2025).</w:t>
              </w:r>
            </w:hyperlink>
          </w:p>
        </w:tc>
      </w:tr>
      <w:tr>
        <w:tblPrEx>
          <w:tblW w:w="10230" w:type="dxa"/>
          <w:tblInd w:w="0" w:type="dxa"/>
          <w:tblLayout w:type="fixed"/>
        </w:tblPrEx>
        <w:trPr>
          <w:cantSplit/>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225"/>
        </w:trPr>
        <w:tc>
          <w:tcPr>
            <w:tcW w:w="114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7" w:history="1">
              <w:r>
                <w:rPr>
                  <w:rFonts w:ascii="Times New Roman" w:eastAsia="Times New Roman" w:hAnsi="Times New Roman" w:cs="Times New Roman"/>
                  <w:b w:val="0"/>
                  <w:i w:val="0"/>
                  <w:color w:val="0000FF"/>
                  <w:sz w:val="20"/>
                  <w:u w:val="single"/>
                  <w:shd w:val="clear" w:color="auto" w:fill="auto"/>
                </w:rPr>
                <w:t>31.1*</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28" w:history="1">
              <w:r>
                <w:rPr>
                  <w:rFonts w:ascii="Times New Roman" w:eastAsia="Times New Roman" w:hAnsi="Times New Roman" w:cs="Times New Roman"/>
                  <w:b w:val="0"/>
                  <w:i w:val="0"/>
                  <w:color w:val="0000FF"/>
                  <w:sz w:val="20"/>
                  <w:u w:val="single"/>
                  <w:shd w:val="clear" w:color="auto" w:fill="auto"/>
                </w:rPr>
                <w:t>Certification pursuant to Section 302 of the Sarbanes-Oxley Act of 2002.</w:t>
              </w:r>
            </w:hyperlink>
          </w:p>
        </w:tc>
      </w:tr>
      <w:tr>
        <w:tblPrEx>
          <w:tblW w:w="10230" w:type="dxa"/>
          <w:tblInd w:w="0" w:type="dxa"/>
          <w:tblLayout w:type="fixed"/>
        </w:tblPrEx>
        <w:trPr>
          <w:cantSplit/>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285"/>
        </w:trPr>
        <w:tc>
          <w:tcPr>
            <w:tcW w:w="114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29" w:history="1">
              <w:r>
                <w:rPr>
                  <w:rFonts w:ascii="Times New Roman" w:eastAsia="Times New Roman" w:hAnsi="Times New Roman" w:cs="Times New Roman"/>
                  <w:b w:val="0"/>
                  <w:i w:val="0"/>
                  <w:color w:val="0000FF"/>
                  <w:sz w:val="20"/>
                  <w:u w:val="single"/>
                  <w:shd w:val="clear" w:color="auto" w:fill="auto"/>
                </w:rPr>
                <w:t>31.2*</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30" w:history="1">
              <w:r>
                <w:rPr>
                  <w:rFonts w:ascii="Times New Roman" w:eastAsia="Times New Roman" w:hAnsi="Times New Roman" w:cs="Times New Roman"/>
                  <w:b w:val="0"/>
                  <w:i w:val="0"/>
                  <w:color w:val="0000FF"/>
                  <w:sz w:val="20"/>
                  <w:u w:val="single"/>
                  <w:shd w:val="clear" w:color="auto" w:fill="auto"/>
                </w:rPr>
                <w:t>Certification pursuant to Section 302 of the Sarbanes-Oxley Act of 2002.</w:t>
              </w:r>
            </w:hyperlink>
          </w:p>
        </w:tc>
      </w:tr>
      <w:tr>
        <w:tblPrEx>
          <w:tblW w:w="10230" w:type="dxa"/>
          <w:tblInd w:w="0" w:type="dxa"/>
          <w:tblLayout w:type="fixed"/>
        </w:tblPrEx>
        <w:trPr>
          <w:cantSplit/>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31" w:history="1">
              <w:r>
                <w:rPr>
                  <w:rFonts w:ascii="Times New Roman" w:eastAsia="Times New Roman" w:hAnsi="Times New Roman" w:cs="Times New Roman"/>
                  <w:b w:val="0"/>
                  <w:i w:val="0"/>
                  <w:color w:val="0000FF"/>
                  <w:sz w:val="20"/>
                  <w:u w:val="single"/>
                  <w:shd w:val="clear" w:color="auto" w:fill="auto"/>
                </w:rPr>
                <w:t>32.1**</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32" w:history="1">
              <w:r>
                <w:rPr>
                  <w:rFonts w:ascii="Times New Roman" w:eastAsia="Times New Roman" w:hAnsi="Times New Roman" w:cs="Times New Roman"/>
                  <w:b w:val="0"/>
                  <w:i w:val="0"/>
                  <w:color w:val="0000FF"/>
                  <w:sz w:val="20"/>
                  <w:u w:val="single"/>
                  <w:shd w:val="clear" w:color="auto" w:fill="auto"/>
                </w:rPr>
                <w:t>Certification pursuant to 18 U.S.C. Section 1350, as adopted pursuant to Section 906 of the Sarbanes-Oxley Act of 2002.</w:t>
              </w:r>
            </w:hyperlink>
          </w:p>
        </w:tc>
      </w:tr>
      <w:tr>
        <w:tblPrEx>
          <w:tblW w:w="10230" w:type="dxa"/>
          <w:tblInd w:w="0" w:type="dxa"/>
          <w:tblLayout w:type="fixed"/>
        </w:tblPrEx>
        <w:trPr>
          <w:cantSplit/>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65"/>
        </w:trPr>
        <w:tc>
          <w:tcPr>
            <w:tcW w:w="1140"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left"/>
              <w:outlineLvl w:val="9"/>
              <w:rPr>
                <w:rFonts w:ascii="Times New Roman" w:eastAsia="Times New Roman" w:hAnsi="Times New Roman" w:cs="Times New Roman"/>
                <w:b w:val="0"/>
                <w:i w:val="0"/>
                <w:sz w:val="20"/>
                <w:shd w:val="clear" w:color="auto" w:fill="auto"/>
              </w:rPr>
            </w:pPr>
            <w:hyperlink r:id="rId33" w:history="1">
              <w:r>
                <w:rPr>
                  <w:rFonts w:ascii="Times New Roman" w:eastAsia="Times New Roman" w:hAnsi="Times New Roman" w:cs="Times New Roman"/>
                  <w:b w:val="0"/>
                  <w:i w:val="0"/>
                  <w:color w:val="0000FF"/>
                  <w:sz w:val="20"/>
                  <w:u w:val="single"/>
                  <w:shd w:val="clear" w:color="auto" w:fill="auto"/>
                </w:rPr>
                <w:t>32.2**</w:t>
              </w:r>
            </w:hyperlink>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top"/>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shd w:val="clear" w:color="auto" w:fill="auto"/>
              </w:rPr>
            </w:pPr>
            <w:hyperlink r:id="rId34" w:history="1">
              <w:r>
                <w:rPr>
                  <w:rFonts w:ascii="Times New Roman" w:eastAsia="Times New Roman" w:hAnsi="Times New Roman" w:cs="Times New Roman"/>
                  <w:b w:val="0"/>
                  <w:i w:val="0"/>
                  <w:color w:val="0000FF"/>
                  <w:sz w:val="20"/>
                  <w:u w:val="single"/>
                  <w:shd w:val="clear" w:color="auto" w:fill="auto"/>
                </w:rPr>
                <w:t>Certification pursuant to 18 U.S.C. Section 1350, as adopted pursuant to Section 906 of the Sarbanes-Oxley Act of 2002.</w:t>
              </w:r>
            </w:hyperlink>
          </w:p>
        </w:tc>
      </w:tr>
      <w:tr>
        <w:tblPrEx>
          <w:tblW w:w="10230" w:type="dxa"/>
          <w:tblInd w:w="0" w:type="dxa"/>
          <w:tblLayout w:type="fixed"/>
        </w:tblPrEx>
        <w:trPr>
          <w:cantSplit/>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1065"/>
        </w:trPr>
        <w:tc>
          <w:tcPr>
            <w:tcW w:w="1140" w:type="dxa"/>
            <w:tcBorders>
              <w:top w:val="nil"/>
              <w:left w:val="nil"/>
              <w:bottom w:val="nil"/>
              <w:right w:val="nil"/>
            </w:tcBorders>
            <w:tcMar>
              <w:top w:w="0" w:type="dxa"/>
              <w:left w:w="53" w:type="dxa"/>
              <w:bottom w:w="0" w:type="dxa"/>
              <w:right w:w="15"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101</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following materials from Asure Software, Inc.’s Quarterly Report on Form 10-Q for the three months ended September 30, 2025, formatted in Inline XBRL: (1) the Condensed Consolidated Balance Sheets, (2) the Condensed Consolidated Statements of Comprehensive Loss, (3) the Condensed Consolidated Statements of Changes in Stockholders’ Equity, (4) the Condensed Consolidated Statements of Cash Flows, and (5) Notes to Condensed Consolidated Financial Statements (filed herewith).</w:t>
            </w:r>
          </w:p>
        </w:tc>
      </w:tr>
      <w:tr>
        <w:tblPrEx>
          <w:tblW w:w="10230" w:type="dxa"/>
          <w:tblInd w:w="0" w:type="dxa"/>
          <w:tblLayout w:type="fixed"/>
        </w:tblPrEx>
        <w:trPr>
          <w:cantSplit/>
          <w:trHeight w:hRule="exact" w:val="120"/>
        </w:trPr>
        <w:tc>
          <w:tcPr>
            <w:tcW w:w="1140"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r>
        <w:tblPrEx>
          <w:tblW w:w="10230" w:type="dxa"/>
          <w:tblInd w:w="0" w:type="dxa"/>
          <w:tblLayout w:type="fixed"/>
        </w:tblPrEx>
        <w:trPr>
          <w:cantSplit/>
          <w:trHeight w:hRule="exact" w:val="495"/>
        </w:trPr>
        <w:tc>
          <w:tcPr>
            <w:tcW w:w="1140" w:type="dxa"/>
            <w:tcBorders>
              <w:top w:val="nil"/>
              <w:left w:val="nil"/>
              <w:bottom w:val="nil"/>
              <w:right w:val="nil"/>
            </w:tcBorders>
            <w:tcMar>
              <w:top w:w="0" w:type="dxa"/>
              <w:left w:w="53" w:type="dxa"/>
              <w:bottom w:w="0" w:type="dxa"/>
              <w:right w:w="15"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104</w:t>
            </w:r>
          </w:p>
        </w:tc>
        <w:tc>
          <w:tcPr>
            <w:tcW w:w="19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889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00" w:lineRule="exact"/>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cover page from the Company’s Quarterly Report on Form 10-Q for the quarter ended September 30, 2025, formatted as Inline XBRL and contained in Exhibit 101 (filed herewith).</w:t>
            </w:r>
          </w:p>
        </w:tc>
      </w:tr>
    </w:tbl>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Filed herewith.</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Furnished herewith.</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w:t>
      </w:r>
      <w:r>
        <w:rPr>
          <w:rFonts w:ascii="Times New Roman" w:eastAsia="Times New Roman" w:hAnsi="Times New Roman" w:cs="Times New Roman"/>
          <w:b w:val="0"/>
          <w:i w:val="0"/>
          <w:sz w:val="20"/>
        </w:rPr>
        <w:tab/>
      </w:r>
      <w:r>
        <w:rPr>
          <w:rFonts w:ascii="Times New Roman" w:eastAsia="Times New Roman" w:hAnsi="Times New Roman" w:cs="Times New Roman"/>
          <w:b w:val="0"/>
          <w:i w:val="0"/>
          <w:sz w:val="20"/>
        </w:rPr>
        <w:t>Certain schedules and similar attachments to this agreement have been omitted pursuant to Item 601(a)(5) of Rule S-K. The Company undertakes to furnish supplementally a copy of all omitted schedules and attachments to the Securities and Exchange Commission upon its request.</w:t>
      </w:r>
    </w:p>
    <w:p>
      <w:pPr>
        <w:keepNext w:val="0"/>
        <w:keepLines w:val="0"/>
        <w:pageBreakBefore w:val="0"/>
        <w:widowControl/>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rPr>
        <w:sectPr>
          <w:pgSz w:w="12240" w:h="15840"/>
          <w:pgMar w:top="855" w:right="990" w:bottom="855" w:left="990" w:header="270" w:footer="270"/>
          <w:cols w:space="708"/>
        </w:sectPr>
      </w:pPr>
    </w:p>
    <w:p>
      <w:pPr>
        <w:keepNext/>
        <w:keepLines/>
        <w:pageBreakBefore w:val="0"/>
        <w:widowControl w:val="0"/>
        <w:numPr>
          <w:ilvl w:val="0"/>
          <w:numId w:val="0"/>
        </w:numPr>
        <w:spacing w:before="0" w:after="0" w:line="288" w:lineRule="auto"/>
        <w:ind w:left="0" w:right="0" w:firstLine="0"/>
        <w:jc w:val="center"/>
        <w:outlineLvl w:val="0"/>
        <w:rPr>
          <w:rFonts w:ascii="Times New Roman" w:eastAsia="Times New Roman" w:hAnsi="Times New Roman" w:cs="Times New Roman"/>
          <w:b/>
          <w:i w:val="0"/>
          <w:sz w:val="20"/>
        </w:rPr>
      </w:pPr>
      <w:bookmarkStart w:id="37" w:name="Section38"/>
      <w:bookmarkEnd w:id="37"/>
      <w:r>
        <w:rPr>
          <w:rFonts w:ascii="Times New Roman" w:eastAsia="Times New Roman" w:hAnsi="Times New Roman" w:cs="Times New Roman"/>
          <w:b/>
          <w:i w:val="0"/>
          <w:sz w:val="20"/>
        </w:rPr>
        <w:t>SIGNATURES</w:t>
      </w:r>
    </w:p>
    <w:p>
      <w:pPr>
        <w:keepNext/>
        <w:keepLines/>
        <w:pageBreakBefore w:val="0"/>
        <w:widowControl w:val="0"/>
        <w:numPr>
          <w:ilvl w:val="0"/>
          <w:numId w:val="0"/>
        </w:numPr>
        <w:spacing w:before="0" w:after="0" w:line="288" w:lineRule="auto"/>
        <w:ind w:left="0" w:right="0" w:firstLine="135"/>
        <w:jc w:val="center"/>
        <w:outlineLvl w:val="9"/>
        <w:rPr>
          <w:rFonts w:ascii="Times New Roman" w:eastAsia="Times New Roman" w:hAnsi="Times New Roman" w:cs="Times New Roman"/>
          <w:b/>
          <w:i w:val="0"/>
          <w:sz w:val="20"/>
        </w:rPr>
      </w:pP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Pursuant to the requirements of the Securities Exchange Act of 1934, as amended, the registrant has duly caused this report to be signed on its behalf by the undersigned thereunto duly authorized.</w:t>
      </w:r>
    </w:p>
    <w:p>
      <w:pPr>
        <w:keepNext w:val="0"/>
        <w:keepLines/>
        <w:pageBreakBefore w:val="0"/>
        <w:widowControl w:val="0"/>
        <w:numPr>
          <w:ilvl w:val="0"/>
          <w:numId w:val="0"/>
        </w:numPr>
        <w:spacing w:before="0" w:after="0" w:line="288" w:lineRule="auto"/>
        <w:ind w:left="0" w:right="0" w:firstLine="720"/>
        <w:jc w:val="both"/>
        <w:outlineLvl w:val="9"/>
        <w:rPr>
          <w:rFonts w:ascii="Times New Roman" w:eastAsia="Times New Roman" w:hAnsi="Times New Roman" w:cs="Times New Roman"/>
          <w:b w:val="0"/>
          <w:i w:val="0"/>
          <w:sz w:val="20"/>
        </w:rPr>
      </w:pPr>
    </w:p>
    <w:tbl>
      <w:tblPr>
        <w:tblW w:w="1020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35"/>
        <w:gridCol w:w="405"/>
        <w:gridCol w:w="3705"/>
        <w:gridCol w:w="3855"/>
      </w:tblGrid>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4110" w:type="dxa"/>
            <w:gridSpan w:val="2"/>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i w:val="0"/>
                <w:color w:val="000000"/>
                <w:sz w:val="20"/>
                <w:u w:val="none"/>
              </w:rPr>
              <w:t>ASURE SOFTWARE, INC.</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37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October 30, 2025</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370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PATRICK GOEPEL</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37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37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(Principal Executive Officer)</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October 30, 2025</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370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/s/ JOHN PENCE</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John Pence</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c>
          <w:tcPr>
            <w:tcW w:w="37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w:t>
            </w:r>
          </w:p>
        </w:tc>
        <w:tc>
          <w:tcPr>
            <w:tcW w:w="3855" w:type="dxa"/>
            <w:tcBorders>
              <w:top w:val="nil"/>
              <w:left w:val="nil"/>
              <w:bottom w:val="nil"/>
              <w:right w:val="nil"/>
            </w:tcBorders>
            <w:tcMar>
              <w:top w:w="0" w:type="dxa"/>
              <w:left w:w="0" w:type="dxa"/>
              <w:bottom w:w="0" w:type="dxa"/>
              <w:right w:w="0" w:type="dxa"/>
            </w:tcMar>
            <w:vAlign w:val="bottom"/>
          </w:tcPr>
          <w:p>
            <w:pPr>
              <w:keepNext/>
              <w:pageBreakBefore w:val="0"/>
              <w:spacing w:before="0" w:after="0"/>
            </w:pPr>
          </w:p>
        </w:tc>
      </w:tr>
      <w:tr>
        <w:tblPrEx>
          <w:tblW w:w="10200" w:type="dxa"/>
          <w:tblInd w:w="0" w:type="dxa"/>
          <w:tblLayout w:type="fixed"/>
        </w:tblPrEx>
        <w:trPr>
          <w:cantSplit/>
          <w:trHeight w:hRule="exact" w:val="285"/>
        </w:trPr>
        <w:tc>
          <w:tcPr>
            <w:tcW w:w="223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405" w:type="dxa"/>
            <w:tcBorders>
              <w:top w:val="nil"/>
              <w:left w:val="nil"/>
              <w:bottom w:val="nil"/>
              <w:right w:val="nil"/>
            </w:tcBorders>
            <w:tcMar>
              <w:top w:w="0" w:type="dxa"/>
              <w:left w:w="0" w:type="dxa"/>
              <w:bottom w:w="0" w:type="dxa"/>
              <w:right w:w="0" w:type="dxa"/>
            </w:tcMar>
            <w:vAlign w:val="bottom"/>
          </w:tcPr>
          <w:p>
            <w:pPr>
              <w:pageBreakBefore w:val="0"/>
              <w:spacing w:before="0" w:after="0"/>
            </w:pPr>
          </w:p>
        </w:tc>
        <w:tc>
          <w:tcPr>
            <w:tcW w:w="37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(Principal Financial and Accounting Officer)</w:t>
            </w:r>
          </w:p>
        </w:tc>
        <w:tc>
          <w:tcPr>
            <w:tcW w:w="3855" w:type="dxa"/>
            <w:tcBorders>
              <w:top w:val="nil"/>
              <w:left w:val="nil"/>
              <w:bottom w:val="nil"/>
              <w:right w:val="nil"/>
            </w:tcBorders>
            <w:tcMar>
              <w:top w:w="0" w:type="dxa"/>
              <w:left w:w="0" w:type="dxa"/>
              <w:bottom w:w="0" w:type="dxa"/>
              <w:right w:w="0" w:type="dxa"/>
            </w:tcMar>
            <w:vAlign w:val="bottom"/>
          </w:tcPr>
          <w:p>
            <w:pPr>
              <w:pageBreakBefore w:val="0"/>
              <w:spacing w:before="0" w:after="0"/>
            </w:pPr>
          </w:p>
        </w:tc>
      </w:tr>
    </w:tbl>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pPr>
    </w:p>
    <w:p>
      <w:pPr>
        <w:keepNext/>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i w:val="0"/>
          <w:sz w:val="20"/>
        </w:rPr>
        <w:sectPr>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38" w:name="Section39"/>
      <w:bookmarkEnd w:id="38"/>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302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Patrick Goepel, certify, that:</w:t>
      </w:r>
    </w:p>
    <w:p>
      <w:pPr>
        <w:keepNext w:val="0"/>
        <w:keepLines/>
        <w:pageBreakBefore w:val="0"/>
        <w:widowControl w:val="0"/>
        <w:numPr>
          <w:ilvl w:val="0"/>
          <w:numId w:val="21"/>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have reviewed this quarterly report on Form 10-Q of the Company (the “Report”);</w:t>
      </w:r>
    </w:p>
    <w:p>
      <w:pPr>
        <w:keepNext w:val="0"/>
        <w:keepLines/>
        <w:pageBreakBefore w:val="0"/>
        <w:widowControl w:val="0"/>
        <w:numPr>
          <w:ilvl w:val="0"/>
          <w:numId w:val="21"/>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Report does not contain any untrue statement of a material fact or omit to state a material fact necessary to make the statements made, in light of the circumstances under which such statements were made, not misleading with respect to the periods covered by this Report;</w:t>
      </w:r>
    </w:p>
    <w:p>
      <w:pPr>
        <w:keepNext w:val="0"/>
        <w:keepLines/>
        <w:pageBreakBefore w:val="0"/>
        <w:widowControl w:val="0"/>
        <w:numPr>
          <w:ilvl w:val="0"/>
          <w:numId w:val="21"/>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financial statements, and other financial information included in the Report, fairly present in all material respects the financial condition, results of operations and cash flows of the Company as of, and for, the periods presented in the Report;</w:t>
      </w:r>
    </w:p>
    <w:p>
      <w:pPr>
        <w:keepNext w:val="0"/>
        <w:keepLines/>
        <w:pageBreakBefore w:val="0"/>
        <w:widowControl w:val="0"/>
        <w:numPr>
          <w:ilvl w:val="0"/>
          <w:numId w:val="21"/>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we have:</w:t>
      </w:r>
    </w:p>
    <w:p>
      <w:pPr>
        <w:keepNext w:val="0"/>
        <w:keepLines/>
        <w:pageBreakBefore w:val="0"/>
        <w:widowControl w:val="0"/>
        <w:numPr>
          <w:ilvl w:val="0"/>
          <w:numId w:val="22"/>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these entities, particularly during the period in which the Report is being prepared;</w:t>
      </w:r>
    </w:p>
    <w:p>
      <w:pPr>
        <w:keepNext w:val="0"/>
        <w:keepLines/>
        <w:pageBreakBefore w:val="0"/>
        <w:widowControl w:val="0"/>
        <w:numPr>
          <w:ilvl w:val="0"/>
          <w:numId w:val="22"/>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keepNext w:val="0"/>
        <w:keepLines/>
        <w:pageBreakBefore w:val="0"/>
        <w:widowControl w:val="0"/>
        <w:numPr>
          <w:ilvl w:val="0"/>
          <w:numId w:val="22"/>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Evaluated the effectiveness of the Company’s disclosure controls and procedures and presented in the Report our conclusions about the effectiveness of the disclosure controls and procedures, as of the end of the period covered by the Report based on such evaluation; and</w:t>
      </w:r>
    </w:p>
    <w:p>
      <w:pPr>
        <w:keepNext w:val="0"/>
        <w:keepLines/>
        <w:pageBreakBefore w:val="0"/>
        <w:widowControl w:val="0"/>
        <w:numPr>
          <w:ilvl w:val="0"/>
          <w:numId w:val="22"/>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Disclosed in the Report any change in the Company’s internal control over financial reporting that occurred during the Company’s most recent fiscal quarter (the quarter ended </w:t>
      </w:r>
      <w:r>
        <w:rPr>
          <w:rFonts w:ascii="Times New Roman" w:eastAsia="Times New Roman" w:hAnsi="Times New Roman" w:cs="Times New Roman"/>
          <w:b w:val="0"/>
          <w:i w:val="0"/>
          <w:sz w:val="20"/>
        </w:rPr>
        <w:t>September 30, 2025</w:t>
      </w:r>
      <w:r>
        <w:rPr>
          <w:rFonts w:ascii="Times New Roman" w:eastAsia="Times New Roman" w:hAnsi="Times New Roman" w:cs="Times New Roman"/>
          <w:b w:val="0"/>
          <w:i w:val="0"/>
          <w:sz w:val="20"/>
        </w:rPr>
        <w:t>) that has materially affected, or is reasonably likely to materially affect, the Company’s internal control over financial reporting; and</w:t>
      </w:r>
    </w:p>
    <w:p>
      <w:pPr>
        <w:keepNext w:val="0"/>
        <w:keepLines/>
        <w:pageBreakBefore w:val="0"/>
        <w:widowControl w:val="0"/>
        <w:numPr>
          <w:ilvl w:val="0"/>
          <w:numId w:val="21"/>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have disclosed, based on our most recent evaluation of internal control over financial reporting, to the Company’s auditors and to the Audit Committee of the Board of Directors:</w:t>
      </w:r>
    </w:p>
    <w:p>
      <w:pPr>
        <w:keepNext w:val="0"/>
        <w:keepLines/>
        <w:pageBreakBefore w:val="0"/>
        <w:widowControl w:val="0"/>
        <w:numPr>
          <w:ilvl w:val="0"/>
          <w:numId w:val="23"/>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significant deficiencies or material weaknesses in the design or operation of internal control over financial reporting which are reasonably likely to adversely affect the Company’s ability to record, process, summarize and report financial information; and</w:t>
      </w:r>
    </w:p>
    <w:p>
      <w:pPr>
        <w:keepNext w:val="0"/>
        <w:keepLines/>
        <w:pageBreakBefore w:val="0"/>
        <w:widowControl w:val="0"/>
        <w:numPr>
          <w:ilvl w:val="0"/>
          <w:numId w:val="23"/>
        </w:numPr>
        <w:spacing w:before="200" w:after="10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Any fraud, whether or not material, that involves management or other employees who have a significant role in the Company’s internal control over financial reporting.</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50"/>
        <w:gridCol w:w="405"/>
        <w:gridCol w:w="7005"/>
      </w:tblGrid>
      <w:tr>
        <w:tblPrEx>
          <w:tblW w:w="10260" w:type="dxa"/>
          <w:tblInd w:w="0" w:type="dxa"/>
          <w:tblLayout w:type="fixed"/>
        </w:tblPrEx>
        <w:trPr>
          <w:cantSplit/>
          <w:trHeight w:hRule="exact" w:val="285"/>
        </w:trPr>
        <w:tc>
          <w:tcPr>
            <w:tcW w:w="2850"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October 30, 2025</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7005"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/s/ Patrick Goepel</w:t>
            </w:r>
          </w:p>
        </w:tc>
      </w:tr>
      <w:tr>
        <w:tblPrEx>
          <w:tblW w:w="10260" w:type="dxa"/>
          <w:tblInd w:w="0" w:type="dxa"/>
          <w:tblLayout w:type="fixed"/>
        </w:tblPrEx>
        <w:trPr>
          <w:cantSplit/>
          <w:trHeight w:hRule="exact" w:val="285"/>
        </w:trPr>
        <w:tc>
          <w:tcPr>
            <w:tcW w:w="2850"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7005"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r>
      <w:tr>
        <w:tblPrEx>
          <w:tblW w:w="10260" w:type="dxa"/>
          <w:tblInd w:w="0" w:type="dxa"/>
          <w:tblLayout w:type="fixed"/>
        </w:tblPrEx>
        <w:trPr>
          <w:cantSplit/>
          <w:trHeight w:hRule="exact" w:val="285"/>
        </w:trPr>
        <w:tc>
          <w:tcPr>
            <w:tcW w:w="2850" w:type="dxa"/>
            <w:tcBorders>
              <w:top w:val="nil"/>
              <w:left w:val="nil"/>
              <w:bottom w:val="nil"/>
              <w:right w:val="nil"/>
            </w:tcBorders>
            <w:tcMar>
              <w:top w:w="0" w:type="dxa"/>
              <w:left w:w="53" w:type="dxa"/>
              <w:bottom w:w="0" w:type="dxa"/>
              <w:right w:w="53" w:type="dxa"/>
            </w:tcMar>
            <w:vAlign w:val="top"/>
          </w:tcPr>
          <w:p>
            <w:pPr>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7005"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r>
    </w:tbl>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35"/>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39" w:name="Section40"/>
      <w:bookmarkEnd w:id="39"/>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302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John Pence, certify, that:</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have reviewed this quarterly report on Form 10-Q of the Company (the “Report”);</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Report does not contain any untrue statement of a material fact or omit to state a material fact necessary to make the statements made, in light of the circumstances under which such statements were made, not misleading with respect to the periods covered by this Report;</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Based on my knowledge, the financial statements, and other financial information included in the Report, fairly present in all material respects the financial condition, results of operations and cash flows of the Company as of, and for, the periods presented in the Report;</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are responsible for establishing and maintaining disclosure controls and procedures (as defined in Exchange Act Rules 13a-15(e) and 15d-15(e)) and internal control over financial reporting (as defined in Exchange Act Rules 13a-15(f) and 15d-15(f)) for the Company and we have:</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these entities, particularly during the period in which the Report is being prepared;</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Evaluated the effectiveness of the Company’s disclosure controls and procedures and presented in the Report our conclusions about the effectiveness of the disclosure controls and procedures, as of the end of the period covered by the Report based on such evaluation; and</w:t>
      </w:r>
    </w:p>
    <w:p>
      <w:pPr>
        <w:keepNext w:val="0"/>
        <w:keepLines/>
        <w:pageBreakBefore w:val="0"/>
        <w:widowControl w:val="0"/>
        <w:numPr>
          <w:ilvl w:val="0"/>
          <w:numId w:val="25"/>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Disclosed in the Report any change in the Company’s internal control over financial reporting that occurred during the Company’s most recent fiscal quarter (the quarter ended </w:t>
      </w:r>
      <w:r>
        <w:rPr>
          <w:rFonts w:ascii="Times New Roman" w:eastAsia="Times New Roman" w:hAnsi="Times New Roman" w:cs="Times New Roman"/>
          <w:b w:val="0"/>
          <w:i w:val="0"/>
          <w:sz w:val="20"/>
        </w:rPr>
        <w:t>September 30, 2025</w:t>
      </w:r>
      <w:r>
        <w:rPr>
          <w:rFonts w:ascii="Times New Roman" w:eastAsia="Times New Roman" w:hAnsi="Times New Roman" w:cs="Times New Roman"/>
          <w:b w:val="0"/>
          <w:i w:val="0"/>
          <w:sz w:val="20"/>
        </w:rPr>
        <w:t>) that has materially affected, or is reasonably likely to materially affect, the Company’s internal control over financial reporting; and</w:t>
      </w:r>
    </w:p>
    <w:p>
      <w:pPr>
        <w:keepNext w:val="0"/>
        <w:keepLines/>
        <w:pageBreakBefore w:val="0"/>
        <w:widowControl w:val="0"/>
        <w:numPr>
          <w:ilvl w:val="0"/>
          <w:numId w:val="24"/>
        </w:numPr>
        <w:spacing w:before="200" w:after="0" w:line="288" w:lineRule="auto"/>
        <w:ind w:left="720" w:right="0" w:hanging="18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Company’s other certifying officer and I have disclosed, based on our most recent evaluation of internal control over financial reporting, to the Company’s auditors and to the Audit Committee of the Board of Directors:</w:t>
      </w:r>
    </w:p>
    <w:p>
      <w:pPr>
        <w:keepNext w:val="0"/>
        <w:keepLines/>
        <w:pageBreakBefore w:val="0"/>
        <w:widowControl w:val="0"/>
        <w:numPr>
          <w:ilvl w:val="0"/>
          <w:numId w:val="26"/>
        </w:numPr>
        <w:spacing w:before="200" w:after="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All significant deficiencies or material weaknesses in the design or operation of internal control over financial reporting which are reasonably likely to adversely affect the Company’s ability to record, process, summarize and report financial information; and</w:t>
      </w:r>
    </w:p>
    <w:p>
      <w:pPr>
        <w:keepNext w:val="0"/>
        <w:keepLines/>
        <w:pageBreakBefore w:val="0"/>
        <w:widowControl w:val="0"/>
        <w:numPr>
          <w:ilvl w:val="0"/>
          <w:numId w:val="26"/>
        </w:numPr>
        <w:spacing w:before="200" w:after="100" w:line="288" w:lineRule="auto"/>
        <w:ind w:left="90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Any fraud, whether or not material, that involves management or other employees who have a significant role in the Company’s internal control over financial reporting.</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65"/>
        <w:gridCol w:w="405"/>
        <w:gridCol w:w="6990"/>
      </w:tblGrid>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October 30, 2025</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/s/ John Pence</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John Pence</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 and Principal Accounting Officer</w:t>
            </w:r>
          </w:p>
        </w:tc>
      </w:tr>
    </w:tbl>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36"/>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40" w:name="Section41"/>
      <w:bookmarkEnd w:id="40"/>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906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Patrick Goepel, do hereby certify, pursuant to 18 U.S.C. Section 1350, as adopted by Section 906 of the Sarbanes-Oxley Act of 2002, that:</w:t>
      </w:r>
    </w:p>
    <w:p>
      <w:pPr>
        <w:keepNext w:val="0"/>
        <w:keepLines/>
        <w:pageBreakBefore w:val="0"/>
        <w:widowControl w:val="0"/>
        <w:numPr>
          <w:ilvl w:val="0"/>
          <w:numId w:val="27"/>
        </w:numPr>
        <w:spacing w:before="20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quarterly report on Form 10-Q of the Company for the period ended </w:t>
      </w:r>
      <w:r>
        <w:rPr>
          <w:rFonts w:ascii="Times New Roman" w:eastAsia="Times New Roman" w:hAnsi="Times New Roman" w:cs="Times New Roman"/>
          <w:b w:val="0"/>
          <w:i w:val="0"/>
          <w:sz w:val="20"/>
        </w:rPr>
        <w:t>September 30, 2025</w:t>
      </w:r>
      <w:r>
        <w:rPr>
          <w:rFonts w:ascii="Times New Roman" w:eastAsia="Times New Roman" w:hAnsi="Times New Roman" w:cs="Times New Roman"/>
          <w:b w:val="0"/>
          <w:i w:val="0"/>
          <w:sz w:val="20"/>
        </w:rPr>
        <w:t>, (the “Report”) fully complies with the requirements of section 13(a) or 15(d) of the Securities Exchange Act of 1934 as amended, and</w:t>
      </w:r>
    </w:p>
    <w:p>
      <w:pPr>
        <w:keepNext w:val="0"/>
        <w:keepLines/>
        <w:pageBreakBefore w:val="0"/>
        <w:widowControl w:val="0"/>
        <w:numPr>
          <w:ilvl w:val="0"/>
          <w:numId w:val="27"/>
        </w:numPr>
        <w:spacing w:before="200" w:after="10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contained in the Report fairly presents, in all material respects, the financial condition and results of operations of the Company.</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65"/>
        <w:gridCol w:w="405"/>
        <w:gridCol w:w="6990"/>
      </w:tblGrid>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October 30, 2025</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/s/ Patrick Goepel</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r>
              <w:rPr>
                <w:rFonts w:ascii="Times New Roman" w:eastAsia="Times New Roman" w:hAnsi="Times New Roman" w:cs="Times New Roman"/>
                <w:b w:val="0"/>
                <w:i w:val="0"/>
                <w:color w:val="000000"/>
                <w:sz w:val="20"/>
                <w:u w:val="none"/>
              </w:rPr>
              <w:t>Patrick Goepel</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Executive Officer</w:t>
            </w:r>
          </w:p>
        </w:tc>
      </w:tr>
    </w:tbl>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signed original of this written statement required by Section 906 has been provided to Asure Software, Inc. and will be retained by Asure Software, Inc. and furnished to the Securities and Exchange Commission or its staff upon request. The foregoing certification is being furnished solely pursuant to 18 U.S.C. Section 1350 and is not being filed as part of the Report or as a separate disclosure document.</w:t>
      </w: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sectPr>
          <w:headerReference w:type="default" r:id="rId37"/>
          <w:pgSz w:w="12240" w:h="15840"/>
          <w:pgMar w:top="855" w:right="990" w:bottom="855" w:left="990" w:header="270" w:footer="270"/>
          <w:cols w:space="708"/>
        </w:sectPr>
      </w:pPr>
    </w:p>
    <w:p>
      <w:pPr>
        <w:keepNext w:val="0"/>
        <w:keepLines/>
        <w:pageBreakBefore w:val="0"/>
        <w:widowControl w:val="0"/>
        <w:numPr>
          <w:ilvl w:val="0"/>
          <w:numId w:val="0"/>
        </w:numPr>
        <w:spacing w:before="0" w:after="0" w:line="288" w:lineRule="auto"/>
        <w:ind w:left="0" w:right="0" w:firstLine="135"/>
        <w:jc w:val="center"/>
        <w:outlineLvl w:val="0"/>
        <w:rPr>
          <w:rFonts w:ascii="Times New Roman" w:eastAsia="Times New Roman" w:hAnsi="Times New Roman" w:cs="Times New Roman"/>
          <w:b/>
          <w:i w:val="0"/>
          <w:sz w:val="20"/>
        </w:rPr>
      </w:pPr>
      <w:bookmarkStart w:id="41" w:name="Section42"/>
      <w:bookmarkEnd w:id="41"/>
      <w:r>
        <w:rPr>
          <w:rFonts w:ascii="Times New Roman" w:eastAsia="Times New Roman" w:hAnsi="Times New Roman" w:cs="Times New Roman"/>
          <w:b/>
          <w:i w:val="0"/>
          <w:sz w:val="20"/>
        </w:rPr>
        <w:t>CERTIFICATION OF PERIODIC REPORT</w:t>
      </w:r>
    </w:p>
    <w:p>
      <w:pPr>
        <w:keepNext w:val="0"/>
        <w:keepLines/>
        <w:pageBreakBefore w:val="0"/>
        <w:widowControl w:val="0"/>
        <w:numPr>
          <w:ilvl w:val="0"/>
          <w:numId w:val="0"/>
        </w:numPr>
        <w:spacing w:before="200" w:after="0" w:line="288" w:lineRule="auto"/>
        <w:ind w:left="0" w:right="0" w:firstLine="135"/>
        <w:jc w:val="center"/>
        <w:outlineLvl w:val="9"/>
        <w:rPr>
          <w:rFonts w:ascii="Times New Roman" w:eastAsia="Times New Roman" w:hAnsi="Times New Roman" w:cs="Times New Roman"/>
          <w:b/>
          <w:i w:val="0"/>
          <w:sz w:val="20"/>
        </w:rPr>
      </w:pPr>
      <w:r>
        <w:rPr>
          <w:rFonts w:ascii="Times New Roman" w:eastAsia="Times New Roman" w:hAnsi="Times New Roman" w:cs="Times New Roman"/>
          <w:b/>
          <w:i w:val="0"/>
          <w:sz w:val="20"/>
        </w:rPr>
        <w:t>PURSUANT TO SECTION 906 OF THE SARBANES-OXLEY ACT OF 2002</w:t>
      </w:r>
    </w:p>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I, the undersigned, John Pence, do hereby certify, pursuant to 18 U.S.C. Section 1350, as adopted by Section 906 of the Sarbanes-Oxley Act of 2002, that:</w:t>
      </w:r>
    </w:p>
    <w:p>
      <w:pPr>
        <w:keepNext w:val="0"/>
        <w:keepLines/>
        <w:pageBreakBefore w:val="0"/>
        <w:widowControl w:val="0"/>
        <w:numPr>
          <w:ilvl w:val="0"/>
          <w:numId w:val="28"/>
        </w:numPr>
        <w:spacing w:before="200" w:after="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 xml:space="preserve">The quarterly report on Form 10-Q of the Company for the period ended </w:t>
      </w:r>
      <w:r>
        <w:rPr>
          <w:rFonts w:ascii="Times New Roman" w:eastAsia="Times New Roman" w:hAnsi="Times New Roman" w:cs="Times New Roman"/>
          <w:b w:val="0"/>
          <w:i w:val="0"/>
          <w:sz w:val="20"/>
        </w:rPr>
        <w:t>September 30, 2025</w:t>
      </w:r>
      <w:r>
        <w:rPr>
          <w:rFonts w:ascii="Times New Roman" w:eastAsia="Times New Roman" w:hAnsi="Times New Roman" w:cs="Times New Roman"/>
          <w:b w:val="0"/>
          <w:i w:val="0"/>
          <w:sz w:val="20"/>
        </w:rPr>
        <w:t xml:space="preserve"> (the “Report”) fully complies with the requirements of section 13(a) or 15(d) of the Securities Exchange Act of 1934 as amended, and</w:t>
      </w:r>
    </w:p>
    <w:p>
      <w:pPr>
        <w:keepNext w:val="0"/>
        <w:keepLines/>
        <w:pageBreakBefore w:val="0"/>
        <w:widowControl w:val="0"/>
        <w:numPr>
          <w:ilvl w:val="0"/>
          <w:numId w:val="28"/>
        </w:numPr>
        <w:spacing w:before="200" w:after="100" w:line="288" w:lineRule="auto"/>
        <w:ind w:left="720" w:right="0" w:hanging="36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The information contained in the Report fairly presents, in all material respects, the financial condition and results of operations of the Company.</w:t>
      </w:r>
    </w:p>
    <w:tbl>
      <w:tblPr>
        <w:tblW w:w="102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65"/>
        <w:gridCol w:w="405"/>
        <w:gridCol w:w="6990"/>
      </w:tblGrid>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Date: October 30, 2025</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40" w:lineRule="auto"/>
              <w:jc w:val="left"/>
            </w:pPr>
            <w:r>
              <w:rPr>
                <w:rFonts w:ascii="Times New Roman" w:eastAsia="Times New Roman" w:hAnsi="Times New Roman" w:cs="Times New Roman"/>
                <w:b w:val="0"/>
                <w:i w:val="0"/>
                <w:color w:val="000000"/>
                <w:sz w:val="20"/>
                <w:u w:val="none"/>
              </w:rPr>
              <w:t>By:</w:t>
            </w:r>
          </w:p>
        </w:tc>
        <w:tc>
          <w:tcPr>
            <w:tcW w:w="699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53" w:after="30" w:line="200" w:lineRule="exact"/>
              <w:jc w:val="left"/>
            </w:pPr>
            <w:r>
              <w:rPr>
                <w:rFonts w:ascii="Times New Roman" w:eastAsia="Times New Roman" w:hAnsi="Times New Roman" w:cs="Times New Roman"/>
                <w:b w:val="0"/>
                <w:i w:val="0"/>
                <w:color w:val="000000"/>
                <w:sz w:val="20"/>
                <w:u w:val="none"/>
              </w:rPr>
              <w:t>/s/ John Pence</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keepNext/>
              <w:pageBreakBefore w:val="0"/>
              <w:spacing w:before="33" w:after="30" w:line="200" w:lineRule="exact"/>
              <w:jc w:val="left"/>
            </w:pPr>
            <w:r>
              <w:rPr>
                <w:rFonts w:ascii="Times New Roman" w:eastAsia="Times New Roman" w:hAnsi="Times New Roman" w:cs="Times New Roman"/>
                <w:b w:val="0"/>
                <w:i w:val="0"/>
                <w:color w:val="000000"/>
                <w:sz w:val="20"/>
                <w:u w:val="none"/>
              </w:rPr>
              <w:t> </w:t>
            </w:r>
          </w:p>
        </w:tc>
        <w:tc>
          <w:tcPr>
            <w:tcW w:w="6990" w:type="dxa"/>
            <w:tcBorders>
              <w:top w:val="single" w:sz="8" w:space="0" w:color="000000"/>
              <w:left w:val="nil"/>
              <w:bottom w:val="nil"/>
              <w:right w:val="nil"/>
            </w:tcBorders>
            <w:tcMar>
              <w:top w:w="0" w:type="dxa"/>
              <w:left w:w="53" w:type="dxa"/>
              <w:bottom w:w="0" w:type="dxa"/>
              <w:right w:w="53" w:type="dxa"/>
            </w:tcMar>
            <w:vAlign w:val="bottom"/>
          </w:tcPr>
          <w:p>
            <w:pPr>
              <w:keepNext/>
              <w:pageBreakBefore w:val="0"/>
              <w:numPr>
                <w:ilvl w:val="0"/>
                <w:numId w:val="0"/>
              </w:numPr>
              <w:spacing w:before="33" w:after="30" w:line="240"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John Pence</w:t>
            </w:r>
          </w:p>
        </w:tc>
      </w:tr>
      <w:tr>
        <w:tblPrEx>
          <w:tblW w:w="10260" w:type="dxa"/>
          <w:tblInd w:w="0" w:type="dxa"/>
          <w:tblLayout w:type="fixed"/>
        </w:tblPrEx>
        <w:trPr>
          <w:cantSplit/>
          <w:trHeight w:hRule="exact" w:val="285"/>
        </w:trPr>
        <w:tc>
          <w:tcPr>
            <w:tcW w:w="2865" w:type="dxa"/>
            <w:tcBorders>
              <w:top w:val="nil"/>
              <w:left w:val="nil"/>
              <w:bottom w:val="nil"/>
              <w:right w:val="nil"/>
            </w:tcBorders>
            <w:tcMar>
              <w:top w:w="0" w:type="dxa"/>
              <w:left w:w="53" w:type="dxa"/>
              <w:bottom w:w="0" w:type="dxa"/>
              <w:right w:w="53" w:type="dxa"/>
            </w:tcMar>
            <w:vAlign w:val="top"/>
          </w:tcPr>
          <w:p>
            <w:pPr>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405" w:type="dxa"/>
            <w:tcBorders>
              <w:top w:val="nil"/>
              <w:left w:val="nil"/>
              <w:bottom w:val="nil"/>
              <w:right w:val="nil"/>
            </w:tcBorders>
            <w:tcMar>
              <w:top w:w="0" w:type="dxa"/>
              <w:left w:w="53" w:type="dxa"/>
              <w:bottom w:w="0" w:type="dxa"/>
              <w:right w:w="53" w:type="dxa"/>
            </w:tcMar>
            <w:vAlign w:val="top"/>
          </w:tcPr>
          <w:p>
            <w:pPr>
              <w:pageBreakBefore w:val="0"/>
              <w:spacing w:before="53" w:after="30" w:line="200" w:lineRule="exact"/>
              <w:jc w:val="left"/>
            </w:pPr>
            <w:r>
              <w:rPr>
                <w:rFonts w:ascii="Times New Roman" w:eastAsia="Times New Roman" w:hAnsi="Times New Roman" w:cs="Times New Roman"/>
                <w:b w:val="0"/>
                <w:i w:val="0"/>
                <w:color w:val="000000"/>
                <w:sz w:val="20"/>
                <w:u w:val="none"/>
              </w:rPr>
              <w:t> </w:t>
            </w:r>
          </w:p>
        </w:tc>
        <w:tc>
          <w:tcPr>
            <w:tcW w:w="6990" w:type="dxa"/>
            <w:tcBorders>
              <w:top w:val="nil"/>
              <w:left w:val="nil"/>
              <w:bottom w:val="nil"/>
              <w:right w:val="nil"/>
            </w:tcBorders>
            <w:tcMar>
              <w:top w:w="0" w:type="dxa"/>
              <w:left w:w="53" w:type="dxa"/>
              <w:bottom w:w="0" w:type="dxa"/>
              <w:right w:w="53" w:type="dxa"/>
            </w:tcMar>
            <w:vAlign w:val="top"/>
          </w:tcPr>
          <w:p>
            <w:pPr>
              <w:pageBreakBefore w:val="0"/>
              <w:spacing w:before="53" w:after="30" w:line="240" w:lineRule="auto"/>
              <w:jc w:val="left"/>
            </w:pPr>
            <w:r>
              <w:rPr>
                <w:rFonts w:ascii="Times New Roman" w:eastAsia="Times New Roman" w:hAnsi="Times New Roman" w:cs="Times New Roman"/>
                <w:b w:val="0"/>
                <w:i w:val="0"/>
                <w:color w:val="000000"/>
                <w:sz w:val="20"/>
                <w:u w:val="none"/>
              </w:rPr>
              <w:t>Chief Financial Officer and Principal Accounting Officer</w:t>
            </w:r>
          </w:p>
        </w:tc>
      </w:tr>
    </w:tbl>
    <w:p>
      <w:pPr>
        <w:keepNext w:val="0"/>
        <w:keepLines/>
        <w:pageBreakBefore w:val="0"/>
        <w:widowControl w:val="0"/>
        <w:numPr>
          <w:ilvl w:val="0"/>
          <w:numId w:val="0"/>
        </w:numPr>
        <w:spacing w:before="200" w:after="0" w:line="288" w:lineRule="auto"/>
        <w:ind w:left="0" w:right="0" w:firstLine="0"/>
        <w:jc w:val="both"/>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t>A signed original of this written statement required by Section 906 has been provided to Asure Software, Inc. and will be retained by Asure Software, Inc. and furnished to the Securities and Exchange Commission or its staff upon request. The foregoing certification is being furnished solely pursuant to 18 U.S.C. Section 1350 and is not being filed as part of the Report or as a separate disclosure document.</w:t>
      </w:r>
    </w:p>
    <w:p>
      <w:pPr>
        <w:keepNext w:val="0"/>
        <w:keepLines/>
        <w:pageBreakBefore w:val="0"/>
        <w:widowControl w:val="0"/>
        <w:numPr>
          <w:ilvl w:val="0"/>
          <w:numId w:val="0"/>
        </w:numPr>
        <w:spacing w:before="200" w:after="0" w:line="288" w:lineRule="auto"/>
        <w:ind w:left="0" w:right="0" w:firstLine="135"/>
        <w:jc w:val="left"/>
        <w:outlineLvl w:val="9"/>
        <w:rPr>
          <w:rFonts w:ascii="Times New Roman" w:eastAsia="Times New Roman" w:hAnsi="Times New Roman" w:cs="Times New Roman"/>
          <w:b w:val="0"/>
          <w:i w:val="0"/>
          <w:sz w:val="20"/>
        </w:rPr>
      </w:pPr>
    </w:p>
    <w:sectPr>
      <w:headerReference w:type="default" r:id="rId38"/>
      <w:pgSz w:w="12240" w:h="15840"/>
      <w:pgMar w:top="855" w:right="990" w:bottom="855" w:left="990" w:header="270" w:footer="27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center"/>
      <w:outlineLvl w:val="9"/>
      <w:rPr>
        <w:rFonts w:ascii="Times New Roman" w:eastAsia="Times New Roman" w:hAnsi="Times New Roman" w:cs="Times New Roman"/>
        <w:b w:val="0"/>
        <w:i w:val="0"/>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t>1</w:t>
    </w:r>
    <w:r>
      <w:rPr>
        <w:rFonts w:ascii="Times New Roman" w:eastAsia="Times New Roman" w:hAnsi="Times New Roman" w:cs="Times New Roman"/>
        <w:b w:val="0"/>
        <w:i w:val="0"/>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center"/>
      <w:outlineLvl w:val="9"/>
      <w:rPr>
        <w:rFonts w:ascii="Times New Roman" w:eastAsia="Times New Roman" w:hAnsi="Times New Roman" w:cs="Times New Roman"/>
        <w:b w:val="0"/>
        <w:i w:val="0"/>
        <w:sz w:val="20"/>
      </w:rPr>
    </w:pPr>
    <w:r>
      <w:rPr>
        <w:rFonts w:ascii="Times New Roman" w:eastAsia="Times New Roman" w:hAnsi="Times New Roman" w:cs="Times New Roman"/>
        <w:b w:val="0"/>
        <w:i w:val="0"/>
        <w:sz w:val="20"/>
      </w:rPr>
      <w:fldChar w:fldCharType="begin"/>
    </w:r>
    <w:r>
      <w:rPr>
        <w:rFonts w:ascii="Times New Roman" w:eastAsia="Times New Roman" w:hAnsi="Times New Roman" w:cs="Times New Roman"/>
        <w:b w:val="0"/>
        <w:i w:val="0"/>
        <w:sz w:val="20"/>
      </w:rPr>
      <w:instrText xml:space="preserve"> PAGE </w:instrText>
    </w:r>
    <w:r>
      <w:rPr>
        <w:rFonts w:ascii="Times New Roman" w:eastAsia="Times New Roman" w:hAnsi="Times New Roman" w:cs="Times New Roman"/>
        <w:b w:val="0"/>
        <w:i w:val="0"/>
        <w:sz w:val="20"/>
      </w:rPr>
      <w:fldChar w:fldCharType="separate"/>
    </w:r>
    <w:r>
      <w:rPr>
        <w:rFonts w:ascii="Times New Roman" w:eastAsia="Times New Roman" w:hAnsi="Times New Roman" w:cs="Times New Roman"/>
        <w:b w:val="0"/>
        <w:i w:val="0"/>
        <w:sz w:val="20"/>
      </w:rPr>
      <w:t>40</w:t>
    </w:r>
    <w:r>
      <w:rPr>
        <w:rFonts w:ascii="Times New Roman" w:eastAsia="Times New Roman" w:hAnsi="Times New Roman" w:cs="Times New Roman"/>
        <w:b w:val="0"/>
        <w:i w:val="0"/>
        <w:sz w:val="20"/>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p>
    <w:pPr>
      <w:keepNext w:val="0"/>
      <w:keepLines/>
      <w:pageBreakBefore w:val="0"/>
      <w:widowControl w:val="0"/>
      <w:numPr>
        <w:ilvl w:val="0"/>
        <w:numId w:val="0"/>
      </w:numPr>
      <w:spacing w:before="0" w:after="0" w:line="288" w:lineRule="auto"/>
      <w:ind w:left="630" w:right="630" w:firstLine="0"/>
      <w:jc w:val="center"/>
      <w:outlineLvl w:val="9"/>
      <w:rPr>
        <w:rFonts w:ascii="Times New Roman" w:eastAsia="Times New Roman" w:hAnsi="Times New Roman" w:cs="Times New Roman"/>
        <w:b w:val="0"/>
        <w:i w:val="0"/>
        <w:sz w:val="20"/>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i w:val="0"/>
        <w:sz w:val="20"/>
      </w:rPr>
    </w:pPr>
    <w:r>
      <w:rPr>
        <w:rFonts w:ascii="Times New Roman" w:eastAsia="Times New Roman" w:hAnsi="Times New Roman" w:cs="Times New Roman"/>
        <w:b/>
        <w:i w:val="0"/>
        <w:sz w:val="20"/>
      </w:rPr>
      <w:t>EXHIBIT 32.1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200" w:after="0" w:line="288" w:lineRule="auto"/>
      <w:ind w:left="0" w:right="0" w:firstLine="0"/>
      <w:jc w:val="right"/>
      <w:outlineLvl w:val="0"/>
      <w:rPr>
        <w:rFonts w:ascii="Times New Roman" w:eastAsia="Times New Roman" w:hAnsi="Times New Roman" w:cs="Times New Roman"/>
        <w:b/>
        <w:i w:val="0"/>
        <w:sz w:val="20"/>
      </w:rPr>
    </w:pPr>
    <w:r>
      <w:rPr>
        <w:rFonts w:ascii="Times New Roman" w:eastAsia="Times New Roman" w:hAnsi="Times New Roman" w:cs="Times New Roman"/>
        <w:b/>
        <w:i w:val="0"/>
        <w:sz w:val="20"/>
      </w:rPr>
      <w:t>EXHIBIT 32.2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630" w:right="630" w:firstLine="0"/>
      <w:jc w:val="left"/>
      <w:outlineLvl w:val="9"/>
      <w:rPr>
        <w:rFonts w:ascii="Times New Roman" w:eastAsia="Times New Roman" w:hAnsi="Times New Roman" w:cs="Times New Roman"/>
        <w:b w:val="0"/>
        <w:i w:val="0"/>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left"/>
      <w:outlineLvl w:val="9"/>
      <w:rPr>
        <w:rFonts w:ascii="Times New Roman" w:eastAsia="Times New Roman" w:hAnsi="Times New Roman" w:cs="Times New Roman"/>
        <w:b w:val="0"/>
        <w:i w:val="0"/>
        <w:sz w:val="20"/>
        <w:shd w:val="clear" w:color="auto" w:fill="auto"/>
      </w:rPr>
    </w:pPr>
    <w:hyperlink w:anchor="Section2" w:history="1">
      <w:r>
        <w:rPr>
          <w:rFonts w:ascii="Times New Roman" w:eastAsia="Times New Roman" w:hAnsi="Times New Roman" w:cs="Times New Roman"/>
          <w:b w:val="0"/>
          <w:i w:val="0"/>
          <w:color w:val="0000FF"/>
          <w:sz w:val="20"/>
          <w:u w:val="single"/>
          <w:shd w:val="clear" w:color="auto" w:fill="auto"/>
        </w:rPr>
        <w:t>Table of Contents</w:t>
      </w:r>
    </w:hyperlink>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i w:val="0"/>
        <w:sz w:val="20"/>
      </w:rPr>
    </w:pPr>
    <w:r>
      <w:rPr>
        <w:rFonts w:ascii="Times New Roman" w:eastAsia="Times New Roman" w:hAnsi="Times New Roman" w:cs="Times New Roman"/>
        <w:b/>
        <w:i w:val="0"/>
        <w:sz w:val="20"/>
      </w:rPr>
      <w:t>EXHIBIT 31.1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pageBreakBefore w:val="0"/>
      <w:widowControl w:val="0"/>
      <w:numPr>
        <w:ilvl w:val="0"/>
        <w:numId w:val="0"/>
      </w:numPr>
      <w:spacing w:before="0" w:after="0" w:line="288" w:lineRule="auto"/>
      <w:ind w:left="0" w:right="0" w:firstLine="0"/>
      <w:jc w:val="right"/>
      <w:outlineLvl w:val="0"/>
      <w:rPr>
        <w:rFonts w:ascii="Times New Roman" w:eastAsia="Times New Roman" w:hAnsi="Times New Roman" w:cs="Times New Roman"/>
        <w:b/>
        <w:i w:val="0"/>
        <w:sz w:val="20"/>
      </w:rPr>
    </w:pPr>
    <w:r>
      <w:rPr>
        <w:rFonts w:ascii="Times New Roman" w:eastAsia="Times New Roman" w:hAnsi="Times New Roman" w:cs="Times New Roman"/>
        <w:b/>
        <w:i w:val="0"/>
        <w:sz w:val="20"/>
      </w:rPr>
      <w:t>EXHIBIT 31.2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6"/>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6"/>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000000"/>
        <w:sz w:val="16"/>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09"/>
    <w:lvl w:ilvl="0">
      <w:start w:val="1"/>
      <w:numFmt w:val="lowerLetter"/>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9">
    <w:nsid w:val="00000014"/>
    <w:multiLevelType w:val="multilevel"/>
    <w:tmpl w:val="00000008"/>
    <w:lvl w:ilvl="0">
      <w:start w:val="1"/>
      <w:numFmt w:val="decimal"/>
      <w:lvlText w:val="(%1)"/>
      <w:lvlJc w:val="left"/>
      <w:pPr>
        <w:tabs>
          <w:tab w:val="num" w:pos="144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2">
    <w:nsid w:val="00000017"/>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3">
    <w:nsid w:val="00000018"/>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5">
    <w:nsid w:val="0000001A"/>
    <w:multiLevelType w:val="multilevel"/>
    <w:tmpl w:val="00000009"/>
    <w:lvl w:ilvl="0">
      <w:start w:val="1"/>
      <w:numFmt w:val="lowerLetter"/>
      <w:lvlText w:val="(%1)"/>
      <w:lvlJc w:val="left"/>
      <w:pPr>
        <w:tabs>
          <w:tab w:val="num" w:pos="900"/>
        </w:tabs>
        <w:ind w:left="720" w:hanging="360"/>
      </w:pPr>
      <w:rPr>
        <w:rFonts w:ascii="Times New Roman" w:eastAsia="Times New Roman" w:hAnsi="Times New Roman" w:cs="Times New Roman"/>
        <w:b w:val="0"/>
        <w:i w:val="0"/>
        <w:strike w:val="0"/>
        <w:sz w:val="20"/>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26">
    <w:nsid w:val="0000001B"/>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08"/>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yperlink" Target="https://protect.checkpoint.com/v2/r01/___https://www.sec.gov/Archives/edgar/data/884144/000088414425000078/ex21toformxequitypurchas.htm___.YzJ1OnBhdWxiYWtlcm5vdGlmaWVkY29tOmM6bzo5YzA3Y2M3YTdjMGRjNjM5YTllYTVkMjQ5ZDc3NjgwODo3OjRlZGY6YzU3YzE3YmMxZDFmMGQ3ZjgzNzY2YTVlNjI2ZTA0YzVmYWI1MGI1ZTBkZTJmYzY0YzJmMTJjZGYzNzE3YzY1NDpwOlQ6Tg" TargetMode="External" /><Relationship Id="rId22" Type="http://schemas.openxmlformats.org/officeDocument/2006/relationships/hyperlink" Target="https://protect.checkpoint.com/v2/r01/___https://www.sec.gov/Archives/edgar/data/884144/000088414425000078/ex21toformxequitypurchas.htm___.YzJ1OnBhdWxiYWtlcm5vdGlmaWVkY29tOmM6bzo5YzA3Y2M3YTdjMGRjNjM5YTllYTVkMjQ5ZDc3NjgwODo3OjRlZGY6YzU3YzE3YmMxZDFmMGQ3ZjgzNzY2YTVlNjI2ZTA0YzVmYWI1MGI1ZTBkZTJmYzY0YzJmMTJjZGYzNzE3YzY1NDpwOlQ6Tg" TargetMode="External" /><Relationship Id="rId23" Type="http://schemas.openxmlformats.org/officeDocument/2006/relationships/hyperlink" Target="https://protect.checkpoint.com/v2/r01/___https://www.sec.gov/Archives/edgar/data/884144/000088414425000078/ex101toformxconsentamend.htm___.YzJ1OnBhdWxiYWtlcm5vdGlmaWVkY29tOmM6bzo5YzA3Y2M3YTdjMGRjNjM5YTllYTVkMjQ5ZDc3NjgwODo3OmVhZTE6ZTljYWFhZmEyNTVmOTQ1NTE5ZDdkMzVmZTZmYWIyYTBjM2E0ZTUxNWQ4OWNlY2RiMmQxYTlmODYxMWUxNDExZDpwOlQ6Tg" TargetMode="External" /><Relationship Id="rId24" Type="http://schemas.openxmlformats.org/officeDocument/2006/relationships/hyperlink" Target="https://protect.checkpoint.com/v2/r01/___https://www.sec.gov/Archives/edgar/data/884144/000088414425000078/ex101toformxconsentamend.htm___.YzJ1OnBhdWxiYWtlcm5vdGlmaWVkY29tOmM6bzo5YzA3Y2M3YTdjMGRjNjM5YTllYTVkMjQ5ZDc3NjgwODo3OmVhZTE6ZTljYWFhZmEyNTVmOTQ1NTE5ZDdkMzVmZTZmYWIyYTBjM2E0ZTUxNWQ4OWNlY2RiMmQxYTlmODYxMWUxNDExZDpwOlQ6Tg" TargetMode="External" /><Relationship Id="rId25" Type="http://schemas.openxmlformats.org/officeDocument/2006/relationships/hyperlink" Target="https://protect.checkpoint.com/v2/r01/___https://www.sec.gov/Archives/edgar/data/884144/000088414425000088/a20250630exhibit103.htm___.YzJ1OnBhdWxiYWtlcm5vdGlmaWVkY29tOmM6bzo5YzA3Y2M3YTdjMGRjNjM5YTllYTVkMjQ5ZDc3NjgwODo3OjliYjI6ZTY5MDllZjIyNGE2ZDA5ODE3NGU5YTA5NzkyNmNiNGUzMDcyYTMyZGZhNzk2MjlkM2Q4MzUxNjVjYThmOGM5NTpwOlQ6Tg" TargetMode="External" /><Relationship Id="rId26" Type="http://schemas.openxmlformats.org/officeDocument/2006/relationships/hyperlink" Target="https://protect.checkpoint.com/v2/r01/___https://www.sec.gov/Archives/edgar/data/884144/000088414425000088/a20250630exhibit103.htm___.YzJ1OnBhdWxiYWtlcm5vdGlmaWVkY29tOmM6bzo5YzA3Y2M3YTdjMGRjNjM5YTllYTVkMjQ5ZDc3NjgwODo3OjliYjI6ZTY5MDllZjIyNGE2ZDA5ODE3NGU5YTA5NzkyNmNiNGUzMDcyYTMyZGZhNzk2MjlkM2Q4MzUxNjVjYThmOGM5NTpwOlQ6Tg" TargetMode="External" /><Relationship Id="rId27" Type="http://schemas.openxmlformats.org/officeDocument/2006/relationships/hyperlink" Target="wurl://docs.v1/doc:46ccded13bf24f75933f099c07fa661a" TargetMode="External" /><Relationship Id="rId28" Type="http://schemas.openxmlformats.org/officeDocument/2006/relationships/hyperlink" Target="wurl://docs.v1/doc:46ccded13bf24f75933f099c07fa661a" TargetMode="External" /><Relationship Id="rId29" Type="http://schemas.openxmlformats.org/officeDocument/2006/relationships/hyperlink" Target="wurl://docs.v1/doc:f7b3cf157f1048b9bb6b768137b27b94" TargetMode="External" /><Relationship Id="rId3" Type="http://schemas.openxmlformats.org/officeDocument/2006/relationships/fontTable" Target="fontTable.xml" /><Relationship Id="rId30" Type="http://schemas.openxmlformats.org/officeDocument/2006/relationships/hyperlink" Target="wurl://docs.v1/doc:f7b3cf157f1048b9bb6b768137b27b94" TargetMode="External" /><Relationship Id="rId31" Type="http://schemas.openxmlformats.org/officeDocument/2006/relationships/hyperlink" Target="wurl://docs.v1/doc:0a45356c13914fb6aa83f883fb78d65f" TargetMode="External" /><Relationship Id="rId32" Type="http://schemas.openxmlformats.org/officeDocument/2006/relationships/hyperlink" Target="wurl://docs.v1/doc:0a45356c13914fb6aa83f883fb78d65f" TargetMode="External" /><Relationship Id="rId33" Type="http://schemas.openxmlformats.org/officeDocument/2006/relationships/hyperlink" Target="wurl://docs.v1/doc:9cd2ecae6040411c885ecaba972f5565" TargetMode="External" /><Relationship Id="rId34" Type="http://schemas.openxmlformats.org/officeDocument/2006/relationships/hyperlink" Target="wurl://docs.v1/doc:9cd2ecae6040411c885ecaba972f5565" TargetMode="External" /><Relationship Id="rId35" Type="http://schemas.openxmlformats.org/officeDocument/2006/relationships/header" Target="header8.xml" /><Relationship Id="rId36" Type="http://schemas.openxmlformats.org/officeDocument/2006/relationships/header" Target="header9.xml" /><Relationship Id="rId37" Type="http://schemas.openxmlformats.org/officeDocument/2006/relationships/header" Target="header10.xml" /><Relationship Id="rId38" Type="http://schemas.openxmlformats.org/officeDocument/2006/relationships/header" Target="header11.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0F43DD07F6345A7838AF1ECA40CEE" ma:contentTypeVersion="19" ma:contentTypeDescription="Create a new document." ma:contentTypeScope="" ma:versionID="173ee04aca9470120fc8d6c3cd3defce">
  <xsd:schema xmlns:xsd="http://www.w3.org/2001/XMLSchema" xmlns:xs="http://www.w3.org/2001/XMLSchema" xmlns:p="http://schemas.microsoft.com/office/2006/metadata/properties" xmlns:ns2="8c45c66f-fe45-4f6d-81cc-665f1523172a" xmlns:ns3="6b330b90-7ec5-47ce-bdb3-1b18be214cc8" targetNamespace="http://schemas.microsoft.com/office/2006/metadata/properties" ma:root="true" ma:fieldsID="00acaa8877432ff006458d9120950494" ns2:_="" ns3:_="">
    <xsd:import namespace="8c45c66f-fe45-4f6d-81cc-665f1523172a"/>
    <xsd:import namespace="6b330b90-7ec5-47ce-bdb3-1b18be214c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c66f-fe45-4f6d-81cc-665f1523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27cd83-a0f0-4d9b-b39b-272eaa35e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30b90-7ec5-47ce-bdb3-1b18be214c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e1fb9-5d05-4c44-a7cd-f1d9f8b92e45}" ma:internalName="TaxCatchAll" ma:showField="CatchAllData" ma:web="6b330b90-7ec5-47ce-bdb3-1b18be214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45c66f-fe45-4f6d-81cc-665f1523172a">
      <Terms xmlns="http://schemas.microsoft.com/office/infopath/2007/PartnerControls"/>
    </lcf76f155ced4ddcb4097134ff3c332f>
    <_Flow_SignoffStatus xmlns="8c45c66f-fe45-4f6d-81cc-665f1523172a" xsi:nil="true"/>
    <TaxCatchAll xmlns="6b330b90-7ec5-47ce-bdb3-1b18be214cc8" xsi:nil="true"/>
  </documentManagement>
</p:properties>
</file>

<file path=customXml/itemProps1.xml><?xml version="1.0" encoding="utf-8"?>
<ds:datastoreItem xmlns:ds="http://schemas.openxmlformats.org/officeDocument/2006/customXml" ds:itemID="{907EEA40-A0F1-40A5-AD73-6CE0760910DE}">
  <ds:schemaRefs/>
</ds:datastoreItem>
</file>

<file path=customXml/itemProps2.xml><?xml version="1.0" encoding="utf-8"?>
<ds:datastoreItem xmlns:ds="http://schemas.openxmlformats.org/officeDocument/2006/customXml" ds:itemID="{28B0421D-5576-49C1-B311-D13DCE87FC56}">
  <ds:schemaRefs/>
</ds:datastoreItem>
</file>

<file path=customXml/itemProps3.xml><?xml version="1.0" encoding="utf-8"?>
<ds:datastoreItem xmlns:ds="http://schemas.openxmlformats.org/officeDocument/2006/customXml" ds:itemID="{AA71A7AD-B80B-44FB-B645-3A181827629F}">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42</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2025.09.30 ASUR 10Q - PRINT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0x0101003BE0F43DD07F6345A7838AF1ECA40CEE</vt:lpwstr>
  </property>
</Properties>
</file>