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227965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245745</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80" w:right="1880" w:hanging="3857"/>
        <w:spacing w:after="0" w:line="564" w:lineRule="auto"/>
        <w:tabs>
          <w:tab w:leader="none" w:pos="39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2013</w:t>
      </w:r>
    </w:p>
    <w:p>
      <w:pPr>
        <w:spacing w:after="0" w:line="378" w:lineRule="exact"/>
        <w:rPr>
          <w:sz w:val="24"/>
          <w:szCs w:val="24"/>
          <w:color w:val="auto"/>
        </w:rPr>
      </w:pPr>
    </w:p>
    <w:p>
      <w:pPr>
        <w:ind w:left="12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66" w:lineRule="exact"/>
        <w:rPr>
          <w:sz w:val="24"/>
          <w:szCs w:val="24"/>
          <w:color w:val="auto"/>
        </w:rPr>
      </w:pPr>
    </w:p>
    <w:tbl>
      <w:tblPr>
        <w:tblLayout w:type="fixed"/>
        <w:tblInd w:w="1060" w:type="dxa"/>
        <w:tblCellMar>
          <w:top w:w="0" w:type="dxa"/>
          <w:left w:w="0" w:type="dxa"/>
          <w:bottom w:w="0" w:type="dxa"/>
          <w:right w:w="0" w:type="dxa"/>
        </w:tblCellMar>
      </w:tblPr>
      <w:tr>
        <w:trPr>
          <w:trHeight w:val="37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00" w:type="dxa"/>
            <w:vAlign w:val="bottom"/>
            <w:gridSpan w:val="5"/>
          </w:tcPr>
          <w:p>
            <w:pPr>
              <w:jc w:val="center"/>
              <w:ind w:left="350"/>
              <w:spacing w:after="0"/>
              <w:rPr>
                <w:sz w:val="20"/>
                <w:szCs w:val="20"/>
                <w:color w:val="auto"/>
              </w:rPr>
            </w:pPr>
            <w:r>
              <w:rPr>
                <w:rFonts w:ascii="Arial" w:cs="Arial" w:eastAsia="Arial" w:hAnsi="Arial"/>
                <w:sz w:val="18"/>
                <w:szCs w:val="18"/>
                <w:color w:val="auto"/>
                <w:w w:val="91"/>
              </w:rPr>
              <w:t>(Exact Name of Registrant as Specified in its Charter)</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40" w:type="dxa"/>
            <w:vAlign w:val="bottom"/>
            <w:gridSpan w:val="6"/>
          </w:tcPr>
          <w:p>
            <w:pPr>
              <w:spacing w:after="0"/>
              <w:rPr>
                <w:sz w:val="24"/>
                <w:szCs w:val="2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880" w:type="dxa"/>
            <w:vAlign w:val="bottom"/>
            <w:gridSpan w:val="9"/>
          </w:tcPr>
          <w:p>
            <w:pPr>
              <w:jc w:val="center"/>
              <w:ind w:right="3940"/>
              <w:spacing w:after="0"/>
              <w:rPr>
                <w:sz w:val="20"/>
                <w:szCs w:val="20"/>
                <w:color w:val="auto"/>
              </w:rPr>
            </w:pPr>
            <w:r>
              <w:rPr>
                <w:rFonts w:ascii="Arial" w:cs="Arial" w:eastAsia="Arial" w:hAnsi="Arial"/>
                <w:sz w:val="18"/>
                <w:szCs w:val="18"/>
                <w:color w:val="auto"/>
                <w:w w:val="93"/>
              </w:rPr>
              <w:t>(State of other jurisdiction of</w:t>
            </w:r>
          </w:p>
        </w:tc>
        <w:tc>
          <w:tcPr>
            <w:tcW w:w="1560" w:type="dxa"/>
            <w:vAlign w:val="bottom"/>
            <w:gridSpan w:val="5"/>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880" w:type="dxa"/>
            <w:vAlign w:val="bottom"/>
            <w:gridSpan w:val="9"/>
          </w:tcPr>
          <w:p>
            <w:pPr>
              <w:jc w:val="center"/>
              <w:ind w:right="3940"/>
              <w:spacing w:after="0"/>
              <w:rPr>
                <w:sz w:val="20"/>
                <w:szCs w:val="20"/>
                <w:color w:val="auto"/>
              </w:rPr>
            </w:pPr>
            <w:r>
              <w:rPr>
                <w:rFonts w:ascii="Arial" w:cs="Arial" w:eastAsia="Arial" w:hAnsi="Arial"/>
                <w:sz w:val="18"/>
                <w:szCs w:val="18"/>
                <w:color w:val="auto"/>
                <w:w w:val="93"/>
              </w:rPr>
              <w:t>incorporation or organization)</w:t>
            </w:r>
          </w:p>
        </w:tc>
        <w:tc>
          <w:tcPr>
            <w:tcW w:w="1560" w:type="dxa"/>
            <w:vAlign w:val="bottom"/>
            <w:gridSpan w:val="5"/>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880" w:type="dxa"/>
            <w:vAlign w:val="bottom"/>
            <w:gridSpan w:val="9"/>
          </w:tcPr>
          <w:p>
            <w:pPr>
              <w:jc w:val="center"/>
              <w:ind w:right="3940"/>
              <w:spacing w:after="0"/>
              <w:rPr>
                <w:sz w:val="20"/>
                <w:szCs w:val="20"/>
                <w:color w:val="auto"/>
              </w:rPr>
            </w:pPr>
            <w:r>
              <w:rPr>
                <w:rFonts w:ascii="Arial" w:cs="Arial" w:eastAsia="Arial" w:hAnsi="Arial"/>
                <w:sz w:val="18"/>
                <w:szCs w:val="18"/>
                <w:b w:val="1"/>
                <w:bCs w:val="1"/>
                <w:color w:val="auto"/>
                <w:w w:val="90"/>
              </w:rPr>
              <w:t>110 Wild Basin Road, Suite 100</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920" w:type="dxa"/>
            <w:vAlign w:val="bottom"/>
            <w:gridSpan w:val="8"/>
          </w:tcPr>
          <w:p>
            <w:pPr>
              <w:jc w:val="center"/>
              <w:ind w:right="4900"/>
              <w:spacing w:after="0" w:line="194" w:lineRule="exact"/>
              <w:rPr>
                <w:sz w:val="20"/>
                <w:szCs w:val="20"/>
                <w:color w:val="auto"/>
              </w:rPr>
            </w:pPr>
            <w:r>
              <w:rPr>
                <w:rFonts w:ascii="Arial" w:cs="Arial" w:eastAsia="Arial" w:hAnsi="Arial"/>
                <w:sz w:val="18"/>
                <w:szCs w:val="18"/>
                <w:b w:val="1"/>
                <w:bCs w:val="1"/>
                <w:color w:val="auto"/>
                <w:w w:val="87"/>
              </w:rPr>
              <w:t>Austin, Texas</w:t>
            </w:r>
          </w:p>
        </w:tc>
        <w:tc>
          <w:tcPr>
            <w:tcW w:w="132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78746</w:t>
            </w:r>
          </w:p>
        </w:tc>
        <w:tc>
          <w:tcPr>
            <w:tcW w:w="24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880" w:type="dxa"/>
            <w:vAlign w:val="bottom"/>
            <w:gridSpan w:val="9"/>
          </w:tcPr>
          <w:p>
            <w:pPr>
              <w:jc w:val="center"/>
              <w:ind w:right="394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r>
      <w:tr>
        <w:trPr>
          <w:trHeight w:val="392"/>
        </w:trPr>
        <w:tc>
          <w:tcPr>
            <w:tcW w:w="5220" w:type="dxa"/>
            <w:vAlign w:val="bottom"/>
            <w:gridSpan w:val="7"/>
          </w:tcPr>
          <w:p>
            <w:pPr>
              <w:jc w:val="center"/>
              <w:ind w:left="4010"/>
              <w:spacing w:after="0"/>
              <w:rPr>
                <w:sz w:val="20"/>
                <w:szCs w:val="20"/>
                <w:color w:val="auto"/>
              </w:rPr>
            </w:pPr>
            <w:r>
              <w:rPr>
                <w:rFonts w:ascii="Arial" w:cs="Arial" w:eastAsia="Arial" w:hAnsi="Arial"/>
                <w:sz w:val="18"/>
                <w:szCs w:val="18"/>
                <w:b w:val="1"/>
                <w:bCs w:val="1"/>
                <w:color w:val="auto"/>
                <w:w w:val="90"/>
              </w:rPr>
              <w:t>(512) 437-2700</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5"/>
          </w:tcPr>
          <w:p>
            <w:pPr>
              <w:jc w:val="center"/>
              <w:ind w:left="350"/>
              <w:spacing w:after="0"/>
              <w:rPr>
                <w:sz w:val="20"/>
                <w:szCs w:val="20"/>
                <w:color w:val="auto"/>
              </w:rPr>
            </w:pPr>
            <w:r>
              <w:rPr>
                <w:rFonts w:ascii="Arial" w:cs="Arial" w:eastAsia="Arial" w:hAnsi="Arial"/>
                <w:sz w:val="18"/>
                <w:szCs w:val="18"/>
                <w:color w:val="auto"/>
                <w:w w:val="90"/>
              </w:rPr>
              <w:t>(Registrant’s Telephone Number, including Area Code)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80" w:space="720"/>
            <w:col w:w="1660" w:space="720"/>
            <w:col w:w="2140" w:space="720"/>
            <w:col w:w="308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August 13, 2013, the registrant had outstanding 5,928,976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481965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500" w:type="dxa"/>
            <w:vAlign w:val="bottom"/>
            <w:gridSpan w:val="19"/>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20" w:type="dxa"/>
            <w:vAlign w:val="bottom"/>
          </w:tcPr>
          <w:p>
            <w:pPr>
              <w:spacing w:after="0"/>
              <w:rPr>
                <w:sz w:val="14"/>
                <w:szCs w:val="14"/>
                <w:color w:val="auto"/>
              </w:rPr>
            </w:pPr>
          </w:p>
        </w:tc>
      </w:tr>
      <w:tr>
        <w:trPr>
          <w:trHeight w:val="426"/>
        </w:trPr>
        <w:tc>
          <w:tcPr>
            <w:tcW w:w="7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4"/>
                <w:szCs w:val="24"/>
                <w:color w:val="auto"/>
              </w:rPr>
            </w:pPr>
          </w:p>
        </w:tc>
      </w:tr>
      <w:tr>
        <w:trPr>
          <w:trHeight w:val="414"/>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241"/>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8"/>
          </w:tcPr>
          <w:p>
            <w:pPr>
              <w:ind w:left="70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tcPr>
          <w:p>
            <w:pPr>
              <w:spacing w:after="0"/>
              <w:rPr>
                <w:sz w:val="18"/>
                <w:szCs w:val="18"/>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2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92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2013 and December 31, 2012</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for the Three and Six Months ended June 30, 2013 and</w:t>
              </w:r>
            </w:hyperlink>
          </w:p>
        </w:tc>
        <w:tc>
          <w:tcPr>
            <w:tcW w:w="3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8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2012</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2013 and 2012</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20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88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9720" w:type="dxa"/>
            <w:vAlign w:val="bottom"/>
            <w:gridSpan w:val="18"/>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Quantitative and Qualitative Disclosures About Market Risk</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6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Controls and Procedures</w:t>
              </w:r>
            </w:hyperlink>
          </w:p>
        </w:tc>
        <w:tc>
          <w:tcPr>
            <w:tcW w:w="506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453"/>
        </w:trPr>
        <w:tc>
          <w:tcPr>
            <w:tcW w:w="7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rPr>
              <w:t>PART II - OTHER INFORMATION</w:t>
            </w:r>
          </w:p>
        </w:tc>
        <w:tc>
          <w:tcPr>
            <w:tcW w:w="92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24">
              <w:r>
                <w:rPr>
                  <w:rFonts w:ascii="Arial" w:cs="Arial" w:eastAsia="Arial" w:hAnsi="Arial"/>
                  <w:sz w:val="18"/>
                  <w:szCs w:val="18"/>
                  <w:b w:val="1"/>
                  <w:bCs w:val="1"/>
                  <w:color w:val="0000EE"/>
                  <w:w w:val="86"/>
                </w:rPr>
                <w:t>Legal Proceedings</w:t>
              </w:r>
            </w:hyperlink>
          </w:p>
        </w:tc>
        <w:tc>
          <w:tcPr>
            <w:tcW w:w="832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24">
              <w:r>
                <w:rPr>
                  <w:rFonts w:ascii="Arial" w:cs="Arial" w:eastAsia="Arial" w:hAnsi="Arial"/>
                  <w:sz w:val="18"/>
                  <w:szCs w:val="18"/>
                  <w:b w:val="1"/>
                  <w:bCs w:val="1"/>
                  <w:color w:val="0000EE"/>
                  <w:w w:val="88"/>
                </w:rPr>
                <w:t>Risk Factors</w:t>
              </w:r>
            </w:hyperlink>
          </w:p>
        </w:tc>
        <w:tc>
          <w:tcPr>
            <w:tcW w:w="874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720" w:type="dxa"/>
            <w:vAlign w:val="bottom"/>
            <w:gridSpan w:val="18"/>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Unregistered Sales of Equity Securities and Use of Proceeds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24">
              <w:r>
                <w:rPr>
                  <w:rFonts w:ascii="Arial" w:cs="Arial" w:eastAsia="Arial" w:hAnsi="Arial"/>
                  <w:sz w:val="18"/>
                  <w:szCs w:val="18"/>
                  <w:b w:val="1"/>
                  <w:bCs w:val="1"/>
                  <w:color w:val="0000EE"/>
                  <w:w w:val="88"/>
                </w:rPr>
                <w:t>Defaults upon Senior Securities</w:t>
              </w:r>
            </w:hyperlink>
          </w:p>
        </w:tc>
        <w:tc>
          <w:tcPr>
            <w:tcW w:w="2160" w:type="dxa"/>
            <w:vAlign w:val="bottom"/>
            <w:tcBorders>
              <w:top w:val="single" w:sz="8" w:color="0000EE"/>
            </w:tcBorders>
            <w:gridSpan w:val="3"/>
          </w:tcPr>
          <w:p>
            <w:pPr>
              <w:spacing w:after="0"/>
              <w:rPr>
                <w:sz w:val="17"/>
                <w:szCs w:val="17"/>
                <w:color w:val="auto"/>
              </w:rPr>
            </w:pPr>
          </w:p>
        </w:tc>
        <w:tc>
          <w:tcPr>
            <w:tcW w:w="514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9720" w:type="dxa"/>
            <w:vAlign w:val="bottom"/>
            <w:gridSpan w:val="18"/>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Submission of Matters to a Vote of Security Holders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5.</w:t>
            </w:r>
          </w:p>
        </w:tc>
        <w:tc>
          <w:tcPr>
            <w:tcW w:w="39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Information</w:t>
              </w:r>
            </w:hyperlink>
          </w:p>
        </w:tc>
        <w:tc>
          <w:tcPr>
            <w:tcW w:w="574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24">
              <w:r>
                <w:rPr>
                  <w:rFonts w:ascii="Arial" w:cs="Arial" w:eastAsia="Arial" w:hAnsi="Arial"/>
                  <w:sz w:val="18"/>
                  <w:szCs w:val="18"/>
                  <w:b w:val="1"/>
                  <w:bCs w:val="1"/>
                  <w:color w:val="0000EE"/>
                  <w:w w:val="88"/>
                </w:rPr>
                <w:t>Exhibits</w:t>
              </w:r>
            </w:hyperlink>
          </w:p>
        </w:tc>
        <w:tc>
          <w:tcPr>
            <w:tcW w:w="800" w:type="dxa"/>
            <w:vAlign w:val="bottom"/>
            <w:tcBorders>
              <w:top w:val="single" w:sz="8" w:color="0000EE"/>
            </w:tcBorders>
            <w:gridSpan w:val="4"/>
          </w:tcPr>
          <w:p>
            <w:pPr>
              <w:spacing w:after="0"/>
              <w:rPr>
                <w:sz w:val="17"/>
                <w:szCs w:val="17"/>
                <w:color w:val="auto"/>
              </w:rPr>
            </w:pPr>
          </w:p>
        </w:tc>
        <w:tc>
          <w:tcPr>
            <w:tcW w:w="82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53"/>
        </w:trPr>
        <w:tc>
          <w:tcPr>
            <w:tcW w:w="10500" w:type="dxa"/>
            <w:vAlign w:val="bottom"/>
            <w:gridSpan w:val="19"/>
          </w:tcPr>
          <w:p>
            <w:pPr>
              <w:spacing w:after="0"/>
              <w:rPr>
                <w:sz w:val="20"/>
                <w:szCs w:val="20"/>
                <w:color w:val="auto"/>
              </w:rPr>
            </w:pPr>
            <w:r>
              <w:rPr>
                <w:rFonts w:ascii="Arial" w:cs="Arial" w:eastAsia="Arial" w:hAnsi="Arial"/>
                <w:sz w:val="18"/>
                <w:szCs w:val="18"/>
                <w:b w:val="1"/>
                <w:bCs w:val="1"/>
                <w:color w:val="auto"/>
              </w:rPr>
              <w:t>Signatures</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915"/>
        </w:trPr>
        <w:tc>
          <w:tcPr>
            <w:tcW w:w="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2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7220" w:type="dxa"/>
            <w:vAlign w:val="bottom"/>
          </w:tcPr>
          <w:p>
            <w:pPr>
              <w:jc w:val="center"/>
              <w:ind w:left="209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220" w:type="dxa"/>
            <w:vAlign w:val="bottom"/>
          </w:tcPr>
          <w:p>
            <w:pPr>
              <w:jc w:val="center"/>
              <w:ind w:left="2070"/>
              <w:spacing w:after="0"/>
              <w:rPr>
                <w:sz w:val="20"/>
                <w:szCs w:val="20"/>
                <w:color w:val="auto"/>
              </w:rPr>
            </w:pPr>
            <w:r>
              <w:rPr>
                <w:rFonts w:ascii="Arial" w:cs="Arial" w:eastAsia="Arial" w:hAnsi="Arial"/>
                <w:sz w:val="18"/>
                <w:szCs w:val="18"/>
                <w:b w:val="1"/>
                <w:bCs w:val="1"/>
                <w:color w:val="auto"/>
                <w:w w:val="98"/>
              </w:rPr>
              <w:t>ASURE SOFTWARE,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22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220" w:type="dxa"/>
            <w:vAlign w:val="bottom"/>
          </w:tcPr>
          <w:p>
            <w:pPr>
              <w:jc w:val="center"/>
              <w:ind w:left="2070"/>
              <w:spacing w:after="0"/>
              <w:rPr>
                <w:sz w:val="20"/>
                <w:szCs w:val="20"/>
                <w:color w:val="auto"/>
              </w:rPr>
            </w:pPr>
            <w:r>
              <w:rPr>
                <w:rFonts w:ascii="Arial" w:cs="Arial" w:eastAsia="Arial" w:hAnsi="Arial"/>
                <w:sz w:val="18"/>
                <w:szCs w:val="18"/>
                <w:color w:val="auto"/>
                <w:w w:val="91"/>
              </w:rPr>
              <w:t>(Amounts in 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220" w:type="dxa"/>
            <w:vAlign w:val="bottom"/>
          </w:tcPr>
          <w:p>
            <w:pPr>
              <w:jc w:val="center"/>
              <w:ind w:left="207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0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02"/>
        </w:trPr>
        <w:tc>
          <w:tcPr>
            <w:tcW w:w="8240" w:type="dxa"/>
            <w:vAlign w:val="bottom"/>
            <w:gridSpan w:val="2"/>
          </w:tcPr>
          <w:p>
            <w:pPr>
              <w:spacing w:after="0" w:line="201"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8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Accounts receivable, net of allowance for doubtful accounts of $192 and $182 at June 30, 2013 and December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 2012,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r>
      <w:tr>
        <w:trPr>
          <w:trHeight w:val="216"/>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7,249</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15,525</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10,875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12,179</w:t>
            </w:r>
          </w:p>
        </w:tc>
      </w:tr>
      <w:tr>
        <w:trPr>
          <w:trHeight w:val="223"/>
        </w:trPr>
        <w:tc>
          <w:tcPr>
            <w:tcW w:w="8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36,065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1"/>
        </w:trPr>
        <w:tc>
          <w:tcPr>
            <w:tcW w:w="10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r>
      <w:tr>
        <w:trPr>
          <w:trHeight w:val="223"/>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14,586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16,500</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related party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15,436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15,887</w:t>
            </w:r>
          </w:p>
        </w:tc>
      </w:tr>
      <w:tr>
        <w:trPr>
          <w:trHeight w:val="223"/>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2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17,403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17,488</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$.01 par value; 11,000 shares authorized; 6,313 and 5,644 shares issued,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5,929 and 5,260 shares outstanding at June 30, 2013 and December 31, 2012,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Treasury stock at cost, 384 shares at June 30, 2013 and December 31, 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(5,017)</w:t>
            </w:r>
          </w:p>
        </w:tc>
      </w:tr>
      <w:tr>
        <w:trPr>
          <w:trHeight w:val="21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274,445</w:t>
            </w:r>
          </w:p>
        </w:tc>
      </w:tr>
      <w:tr>
        <w:trPr>
          <w:trHeight w:val="216"/>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(268,891)</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(267,222)</w:t>
            </w:r>
          </w:p>
        </w:tc>
      </w:tr>
      <w:tr>
        <w:trPr>
          <w:trHeight w:val="223"/>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23"/>
        </w:trPr>
        <w:tc>
          <w:tcPr>
            <w:tcW w:w="82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4,076</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Borders>
              <w:top w:val="single" w:sz="8" w:color="CCEEFF"/>
            </w:tcBorders>
          </w:tcPr>
          <w:p>
            <w:pPr>
              <w:spacing w:after="0"/>
              <w:rPr>
                <w:sz w:val="19"/>
                <w:szCs w:val="19"/>
                <w:color w:val="auto"/>
              </w:rPr>
            </w:pPr>
          </w:p>
        </w:tc>
      </w:tr>
      <w:tr>
        <w:trPr>
          <w:trHeight w:val="237"/>
        </w:trPr>
        <w:tc>
          <w:tcPr>
            <w:tcW w:w="1020" w:type="dxa"/>
            <w:vAlign w:val="bottom"/>
            <w:shd w:val="clear" w:color="auto" w:fill="CCEEFF"/>
          </w:tcPr>
          <w:p>
            <w:pPr>
              <w:spacing w:after="0"/>
              <w:rPr>
                <w:sz w:val="20"/>
                <w:szCs w:val="20"/>
                <w:color w:val="auto"/>
              </w:rPr>
            </w:pPr>
          </w:p>
        </w:tc>
        <w:tc>
          <w:tcPr>
            <w:tcW w:w="72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36,148</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FOR THE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rPr>
              <w:t>FOR THE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8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6,296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12,271</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(1,481)</w:t>
            </w:r>
          </w:p>
        </w:tc>
        <w:tc>
          <w:tcPr>
            <w:tcW w:w="2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(991)</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(3,258)</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4,815</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3,214</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9,013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3,448</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2,334</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6,724</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1,364</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4,694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3,217</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9,252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From Operations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121</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on debt conversion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 and other</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Interest expense- amortization of OID and derivative mark-to</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market</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b w:val="1"/>
                <w:bCs w:val="1"/>
                <w:color w:val="auto"/>
              </w:rPr>
              <w:t>Total other income (loss)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(648)</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w:t>
            </w: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(1,349)</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(1,588)</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(569)</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(323)</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(1,669)</w:t>
            </w:r>
          </w:p>
        </w:tc>
        <w:tc>
          <w:tcPr>
            <w:tcW w:w="300" w:type="dxa"/>
            <w:vAlign w:val="bottom"/>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Foreign currency (loss) gain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(565)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(1,627)</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300" w:type="dxa"/>
            <w:vAlign w:val="bottom"/>
          </w:tcPr>
          <w:p>
            <w:pPr>
              <w:jc w:val="right"/>
              <w:ind w:right="102"/>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Basic and Diluted Shares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5,497,000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4,982,000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5,380,000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5,497,000</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4,982,000</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5,380,000</w:t>
            </w: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4,841,000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3"/>
          </w:tcPr>
          <w:p>
            <w:pPr>
              <w:jc w:val="right"/>
              <w:ind w:right="125"/>
              <w:spacing w:after="0"/>
              <w:rPr>
                <w:sz w:val="20"/>
                <w:szCs w:val="20"/>
                <w:color w:val="auto"/>
              </w:rPr>
            </w:pPr>
            <w:r>
              <w:rPr>
                <w:rFonts w:ascii="Arial" w:cs="Arial" w:eastAsia="Arial" w:hAnsi="Arial"/>
                <w:sz w:val="18"/>
                <w:szCs w:val="18"/>
                <w:b w:val="1"/>
                <w:bCs w:val="1"/>
                <w:color w:val="auto"/>
              </w:rPr>
              <w:t>FOR THE</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3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Amortization of original issue discount (OID)</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sale/disposal of assets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Derivative mark-to-market</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debt conversion</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receivable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operating activities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796</w:t>
            </w: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purchases of property and equipment</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Collection of note receivable</w:t>
            </w:r>
          </w:p>
        </w:tc>
        <w:tc>
          <w:tcPr>
            <w:tcW w:w="14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(245)</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Payments on notes payable</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(2,726)</w:t>
            </w:r>
          </w:p>
        </w:tc>
        <w:tc>
          <w:tcPr>
            <w:tcW w:w="26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amendment of senior notes payable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3,461</w:t>
            </w: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conversion of subordinated notes payable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Proceeds from line of credit</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capital leases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Net proceeds from exercise of options</w:t>
            </w:r>
          </w:p>
        </w:tc>
        <w:tc>
          <w:tcPr>
            <w:tcW w:w="14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translation exchange rates</w:t>
            </w:r>
          </w:p>
        </w:tc>
        <w:tc>
          <w:tcPr>
            <w:tcW w:w="1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1,118</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2,177</w:t>
            </w:r>
          </w:p>
        </w:tc>
        <w:tc>
          <w:tcPr>
            <w:tcW w:w="26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1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3,295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1,493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paid for:</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2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Conversion of subordinated convertible notes payable to equity</w:t>
            </w:r>
          </w:p>
        </w:tc>
        <w:tc>
          <w:tcPr>
            <w:tcW w:w="1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2840" w:right="2520" w:hanging="261"/>
        <w:spacing w:after="0" w:line="323" w:lineRule="auto"/>
        <w:rPr>
          <w:sz w:val="20"/>
          <w:szCs w:val="20"/>
          <w:color w:val="auto"/>
        </w:rPr>
      </w:pPr>
      <w:r>
        <w:rPr>
          <w:rFonts w:ascii="Arial" w:cs="Arial" w:eastAsia="Arial" w:hAnsi="Arial"/>
          <w:sz w:val="16"/>
          <w:szCs w:val="16"/>
          <w:b w:val="1"/>
          <w:bCs w:val="1"/>
          <w:color w:val="auto"/>
        </w:rPr>
        <w:t xml:space="preserve">NOTES TO THE CONDENSED CONSOLIDATED FINANCIAL STATEMENTS </w:t>
      </w:r>
      <w:r>
        <w:rPr>
          <w:rFonts w:ascii="Arial" w:cs="Arial" w:eastAsia="Arial" w:hAnsi="Arial"/>
          <w:sz w:val="16"/>
          <w:szCs w:val="16"/>
          <w:color w:val="auto"/>
        </w:rPr>
        <w:t>(Amounts in thousands, except share and per share data unless otherwise noted)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Asure Software, Inc., a Delaware corporation incorporated in 1985, provides web-based workforce management solutions that enable organizations to manage their office environments as well as their human resource and payroll processes effectively and efficiently. Asure develops, markets, sells and supports its offerings worldwide through its principal office in Austin, Texas and through additional offices in Warwick, Rhode Island; Framingham, Massachusetts; Traverse City, Michigan and Staines, United Kingdom.</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the rules and regulations of the Securities and Exchange Commission and accordingly, they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our financial position as of June 30, 2013 and December 31, 2012, the results of operations for the three and six months ended June 30, 2013 and 2012, and the cash flows for the six months ended June 30, 2013 and 2012. Asure has adjusted all prior periods to reflect its 3-for-2 stock split which occurred on March 27, 2012, as if it had occurred at the earliest date presented in these financial statements.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read these condensed consolidated financial statements in conjunction with our audited consolidated financial statements and notes thereto filed with the Securities and Exchange Commission in our annual report on Form 10-K for the fiscal year ended December 31, 2012. The results for the interim periods are not necessarily indicative of results for a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include cash deposits and highly liquid investments with an original maturity of three months or less when purchased.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cash represents a certificate of deposit held in a cash collateral account as required by JPMorgan Chase Bank N.A. (“Bank”), to secure our obligations under our credit card line with the Bank.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April 11, 2013, we received a letter from The NASDAQ Stock Market (“NASDAQ”) stating that pursuant to Rule 5550(b)(2), we had not met the $35 million minimum Market Value of Listed Securities (“MVLS”) for our common stock for the period from February 26, 2013 to April 10, 2013. Rule 5550(b)(2) requires the Company to have a minimum MVLS of $35 million for at least 30 consecutive business days. In order to regain compliance with Rule 5550(b)(2), the Company’s MVLS must close at $35 million or more for a minimum of 10 consecutive trading days. The NASDAQ notification has no immediate effect on the listing of our common stock and Asure has a grace period of 180 calendar days, or until October 8, 2013, to regain compliance.</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Rule 5550, we can regain compliance and avoid the potential for delisting of our common stock by satisfying any one of the MVLS test, the minimum equity test (total stockholders’ equity of $2,500) or the minimum net income test ($500 in net income from operations). Although we cannot control our stock price or market capitalization, we continue to monitor the MVLS for our common stock and are considering various options available to us if our common stock does not trade at a level that is likely to regain compliance within the requisite grace period.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2013, we sold approximately 662,000 shares of common stock to various investors, including certain directors of the Company and other entities affiliated with the directors at a purchase price of $5.31 per share, for proceeds, net of fees and expenses, of approximately $3,500. We believe this transaction allows us to meet the minimum equity test and brought us back into compliance with the NASDAQ requirements and we are awaiting confirmation from NASDAQ to this effect.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2013, Asure’s principal source of liquidity consisted of $3,295 of current cash and cash equivalents as well as future cash generated from operations. We believe that we have and/or will generate sufficient cash for our short- and long-term needs, including meeting the requirements of our Notes Payable, and the related debt covenant requirements. We are continuing to reduce expenses and thus may utilize our cash balances in the short-term to reduce long-term costs. Based on current internal projections, we believe that we currently have and/or will generate sufficient cash for our operational needs, including any required debt payments, for at least the next twelve months.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is focused on growing our existing product offering as well as our customer base to increase our recurring customer revenues. We are also exploring additional strategic acquisitions in the near future, although we have no agreements to make any acquisition at this time. In the short-term, Asure plans to fund any acquisitions with equity, available cash, future cash from operations, or cash or debt raised from outside sources.</w:t>
      </w:r>
    </w:p>
    <w:p>
      <w:pPr>
        <w:sectPr>
          <w:pgSz w:w="11900" w:h="16838" w:orient="portrait"/>
          <w:cols w:equalWidth="0" w:num="1">
            <w:col w:w="11420"/>
          </w:cols>
          <w:pgMar w:left="240" w:top="121"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Subject to the foregoing,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2013, the Financial Accounting Standards Board (“FASB”) issued guidance on disclosures of additional information with respect to changes in accumulated other comprehensive income (“AOCI”) balances by component and significant items reclassified out of AOCI. Expanded disclosures for presentation of changes in AOCI involve disaggregating the total change of each component of other comprehensive income as well as presenting separately for each such component the portion of the change in AOCI related to (1) amounts reclassified into income and (2) current-period other comprehensive income. Additionally, for amounts reclassified into income, we are required to disclose in one location, based upon each specific AOCI component, the amounts impacting individual income statement line items. We are required to disclose the income statement line item impacts only for components of AOCI reclassified into income in their entirety. We would make the disclosures required with respect to income statement line item impacts in either the notes to the consolidated financial statements or parenthetically on the face of the financial statements. For us, this Accounting Standards Update is effective beginning January 1, 2013. Because this standard only impacts presentation and disclosure requirements, its adoption did not have a material impact on our consolidated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Both parties have agreed for the post-closing adjustment to be resolved by an Independent Accountant consistent with the purchase agreement. In January 2013, we filed a claim in federal court seeking contractual indemnification for the sellers’ breach of warranties and representations made in the purchase agreement. The sellers simultaneously filed a claim in the state court of Massachusetts alleging that we did not comply with certain provisions of the purchase agreement. In May 2013, the sellers amended their original complaint to allege misrepresentations and omissions by us in connection with the purchase transaction. The sellers seek an unspecified amount of damages and the trebling of such damages once calculated. We have filed a counterclaim in Massachusetts for breach of warranties and representations. We believe the sellers' claims for damages are without merit and we are defending against them vigorously.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Effective August 1, 2008, Asure adopted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 include:</w:t>
      </w:r>
    </w:p>
    <w:p>
      <w:pPr>
        <w:spacing w:after="0" w:line="275" w:lineRule="exact"/>
        <w:rPr>
          <w:sz w:val="20"/>
          <w:szCs w:val="20"/>
          <w:color w:val="auto"/>
        </w:rPr>
      </w:pPr>
    </w:p>
    <w:p>
      <w:pPr>
        <w:ind w:left="72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xml:space="preserve">Quoted prices in active markets for </w:t>
      </w:r>
      <w:r>
        <w:rPr>
          <w:rFonts w:ascii="Arial" w:cs="Arial" w:eastAsia="Arial" w:hAnsi="Arial"/>
          <w:sz w:val="16"/>
          <w:szCs w:val="16"/>
          <w:i w:val="1"/>
          <w:iCs w:val="1"/>
          <w:color w:val="auto"/>
        </w:rPr>
        <w:t>identical</w:t>
      </w:r>
      <w:r>
        <w:rPr>
          <w:rFonts w:ascii="Arial" w:cs="Arial" w:eastAsia="Arial" w:hAnsi="Arial"/>
          <w:sz w:val="16"/>
          <w:szCs w:val="16"/>
          <w:color w:val="auto"/>
        </w:rPr>
        <w:t xml:space="preserve"> assets or liabilities;</w:t>
      </w:r>
    </w:p>
    <w:p>
      <w:pPr>
        <w:spacing w:after="0" w:line="225" w:lineRule="exact"/>
        <w:rPr>
          <w:sz w:val="20"/>
          <w:szCs w:val="20"/>
          <w:color w:val="auto"/>
        </w:rPr>
      </w:pPr>
    </w:p>
    <w:p>
      <w:pPr>
        <w:ind w:left="1700" w:right="40" w:hanging="967"/>
        <w:spacing w:after="0" w:line="277"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xml:space="preserve">Quoted prices in active markets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assets or liabilities; quoted prices in markets that are not active for identical or similar assets or liabilities; and model-driven valuations whose significant inputs are observable; and</w:t>
      </w:r>
    </w:p>
    <w:p>
      <w:pPr>
        <w:spacing w:after="0" w:line="170" w:lineRule="exact"/>
        <w:rPr>
          <w:sz w:val="20"/>
          <w:szCs w:val="20"/>
          <w:color w:val="auto"/>
        </w:rPr>
      </w:pPr>
    </w:p>
    <w:p>
      <w:pPr>
        <w:ind w:left="1700" w:right="60" w:hanging="967"/>
        <w:spacing w:after="0" w:line="277" w:lineRule="auto"/>
        <w:tabs>
          <w:tab w:leader="none" w:pos="16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presents the fair value hierarchy for our financial assets measured at fair value on a recurring basis as of June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June 30, 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Fair Value Measure at December 31,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1"/>
              </w:rPr>
              <w:t>Quoted</w:t>
            </w: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Prices</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Value at</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in Active</w:t>
            </w:r>
          </w:p>
        </w:tc>
        <w:tc>
          <w:tcPr>
            <w:tcW w:w="1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cash- certificate of deposit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2012, Asure acquired the capital stock of Meeting Maker – United States, Inc., doing business as PeopleCube, for a combination of cash and Asure common stock.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purchase price was composed of $9,800 in cash, subject to a post-closing working capital adjustment, (ii) 255 shares of our common stock, par value $0.01 per share, representing just under five percent of Asure’s outstanding shares and valued at $2.94 per share and (iii) an additional $3,000 note from us that is due on October 31, 2014, subject to offset of any amounts owed by the seller under the indemnification provisions of the stock purchase agreement. The note was adjusted to a fair value of $2,404 based on our incremental borrowing rate. Details regarding the financing of the acquisition are described in the below Notes Payable table. Transactions costs for this acquisition were $905 and we expensed them as incurred.</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Following is the purchase price allocation for the acquisition of PeopleCube in 2012. We based the preliminary fair value estimate for the assets acquired and liabilities assumed for this acquisition upon preliminary calculations and valuations. Our estimates and assumptions for this acquisition are subject to change as we obtain additional information for our estimates during the respective measurement periods (up to one year from the acquisition date). The primary areas of those preliminary estimates that we have not yet finalized relate to certain tangible assets acquired and liabilities assumed, certain legal matters and income and non-income based taxes. We expect to deduct goodwill arising from this acquisition for tax purposes over 15 years.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recorded the transaction using the acquisition method of accounting and recognized assets and liabilities assumed at their fair value as of the date of acquisition. The $7.4 million of intangible assets subject to amortization consist of $5.2 million allocated to Customer Relationships, $1.8 million in Developed Technology, $338 for Trade Names and $23 for a Covenant not-to-compete. We estimated the fair value of the Customer Relationships using the excess earnings method, a form of the income approach. We discounted cash flow projections using a rate of 16.6%, which reflects the risk associated with the intangible asset related to the other assets and the overall business operations to us. We estimated the fair value of the Developed Technology and Trade Names using the relief from royalty method based upon a 5% royalty rate. We estimated the value of the Covenant not-to-compete using a damages calculation, which is the form of the income approach.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00" w:lineRule="exact"/>
        <w:rPr>
          <w:sz w:val="20"/>
          <w:szCs w:val="20"/>
          <w:color w:val="auto"/>
        </w:rPr>
      </w:pP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Consideration paid:</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per stock purchase agreement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9,800</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Fair value of note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2,404</w:t>
            </w: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issued</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w:t>
            </w:r>
          </w:p>
        </w:tc>
      </w:tr>
      <w:tr>
        <w:trPr>
          <w:trHeight w:val="27"/>
        </w:trPr>
        <w:tc>
          <w:tcPr>
            <w:tcW w:w="780" w:type="dxa"/>
            <w:vAlign w:val="bottom"/>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r>
      <w:tr>
        <w:trPr>
          <w:trHeight w:val="223"/>
        </w:trPr>
        <w:tc>
          <w:tcPr>
            <w:tcW w:w="7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consideration paid</w:t>
            </w:r>
          </w:p>
        </w:tc>
        <w:tc>
          <w:tcPr>
            <w:tcW w:w="1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12,951</w:t>
            </w: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We based the allocations on fair values at the date of acquisition:</w:t>
            </w:r>
          </w:p>
        </w:tc>
        <w:tc>
          <w:tcPr>
            <w:tcW w:w="1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39"/>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PeopleCube</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1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Fixed assets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9,276</w:t>
            </w:r>
          </w:p>
        </w:tc>
        <w:tc>
          <w:tcPr>
            <w:tcW w:w="14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w:t>
            </w:r>
          </w:p>
        </w:tc>
        <w:tc>
          <w:tcPr>
            <w:tcW w:w="16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223"/>
        </w:trPr>
        <w:tc>
          <w:tcPr>
            <w:tcW w:w="7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assets acquired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19,570</w:t>
            </w:r>
          </w:p>
        </w:tc>
        <w:tc>
          <w:tcPr>
            <w:tcW w:w="14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other liabilities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r>
      <w:tr>
        <w:trPr>
          <w:trHeight w:val="216"/>
        </w:trPr>
        <w:tc>
          <w:tcPr>
            <w:tcW w:w="7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payable</w:t>
            </w:r>
          </w:p>
        </w:tc>
        <w:tc>
          <w:tcPr>
            <w:tcW w:w="16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w:t>
            </w:r>
          </w:p>
        </w:tc>
      </w:tr>
      <w:tr>
        <w:trPr>
          <w:trHeight w:val="216"/>
        </w:trPr>
        <w:tc>
          <w:tcPr>
            <w:tcW w:w="7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(4,089)</w:t>
            </w:r>
          </w:p>
        </w:tc>
      </w:tr>
      <w:tr>
        <w:trPr>
          <w:trHeight w:val="27"/>
        </w:trPr>
        <w:tc>
          <w:tcPr>
            <w:tcW w:w="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8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assumed</w:t>
            </w:r>
          </w:p>
        </w:tc>
        <w:tc>
          <w:tcPr>
            <w:tcW w:w="16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(6,619)</w:t>
            </w:r>
          </w:p>
        </w:tc>
      </w:tr>
      <w:tr>
        <w:trPr>
          <w:trHeight w:val="216"/>
        </w:trPr>
        <w:tc>
          <w:tcPr>
            <w:tcW w:w="780" w:type="dxa"/>
            <w:vAlign w:val="bottom"/>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78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12,951</w:t>
            </w:r>
          </w:p>
        </w:tc>
        <w:tc>
          <w:tcPr>
            <w:tcW w:w="140" w:type="dxa"/>
            <w:vAlign w:val="bottom"/>
            <w:tcBorders>
              <w:left w:val="single" w:sz="8" w:color="CCEEFF"/>
            </w:tcBorders>
            <w:shd w:val="clear" w:color="auto" w:fill="CCEEFF"/>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unaudited summary of pro forma combined results of operation for 2012 gives effect to the acquisition of PeopleCube as if we had completed it on January 1, 2012. This pro forma summary does not reflect any operating efficiencies, cost savings or revenue enhancements that we may achieve by combining companies. In addition, we have not reflected certain non-recurring expenses, such as legal expenses and other transactions expenses for the first 12 months after the acquisition, in the pro forma summary. We present this pro forma summary for informational purposes only and it is not necessarily indicative of what our actual results of operations would have been had the acquisition taken place as January 1, 2012, nor is it indicative of future consolidated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FOR THE THREE</w:t>
            </w: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FOR THE SIX</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MONTHS ENDED</w:t>
            </w: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MONTHS ENDED</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JUNE 30,</w:t>
            </w: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JUNE 30,</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(3,126)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w:t>
            </w:r>
          </w:p>
        </w:tc>
        <w:tc>
          <w:tcPr>
            <w:tcW w:w="1440" w:type="dxa"/>
            <w:vAlign w:val="bottom"/>
          </w:tcPr>
          <w:p>
            <w:pPr>
              <w:spacing w:after="0"/>
              <w:rPr>
                <w:sz w:val="18"/>
                <w:szCs w:val="18"/>
                <w:color w:val="auto"/>
              </w:rPr>
            </w:pPr>
          </w:p>
        </w:tc>
      </w:tr>
      <w:tr>
        <w:trPr>
          <w:trHeight w:val="608"/>
        </w:trPr>
        <w:tc>
          <w:tcPr>
            <w:tcW w:w="1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Asure accounted for its historical acquisitions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recorded the amount exceeding the fair value of net assets acquired at the date of acquisition as goodwill. We recorded intangible assets apart from goodwill if the assets had contractual or other legal rights or if the assets could be separated and sold, transferred, licensed, rented or exchanged. Asure’s goodwill relates to the acquisitions of ADI and Legiant in 2011 and the acquisition of PeopleCube in July 2012.</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review and evaluate our long-lived assets, including intangible assets with finite lives, for impairment whenever events or changes in circumstances indicate that we may not recover their net book value. We test goodwill for impairment on an annual basis in the fourth fiscal quarter of each year, and between annual tests, if indicators of potential impairment exist, using a fair-value-based approach. There has been no impairment of goodwill for the periods presented. We amortize intangible assets not considered to have an indefinite useful life using the straight-line method over their estimated period of benefit, which generally ranges from one to ten years. Each reporting period, we evaluate the estimated remaining useful life of intangible assets and assess whether events or changes in circumstances warrant a revision to the remaining period of amortization or indicate that impairment exists. We have not identified any impairments of finite-lived intangible assets during any of the periods presented.</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our goodwill:</w:t>
            </w: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2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15,525</w:t>
            </w:r>
          </w:p>
        </w:tc>
      </w:tr>
      <w:tr>
        <w:trPr>
          <w:trHeight w:val="216"/>
        </w:trPr>
        <w:tc>
          <w:tcPr>
            <w:tcW w:w="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Adjustments to goodwill</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June 30, 2013</w:t>
            </w:r>
          </w:p>
        </w:tc>
        <w:tc>
          <w:tcPr>
            <w:tcW w:w="17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15,527</w:t>
            </w:r>
          </w:p>
        </w:tc>
      </w:tr>
      <w:tr>
        <w:trPr>
          <w:trHeight w:val="20"/>
        </w:trPr>
        <w:tc>
          <w:tcPr>
            <w:tcW w:w="78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gross carrying amount and accumulated amortization of our intangible assets as of June 30, 2013 and December 31, 2012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w w:val="93"/>
              </w:rPr>
              <w:t>June 30, 2013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8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Period (in Years)</w:t>
            </w:r>
          </w:p>
        </w:tc>
        <w:tc>
          <w:tcPr>
            <w:tcW w:w="2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Amortization</w:t>
            </w:r>
          </w:p>
        </w:tc>
        <w:tc>
          <w:tcPr>
            <w:tcW w:w="300" w:type="dxa"/>
            <w:vAlign w:val="bottom"/>
          </w:tcPr>
          <w:p>
            <w:pPr>
              <w:spacing w:after="0"/>
              <w:rPr>
                <w:sz w:val="20"/>
                <w:szCs w:val="20"/>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(4,437)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8,041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Trade Names</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(663)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17,627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(6,752)</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10,875</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3"/>
        </w:trPr>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rPr>
              <w:t>December 31, 2012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8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Period (in Years)</w:t>
            </w:r>
          </w:p>
        </w:tc>
        <w:tc>
          <w:tcPr>
            <w:tcW w:w="2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Amortization</w:t>
            </w:r>
          </w:p>
        </w:tc>
        <w:tc>
          <w:tcPr>
            <w:tcW w:w="300" w:type="dxa"/>
            <w:vAlign w:val="bottom"/>
          </w:tcPr>
          <w:p>
            <w:pPr>
              <w:spacing w:after="0"/>
              <w:rPr>
                <w:sz w:val="20"/>
                <w:szCs w:val="20"/>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(3,515)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8,963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Trade Names</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17,627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(5,448)</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12,179</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01"/>
        </w:trPr>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 amortization expense using the straight-line method over the estimated economic useful lives of the intangible assets, as noted above. Amortization expenses for the three months ended June 30, 2013 and 2012 were $582 and $292, respectively, included in Operating Expenses. Amortization expenses recorded in Cost of Sales were $70 and $65 for the three months ended June 30, 2013 and 2012, respectively. Amortization expense for the six months ended June 30, 2013 and 2012 was $1,164 and $586 included in Operating Expenses, and $140 and $128, respectively, included in Cost of Sales.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future estimated amortization expense relating to our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 (remaining)</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December 31, 2014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2,250</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2,096</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1,572</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2,239</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10,875</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NOTE 6 – NOTES PAYABLE AND DERIVATIVE LIABILITY</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600" w:type="dxa"/>
            <w:vAlign w:val="bottom"/>
            <w:gridSpan w:val="4"/>
          </w:tcPr>
          <w:p>
            <w:pPr>
              <w:ind w:left="640"/>
              <w:spacing w:after="0"/>
              <w:rPr>
                <w:sz w:val="20"/>
                <w:szCs w:val="20"/>
                <w:color w:val="auto"/>
              </w:rPr>
            </w:pPr>
            <w:r>
              <w:rPr>
                <w:rFonts w:ascii="Arial" w:cs="Arial" w:eastAsia="Arial" w:hAnsi="Arial"/>
                <w:sz w:val="18"/>
                <w:szCs w:val="18"/>
                <w:color w:val="auto"/>
                <w:w w:val="94"/>
              </w:rPr>
              <w:t>The following table summarizes our outstanding debt as of the dates indicated:</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20"/>
              <w:spacing w:after="0"/>
              <w:rPr>
                <w:sz w:val="20"/>
                <w:szCs w:val="20"/>
                <w:color w:val="auto"/>
              </w:rPr>
            </w:pPr>
            <w:r>
              <w:rPr>
                <w:rFonts w:ascii="Arial" w:cs="Arial" w:eastAsia="Arial" w:hAnsi="Arial"/>
                <w:sz w:val="18"/>
                <w:szCs w:val="18"/>
                <w:b w:val="1"/>
                <w:bCs w:val="1"/>
                <w:color w:val="auto"/>
              </w:rPr>
              <w:t>Balance as of</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Stated Interest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June</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as of</w:t>
            </w:r>
          </w:p>
        </w:tc>
      </w:tr>
      <w:tr>
        <w:trPr>
          <w:trHeight w:val="241"/>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Maturity</w:t>
            </w:r>
          </w:p>
        </w:tc>
        <w:tc>
          <w:tcPr>
            <w:tcW w:w="100" w:type="dxa"/>
            <w:vAlign w:val="bottom"/>
          </w:tcPr>
          <w:p>
            <w:pPr>
              <w:spacing w:after="0"/>
              <w:rPr>
                <w:sz w:val="20"/>
                <w:szCs w:val="20"/>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30, 2013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0"/>
              </w:rPr>
              <w:t>December 31,2012</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ADI - Acquisition Note</w:t>
            </w: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10/1/2014</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02"/>
        </w:trPr>
        <w:tc>
          <w:tcPr>
            <w:tcW w:w="20" w:type="dxa"/>
            <w:vAlign w:val="bottom"/>
          </w:tcPr>
          <w:p>
            <w:pPr>
              <w:spacing w:after="0"/>
              <w:rPr>
                <w:sz w:val="17"/>
                <w:szCs w:val="17"/>
                <w:color w:val="auto"/>
              </w:rPr>
            </w:pPr>
          </w:p>
        </w:tc>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Subordinated notes payable:</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Legiant Acquisition - Note # 2</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10/1/2014</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02"/>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notes payable:</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ADI – Acquisition – Note #3</w:t>
            </w: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10/1/2014</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1,593</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Subordinated Convertible Notes Payable – 9% Notes</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9/30/2014</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 Payable – 15% Notes</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9/30/2014</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Subordinated Notes Payable: PeopleCube Acquisition Note</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10/31/2014</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Note Payable</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7/01/2016</w:t>
            </w:r>
          </w:p>
        </w:tc>
        <w:tc>
          <w:tcPr>
            <w:tcW w:w="17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Notes Payable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17,686</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20,137</w:t>
            </w: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notes payable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30"/>
        </w:trPr>
        <w:tc>
          <w:tcPr>
            <w:tcW w:w="20" w:type="dxa"/>
            <w:vAlign w:val="bottom"/>
          </w:tcPr>
          <w:p>
            <w:pPr>
              <w:spacing w:after="0"/>
              <w:rPr>
                <w:sz w:val="20"/>
                <w:szCs w:val="20"/>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Long-term notes payable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16,687</w:t>
            </w:r>
          </w:p>
        </w:tc>
      </w:tr>
    </w:tbl>
    <w:p>
      <w:pPr>
        <w:spacing w:after="0" w:line="2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future principal payments related to our outstanding debt, including the impact of the amendment to the Senior Note Payable discussed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Unamortized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Original Issue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Total Notes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Twelve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Gross 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Discount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Payable</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December 31, 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1440" w:type="dxa"/>
            <w:vAlign w:val="bottom"/>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18,359</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673</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17,686</w:t>
            </w:r>
          </w:p>
        </w:tc>
        <w:tc>
          <w:tcPr>
            <w:tcW w:w="1440" w:type="dxa"/>
            <w:vAlign w:val="bottom"/>
          </w:tcPr>
          <w:p>
            <w:pPr>
              <w:spacing w:after="0"/>
              <w:rPr>
                <w:sz w:val="22"/>
                <w:szCs w:val="22"/>
                <w:color w:val="auto"/>
              </w:rPr>
            </w:pPr>
          </w:p>
        </w:tc>
      </w:tr>
      <w:tr>
        <w:trPr>
          <w:trHeight w:val="574"/>
        </w:trPr>
        <w:tc>
          <w:tcPr>
            <w:tcW w:w="144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ADI - Acquisition Note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conjunction with the acquisition of the assets of ADI in October 2011, our wholly-owned subsidiary issued a $1,095 note payable to the seller. This note bears interest at an annual rate of 0.16%, will mature on October 1, 2014 and is guaranteed by us. We may offset any indemnification payments owed by the seller under the asset purchase agreement against up to $1,000 due under the note. We recorded the note at fair value using a discount rate of 9%, which resulted in an original issue discount of $244, which will accrete up the note to its aggregate principal amount over the course of the life of the loan using the effective interest method. We made a principal payment of $245 in July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Legiant Acquisition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conjunction with the acquisition of Legiant, our wholly-owned subsidiary issued three separate promissory notes to the seller. The details of each of the notes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Legiant Acquisition - Note #1 was for an aggregate principal amount of $250, bore interest at an annual rate of 0.20% and matured in February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paid this note in full in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 - Note #2</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Legiant Acquisition - Note #2 is for the principal amount of $478, bears interest at an annual rate of 5.00% and required monthly payments of $10 until June 2012. Asure made a principal payment for $235 in July 2012. No further cash interest or principal is payable until the maturity date of October 1, 2014.</w:t>
      </w:r>
    </w:p>
    <w:p>
      <w:pPr>
        <w:spacing w:after="0"/>
        <w:rPr>
          <w:sz w:val="20"/>
          <w:szCs w:val="20"/>
          <w:color w:val="auto"/>
        </w:rPr>
      </w:pPr>
      <w:r>
        <w:rPr>
          <w:rFonts w:ascii="Arial" w:cs="Arial" w:eastAsia="Arial" w:hAnsi="Arial"/>
          <w:sz w:val="18"/>
          <w:szCs w:val="18"/>
          <w:i w:val="1"/>
          <w:iCs w:val="1"/>
          <w:color w:val="auto"/>
        </w:rPr>
        <w:t>Legiant Acquisition - Note #3</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Legiant Acquisition - Note #3 is for an aggregate principal amount of $1,761, bears interest at an annual rate of 0.20%, and is due in a single lump sum on October 1, 2014. We may offset any indemnification payments owed by the seller under the asset purchase agreement to us against up to $1,000 of Note #3. We recorded the note at fair value using a discount rate of 9%, resulting in an original issue discount of $382, which will accrete up the note to its aggregate principal amount over the course of the life of the loan using the effective interest method.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guaranteed all three promissory notes, which are subordinated to our senior note payable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 - 9% Notes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2011, we sold $1,500 of our 9% subordinated convertible notes (“9% Notes”) in a private placement to accredited investors to finance the ADI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As Originally Issued</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9% Notes pay interest on each of March 31, June 30, September 30 and December 31, beginning on December 31, 2011, at a rate of 9% per year. The 9% Notes will mature on September 30, 2014. The 9% Notes are secured by all of our assets, but are subordinated to our obligations under the senior note payable and the 15% Notes discussed below.</w:t>
      </w: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Beginning 12 months from the date of issuance, each note holder may convert the 9% Notes into shares of our common stock at a conversion price of $5.00 per share, subject to adjustments for stock dividends and splits and certain other events. Additionally, if we subsequently issue common stock at a price below the then current conversion price, the conversion price will be reset to the greater of $3.27 per share (the closing price of our common stock on September 30, 2011) or such lower price. In the event that a holder of a 9% Note elects to convert the 9% Note into equity, and we determine that such conversion would jeopardize our federal tax loss carryforward benefits, we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us, multiplied by the Premium Rate. The Premium Rate is 1.1 if a holder notifies us of an intention to convert the 9% Note into equity prior to the date that is 90 days before the maturity date and 1.5 if such notification is made within 90 days of the maturity date. The 9% Notes also contain customary terms of default.</w:t>
      </w:r>
    </w:p>
    <w:p>
      <w:pPr>
        <w:sectPr>
          <w:pgSz w:w="11900" w:h="16838" w:orient="portrait"/>
          <w:cols w:equalWidth="0" w:num="1">
            <w:col w:w="11420"/>
          </w:cols>
          <w:pgMar w:left="240" w:top="121"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agreed that if we issue common stock below $3.25 per share, each holder of the 9% Notes outstanding at that time will have the right to purchase such holder’s pro rata portion of the new stock issuance.</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9% Notes contained embedded derivative instruments related to the conversion feature that Asure accounted for separately. Asure has re-measured the fair values of these instruments for each reporting period and recorded a gain or loss for the change in fair value. At inception, we valued the conversion feature at $274, resulting in an original issue discount on the convertible debt accreting up the 9% Notes to their aggregate principal amount over the course of the life of the loan using the effective interest method. We recognized amortization of the original issue discount of $21 during 2011. We used a Monte Carlo simulation in a risk-neutral framework to simulate our market capitalization outcomes, including considerations of our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our Consolidated Statements of Comprehensive Income (Loss).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9% Notes - Amendments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March 2012, we amended the terms of the 9% Notes to eliminate the embedded derivative features resulting in a settlement or extinguishment of the derivative liability. Under the terms of the amendment, each holder of 9% Notes was permitted to convert the outstanding principal balance due thereunder into shares of our common stock at the conversion price originally set forth in the 9% Notes ($5.00 per share of common stock) on or before March 15, 2012. As consideration for agreeing to the terms of the amendment, we made a one-time cash payment in such amount as follows: (i) $211 for holders of 9% Notes who elected to convert their 9% Notes into common stock prior to March 16, 2012, an amount equal to 80% of the interest that such holder would have received by holding the 9% Note to maturity and (ii) $11 for holders of 9% Notes who did not elect to convert their 9% Notes into common stock prior to March 16, 2012, an amount equal to 3% of the outstanding principal amount of each 9% Note. In each case, the holders of the 9% Notes agreed to the removal of the dilution protection provision to reset the conversion price below $5.00 per share upon certain issuances of our common stock below $5.00 per share. Holders of approximately $1,150 of the total $1,500 of principal amount of 9% Notes converted their 9% Notes to common stock.</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amendment to the 9% Notes eliminated the derivative liability. Effective on March 10, 2012, we no longer accounted for the derivatives on a separate basis. Therefore, we no longer re-measure the value of the derivatives after the amendment date. The fair value of the conversion feature was $1,300 at March 10, 2012, with $465 recorded in the income statement for the mark-to-market impact. We recorded this amount in interest expense – amortization of OID and derivative mark-to-market in the Consolidated Statements of Comprehensive Income (Loss). The conversion of the 9% Notes and elimination of the derivative liability resulted in a loss on debt conversion of $198, a reduction in the carrying value of the 9% Notes to $296 at March 31, 2012 and an increase in additional paid in capital of $2,244 for the issuance of 345 shares of common stock issued upon conversion.</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Goepel, our Chief Executive Officer, purchased $200 of the 9% Notes. Red Oak Fund, LP purchased $600 of the 9% Notes. Mr. Sandberg, our Chairman, is the controlling member of Red Oak Partners, LLC, which manages the Red Oak Fund. Both parties subsequently converted the 9% Notes under the terms of the amendment.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- 15% Notes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2011, we sold $1,700 of our 15% subordinated notes (“15% Notes”) in a private placement to accredited investors. The 15% Notes pay interest on each of March 31, June 30, September 30 and December 31, beginning on December 31, 2011, at a rate of 15% per year. The 15% Notes have a maturity date of September 30, 2014. On July 1, 2012, Asure prepaid $900 from proceeds of the senior note payable. Mr. Goepel, our Chief Executive Officer, originally purchased $500 of the 15% Notes. Pinnacle Fund, LLLP originally purchased $300 of the 15% Notes. Mr. Sandberg, our Chairman, is the controlling member of Red Oak Partners, LLC, which owns 50% of Pinnacle Partners, LLC, the general partner of the Pinnacle Fund, LLLP. Red Oak Partners, LLC is also the manager of the Pinnacle Fund, LLLP. We expensed $115 of fees for this transaction during 2012. The 15% Notes are secured by all of our assets, but are subordinated to our obligations to the senior note payable discussed below. The 15% Notes also contain customary terms of default.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 Payable: PeopleCube Acquisition – Note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2012, we issued a $3,000 Note to the seller in the PeopleCube stock acquisition. The note is due October 31, 2014, subject to offset of any amounts owed by the seller to us under the indemnification provisions of the stock purchase agreement. We recorded the note at fair value using a discount rate of 10%, which resulted in an original issue discount of $622, which will accrete up the note to its aggregate principal amount over the course of the life of the loan using the effective interest method.</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note payable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2012, we and our wholly-owned subsidiaries entered into a loan agreement with Deerpath Funding, LP, a Delaware limited partnership, as lender, administrative agent and collateral agent (“Deerpath”). Under the loan agreement, we borrowed $14,500 to (i) finance the cash purchase consideration for the acquisition of PeopleCube, (ii) pay outstanding indebtedness under the 15% Notes (including partial interest and subordination consent payments of $134 to Mr. Goepel, our Chief Executive Officer, and $81 to Pinnacle Fund, which is controlled by David Sandberg, our Chairman) and our bank line of credit, and (iii) pay transaction costs and expenses of the term loan and the acquisition of PeopleCube.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which was amended effective December 31, 2012, also provides for a conditional commitment to provide additional single advance senior secured term loans from time to time in an aggregate amount not to exceed $10,000 to be used for refinancing certain other indebtedness, funding permitted acquisitions or other growth initiatives, and paying fees and expenses of the term loans and permitted acquisitions. We have not borrowed any amounts under the conditional term loan commitment.</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senior note payable bears interest at a floating annual rate equal to LIBOR plus 8.00%, subject to a LIBOR floor of 9.5%, or a minimum of 11.5%. It requires a separate $2,000 principal payment by October 31, 2013 in addition to monthly payments of interest only beginning on August 1, 2012 and quarterly principal payments of $362 beginning on October 1, 2012, with any remaining principal due on July 1, 2016. We paid the $2,000 principal payment in May 2013. In addition, in March 2013, we paid a $240 loan amendment fee, of which $52 was recorded to interest expense and $188 was recorded as a prepaid expense and are amortizing to interest expense over the term of the note payable using the straight-line method.</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prepay all or a portion of the principal amount outstanding at any time, subject to a premium ranging from 1% to 5% of the principal amount being prepaid depending on if the prepayment occurs on or before the first, second or third anniversary of the closing date. The term loan requires annual mandatory prepayments beginning December 31, 2012 of outstanding principal with 75% of excess cash flow as defined in the loan agreement (such percentage to be reduced to 50% if we achieve a specified senior debt-to-EBITDA ratio) and, at Deerpath’s election, with proceeds from certain events, including 100% of the net proceeds of any asset sales and issuance of equity securities. The senior note payable is secured by a first priority lien on all of our and our subsidiaries’ assets and pledges of 100% of the equity interests in Asure’s domestic subsidiaries and 65% of the equity interests in Asure’s foreign subsidiaries.</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loan agreement contains customary covenants, which were amended effective December 31, 2012, including but not limited to limitations with respect to debt, liens, mergers and acquisitions, sale of assets, loans or advances to and investments in others, dividends or other distributions, capital expenditures and management compensation. Beginning with the quarter ending September 30, 2012, we were required to maintain a total debt-to-EBITDA ratio of not greater than 3.75 to 1.00 (3.50 to 1.00 at December 31, 2012). Beginning with the quarter ended March 31, 2013, we were required to maintain a total debt-to-EBITDA ratio of not greater than 4.50 to 1.00, with the levels stepping down thereafter to 2.75 to 1.00 for the quarter ending March 31, 2014 and thereafter. Beginning with the quarter ended December 31, 2012, we agreed to a senior debt-to-EBITDA ratio of not greater than 2.66 to 1.00 with the levels stepping down thereafter to 1.75 to 1.00 for the quarter ending December 31, 2014 and thereafter. Deerpath may designate one representative to attend all meetings of our board of directors as a non-voting observer.</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second amendment to the loan agreement was made effective March 31, 2013 to clarify the fixed charge coverage ratio calculation. It amended the required fixed charge coverage ratios required under the loan agreement to be consistent with EBITDA levels established with the first amendment that was effective as of December 31, 2012. Beginning with the quarter ended March 31, 2013, we were required to maintain a fixed charge coverage ratio of not less than 1.00 to 1.00, with levels increasing thereafter to 1.50 to 1.00 for the quarter ending December 31, 2014 to 3.00 to 1.00 for the quarter ending June 30, 2016 and thereafter.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in compliance with the amended covenant requirements as of June 30, 2013 and expect to be in compliance or be able to obtain compliance through debt repayments with the available cash on hand over the subsequent twelve month period.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agreement contains customary events of default, including, among others, (i) payment defaults, (ii) covenant defaults, (iii) incorrect representations or warranties, (iv) bankruptcy and insolvency events, (v) certain cross defaults and cross accelerations, (vi) certain change of control or change of management events and (vii) certain material adverse events. In some cases, the defaults are subject to customary notice and grace period provisions.</w:t>
      </w:r>
    </w:p>
    <w:p>
      <w:pPr>
        <w:spacing w:after="0" w:line="21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made principal payments of $362 on the senior note payable on each of October 1, 2012, January 1, 2013 and April 1, 2013. We paid the required $2,000 principal payment in May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2011, we entered into a credit agreement with JPMorgan Chase Bank N.A. (“Bank”), providing for a $500 line of credit (the “Line of Credit”), which we fully utilized as of December 31, 2011. As originally issued, the Line of Credit bore interest at a rate of 1.5% above the CB Floating Rate and matured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repaid the $500 outstanding under the line of credit in full in July 2012. This line has expired as of December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2013, we sold approximately 662,000 shares of common stock to various investors, including certain directors of the Company and other entities affiliated with the directors at a purchase price of $5.31 per share, for proceeds, net of fees and expenses, of approximately $3,500. We sold the shares pursuant to a registration statement on Form S-3and a related prospectus supplement. We used $2,000 of the funds to make a principal payment under our loan agreement with Deerpath Funding, LP. We plan to use the balance of the net proceeds for general corporate purposes, which may include repayment of additional outstanding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 BASED COMPENSATION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 based compensation for our stock option plans for the three months ended June 30, 2013 and 2012 were $45 and $25, respectively, and $69 and $35 for the six months ended June 30, 2013 and 2012, respectively. We issued 4,425 and 1,500 shares of common stock related to exercises of stock options granted from our Stock Option Plan for the three months ended June 30, 2013 and 2012, respectively.</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has one active equity plan, the 2009 Equity Plan (the “2009 Plan”). The 2009 Plan provides for the issuance of non-qualified and incentive stock options to our employees and consultants. We generally grant stock options with exercise prices greater than or equal to the fair market value at the time of grant. The options generally vest over three to four years and are exercisable for a period of five to ten years beginning with date of grant. Our shareholders approved an amendment to the 2009 Plan in June 2013 to increase the number of shares reserved under the plan from 900,000 to 1,200,000. We have a total of 673,000 options granted and outstanding pursuant to the 2009 Plan as of June 30,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LOSS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Comprehensive (loss) income represents a measure of all changes in equity that result from recognized transactions and other economic events other than those resulting from investments by and distributions to shareholders. Our other comprehensive loss includes foreign currency translation adjustments.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changes in each component of accumulated other comprehensive (loss) income, net of tax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Foreign</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r>
      <w:tr>
        <w:trPr>
          <w:trHeight w:val="241"/>
        </w:trPr>
        <w:tc>
          <w:tcPr>
            <w:tcW w:w="536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Currency Items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Income Items</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7"/>
        </w:trPr>
        <w:tc>
          <w:tcPr>
            <w:tcW w:w="5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 2013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tax (expense) benefit allocated to each component of other comprehensive (loss) income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8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auto"/>
                <w:w w:val="90"/>
              </w:rPr>
              <w:t>Three Months Ended June 30, 2013</w:t>
            </w:r>
          </w:p>
        </w:tc>
      </w:tr>
      <w:tr>
        <w:trPr>
          <w:trHeight w:val="223"/>
        </w:trPr>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Net of Tax</w:t>
            </w:r>
          </w:p>
        </w:tc>
        <w:tc>
          <w:tcPr>
            <w:tcW w:w="12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0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23"/>
        </w:trPr>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3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8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auto"/>
                <w:w w:val="90"/>
              </w:rPr>
              <w:t>Six Months Ended June 30, 2013</w:t>
            </w:r>
          </w:p>
        </w:tc>
      </w:tr>
      <w:tr>
        <w:trPr>
          <w:trHeight w:val="223"/>
        </w:trPr>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Before Tax</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Tax Benefit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Net of Tax</w:t>
            </w:r>
          </w:p>
        </w:tc>
        <w:tc>
          <w:tcPr>
            <w:tcW w:w="12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0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LOSS PER SHARE</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compute Net Loss per Share based on the weighted average number of common shares outstanding for the period. Diluted Net Loss per Share reflects the maximum dilution that would have resulted from incremental common shares issuable upon the exercise of stock options. We compute the number of common share equivalents, which includes stock options, using the treasury stock method. We have excluded stock options to acquire 673,000 shares for the three and six months ended June 30, 2013 and 637,000 shares for the three and six months ended June 30, 2012, respectively, from the computation of the dilutive stock options because the effect of including the stock options would have been anti-dilutive.</w:t>
      </w:r>
    </w:p>
    <w:p>
      <w:pPr>
        <w:spacing w:after="0" w:line="200" w:lineRule="exact"/>
        <w:rPr>
          <w:sz w:val="20"/>
          <w:szCs w:val="20"/>
          <w:color w:val="auto"/>
        </w:rPr>
      </w:pPr>
    </w:p>
    <w:p>
      <w:pPr>
        <w:jc w:val="both"/>
        <w:ind w:firstLine="708"/>
        <w:spacing w:after="0" w:line="277" w:lineRule="auto"/>
        <w:rPr>
          <w:sz w:val="20"/>
          <w:szCs w:val="20"/>
          <w:color w:val="auto"/>
        </w:rPr>
      </w:pPr>
      <w:r>
        <w:rPr>
          <w:rFonts w:ascii="Arial" w:cs="Arial" w:eastAsia="Arial" w:hAnsi="Arial"/>
          <w:sz w:val="18"/>
          <w:szCs w:val="18"/>
          <w:color w:val="auto"/>
        </w:rPr>
        <w:t>On April 30, 2012, we completed a 3-for-2 stock split. All prior periods have been adjusted to reflect the impact of the stock split, including the impact on basic and diluted net loss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 unless otherwise noted)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loss per common share for the three and six months ended June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8"/>
                <w:szCs w:val="18"/>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For the Six Months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shares of</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37"/>
        </w:trPr>
        <w:tc>
          <w:tcPr>
            <w:tcW w:w="144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common stock outstanding</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5,497,000</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4,982,000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5,380,000</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4,841,000</w:t>
            </w:r>
          </w:p>
        </w:tc>
        <w:tc>
          <w:tcPr>
            <w:tcW w:w="12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w w:val="95"/>
              </w:rPr>
              <w:t>Basic and diluted net loss</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(0.10)</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(0.06</w:t>
            </w: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(0.31)</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(0.24)</w:t>
            </w:r>
          </w:p>
        </w:tc>
        <w:tc>
          <w:tcPr>
            <w:tcW w:w="1440" w:type="dxa"/>
            <w:vAlign w:val="bottom"/>
          </w:tcPr>
          <w:p>
            <w:pPr>
              <w:spacing w:after="0"/>
              <w:rPr>
                <w:sz w:val="20"/>
                <w:szCs w:val="20"/>
                <w:color w:val="auto"/>
              </w:rPr>
            </w:pPr>
          </w:p>
        </w:tc>
      </w:tr>
      <w:tr>
        <w:trPr>
          <w:trHeight w:val="21"/>
        </w:trPr>
        <w:tc>
          <w:tcPr>
            <w:tcW w:w="1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74"/>
        </w:trPr>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770"/>
              <w:spacing w:after="0"/>
              <w:rPr>
                <w:sz w:val="20"/>
                <w:szCs w:val="20"/>
                <w:color w:val="auto"/>
              </w:rPr>
            </w:pPr>
            <w:r>
              <w:rPr>
                <w:rFonts w:ascii="Arial" w:cs="Arial" w:eastAsia="Arial" w:hAnsi="Arial"/>
                <w:sz w:val="18"/>
                <w:szCs w:val="18"/>
                <w:color w:val="auto"/>
                <w:w w:val="79"/>
              </w:rPr>
              <w:t>17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discussion and analysis of Asure’s financial position as of and for the three months and six months ended June 30, 2013 and 2012 should be read in conjunction with our 2012 Annual Report on Form 10-K filed with the Securities and Exchange Commission. Asure’s internet website address is http://www.asuresoftware.com. Our annual reports on Form 10-K, quarterly reports on Form 10-Q, current reports on Form 8-K and amendments to those reports filed or furnished pursuant to Section 13(a) or 15(d) of the Securities Exchange Act of 1934 are available through the investor relations page of our internet website free of charge as soon as reasonably practicable after they are electronically filed, or furnished to, the Securities and Exchange Commission. Asure’s internet website and the information contained therein or connected thereto is not incorporated into this Quarterly Report on Form 10-Q.</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Asure is a leading global provider of web-based workforce management solutions that enable organizations to manage their office environment as well as their human resource and payroll processes effectively and efficiently. Our software is delivered primarily as software-as-a-service, or SaaS, and on premise. Asure markets a suite of hardware products that enable time and facility management and are fully integrated with our software offerings. We also offer a wide range of professional services for implementation and customer customization. Our revenues consist of software subscription revenue, hardware revenue, maintenance revenue, onetime software license revenue and professional services revenue.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 offerings consist of AsureSpace™ workplace management solutions that enable organizations to manage their office environments and optimize real estate utilization, and AsureForce® time and labor management solutions which help organizations optimize labor and labor administration costs and activities. We target our sales and marketing efforts to a wide range of audiences, from small and medium-sized businesses to Fortune 500 companies and divisions of enterprise organizations throughout the United States, Europe and Asia/Pacific. We generate sales of our solutions through our direct sales teams and indirectly through our channel partners. We are expanding our investment in our direct sales teams to continue to address our market opportunity.</w:t>
      </w:r>
    </w:p>
    <w:p>
      <w:pPr>
        <w:spacing w:after="0" w:line="22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April 2012, we effected a 3-for-2 stock split. We made cash payments based upon the closing price of our shares on the record date in lieu of the issuance of fractional shares. Share and per share information in this report, including in our financial statements, reflect the impact of the stock split.</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April 11, 2013, we received a letter from The NASDAQ Stock Market (“NASDAQ”) stating that pursuant to Rule 5550(b)(2), we had not met the $35 million minimum Market Value of Listed Securities (“MVLS”) for our common stock for the period from February 26, 2013 to April 10, 2013. Rule 5550(b)(2) requires the Company to have a minimum MVLS of $35 million for at least 30 consecutive business days. In order to regain compliance with Rule 5550(b)(2), the Company’s MVLS must close at $35 million or more for a minimum of 10 consecutive trading days. The NASDAQ notification has no immediate effect on the listing of our common stock and Asure has a grace period of 180 calendar days, or until October 8, 2013, to regain compliance.</w:t>
      </w:r>
    </w:p>
    <w:p>
      <w:pPr>
        <w:spacing w:after="0" w:line="158" w:lineRule="exact"/>
        <w:rPr>
          <w:sz w:val="20"/>
          <w:szCs w:val="20"/>
          <w:color w:val="auto"/>
        </w:rPr>
      </w:pPr>
    </w:p>
    <w:p>
      <w:pPr>
        <w:jc w:val="both"/>
        <w:ind w:firstLine="698"/>
        <w:spacing w:after="0" w:line="279" w:lineRule="auto"/>
        <w:rPr>
          <w:sz w:val="20"/>
          <w:szCs w:val="20"/>
          <w:color w:val="auto"/>
        </w:rPr>
      </w:pPr>
      <w:r>
        <w:rPr>
          <w:rFonts w:ascii="Arial" w:cs="Arial" w:eastAsia="Arial" w:hAnsi="Arial"/>
          <w:sz w:val="17"/>
          <w:szCs w:val="17"/>
          <w:color w:val="auto"/>
        </w:rPr>
        <w:t>Under Rule 5550, we can regain compliance and avoid the potential for delisting of our common stock by satisfying any one of the MVLS test, the minimum equity test (total stockholder’s equity of $2.5 million) or the minimum net income test ($500,000 in net income from operations). Although we cannot control our stock price or market capitalization, we continue to monitor the MVLS for our common stock and are considering various options available to us if our common stock does not trade at a level that is likely to regain compliance within the requisite grace period.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2013, we sold approximately 662,000 shares of common stock to various investors, including certain directors of the Company and other entities affiliated with the directors at a purchase price of $5.31 per share, for proceeds, net of fees and expenses, of approximately $3.5 million. We believe this transaction allows us to meet the minimum equity test and brought us back into compliance with the NASDAQ requirements and we are awaiting confirmation from NASDAQ to this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 Asure has attempted to identify these forward-looking statements with the words “believes,” “estimates,” “plans,” “expects,” “anticipates,” “may,” “could” and other similar expressions. Although these forward-looking statements reflect management’s current plans and expectations, which we believe are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Comprehensive Income (Loss) for the fiscal periods indicated:</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46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FOR THE THREE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FOR THE SIX</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46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MONTHS ENDED</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rPr>
              <w:t>MONTHS ENDED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2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630"/>
              <w:spacing w:after="0"/>
              <w:rPr>
                <w:sz w:val="20"/>
                <w:szCs w:val="20"/>
                <w:color w:val="auto"/>
              </w:rPr>
            </w:pPr>
            <w:r>
              <w:rPr>
                <w:rFonts w:ascii="Arial" w:cs="Arial" w:eastAsia="Arial" w:hAnsi="Arial"/>
                <w:sz w:val="18"/>
                <w:szCs w:val="18"/>
                <w:b w:val="1"/>
                <w:bCs w:val="1"/>
                <w:color w:val="auto"/>
                <w:w w:val="94"/>
              </w:rPr>
              <w:t>JUNE 30,</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4"/>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19"/>
                <w:szCs w:val="19"/>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76.5</w:t>
            </w:r>
          </w:p>
        </w:tc>
        <w:tc>
          <w:tcPr>
            <w:tcW w:w="8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76.4</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73.4</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75.6</w:t>
            </w: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w:t>
            </w:r>
          </w:p>
        </w:tc>
        <w:tc>
          <w:tcPr>
            <w:tcW w:w="8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w:t>
            </w:r>
          </w:p>
        </w:tc>
        <w:tc>
          <w:tcPr>
            <w:tcW w:w="4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14.1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74.6</w:t>
            </w:r>
          </w:p>
        </w:tc>
        <w:tc>
          <w:tcPr>
            <w:tcW w:w="8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76.5</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75.4</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74.6</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8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2013 AND 2012 (Amounts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represent our consolidated revenues, including sales of our scheduling software, time and attendance and human resource software, complementary hardware devices to enhance our software products, software maintenance and support services, installation and training services and other professional services.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Revenues for the three months ended June 30, 2013 were $6,296, an increase of $2,091 or 49.7%, from the $4,205 reported for the three months ended June 30, 2012. The increase was primarily due to $2,088 of revenues generated by PeopleCube, which we acquired in July 2012.</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Revenues for the six months ended June 30, 2012 were $12,271, an increase of $3,914 or 46.8%, from the $8,357 reported for the six months ended June 30, 2012. The increase was primarily due to $4,013 of revenues generated by PeopleCube, which we acquired in July 2012.</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our sales are concentrated in certain industry sectors, including corporate, education, healthcare, governmental, legal and non-profit, our total customer base is widely spread across industries. Geographically, we sell our products worldwide, but sales are largely concentrated in the United States and Canada. Additionally, Asure has a distribution partner in Australia. We continue to target small and medium size businesses and divisions of enterprises in these same industries as prospective customers. As the overall workforce management solutions market continues to experience significant growth related to SaaS products, Asure will continue to focus on sales of its Meeting Room Manager On Demand, PeopleCube and ADI SaaS products.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continuing to develop our workforce management solutions and release new software updates and enhancements, we continue to actively explore other opportunities to acquire additional products or technologies to complement our current software and services. Through acquisitions in 2011 of ADI and Legiant, we expanded our cloud computing time and attendance software and management services business. The 2012 acquisition of PeopleCube gave Asure a product line that includes software to assist customers in driving integrated facility management of offices, conference rooms, video conferencing, events and training, alternative workspaces and lobby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gross margin for the three months ended June 30, 2013 was $4,815, an increase of $1,601, or 49.8%, from the $3,214 reported for the three months ended June 30, 2012. Gross margin as a percentage of revenues was 76.5% and 76.4% for the three months ended June 30, 2013 and 2012, respectively. We attribute the increase in gross margins of $1,601 to a full year of ADI and Legiant revenues and the acquisition of PeopleCube in July 2012. Absent PeopleCube, gross margin as a percentage of revenues would have increased to 81.8%. PeopleCube accounted for 33.2% of second quarter 2013 consolidated revenues and realized an overall gross margin of 65.8%.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gross margin for the six months ended June 30, 2013 were $9,013, an increase of $2,693, or 42.6%, from the $6,320 reported for the six months ended June 30, 2012. Gross margins as a percentage of revenues were 73.4% and 75.6% for the six months ended June 30, 2013 and 2012, respectively. Absent PeopleCube, gross margin as a percentage of revenues would have increased to 78.8%. PeopleCube accounted for 32.7% of year to date 2013 consolidated revenues and realized an overall gross margin of 62.5%.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general and administrative (“SG&amp;A”) expenses for the three months ended June 30, 2013 were $3,448, an increase of $1,114 or 47.7%, from the $2,334 reported for the three months ended June 30, 2012. SG&amp;A expenses as a percentage of revenues were 54.8% and 55.5% for the three months ended June 30, 2013 and 2012, respectively. The increase of $1,114 was primarily due to approximately $992 of PeopleCube expenses, which business we acquired in the third quarter of 2012, and were therefore not present in the second quarter of 2012. Additionally, ADI’s SG&amp;A expenses increased approximately $325, primarily due to an increase in sales and marketing salaries and benefits due to increased headcount and increased commissions due to increased sales, offset by a decrease in the remainder of SG&amp;A expenses of $203.</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Selling, general and administrative (“SG&amp;A”) expenses for the six months ended June 30, 2013 were $6,724, an increase of 2,257 or 50.5%, from the $4,467 reported for the six months ended June 30, 2012. SG&amp;A expenses as a percentage of revenues were 54.8% and 53.5% for the six months ended June 30, 2013 and 2012, respectively. The increase of $2,257 was driven by the $1,926 of PeopleCube expenses not present in the second quarter of 2012. Additionally ADI and Legiant’s SG&amp;A expenses increased $523 due primarily to an increase in ADI’s sales and marketing salaries and benefits due to increased headcount and increased commissions due to increased sales, offset by a decrease of the remaining SG&amp;A expenses of $183.</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(“R&amp;D”) expenses for the three months ended June 30, 2013 were $664, an increase of $73, or 12.4%, from the $591 reported for the three months ended June 30, 2012. R&amp;D expenses as a percentage of revenues were 10.5% and 14.1% for the three months ended June 30, 2013 and 2012, respectively. Absent PeopleCube, which had R&amp;D expenses of $252 which were not present in the second quarter of 2012, R&amp;D expenses would have decreased $179 from the prior year second quarter.</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(“R&amp;D”) expenses for the six months ended June 30, 2013 were $1,364, an increase of $183, or 15.5%, from the $1,181 reported for the six months ended June 30, 2012. R&amp;D expenses as a percentage of revenues were 11.1% and 14.1% for the six months ended June 30, 2013 and 2012, respectively. PeopleCube had R&amp;D expenses of $530 which were not present in the second quarter of 2012. These were offset by a decrease in professional fees of $223 and salaries and headcount of $59, as well as a decrease in R&amp;D expenses of $43 due to the closure of India and Canada operations in 2012.</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Asure continues to improve its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in management’s view, maintain a technological edge with competition.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in June 2012 a new version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Asure’s development efforts for future releases and enhancements are driven by feedback received from our existing and potential customers and by gauging market trends. Management believes we have the appropriate development team to design and further improve our workforce management solutions.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Amortization expenses for the three months ended June 30, 2013 were $582, an increase of $290, or 99.3%, from the $292 reported for the three months ended June 30, 2012. Amortization expenses as a percentage of revenues were 9.2% and 6.9% for the three months ended June 30, 2013 and 2012, respectively. Amortization expenses for the six months ended June 30, 2013 were $1,164, an increase of $578 or 98.6% compared to $586, reported for the six months ended June 30, 2012. Amortization expenses as a percentage of revenues were 9.5% and 7.0% for the six months ended June 30, 2013 and 2012, respectively. These increases are due to the amortization of intangibles acquired in the acquisition of PeopleCube in July 2012.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Income tax expense for the three months ended June 30, 2013 was $42, a decrease of $78, or 65.0%, from the $120 reported for the three months ended June 30, 2012. The decrease in income tax expense is due primarily to a one-time charge of $60 in the three months ended June 30, 2012 for income taxes associated with closing the Company’s India operations.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for the six months ended June 30, 2013 was $81, a decrease of $85, or 51.2%, from the $166 reported for the six months ended June 30, 2012, respectively. The decrease in income tax expense is due primarily to a one-time charge of $60 in the six months ended June 30, 2012 for income taxes associated with closing the Company’s India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expense for the three months ended June 30, 2013 was $648, an increase of $448, or 224.0%, from the $200 reported for the three months ended June 30, 2012. Other expense as a percentage of revenues was 10.3% and 4.8% for the three months ended June 30, 2013 and 2012, respectively. This increase is primarily due to the increase in interest expense on the senior note payable entered into in conjunction with the purchase of PeopleCube in July 2012. Other expense for the three months ended June 30, 2013 is composed primarily of interest expense on notes payable of $520 and amortization of OID of $125. Other expense for the three months ended June 30, 2012 is comprised of amortization of OID and derivative mark-to-market of $56 and quarterly interest on notes payable of $118.</w:t>
      </w:r>
    </w:p>
    <w:p>
      <w:pPr>
        <w:spacing w:after="0" w:line="220" w:lineRule="exact"/>
        <w:rPr>
          <w:sz w:val="20"/>
          <w:szCs w:val="20"/>
          <w:color w:val="auto"/>
        </w:rPr>
      </w:pPr>
    </w:p>
    <w:p>
      <w:pPr>
        <w:jc w:val="both"/>
        <w:ind w:firstLine="711"/>
        <w:spacing w:after="0" w:line="279" w:lineRule="auto"/>
        <w:rPr>
          <w:sz w:val="20"/>
          <w:szCs w:val="20"/>
          <w:color w:val="auto"/>
        </w:rPr>
      </w:pPr>
      <w:r>
        <w:rPr>
          <w:rFonts w:ascii="Arial" w:cs="Arial" w:eastAsia="Arial" w:hAnsi="Arial"/>
          <w:sz w:val="17"/>
          <w:szCs w:val="17"/>
          <w:color w:val="auto"/>
        </w:rPr>
        <w:t>Other expense for the six months ended June 30, 2013 was $1,349, an increase of $259, or 23.8%, from the $1,090 reported for the six months ended June 30, 2012. Other expense as a percentage of revenues was 11.0% and 13.0% for the six months ended June 30, 2013 and 2012, respectively. The increase in other expense is due to primarily to an increase in debt which resulted in increased interest on notes payable of $812, offset by a decrease in amortization of OID and derivative mark-to-market of $316 and a decrease of loss on debt conversion of $198.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generated a net loss of $569, or $(0.10) per share, during the three months ended June 30, 2013, compared to a net loss of $323 or $(0.06) per share reported for the three months ended June 30, 2012. Net loss as a percentage of total revenues was 9.0% for the three months ended June 30, 2013 compared to net loss of 7.7% of total revenues for the three months ended June 30, 2012.</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generated a net loss of $1,669, or $(0.31) per share, during the six months ended June 30, 2013, compared to a net loss of $1,170 or $(0.24) per share reported for the six months ended June 30, 2012. Net loss as a percentage of total revenues was 13.6% for the six months ended June 30, 2013 compared to net loss of 14.0% of total revenues for the six months ended June 30, 2012.</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continue to implement our corporate strategy for growing the software and services business by modestly investing in areas that directly generate revenue and positive cash flows for the Company. However, uncertainties and challenges remain, especially during this macroeconomic environment downturn, and there can be no assurance that we can successfully grow our revenues or achieve profitability during the remainder of fiscal year 2013.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4"/>
              </w:rPr>
              <w:t>JUNE 30,</w:t>
            </w:r>
          </w:p>
        </w:tc>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4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14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74"/>
              </w:rPr>
              <w:t>thousands)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(9,251)</w:t>
            </w:r>
          </w:p>
        </w:tc>
      </w:tr>
      <w:tr>
        <w:trPr>
          <w:trHeight w:val="230"/>
        </w:trPr>
        <w:tc>
          <w:tcPr>
            <w:tcW w:w="14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20"/>
                <w:szCs w:val="20"/>
                <w:color w:val="auto"/>
              </w:rPr>
            </w:pPr>
          </w:p>
        </w:tc>
      </w:tr>
      <w:tr>
        <w:trPr>
          <w:trHeight w:val="400"/>
        </w:trPr>
        <w:tc>
          <w:tcPr>
            <w:tcW w:w="14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5"/>
          </w:tcPr>
          <w:p>
            <w:pPr>
              <w:jc w:val="center"/>
              <w:spacing w:after="0"/>
              <w:rPr>
                <w:sz w:val="20"/>
                <w:szCs w:val="20"/>
                <w:color w:val="auto"/>
              </w:rPr>
            </w:pPr>
            <w:r>
              <w:rPr>
                <w:rFonts w:ascii="Arial" w:cs="Arial" w:eastAsia="Arial" w:hAnsi="Arial"/>
                <w:sz w:val="18"/>
                <w:szCs w:val="18"/>
                <w:b w:val="1"/>
                <w:bCs w:val="1"/>
                <w:color w:val="auto"/>
              </w:rPr>
              <w:t>FOR THE SIX MONTHS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08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w w:val="74"/>
              </w:rPr>
              <w:t>thousands)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9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r>
      <w:tr>
        <w:trPr>
          <w:trHeight w:val="216"/>
        </w:trPr>
        <w:tc>
          <w:tcPr>
            <w:tcW w:w="1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1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Working capital deficit was ($6,148) on June 30, 2013, a decrease of $3,103 from $(9,251) on December 31, 2012. The change in the working capital deficit was due to an increase in cash and cash equivalents of $1,118, a decrease in the current portion of notes payable of $2,000, as well as a decrease in accounts payable of $605, offset by an increase in accrued compensation and benefits of $336. These changes are primarily attributable to the sale of common stock in May 2013 for proceeds net of fees and expenses of approximately $3,500, as well as the acquisition of ADI and Legiant in 2011 and PeopleCube in July 2012.</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provided by operating activities was $796 for the six months ended June 30, 2013 primarily due to the net loss of $(1,669) which was offset by depreciation and amortization of $1,523, an increase in accrued expenses and deferred revenue of $1,093. Cash provided by operating activities was $938 for the six months ended June 30, 2012 primarily due to a loss of ($1,170) which was offset by the non-cash loss on debt conversion of $198, depreciation and amortization of $819, interest expense on amortization of OID and derivative mark-to-market of $591, and an increase in accounts payable of $400.</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was $245 for the six months ended June 30, 2013 due to net purchases of property. Cash used in investing activities was $79 for the six months ended June 30, 2012 due to net purchases of property and equipment of $151 which was offset by collection of notes receivable for $72.</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provided by financing activities was $517 for the six months ended June 30, 2013. This consisted of the sale of common stock of $3,461 offset by payments on notes payable of $2,726 and payments on capital leases of $43. Cash used in financing activities was $459 for the six months ended June 30, 2012 which was primarily related to payments on conversion of subordinated notes payable of $222 and payments on capital leases and notes payable of $308 which was offset by proceeds from exercise of options $16 and $55 from proceeds on the line of credit.</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office space and equipment under non-cancelable operating leases that expire at various dates through 2016. Certain leases obligate Asure to pay property taxes, maintenance and insurance and include escalation clauses. Approximately $699 or 50.0% of our total operating lease obligations relate to our corporate office facility at Wild Basin in Austin, Texas.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2013, Asure’s principal source of liquidity consisted of approximately $3,295 of current cash and cash equivalents as well as future cash generated from operations. Subject to the matters discussed below, we believe that we currently have and/or will generate sufficient cash for our operational needs, including any required debt payments, for at least the next twelve months. We continue to reduce expenses and may utilize some of our cash balances in the short-term to reduce our long-term costs. We currently project that we can generate positive cash flows from our operating activities in 2013.</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is focused on growing our existing product offering as well as our customer base to increase our recurring customer revenues and is also seeking additional strategic acquisitions for the near future, although we have no current agreements to acquire any technology or business. At present, we plan to fund any future acquisition with equity, existing cash, cash generated from future operations and/or cash or debt raised from outside sources.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assure that we can grow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that we will be able to raise additional capital on acceptable terms, or at all. Management believes that we have sufficient capital and liquidity to fund and cultivate the growth of our current and future operations for at least the next 12 months and to maintain compliance with the terms of our debt agreements and related covenants or to obtain compliance through debt repayments made with the available cash on hand.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2012. For additional information on critical accounting policies, refer to “Management’s Discussion and Analysis” in our 2012 Annual Report on Form 10-K.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under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us. Based on an evaluation under the supervision and with the participation of our management, our principal executive officer and principal financial officer have concluded that our disclosure controls and procedures as defined in Rules 13a-15(e) and 15d-15(e) under the Exchange Act were effective as of as of June 30, 2013 to provide reasonable assurance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ended June 30, 2013, there were no changes in our internal control over financial reporting that have materially affected, or are reasonably likely to materially affect, our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2012, we demanded a purchase price adjustment from PeopleCube Holding B.V. and Meeting Maker Holding B.V., the sellers of the capital stock of Meeting Maker – United States, Inc. (dba PeopleCube) that we purchased in July 2012, based on matters we discovered after closing. Both parties have agreed for the post-closing adjustment to be resolved by an Independent Accountant consistent with the purchase agreement. In January 2013, we filed a claim in federal court seeking contractual indemnification for the sellers’ breach of warranties and representations made in the purchase agreement. The sellers simultaneously filed a claim in the state court of Massachusetts alleging that we did not comply with certain provisions of the purchase agreement. In May 2013, the sellers amended their original complaint to allege misrepresentations and omissions by us in connection with the purchase transaction. The sellers seek an unspecified amount of damages and the trebling of such damages once calculated. We have filed a counterclaim in Massachusetts for breach of warranties and representations. We believe the sellers' claims for damages are without merit and we are defending against them vigorously.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3"/>
          </w:tcPr>
          <w:p>
            <w:pPr>
              <w:ind w:left="6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60" w:type="dxa"/>
            <w:vAlign w:val="bottom"/>
            <w:gridSpan w:val="6"/>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800" w:type="dxa"/>
            <w:vAlign w:val="bottom"/>
            <w:gridSpan w:val="3"/>
          </w:tcPr>
          <w:p>
            <w:pPr>
              <w:ind w:left="6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600" w:type="dxa"/>
            <w:vAlign w:val="bottom"/>
            <w:gridSpan w:val="3"/>
          </w:tcPr>
          <w:p>
            <w:pPr>
              <w:ind w:left="41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7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53"/>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June 30, 2013, formatted</w:t>
            </w:r>
          </w:p>
        </w:tc>
      </w:tr>
    </w:tbl>
    <w:p>
      <w:pPr>
        <w:jc w:val="both"/>
        <w:ind w:left="1800" w:right="40"/>
        <w:spacing w:after="0" w:line="255" w:lineRule="auto"/>
        <w:rPr>
          <w:sz w:val="20"/>
          <w:szCs w:val="20"/>
          <w:color w:val="auto"/>
        </w:rPr>
      </w:pPr>
      <w:r>
        <w:rPr>
          <w:rFonts w:ascii="Arial" w:cs="Arial" w:eastAsia="Arial" w:hAnsi="Arial"/>
          <w:sz w:val="18"/>
          <w:szCs w:val="18"/>
          <w:color w:val="auto"/>
        </w:rPr>
        <w:t>in XBRL (Extensible Business Reporting Language): (1) the Condensed Consolidated Balance Sheets, (2) the Condensed Consolidated Statements of Comprehensive Loss, (3) the Condensed Consolidated Statements of Cash Flows, and (4) Notes to Consolidated Financial Statements, tagged as blocks of text.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5280" w:type="dxa"/>
            <w:vAlign w:val="bottom"/>
            <w:gridSpan w:val="2"/>
          </w:tcPr>
          <w:p>
            <w:pPr>
              <w:ind w:left="1160"/>
              <w:spacing w:after="0"/>
              <w:rPr>
                <w:sz w:val="20"/>
                <w:szCs w:val="20"/>
                <w:color w:val="auto"/>
              </w:rPr>
            </w:pPr>
            <w:r>
              <w:rPr>
                <w:rFonts w:ascii="Arial" w:cs="Arial" w:eastAsia="Arial" w:hAnsi="Arial"/>
                <w:sz w:val="18"/>
                <w:szCs w:val="18"/>
                <w:b w:val="1"/>
                <w:bCs w:val="1"/>
                <w:color w:val="auto"/>
              </w:rPr>
              <w:t>ASURE SOFTWARE, INC.</w:t>
            </w:r>
          </w:p>
        </w:tc>
        <w:tc>
          <w:tcPr>
            <w:tcW w:w="3760" w:type="dxa"/>
            <w:vAlign w:val="bottom"/>
          </w:tcPr>
          <w:p>
            <w:pPr>
              <w:spacing w:after="0"/>
              <w:rPr>
                <w:sz w:val="20"/>
                <w:szCs w:val="20"/>
                <w:color w:val="auto"/>
              </w:rPr>
            </w:pPr>
          </w:p>
        </w:tc>
      </w:tr>
      <w:tr>
        <w:trPr>
          <w:trHeight w:val="655"/>
        </w:trPr>
        <w:tc>
          <w:tcPr>
            <w:tcW w:w="2380" w:type="dxa"/>
            <w:vAlign w:val="bottom"/>
          </w:tcPr>
          <w:p>
            <w:pPr>
              <w:spacing w:after="0"/>
              <w:rPr>
                <w:sz w:val="20"/>
                <w:szCs w:val="20"/>
                <w:color w:val="auto"/>
              </w:rPr>
            </w:pPr>
            <w:r>
              <w:rPr>
                <w:rFonts w:ascii="Arial" w:cs="Arial" w:eastAsia="Arial" w:hAnsi="Arial"/>
                <w:sz w:val="18"/>
                <w:szCs w:val="18"/>
                <w:color w:val="auto"/>
              </w:rPr>
              <w:t>August 14, 2013</w:t>
            </w:r>
          </w:p>
        </w:tc>
        <w:tc>
          <w:tcPr>
            <w:tcW w:w="1620" w:type="dxa"/>
            <w:vAlign w:val="bottom"/>
          </w:tcPr>
          <w:p>
            <w:pPr>
              <w:ind w:left="116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GOEPEL</w:t>
            </w:r>
          </w:p>
        </w:tc>
        <w:tc>
          <w:tcPr>
            <w:tcW w:w="3760" w:type="dxa"/>
            <w:vAlign w:val="bottom"/>
          </w:tcPr>
          <w:p>
            <w:pPr>
              <w:spacing w:after="0"/>
              <w:rPr>
                <w:sz w:val="24"/>
                <w:szCs w:val="24"/>
                <w:color w:val="auto"/>
              </w:rPr>
            </w:pPr>
          </w:p>
        </w:tc>
      </w:tr>
      <w:tr>
        <w:trPr>
          <w:trHeight w:val="202"/>
        </w:trPr>
        <w:tc>
          <w:tcPr>
            <w:tcW w:w="2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Patrick Goepel</w:t>
            </w:r>
          </w:p>
        </w:tc>
        <w:tc>
          <w:tcPr>
            <w:tcW w:w="376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760" w:type="dxa"/>
            <w:vAlign w:val="bottom"/>
          </w:tcPr>
          <w:p>
            <w:pPr>
              <w:spacing w:after="0"/>
              <w:rPr>
                <w:sz w:val="20"/>
                <w:szCs w:val="20"/>
                <w:color w:val="auto"/>
              </w:rPr>
            </w:pPr>
          </w:p>
        </w:tc>
      </w:tr>
      <w:tr>
        <w:trPr>
          <w:trHeight w:val="439"/>
        </w:trPr>
        <w:tc>
          <w:tcPr>
            <w:tcW w:w="2380" w:type="dxa"/>
            <w:vAlign w:val="bottom"/>
          </w:tcPr>
          <w:p>
            <w:pPr>
              <w:spacing w:after="0"/>
              <w:rPr>
                <w:sz w:val="20"/>
                <w:szCs w:val="20"/>
                <w:color w:val="auto"/>
              </w:rPr>
            </w:pPr>
            <w:r>
              <w:rPr>
                <w:rFonts w:ascii="Arial" w:cs="Arial" w:eastAsia="Arial" w:hAnsi="Arial"/>
                <w:sz w:val="18"/>
                <w:szCs w:val="18"/>
                <w:color w:val="auto"/>
              </w:rPr>
              <w:t>August 14, 2013</w:t>
            </w:r>
          </w:p>
        </w:tc>
        <w:tc>
          <w:tcPr>
            <w:tcW w:w="1620" w:type="dxa"/>
            <w:vAlign w:val="bottom"/>
          </w:tcPr>
          <w:p>
            <w:pPr>
              <w:ind w:left="116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CROW</w:t>
            </w:r>
          </w:p>
        </w:tc>
        <w:tc>
          <w:tcPr>
            <w:tcW w:w="3760" w:type="dxa"/>
            <w:vAlign w:val="bottom"/>
          </w:tcPr>
          <w:p>
            <w:pPr>
              <w:spacing w:after="0"/>
              <w:rPr>
                <w:sz w:val="24"/>
                <w:szCs w:val="24"/>
                <w:color w:val="auto"/>
              </w:rPr>
            </w:pPr>
          </w:p>
        </w:tc>
      </w:tr>
      <w:tr>
        <w:trPr>
          <w:trHeight w:val="202"/>
        </w:trPr>
        <w:tc>
          <w:tcPr>
            <w:tcW w:w="2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Jennifer Crow</w:t>
            </w:r>
          </w:p>
        </w:tc>
        <w:tc>
          <w:tcPr>
            <w:tcW w:w="376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760" w:type="dxa"/>
            <w:vAlign w:val="bottom"/>
          </w:tcPr>
          <w:p>
            <w:pPr>
              <w:spacing w:after="0"/>
              <w:rPr>
                <w:sz w:val="20"/>
                <w:szCs w:val="20"/>
                <w:color w:val="auto"/>
              </w:rPr>
            </w:pPr>
          </w:p>
        </w:tc>
      </w:tr>
      <w:tr>
        <w:trPr>
          <w:trHeight w:val="797"/>
        </w:trPr>
        <w:tc>
          <w:tcPr>
            <w:tcW w:w="2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60" w:type="dxa"/>
            <w:vAlign w:val="bottom"/>
          </w:tcPr>
          <w:p>
            <w:pPr>
              <w:ind w:left="1620"/>
              <w:spacing w:after="0"/>
              <w:rPr>
                <w:sz w:val="20"/>
                <w:szCs w:val="20"/>
                <w:color w:val="auto"/>
              </w:rPr>
            </w:pPr>
            <w:r>
              <w:rPr>
                <w:rFonts w:ascii="Arial" w:cs="Arial" w:eastAsia="Arial" w:hAnsi="Arial"/>
                <w:sz w:val="18"/>
                <w:szCs w:val="18"/>
                <w:color w:val="auto"/>
              </w:rPr>
              <w:t>25</w:t>
            </w:r>
          </w:p>
        </w:tc>
        <w:tc>
          <w:tcPr>
            <w:tcW w:w="3760" w:type="dxa"/>
            <w:vAlign w:val="bottom"/>
          </w:tcPr>
          <w:p>
            <w:pPr>
              <w:spacing w:after="0"/>
              <w:rPr>
                <w:sz w:val="24"/>
                <w:szCs w:val="24"/>
                <w:color w:val="auto"/>
              </w:rPr>
            </w:pPr>
          </w:p>
        </w:tc>
      </w:tr>
      <w:tr>
        <w:trPr>
          <w:trHeight w:val="118"/>
        </w:trPr>
        <w:tc>
          <w:tcPr>
            <w:tcW w:w="23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3"/>
          </w:tcPr>
          <w:p>
            <w:pPr>
              <w:ind w:left="3000"/>
              <w:spacing w:after="0"/>
              <w:rPr>
                <w:sz w:val="20"/>
                <w:szCs w:val="20"/>
                <w:color w:val="auto"/>
              </w:rPr>
            </w:pPr>
            <w:r>
              <w:rPr>
                <w:rFonts w:ascii="Arial" w:cs="Arial" w:eastAsia="Arial" w:hAnsi="Arial"/>
                <w:sz w:val="18"/>
                <w:szCs w:val="18"/>
                <w:b w:val="1"/>
                <w:bCs w:val="1"/>
                <w:color w:val="auto"/>
              </w:rPr>
              <w:t>INDEX TO EXHIBITS</w:t>
            </w:r>
          </w:p>
        </w:tc>
      </w:tr>
      <w:tr>
        <w:trPr>
          <w:trHeight w:val="439"/>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auto"/>
            </w:tcBorders>
            <w:gridSpan w:val="3"/>
          </w:tcPr>
          <w:p>
            <w:pPr>
              <w:ind w:left="414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gridSpan w:val="3"/>
          </w:tcPr>
          <w:p>
            <w:pPr>
              <w:spacing w:after="0" w:line="176" w:lineRule="exact"/>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w:t>
            </w:r>
          </w:p>
        </w:tc>
        <w:tc>
          <w:tcPr>
            <w:tcW w:w="900" w:type="dxa"/>
            <w:vAlign w:val="bottom"/>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June 30, 2013, formatted</w:t>
            </w:r>
          </w:p>
        </w:tc>
      </w:tr>
    </w:tbl>
    <w:p>
      <w:pPr>
        <w:jc w:val="both"/>
        <w:ind w:left="1800" w:right="40"/>
        <w:spacing w:after="0" w:line="255" w:lineRule="auto"/>
        <w:rPr>
          <w:sz w:val="20"/>
          <w:szCs w:val="20"/>
          <w:color w:val="auto"/>
        </w:rPr>
      </w:pPr>
      <w:r>
        <w:rPr>
          <w:rFonts w:ascii="Arial" w:cs="Arial" w:eastAsia="Arial" w:hAnsi="Arial"/>
          <w:sz w:val="18"/>
          <w:szCs w:val="18"/>
          <w:color w:val="auto"/>
        </w:rPr>
        <w:t>in XBRL (Extensible Business Reporting Language): (1) the Condensed Consolidated Balance Sheets, (2) the Condensed Consolidated Statements of Comprehensive Loss, (3) the Condensed Consolidated Statements of Cash Flows, and (4) Notes to Consolidated Financial Statements, tagged as blocks of text.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2"/>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2013)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780" w:val="left"/>
          <w:tab w:leader="none" w:pos="4220" w:val="left"/>
        </w:tabs>
        <w:rPr>
          <w:sz w:val="20"/>
          <w:szCs w:val="20"/>
          <w:color w:val="auto"/>
        </w:rPr>
      </w:pPr>
      <w:r>
        <w:rPr>
          <w:rFonts w:ascii="Arial" w:cs="Arial" w:eastAsia="Arial" w:hAnsi="Arial"/>
          <w:sz w:val="18"/>
          <w:szCs w:val="18"/>
          <w:color w:val="auto"/>
        </w:rPr>
        <w:t>Date: August 14,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14605</wp:posOffset>
            </wp:positionV>
            <wp:extent cx="26416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41600" cy="17145"/>
                    </a:xfrm>
                    <a:prstGeom prst="rect">
                      <a:avLst/>
                    </a:prstGeom>
                    <a:noFill/>
                  </pic:spPr>
                </pic:pic>
              </a:graphicData>
            </a:graphic>
          </wp:anchor>
        </w:drawing>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Jennifer Crow, certify that:</w:t>
      </w:r>
    </w:p>
    <w:p>
      <w:pPr>
        <w:spacing w:after="0" w:line="225" w:lineRule="exact"/>
        <w:rPr>
          <w:sz w:val="20"/>
          <w:szCs w:val="20"/>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2013)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3880" w:val="left"/>
          <w:tab w:leader="none" w:pos="4780" w:val="left"/>
        </w:tabs>
        <w:rPr>
          <w:sz w:val="20"/>
          <w:szCs w:val="20"/>
          <w:color w:val="auto"/>
        </w:rPr>
      </w:pPr>
      <w:r>
        <w:rPr>
          <w:rFonts w:ascii="Arial" w:cs="Arial" w:eastAsia="Arial" w:hAnsi="Arial"/>
          <w:sz w:val="18"/>
          <w:szCs w:val="18"/>
          <w:color w:val="auto"/>
        </w:rPr>
        <w:t>Date: August 14,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23926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right="20" w:firstLine="332"/>
        <w:spacing w:after="0" w:line="277" w:lineRule="auto"/>
        <w:tabs>
          <w:tab w:leader="none" w:pos="5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220" w:val="left"/>
          <w:tab w:leader="none" w:pos="4680" w:val="left"/>
        </w:tabs>
        <w:rPr>
          <w:sz w:val="20"/>
          <w:szCs w:val="20"/>
          <w:color w:val="auto"/>
        </w:rPr>
      </w:pPr>
      <w:r>
        <w:rPr>
          <w:rFonts w:ascii="Arial" w:cs="Arial" w:eastAsia="Arial" w:hAnsi="Arial"/>
          <w:sz w:val="18"/>
          <w:szCs w:val="18"/>
          <w:color w:val="auto"/>
        </w:rPr>
        <w:t>Date: August 14,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24612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Jennifer Crow, do hereby certify, pursuant to 18 U.S.C. Section 1350, as adopted by Section 906 of the Sarbanes-Oxley Act of 2002, that:</w:t>
      </w:r>
    </w:p>
    <w:p>
      <w:pPr>
        <w:spacing w:after="0" w:line="248" w:lineRule="exact"/>
        <w:rPr>
          <w:sz w:val="20"/>
          <w:szCs w:val="20"/>
          <w:color w:val="auto"/>
        </w:rPr>
      </w:pPr>
    </w:p>
    <w:p>
      <w:pPr>
        <w:ind w:right="20" w:firstLine="332"/>
        <w:spacing w:after="0" w:line="277" w:lineRule="auto"/>
        <w:tabs>
          <w:tab w:leader="none" w:pos="5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3880" w:val="left"/>
          <w:tab w:leader="none" w:pos="4340" w:val="left"/>
        </w:tabs>
        <w:rPr>
          <w:sz w:val="20"/>
          <w:szCs w:val="20"/>
          <w:color w:val="auto"/>
        </w:rPr>
      </w:pPr>
      <w:r>
        <w:rPr>
          <w:rFonts w:ascii="Arial" w:cs="Arial" w:eastAsia="Arial" w:hAnsi="Arial"/>
          <w:sz w:val="18"/>
          <w:szCs w:val="18"/>
          <w:color w:val="auto"/>
        </w:rPr>
        <w:t>Date: August 14,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14605</wp:posOffset>
            </wp:positionV>
            <wp:extent cx="2675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Jennifer Crow</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2019-12-06T06:35:10Z</dcterms:created>
  <dcterms:modified xsi:type="dcterms:W3CDTF">2019-12-06T06:35:10Z</dcterms:modified>
</cp:coreProperties>
</file>