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227965</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229870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00" w:right="1680" w:hanging="3654"/>
        <w:spacing w:after="0" w:line="564" w:lineRule="auto"/>
        <w:tabs>
          <w:tab w:leader="none" w:pos="58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2011</w:t>
      </w:r>
    </w:p>
    <w:p>
      <w:pPr>
        <w:spacing w:after="0" w:line="378" w:lineRule="exact"/>
        <w:rPr>
          <w:sz w:val="24"/>
          <w:szCs w:val="24"/>
          <w:color w:val="auto"/>
        </w:rPr>
      </w:pPr>
    </w:p>
    <w:p>
      <w:pPr>
        <w:ind w:left="4420" w:right="1720" w:hanging="4174"/>
        <w:spacing w:after="0" w:line="503" w:lineRule="auto"/>
        <w:tabs>
          <w:tab w:leader="none" w:pos="59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TRANSITION REPORTPURSUANT TO SECTION 13 OR 15(d) OF THE SECURITIES EXCHANGE ACT OF 1934 Commission file number: </w:t>
      </w:r>
      <w:r>
        <w:rPr>
          <w:rFonts w:ascii="Arial" w:cs="Arial" w:eastAsia="Arial" w:hAnsi="Arial"/>
          <w:sz w:val="18"/>
          <w:szCs w:val="18"/>
          <w:b w:val="1"/>
          <w:bCs w:val="1"/>
          <w:u w:val="single" w:color="auto"/>
          <w:color w:val="auto"/>
        </w:rPr>
        <w:t>0-20008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ASURE SOFTWARE,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36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gridSpan w:val="5"/>
          </w:tcPr>
          <w:p>
            <w:pPr>
              <w:jc w:val="center"/>
              <w:ind w:right="464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6460" w:type="dxa"/>
            <w:vAlign w:val="bottom"/>
            <w:gridSpan w:val="7"/>
          </w:tcPr>
          <w:p>
            <w:pPr>
              <w:jc w:val="center"/>
              <w:ind w:right="3540"/>
              <w:spacing w:after="0"/>
              <w:rPr>
                <w:sz w:val="20"/>
                <w:szCs w:val="20"/>
                <w:color w:val="auto"/>
              </w:rPr>
            </w:pPr>
            <w:r>
              <w:rPr>
                <w:rFonts w:ascii="Arial" w:cs="Arial" w:eastAsia="Arial" w:hAnsi="Arial"/>
                <w:sz w:val="18"/>
                <w:szCs w:val="18"/>
                <w:color w:val="auto"/>
                <w:w w:val="92"/>
              </w:rPr>
              <w:t>(State of other jurisdiction of</w:t>
            </w:r>
          </w:p>
        </w:tc>
        <w:tc>
          <w:tcPr>
            <w:tcW w:w="1440" w:type="dxa"/>
            <w:vAlign w:val="bottom"/>
            <w:gridSpan w:val="5"/>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6460" w:type="dxa"/>
            <w:vAlign w:val="bottom"/>
            <w:gridSpan w:val="7"/>
          </w:tcPr>
          <w:p>
            <w:pPr>
              <w:jc w:val="center"/>
              <w:ind w:right="3540"/>
              <w:spacing w:after="0"/>
              <w:rPr>
                <w:sz w:val="20"/>
                <w:szCs w:val="20"/>
                <w:color w:val="auto"/>
              </w:rPr>
            </w:pPr>
            <w:r>
              <w:rPr>
                <w:rFonts w:ascii="Arial" w:cs="Arial" w:eastAsia="Arial" w:hAnsi="Arial"/>
                <w:sz w:val="18"/>
                <w:szCs w:val="18"/>
                <w:color w:val="auto"/>
                <w:w w:val="92"/>
              </w:rPr>
              <w:t>incorporation or organization)</w:t>
            </w:r>
          </w:p>
        </w:tc>
        <w:tc>
          <w:tcPr>
            <w:tcW w:w="1440" w:type="dxa"/>
            <w:vAlign w:val="bottom"/>
            <w:gridSpan w:val="5"/>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60" w:type="dxa"/>
            <w:vAlign w:val="bottom"/>
            <w:gridSpan w:val="7"/>
          </w:tcPr>
          <w:p>
            <w:pPr>
              <w:jc w:val="center"/>
              <w:ind w:right="3540"/>
              <w:spacing w:after="0"/>
              <w:rPr>
                <w:sz w:val="20"/>
                <w:szCs w:val="20"/>
                <w:color w:val="auto"/>
              </w:rPr>
            </w:pPr>
            <w:r>
              <w:rPr>
                <w:rFonts w:ascii="Arial" w:cs="Arial" w:eastAsia="Arial" w:hAnsi="Arial"/>
                <w:sz w:val="18"/>
                <w:szCs w:val="18"/>
                <w:b w:val="1"/>
                <w:bCs w:val="1"/>
                <w:color w:val="auto"/>
                <w:w w:val="90"/>
              </w:rPr>
              <w:t>110 Wild Basin Road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520" w:type="dxa"/>
            <w:vAlign w:val="bottom"/>
            <w:gridSpan w:val="6"/>
          </w:tcPr>
          <w:p>
            <w:pPr>
              <w:jc w:val="center"/>
              <w:ind w:right="4480"/>
              <w:spacing w:after="0" w:line="194" w:lineRule="exact"/>
              <w:rPr>
                <w:sz w:val="20"/>
                <w:szCs w:val="20"/>
                <w:color w:val="auto"/>
              </w:rPr>
            </w:pPr>
            <w:r>
              <w:rPr>
                <w:rFonts w:ascii="Arial" w:cs="Arial" w:eastAsia="Arial" w:hAnsi="Arial"/>
                <w:sz w:val="18"/>
                <w:szCs w:val="18"/>
                <w:b w:val="1"/>
                <w:bCs w:val="1"/>
                <w:color w:val="auto"/>
                <w:w w:val="88"/>
              </w:rPr>
              <w:t>Austin, Texas</w:t>
            </w:r>
          </w:p>
        </w:tc>
        <w:tc>
          <w:tcPr>
            <w:tcW w:w="120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78746</w:t>
            </w:r>
          </w:p>
        </w:tc>
        <w:tc>
          <w:tcPr>
            <w:tcW w:w="2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37"/>
        </w:trPr>
        <w:tc>
          <w:tcPr>
            <w:tcW w:w="6460" w:type="dxa"/>
            <w:vAlign w:val="bottom"/>
            <w:gridSpan w:val="7"/>
          </w:tcPr>
          <w:p>
            <w:pPr>
              <w:jc w:val="center"/>
              <w:ind w:right="3520"/>
              <w:spacing w:after="0"/>
              <w:rPr>
                <w:sz w:val="20"/>
                <w:szCs w:val="20"/>
                <w:color w:val="auto"/>
              </w:rPr>
            </w:pPr>
            <w:r>
              <w:rPr>
                <w:rFonts w:ascii="Arial" w:cs="Arial" w:eastAsia="Arial" w:hAnsi="Arial"/>
                <w:sz w:val="18"/>
                <w:szCs w:val="18"/>
                <w:color w:val="auto"/>
                <w:w w:val="92"/>
              </w:rPr>
              <w:t>(Address of Principal Executive Offices)</w:t>
            </w:r>
          </w:p>
        </w:tc>
        <w:tc>
          <w:tcPr>
            <w:tcW w:w="320" w:type="dxa"/>
            <w:vAlign w:val="bottom"/>
          </w:tcPr>
          <w:p>
            <w:pPr>
              <w:spacing w:after="0"/>
              <w:rPr>
                <w:sz w:val="20"/>
                <w:szCs w:val="20"/>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8"/>
                <w:szCs w:val="18"/>
                <w:color w:val="auto"/>
                <w:w w:val="94"/>
              </w:rPr>
              <w:t>(Zip Code)</w:t>
            </w:r>
          </w:p>
        </w:tc>
      </w:tr>
      <w:tr>
        <w:trPr>
          <w:trHeight w:val="392"/>
        </w:trPr>
        <w:tc>
          <w:tcPr>
            <w:tcW w:w="4920" w:type="dxa"/>
            <w:vAlign w:val="bottom"/>
            <w:gridSpan w:val="6"/>
          </w:tcPr>
          <w:p>
            <w:pPr>
              <w:jc w:val="right"/>
              <w:spacing w:after="0"/>
              <w:rPr>
                <w:sz w:val="20"/>
                <w:szCs w:val="20"/>
                <w:color w:val="auto"/>
              </w:rPr>
            </w:pPr>
            <w:r>
              <w:rPr>
                <w:rFonts w:ascii="Arial" w:cs="Arial" w:eastAsia="Arial" w:hAnsi="Arial"/>
                <w:sz w:val="18"/>
                <w:szCs w:val="18"/>
                <w:b w:val="1"/>
                <w:bCs w:val="1"/>
                <w:color w:val="auto"/>
              </w:rPr>
              <w:t>(512) 437-2700</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(Registrant’s Telephone Number, including Area Code)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297" w:right="239" w:bottom="1440" w:gutter="0" w:footer="0" w:header="0"/>
        </w:sectPr>
      </w:pPr>
    </w:p>
    <w:p>
      <w:pPr>
        <w:spacing w:after="0" w:line="19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320" w:space="720"/>
            <w:col w:w="1640" w:space="720"/>
            <w:col w:w="2220" w:space="720"/>
            <w:col w:w="3080"/>
          </w:cols>
          <w:pgMar w:left="240" w:top="297"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80" w:space="180"/>
            <w:col w:w="440" w:space="220"/>
            <w:col w:w="2400"/>
          </w:cols>
          <w:pgMar w:left="240" w:top="297"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May 10, 2011, the registrant had outstanding 3,084,521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600" w:type="dxa"/>
            <w:vAlign w:val="bottom"/>
            <w:gridSpan w:val="18"/>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20" w:type="dxa"/>
            <w:vAlign w:val="bottom"/>
          </w:tcPr>
          <w:p>
            <w:pPr>
              <w:spacing w:after="0"/>
              <w:rPr>
                <w:sz w:val="14"/>
                <w:szCs w:val="14"/>
                <w:color w:val="auto"/>
              </w:rPr>
            </w:pPr>
          </w:p>
        </w:tc>
      </w:tr>
      <w:tr>
        <w:trPr>
          <w:trHeight w:val="426"/>
        </w:trPr>
        <w:tc>
          <w:tcPr>
            <w:tcW w:w="8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0" w:type="dxa"/>
            <w:vAlign w:val="bottom"/>
            <w:gridSpan w:val="9"/>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Page</w:t>
            </w:r>
          </w:p>
        </w:tc>
      </w:tr>
      <w:tr>
        <w:trPr>
          <w:trHeight w:val="241"/>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Number</w:t>
            </w:r>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tcPr>
          <w:p>
            <w:pPr>
              <w:spacing w:after="0"/>
              <w:rPr>
                <w:sz w:val="18"/>
                <w:szCs w:val="18"/>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60" w:type="dxa"/>
            <w:vAlign w:val="bottom"/>
            <w:gridSpan w:val="1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2011 and December 31, 2010</w:t>
              </w:r>
            </w:hyperlink>
          </w:p>
        </w:tc>
        <w:tc>
          <w:tcPr>
            <w:tcW w:w="318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2011 and 2010</w:t>
              </w:r>
            </w:hyperlink>
          </w:p>
        </w:tc>
        <w:tc>
          <w:tcPr>
            <w:tcW w:w="182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Three Months Ended March 31, 2011 and 2010</w:t>
              </w:r>
            </w:hyperlink>
          </w:p>
        </w:tc>
        <w:tc>
          <w:tcPr>
            <w:tcW w:w="17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46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2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88"/>
              </w:rPr>
            </w:pPr>
            <w:hyperlink w:anchor="page11">
              <w:r>
                <w:rPr>
                  <w:rFonts w:ascii="Arial" w:cs="Arial" w:eastAsia="Arial" w:hAnsi="Arial"/>
                  <w:sz w:val="18"/>
                  <w:szCs w:val="18"/>
                  <w:b w:val="1"/>
                  <w:bCs w:val="1"/>
                  <w:color w:val="0000EE"/>
                  <w:w w:val="88"/>
                </w:rPr>
                <w:t>Management’s Discussion and Analysis of Financial Condition and Results of Operations</w:t>
              </w:r>
            </w:hyperlink>
          </w:p>
        </w:tc>
        <w:tc>
          <w:tcPr>
            <w:tcW w:w="294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9760" w:type="dxa"/>
            <w:vAlign w:val="bottom"/>
            <w:gridSpan w:val="17"/>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Quantitative and Qualitative Disclosures About Market Risk</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464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Controls and Procedures</w:t>
              </w:r>
            </w:hyperlink>
          </w:p>
        </w:tc>
        <w:tc>
          <w:tcPr>
            <w:tcW w:w="512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453"/>
        </w:trPr>
        <w:tc>
          <w:tcPr>
            <w:tcW w:w="8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rPr>
              <w:t>PART II - OTHER INFORMATION</w:t>
            </w:r>
          </w:p>
        </w:tc>
        <w:tc>
          <w:tcPr>
            <w:tcW w:w="820" w:type="dxa"/>
            <w:vAlign w:val="bottom"/>
          </w:tcPr>
          <w:p>
            <w:pPr>
              <w:spacing w:after="0"/>
              <w:rPr>
                <w:sz w:val="24"/>
                <w:szCs w:val="24"/>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bottom w:val="single" w:sz="8" w:color="0000EE"/>
            </w:tcBorders>
            <w:gridSpan w:val="4"/>
          </w:tcPr>
          <w:p>
            <w:pPr>
              <w:spacing w:after="0"/>
              <w:rPr>
                <w:rFonts w:ascii="Arial" w:cs="Arial" w:eastAsia="Arial" w:hAnsi="Arial"/>
                <w:sz w:val="18"/>
                <w:szCs w:val="18"/>
                <w:b w:val="1"/>
                <w:bCs w:val="1"/>
                <w:color w:val="0000EE"/>
                <w:w w:val="84"/>
              </w:rPr>
            </w:pPr>
            <w:hyperlink w:anchor="page16">
              <w:r>
                <w:rPr>
                  <w:rFonts w:ascii="Arial" w:cs="Arial" w:eastAsia="Arial" w:hAnsi="Arial"/>
                  <w:sz w:val="18"/>
                  <w:szCs w:val="18"/>
                  <w:b w:val="1"/>
                  <w:bCs w:val="1"/>
                  <w:color w:val="0000EE"/>
                  <w:w w:val="84"/>
                </w:rPr>
                <w:t>Legal Proceedings</w:t>
              </w:r>
            </w:hyperlink>
          </w:p>
        </w:tc>
        <w:tc>
          <w:tcPr>
            <w:tcW w:w="838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8"/>
        </w:trPr>
        <w:tc>
          <w:tcPr>
            <w:tcW w:w="8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760" w:type="dxa"/>
            <w:vAlign w:val="bottom"/>
            <w:gridSpan w:val="17"/>
          </w:tcPr>
          <w:p>
            <w:pPr>
              <w:spacing w:after="0"/>
              <w:rPr>
                <w:sz w:val="20"/>
                <w:szCs w:val="20"/>
                <w:color w:val="auto"/>
              </w:rPr>
            </w:pPr>
            <w:r>
              <w:rPr>
                <w:rFonts w:ascii="Arial" w:cs="Arial" w:eastAsia="Arial" w:hAnsi="Arial"/>
                <w:sz w:val="18"/>
                <w:szCs w:val="18"/>
                <w:b w:val="1"/>
                <w:bCs w:val="1"/>
                <w:color w:val="auto"/>
              </w:rPr>
              <w:t>Risk Factors</w:t>
            </w:r>
          </w:p>
        </w:tc>
        <w:tc>
          <w:tcPr>
            <w:tcW w:w="820" w:type="dxa"/>
            <w:vAlign w:val="bottom"/>
          </w:tcPr>
          <w:p>
            <w:pPr>
              <w:spacing w:after="0"/>
              <w:rPr>
                <w:sz w:val="18"/>
                <w:szCs w:val="18"/>
                <w:color w:val="auto"/>
              </w:rPr>
            </w:pPr>
          </w:p>
        </w:tc>
      </w:tr>
      <w:tr>
        <w:trPr>
          <w:trHeight w:val="194"/>
        </w:trPr>
        <w:tc>
          <w:tcPr>
            <w:tcW w:w="840" w:type="dxa"/>
            <w:vAlign w:val="bottom"/>
          </w:tcPr>
          <w:p>
            <w:pPr>
              <w:spacing w:after="0" w:line="194" w:lineRule="exact"/>
              <w:rPr>
                <w:sz w:val="20"/>
                <w:szCs w:val="20"/>
                <w:color w:val="auto"/>
              </w:rPr>
            </w:pPr>
            <w:r>
              <w:rPr>
                <w:rFonts w:ascii="Arial" w:cs="Arial" w:eastAsia="Arial" w:hAnsi="Arial"/>
                <w:sz w:val="18"/>
                <w:szCs w:val="18"/>
                <w:b w:val="1"/>
                <w:bCs w:val="1"/>
                <w:color w:val="auto"/>
              </w:rPr>
              <w:t>Item 2.</w:t>
            </w:r>
          </w:p>
        </w:tc>
        <w:tc>
          <w:tcPr>
            <w:tcW w:w="9760" w:type="dxa"/>
            <w:vAlign w:val="bottom"/>
            <w:gridSpan w:val="17"/>
          </w:tcPr>
          <w:p>
            <w:pPr>
              <w:spacing w:after="0" w:line="194"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Unregistered Sales of Equity Securities and Use of Proceeds</w:t>
              </w:r>
            </w:hyperlink>
          </w:p>
        </w:tc>
        <w:tc>
          <w:tcPr>
            <w:tcW w:w="820" w:type="dxa"/>
            <w:vAlign w:val="bottom"/>
          </w:tcPr>
          <w:p>
            <w:pPr>
              <w:jc w:val="right"/>
              <w:spacing w:after="0" w:line="194" w:lineRule="exact"/>
              <w:rPr>
                <w:sz w:val="20"/>
                <w:szCs w:val="20"/>
                <w:color w:val="auto"/>
              </w:rPr>
            </w:pPr>
            <w:r>
              <w:rPr>
                <w:rFonts w:ascii="Arial" w:cs="Arial" w:eastAsia="Arial" w:hAnsi="Arial"/>
                <w:sz w:val="18"/>
                <w:szCs w:val="18"/>
                <w:color w:val="auto"/>
              </w:rPr>
              <w:t>17</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2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87"/>
              </w:rPr>
            </w:pPr>
            <w:hyperlink w:anchor="page16">
              <w:r>
                <w:rPr>
                  <w:rFonts w:ascii="Arial" w:cs="Arial" w:eastAsia="Arial" w:hAnsi="Arial"/>
                  <w:sz w:val="18"/>
                  <w:szCs w:val="18"/>
                  <w:b w:val="1"/>
                  <w:bCs w:val="1"/>
                  <w:color w:val="0000EE"/>
                  <w:w w:val="87"/>
                </w:rPr>
                <w:t>Defaults upon Senior Securities</w:t>
              </w:r>
            </w:hyperlink>
          </w:p>
        </w:tc>
        <w:tc>
          <w:tcPr>
            <w:tcW w:w="2140" w:type="dxa"/>
            <w:vAlign w:val="bottom"/>
            <w:tcBorders>
              <w:top w:val="single" w:sz="8" w:color="0000EE"/>
            </w:tcBorders>
            <w:gridSpan w:val="4"/>
          </w:tcPr>
          <w:p>
            <w:pPr>
              <w:spacing w:after="0"/>
              <w:rPr>
                <w:sz w:val="17"/>
                <w:szCs w:val="17"/>
                <w:color w:val="auto"/>
              </w:rPr>
            </w:pPr>
          </w:p>
        </w:tc>
        <w:tc>
          <w:tcPr>
            <w:tcW w:w="522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9760" w:type="dxa"/>
            <w:vAlign w:val="bottom"/>
            <w:gridSpan w:val="17"/>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Submission of Matters to a Vote of Security Holders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5.</w:t>
            </w:r>
          </w:p>
        </w:tc>
        <w:tc>
          <w:tcPr>
            <w:tcW w:w="396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Other Information</w:t>
              </w:r>
            </w:hyperlink>
          </w:p>
        </w:tc>
        <w:tc>
          <w:tcPr>
            <w:tcW w:w="5800" w:type="dxa"/>
            <w:vAlign w:val="bottom"/>
            <w:gridSpan w:val="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5"/>
              </w:rPr>
            </w:pPr>
            <w:hyperlink w:anchor="page16">
              <w:r>
                <w:rPr>
                  <w:rFonts w:ascii="Arial" w:cs="Arial" w:eastAsia="Arial" w:hAnsi="Arial"/>
                  <w:sz w:val="18"/>
                  <w:szCs w:val="18"/>
                  <w:b w:val="1"/>
                  <w:bCs w:val="1"/>
                  <w:color w:val="0000EE"/>
                  <w:w w:val="85"/>
                </w:rPr>
                <w:t>Exhibits</w:t>
              </w:r>
            </w:hyperlink>
          </w:p>
        </w:tc>
        <w:tc>
          <w:tcPr>
            <w:tcW w:w="800" w:type="dxa"/>
            <w:vAlign w:val="bottom"/>
            <w:tcBorders>
              <w:top w:val="single" w:sz="8" w:color="0000EE"/>
            </w:tcBorders>
            <w:gridSpan w:val="2"/>
          </w:tcPr>
          <w:p>
            <w:pPr>
              <w:spacing w:after="0"/>
              <w:rPr>
                <w:sz w:val="17"/>
                <w:szCs w:val="17"/>
                <w:color w:val="auto"/>
              </w:rPr>
            </w:pPr>
          </w:p>
        </w:tc>
        <w:tc>
          <w:tcPr>
            <w:tcW w:w="834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412"/>
        </w:trPr>
        <w:tc>
          <w:tcPr>
            <w:tcW w:w="10600" w:type="dxa"/>
            <w:vAlign w:val="bottom"/>
            <w:gridSpan w:val="18"/>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Signatures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652"/>
        </w:trPr>
        <w:tc>
          <w:tcPr>
            <w:tcW w:w="840" w:type="dxa"/>
            <w:vAlign w:val="bottom"/>
            <w:tcBorders>
              <w:top w:val="single" w:sz="8" w:color="0000EE"/>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080" w:type="dxa"/>
            <w:vAlign w:val="bottom"/>
          </w:tcPr>
          <w:p>
            <w:pPr>
              <w:jc w:val="center"/>
              <w:ind w:left="223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ASURE SOFTWARE, INC.</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color w:val="auto"/>
                <w:w w:val="89"/>
              </w:rPr>
              <w:t>(Amounts in thousands, except per share data)</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0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equivalents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Accounts receivable, net of allowance for doubtful accounts of $47and $46 at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2"/>
          </w:tcPr>
          <w:p>
            <w:pPr>
              <w:ind w:left="320"/>
              <w:spacing w:after="0"/>
              <w:rPr>
                <w:sz w:val="20"/>
                <w:szCs w:val="20"/>
                <w:color w:val="auto"/>
              </w:rPr>
            </w:pPr>
            <w:r>
              <w:rPr>
                <w:rFonts w:ascii="Arial" w:cs="Arial" w:eastAsia="Arial" w:hAnsi="Arial"/>
                <w:sz w:val="18"/>
                <w:szCs w:val="18"/>
                <w:color w:val="auto"/>
              </w:rPr>
              <w:t>March 31, 2011 and December 31, 2010 respectively</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Notes receivable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Notes receivable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0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Long-term deferred revenue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Other long-term obligations</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Common stock, $.01 par value; 6,500 shares authorized; 3,341 and 3,341 shares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issued; 3,085 and 3,128 shares outstanding at March 31, 2011 and December 31, 2010, respectively</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80"/>
              <w:spacing w:after="0"/>
              <w:rPr>
                <w:sz w:val="20"/>
                <w:szCs w:val="20"/>
                <w:color w:val="auto"/>
              </w:rPr>
            </w:pPr>
            <w:r>
              <w:rPr>
                <w:rFonts w:ascii="Arial" w:cs="Arial" w:eastAsia="Arial" w:hAnsi="Arial"/>
                <w:sz w:val="18"/>
                <w:szCs w:val="18"/>
                <w:color w:val="auto"/>
              </w:rPr>
              <w:t>Treasury stock at cost, 256 shares at March 31, 2011 and December 31, 2010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(263,601)</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(263,541)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tcBorders>
            <w:gridSpan w:val="2"/>
          </w:tcPr>
          <w:p>
            <w:pPr>
              <w:ind w:left="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4"/>
          </w:tcPr>
          <w:p>
            <w:pPr>
              <w:jc w:val="center"/>
              <w:ind w:right="450"/>
              <w:spacing w:after="0"/>
              <w:rPr>
                <w:sz w:val="20"/>
                <w:szCs w:val="20"/>
                <w:color w:val="auto"/>
              </w:rPr>
            </w:pPr>
            <w:r>
              <w:rPr>
                <w:rFonts w:ascii="Arial" w:cs="Arial" w:eastAsia="Arial" w:hAnsi="Arial"/>
                <w:sz w:val="18"/>
                <w:szCs w:val="18"/>
                <w:b w:val="1"/>
                <w:bCs w:val="1"/>
                <w:color w:val="auto"/>
              </w:rPr>
              <w:t>FOR THE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50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47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2,357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(440</w:t>
            </w: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8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1,401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1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Amortization of intangible assets</w:t>
            </w: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8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1,941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1,932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loss</w:t>
            </w:r>
          </w:p>
        </w:tc>
        <w:tc>
          <w:tcPr>
            <w:tcW w:w="1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Interest expense and other</w:t>
            </w:r>
          </w:p>
        </w:tc>
        <w:tc>
          <w:tcPr>
            <w:tcW w:w="1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Total Other Expense</w:t>
            </w: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Loss From Operations Before Income Taxes</w:t>
            </w: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7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(60</w:t>
            </w:r>
            <w:r>
              <w:rPr>
                <w:rFonts w:ascii="Arial" w:cs="Arial" w:eastAsia="Arial" w:hAnsi="Arial"/>
                <w:sz w:val="18"/>
                <w:szCs w:val="18"/>
                <w:color w:val="auto"/>
              </w:rPr>
              <w:t>)</w:t>
            </w:r>
          </w:p>
        </w:tc>
        <w:tc>
          <w:tcPr>
            <w:tcW w:w="100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27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(0.02</w:t>
            </w:r>
            <w:r>
              <w:rPr>
                <w:rFonts w:ascii="Arial" w:cs="Arial" w:eastAsia="Arial" w:hAnsi="Arial"/>
                <w:sz w:val="18"/>
                <w:szCs w:val="18"/>
                <w:color w:val="auto"/>
              </w:rPr>
              <w:t>)</w:t>
            </w:r>
          </w:p>
        </w:tc>
        <w:tc>
          <w:tcPr>
            <w:tcW w:w="100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Shares Used In Computing Basic And Diluted Loss Per Share</w:t>
            </w:r>
          </w:p>
        </w:tc>
        <w:tc>
          <w:tcPr>
            <w:tcW w:w="1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3,085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3,095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8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rPr>
              <w:t>FOR THE THREE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8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rPr>
              <w:t>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8"/>
                <w:szCs w:val="18"/>
                <w:b w:val="1"/>
                <w:bCs w:val="1"/>
                <w:color w:val="auto"/>
              </w:rPr>
              <w:t>MARCH 31,</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6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Amortization of leasehold advance and lease impairment</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receivable</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 (used) in operating activities</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Net purchases of property and equipment</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Payments on capital leases</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treasury stock</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Effect of translation exchange rates</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Net increase / (decrease) in cash and equivalents</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beginning of period</w:t>
            </w:r>
          </w:p>
        </w:tc>
        <w:tc>
          <w:tcPr>
            <w:tcW w:w="18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1,070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2,263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and equivalents at end of period</w:t>
            </w:r>
          </w:p>
        </w:tc>
        <w:tc>
          <w:tcPr>
            <w:tcW w:w="26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1,375</w:t>
            </w:r>
          </w:p>
        </w:tc>
        <w:tc>
          <w:tcPr>
            <w:tcW w:w="140" w:type="dxa"/>
            <w:vAlign w:val="bottom"/>
          </w:tcPr>
          <w:p>
            <w:pPr>
              <w:spacing w:after="0"/>
              <w:rPr>
                <w:sz w:val="20"/>
                <w:szCs w:val="20"/>
                <w:color w:val="auto"/>
              </w:rPr>
            </w:pPr>
          </w:p>
        </w:tc>
        <w:tc>
          <w:tcPr>
            <w:tcW w:w="9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1,991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AND BASIS OF FINANCIAL STATEMENTS</w:t>
      </w:r>
    </w:p>
    <w:p>
      <w:pPr>
        <w:spacing w:after="0" w:line="229"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rules and regulations of the Securities and Exchange Commission and accordingly,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the financial position of Asure Software, Inc. (“Asure” or the “Company”) as of March 31, 2011 and December 31, 2010, the results of operations for the three months ended March 31, 2011 and 2010, and the cash flows for the three months ended March 31, 2011 and 2010. These condensed consolidated financial statements should be read in conjunction with the Company’s audited consolidated financial statements and notes thereto filed with the Securities and Exchange Commission in the Company’s annual report on Form 10-K for the fiscal year ended December 31, 2010. The results for the interim periods are not necessarily indicative of results for a full fiscal year.</w:t>
      </w:r>
    </w:p>
    <w:p>
      <w:pPr>
        <w:spacing w:after="0" w:line="193"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Effective on December 28, 2009, we implemented a reverse stock split approved by Asure’s stockholders at the December 17, 2009 Annual Meeting. Pursuant to the reverse stock split, every ten shares of issued and outstanding common stock of Asure, $.01 par value per share were automatically converted to one issued and outstanding share of common stock without any change in the par value of such shares. Historical share data presented in these consolidated financial statements and notes thereto have been restated to reflect this reverse stock split.</w:t>
      </w:r>
    </w:p>
    <w:p>
      <w:pPr>
        <w:spacing w:after="0" w:line="19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As of March 31, 2011, Asure’s principal source of liquidity consisted of $1,375 of current cash and cash equivalents as well as future cash generated from operations. The increase of cash and cash equivalents of $305 for the three months ended March 31, 2011 is due primarily to cash generated from operations. The Company believes that it has and/or will generate sufficient cash for its short and long term needs. The Company is continuing to reduce expenses and thus may utilize its cash balances in the short-term to reduce long-term costs. The Company expects that it will be able to generate positive cash flows from operating activities for the remainder of 2011.</w:t>
      </w:r>
    </w:p>
    <w:p>
      <w:pPr>
        <w:spacing w:after="0" w:line="188"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Management is focused on growing its existing software operations and looking to make strategic acquisitions in the near future. In the short-term, any acquisitions will be funded with equity, cash on the balance sheet, cash from operations, or cash or debt raised from outside sources.</w:t>
      </w:r>
    </w:p>
    <w:p>
      <w:pPr>
        <w:spacing w:after="0" w:line="14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INTANGIBLE ASSETS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Asure accounted for its historical acquisitions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(FASB ASC 805). The Company recorded the amount exceeding the fair value of net assets acquired at the date of acquisition as goodwill. The Company recorded intangible assets apart from goodwill if the assets had contractual or other legal rights or if the assets could be separated and sold, transferred, licensed, rented or exchanged. Asure’s goodwill and intangible assets relate to its acquisition of iSarla Inc. and the iEmployee operations.</w:t>
      </w:r>
    </w:p>
    <w:p>
      <w:pPr>
        <w:spacing w:after="0" w:line="18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In accordance with FASB ASC 350, Asure reviews and evaluates its long-lived assets for impairment whenever events or changes in circumstances indicate that their net book value may not be recoverable. When such factors and circumstances exist, including those noted above, the Company compares the assets’ carrying amounts against the estimated undiscounted cash flows to be generated by those assets over their estimated useful lives. If the carrying amounts are greater than the undiscounted cash flows, the fair values of those assets are estimated by discounting the projected cash flows. Any excess of the carrying amounts over the fair values are recorded as impairments in that fiscal period.</w:t>
      </w:r>
    </w:p>
    <w:p>
      <w:pPr>
        <w:spacing w:after="0" w:line="200"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On May 3, 2010, the Company and Ceridian Corporation (“Ceridian”), a reseller of the Company’s iEmployee products, entered into an agreement by which joint customers of the Company and Ceridian were given until July 31, 2010 to choose either to (i) contract directly with the Company to continue using our goods and services, or (ii) continue using Ceridian’s offerings that may not include the Company’s products and services. Depending on the number of customers that contracted with Asure and the related pricing, the cash flows associated with the Ceridian customers may vary from historical levels. Thus the Company tested the Ceridian contract intangible asset for impairment in accordance with FASB ASC 350. The Company compared the asset’s carrying amount against the estimated undiscounted cash flows to be generated from the customers that contracted with Asure over the estimated useful life of the intangible asset. The undiscounted cash flows from the intangible asset exceeded the carrying value of the intangible asset and thus no impairment was required.</w:t>
      </w:r>
    </w:p>
    <w:p>
      <w:pPr>
        <w:spacing w:after="0" w:line="2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gross carrying amount and accumulated amortization of the Company’s intangible assets as of March 31, 2011 and December 31, 2010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w w:val="93"/>
              </w:rPr>
              <w:t>March 31, 2011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144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Period (Years)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Amortization</w:t>
            </w:r>
          </w:p>
        </w:tc>
        <w:tc>
          <w:tcPr>
            <w:tcW w:w="30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21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Developed</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2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Technology</w:t>
            </w:r>
          </w:p>
        </w:tc>
        <w:tc>
          <w:tcPr>
            <w:tcW w:w="15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0"/>
                <w:szCs w:val="20"/>
                <w:color w:val="auto"/>
              </w:rPr>
            </w:pPr>
          </w:p>
        </w:tc>
        <w:tc>
          <w:tcPr>
            <w:tcW w:w="1440" w:type="dxa"/>
            <w:vAlign w:val="bottom"/>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2120" w:type="dxa"/>
            <w:vAlign w:val="bottom"/>
          </w:tcPr>
          <w:p>
            <w:pPr>
              <w:ind w:left="640"/>
              <w:spacing w:after="0" w:line="201" w:lineRule="exact"/>
              <w:rPr>
                <w:sz w:val="20"/>
                <w:szCs w:val="20"/>
                <w:color w:val="auto"/>
              </w:rPr>
            </w:pPr>
            <w:r>
              <w:rPr>
                <w:rFonts w:ascii="Arial" w:cs="Arial" w:eastAsia="Arial" w:hAnsi="Arial"/>
                <w:sz w:val="18"/>
                <w:szCs w:val="18"/>
                <w:color w:val="auto"/>
              </w:rPr>
              <w:t>Customer</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2120" w:type="dxa"/>
            <w:vAlign w:val="bottom"/>
          </w:tcPr>
          <w:p>
            <w:pPr>
              <w:ind w:left="640"/>
              <w:spacing w:after="0"/>
              <w:rPr>
                <w:sz w:val="20"/>
                <w:szCs w:val="20"/>
                <w:color w:val="auto"/>
              </w:rPr>
            </w:pPr>
            <w:r>
              <w:rPr>
                <w:rFonts w:ascii="Arial" w:cs="Arial" w:eastAsia="Arial" w:hAnsi="Arial"/>
                <w:sz w:val="18"/>
                <w:szCs w:val="18"/>
                <w:color w:val="auto"/>
              </w:rPr>
              <w:t>Relationships</w:t>
            </w:r>
          </w:p>
        </w:tc>
        <w:tc>
          <w:tcPr>
            <w:tcW w:w="1520" w:type="dxa"/>
            <w:vAlign w:val="bottom"/>
            <w:gridSpan w:val="2"/>
          </w:tcPr>
          <w:p>
            <w:pPr>
              <w:jc w:val="right"/>
              <w:ind w:right="5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(1,749)</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Names</w:t>
            </w:r>
          </w:p>
        </w:tc>
        <w:tc>
          <w:tcPr>
            <w:tcW w:w="15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2120" w:type="dxa"/>
            <w:vAlign w:val="bottom"/>
          </w:tcPr>
          <w:p>
            <w:pPr>
              <w:ind w:left="640"/>
              <w:spacing w:after="0" w:line="201" w:lineRule="exact"/>
              <w:rPr>
                <w:sz w:val="20"/>
                <w:szCs w:val="20"/>
                <w:color w:val="auto"/>
              </w:rPr>
            </w:pPr>
            <w:r>
              <w:rPr>
                <w:rFonts w:ascii="Arial" w:cs="Arial" w:eastAsia="Arial" w:hAnsi="Arial"/>
                <w:sz w:val="18"/>
                <w:szCs w:val="18"/>
                <w:color w:val="auto"/>
              </w:rPr>
              <w:t>Covenant not-to-</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2120" w:type="dxa"/>
            <w:vAlign w:val="bottom"/>
          </w:tcPr>
          <w:p>
            <w:pPr>
              <w:ind w:left="640"/>
              <w:spacing w:after="0"/>
              <w:rPr>
                <w:sz w:val="20"/>
                <w:szCs w:val="20"/>
                <w:color w:val="auto"/>
              </w:rPr>
            </w:pPr>
            <w:r>
              <w:rPr>
                <w:rFonts w:ascii="Arial" w:cs="Arial" w:eastAsia="Arial" w:hAnsi="Arial"/>
                <w:sz w:val="18"/>
                <w:szCs w:val="18"/>
                <w:color w:val="auto"/>
              </w:rPr>
              <w:t>compete</w:t>
            </w:r>
          </w:p>
        </w:tc>
        <w:tc>
          <w:tcPr>
            <w:tcW w:w="1520" w:type="dxa"/>
            <w:vAlign w:val="bottom"/>
            <w:gridSpan w:val="2"/>
          </w:tcPr>
          <w:p>
            <w:pPr>
              <w:jc w:val="right"/>
              <w:ind w:right="5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1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144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(2,719)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2,649</w:t>
            </w:r>
          </w:p>
        </w:tc>
        <w:tc>
          <w:tcPr>
            <w:tcW w:w="100" w:type="dxa"/>
            <w:vAlign w:val="bottom"/>
            <w:shd w:val="clear" w:color="auto" w:fill="CCEEFF"/>
          </w:tcPr>
          <w:p>
            <w:pPr>
              <w:spacing w:after="0"/>
              <w:rPr>
                <w:sz w:val="20"/>
                <w:szCs w:val="20"/>
                <w:color w:val="auto"/>
              </w:rPr>
            </w:pPr>
          </w:p>
        </w:tc>
        <w:tc>
          <w:tcPr>
            <w:tcW w:w="1440" w:type="dxa"/>
            <w:vAlign w:val="bottom"/>
          </w:tcPr>
          <w:p>
            <w:pPr>
              <w:spacing w:after="0"/>
              <w:rPr>
                <w:sz w:val="20"/>
                <w:szCs w:val="20"/>
                <w:color w:val="auto"/>
              </w:rPr>
            </w:pPr>
          </w:p>
        </w:tc>
      </w:tr>
      <w:tr>
        <w:trPr>
          <w:trHeight w:val="20"/>
        </w:trPr>
        <w:tc>
          <w:tcPr>
            <w:tcW w:w="1440" w:type="dxa"/>
            <w:vAlign w:val="bottom"/>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60"/>
        </w:trPr>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6"/>
              </w:rPr>
              <w:t>December 31, 2010</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8"/>
        </w:trPr>
        <w:tc>
          <w:tcPr>
            <w:tcW w:w="1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144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Period (Years)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Amortization</w:t>
            </w:r>
          </w:p>
        </w:tc>
        <w:tc>
          <w:tcPr>
            <w:tcW w:w="30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21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Developed</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2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Technology</w:t>
            </w:r>
          </w:p>
        </w:tc>
        <w:tc>
          <w:tcPr>
            <w:tcW w:w="15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0"/>
                <w:szCs w:val="20"/>
                <w:color w:val="auto"/>
              </w:rPr>
            </w:pPr>
          </w:p>
        </w:tc>
        <w:tc>
          <w:tcPr>
            <w:tcW w:w="1440" w:type="dxa"/>
            <w:vAlign w:val="bottom"/>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2120" w:type="dxa"/>
            <w:vAlign w:val="bottom"/>
          </w:tcPr>
          <w:p>
            <w:pPr>
              <w:ind w:left="640"/>
              <w:spacing w:after="0" w:line="201" w:lineRule="exact"/>
              <w:rPr>
                <w:sz w:val="20"/>
                <w:szCs w:val="20"/>
                <w:color w:val="auto"/>
              </w:rPr>
            </w:pPr>
            <w:r>
              <w:rPr>
                <w:rFonts w:ascii="Arial" w:cs="Arial" w:eastAsia="Arial" w:hAnsi="Arial"/>
                <w:sz w:val="18"/>
                <w:szCs w:val="18"/>
                <w:color w:val="auto"/>
              </w:rPr>
              <w:t>Customer</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2120" w:type="dxa"/>
            <w:vAlign w:val="bottom"/>
          </w:tcPr>
          <w:p>
            <w:pPr>
              <w:ind w:left="640"/>
              <w:spacing w:after="0"/>
              <w:rPr>
                <w:sz w:val="20"/>
                <w:szCs w:val="20"/>
                <w:color w:val="auto"/>
              </w:rPr>
            </w:pPr>
            <w:r>
              <w:rPr>
                <w:rFonts w:ascii="Arial" w:cs="Arial" w:eastAsia="Arial" w:hAnsi="Arial"/>
                <w:sz w:val="18"/>
                <w:szCs w:val="18"/>
                <w:color w:val="auto"/>
              </w:rPr>
              <w:t>Relationships</w:t>
            </w:r>
          </w:p>
        </w:tc>
        <w:tc>
          <w:tcPr>
            <w:tcW w:w="1520" w:type="dxa"/>
            <w:vAlign w:val="bottom"/>
            <w:gridSpan w:val="2"/>
          </w:tcPr>
          <w:p>
            <w:pPr>
              <w:jc w:val="right"/>
              <w:ind w:right="5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(1,624)</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Names</w:t>
            </w:r>
          </w:p>
        </w:tc>
        <w:tc>
          <w:tcPr>
            <w:tcW w:w="15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2120" w:type="dxa"/>
            <w:vAlign w:val="bottom"/>
          </w:tcPr>
          <w:p>
            <w:pPr>
              <w:ind w:left="640"/>
              <w:spacing w:after="0" w:line="201" w:lineRule="exact"/>
              <w:rPr>
                <w:sz w:val="20"/>
                <w:szCs w:val="20"/>
                <w:color w:val="auto"/>
              </w:rPr>
            </w:pPr>
            <w:r>
              <w:rPr>
                <w:rFonts w:ascii="Arial" w:cs="Arial" w:eastAsia="Arial" w:hAnsi="Arial"/>
                <w:sz w:val="18"/>
                <w:szCs w:val="18"/>
                <w:color w:val="auto"/>
              </w:rPr>
              <w:t>Covenant not-to-</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2120" w:type="dxa"/>
            <w:vAlign w:val="bottom"/>
          </w:tcPr>
          <w:p>
            <w:pPr>
              <w:ind w:left="640"/>
              <w:spacing w:after="0"/>
              <w:rPr>
                <w:sz w:val="20"/>
                <w:szCs w:val="20"/>
                <w:color w:val="auto"/>
              </w:rPr>
            </w:pPr>
            <w:r>
              <w:rPr>
                <w:rFonts w:ascii="Arial" w:cs="Arial" w:eastAsia="Arial" w:hAnsi="Arial"/>
                <w:sz w:val="18"/>
                <w:szCs w:val="18"/>
                <w:color w:val="auto"/>
              </w:rPr>
              <w:t>compete</w:t>
            </w:r>
          </w:p>
        </w:tc>
        <w:tc>
          <w:tcPr>
            <w:tcW w:w="1520" w:type="dxa"/>
            <w:vAlign w:val="bottom"/>
            <w:gridSpan w:val="2"/>
          </w:tcPr>
          <w:p>
            <w:pPr>
              <w:jc w:val="right"/>
              <w:ind w:right="5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1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(2,524)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w:t>
            </w:r>
          </w:p>
        </w:tc>
        <w:tc>
          <w:tcPr>
            <w:tcW w:w="100" w:type="dxa"/>
            <w:vAlign w:val="bottom"/>
            <w:shd w:val="clear" w:color="auto" w:fill="CCEEFF"/>
          </w:tcPr>
          <w:p>
            <w:pPr>
              <w:spacing w:after="0"/>
              <w:rPr>
                <w:sz w:val="22"/>
                <w:szCs w:val="22"/>
                <w:color w:val="auto"/>
              </w:rPr>
            </w:pPr>
          </w:p>
        </w:tc>
        <w:tc>
          <w:tcPr>
            <w:tcW w:w="1440" w:type="dxa"/>
            <w:vAlign w:val="bottom"/>
          </w:tcPr>
          <w:p>
            <w:pPr>
              <w:spacing w:after="0"/>
              <w:rPr>
                <w:sz w:val="22"/>
                <w:szCs w:val="22"/>
                <w:color w:val="auto"/>
              </w:rPr>
            </w:pPr>
          </w:p>
        </w:tc>
      </w:tr>
      <w:tr>
        <w:trPr>
          <w:trHeight w:val="574"/>
        </w:trPr>
        <w:tc>
          <w:tcPr>
            <w:tcW w:w="1440" w:type="dxa"/>
            <w:vAlign w:val="bottom"/>
          </w:tcPr>
          <w:p>
            <w:pPr>
              <w:spacing w:after="0"/>
              <w:rPr>
                <w:sz w:val="24"/>
                <w:szCs w:val="24"/>
                <w:color w:val="auto"/>
              </w:rPr>
            </w:pPr>
          </w:p>
        </w:tc>
        <w:tc>
          <w:tcPr>
            <w:tcW w:w="2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1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Amortization expense is recorded using the straight-line method over the estimated economic useful lives of the intangible assets, as noted above. Amortization expense for the three months ended March 31, 2011 and 2010 was $149 and $149 included in Operating Expenses and $46 included in Cost of Goods Sold. The following table summarizes the estimated amortization expense relating to the Company’s intangible assets for the next four years and thereafter as of March 31, 2011:</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Twelve Months Ended</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March 31, 2012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March 31, 2014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r>
      <w:tr>
        <w:trPr>
          <w:trHeight w:val="223"/>
        </w:trPr>
        <w:tc>
          <w:tcPr>
            <w:tcW w:w="6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57"/>
        </w:trPr>
        <w:tc>
          <w:tcPr>
            <w:tcW w:w="6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Effective August 1, 2008, Asure adopted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establishes a framework for measuring fair value in U.S. generally accepted accounting principles and expands disclosures about fair value measurements. The adoption of FASB ASC 820 did not have a material impact to the Company’s consolidated financial statements.</w:t>
      </w: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Statement No. 157 establishes a three-tier fair value hierarchy, which is based on the reliability of the inputs used in measuring fair values.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tiers include:</w:t>
      </w:r>
    </w:p>
    <w:p>
      <w:pPr>
        <w:spacing w:after="0" w:line="238" w:lineRule="exact"/>
        <w:rPr>
          <w:sz w:val="20"/>
          <w:szCs w:val="20"/>
          <w:color w:val="auto"/>
        </w:rPr>
      </w:pPr>
    </w:p>
    <w:p>
      <w:pPr>
        <w:ind w:left="720"/>
        <w:spacing w:after="0"/>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25" w:lineRule="exact"/>
        <w:rPr>
          <w:sz w:val="20"/>
          <w:szCs w:val="20"/>
          <w:color w:val="auto"/>
        </w:rPr>
      </w:pPr>
    </w:p>
    <w:p>
      <w:pPr>
        <w:ind w:left="1660" w:hanging="940"/>
        <w:spacing w:after="0" w:line="277"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1720" w:right="20" w:hanging="994"/>
        <w:spacing w:after="0" w:line="277" w:lineRule="auto"/>
        <w:tabs>
          <w:tab w:leader="none" w:pos="17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97"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The following table presents the fair value hierarchy for the Company’s financial assets (cash equivalents and short-term investments) measured at fair value on a recurring basis as of March 31,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20" w:type="dxa"/>
            <w:vAlign w:val="bottom"/>
            <w:gridSpan w:val="8"/>
          </w:tcPr>
          <w:p>
            <w:pPr>
              <w:ind w:left="540"/>
              <w:spacing w:after="0"/>
              <w:rPr>
                <w:sz w:val="20"/>
                <w:szCs w:val="20"/>
                <w:color w:val="auto"/>
              </w:rPr>
            </w:pPr>
            <w:r>
              <w:rPr>
                <w:rFonts w:ascii="Arial" w:cs="Arial" w:eastAsia="Arial" w:hAnsi="Arial"/>
                <w:sz w:val="18"/>
                <w:szCs w:val="18"/>
                <w:b w:val="1"/>
                <w:bCs w:val="1"/>
                <w:color w:val="auto"/>
              </w:rPr>
              <w:t>Fair Value Measure at March 31, 2011</w:t>
            </w: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1"/>
              </w:rPr>
              <w:t>Quoted</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Prices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in Active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Unobservable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Market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(Level 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and cash equivalents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2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 (LOSS)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In accordance with the disclosure requirements of FASB 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(FASB ASC 220), the Company’s comprehensive income (loss) is comprised of net income (loss), foreign currency translation adjustments and unrealized gains and losses on short-term investments held as available-for-sale securities. The following table presents the Company’s comprehensive income (loss) and its components for the three months ended March 31, 2011 and 2010:</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For the Three Months</w:t>
            </w:r>
          </w:p>
        </w:tc>
      </w:tr>
      <w:tr>
        <w:trPr>
          <w:trHeight w:val="241"/>
        </w:trPr>
        <w:tc>
          <w:tcPr>
            <w:tcW w:w="3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 March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2010</w:t>
            </w:r>
          </w:p>
        </w:tc>
        <w:tc>
          <w:tcPr>
            <w:tcW w:w="120" w:type="dxa"/>
            <w:vAlign w:val="bottom"/>
          </w:tcPr>
          <w:p>
            <w:pPr>
              <w:spacing w:after="0"/>
              <w:rPr>
                <w:sz w:val="19"/>
                <w:szCs w:val="19"/>
                <w:color w:val="auto"/>
              </w:rPr>
            </w:pPr>
          </w:p>
        </w:tc>
      </w:tr>
      <w:tr>
        <w:trPr>
          <w:trHeight w:val="216"/>
        </w:trPr>
        <w:tc>
          <w:tcPr>
            <w:tcW w:w="3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Foreign currency gain (loss)</w:t>
            </w:r>
          </w:p>
        </w:tc>
        <w:tc>
          <w:tcPr>
            <w:tcW w:w="1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r>
      <w:tr>
        <w:trPr>
          <w:trHeight w:val="237"/>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5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r>
      <w:tr>
        <w:trPr>
          <w:trHeight w:val="20"/>
        </w:trPr>
        <w:tc>
          <w:tcPr>
            <w:tcW w:w="38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RECENT ACCOUNTING PRONOUNCEMENTS</w:t>
      </w:r>
    </w:p>
    <w:p>
      <w:pPr>
        <w:spacing w:after="0" w:line="229"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 xml:space="preserve">In October 2009, the FASB updated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(FASB ASC 605) to address how to determine whether an arrangement involving multiple deliverables contains more than one unit of accounting and how the arrangement consideration should be measured and allocated to the separate units of accounting. This guidance eliminates the residual method and replaces it with the “relative selling price” method when allocating revenue in a multiple deliverable arrangement. The selling price for each deliverable shall be determined using vendor specific objective evidence of selling price, if it exists, otherwise third-party evidence of selling price shall be used. If neither exists for a deliverable, the vendor shall use its best estimate of the selling price for that deliverable. After adoption, this guidance will also require expanded qualitative and quantitative disclosures. The updated FASB ASC 605 is effective for the Company’s revenue arrangements entered into or materially modified in fiscal years beginning on or after June 15, 2010, with early adoption permitted. The Company adopted the updated FASB ASC 605 on January 1, 2010 on a prospective basis for any new contracts entered into after the date of adoption. The adoptions of this ASC update did not have a material impact to its condensed consolidated statement of operations for the three months ended March 31, 2011 and 2010. However, the Company cannot predict whether the impact of this update will have a material impact in future quarters due to potential changes in products and product mix. Prior to the adoption of the updated FASB ASC 605, the Company accounted for its software subscriptions and related setup, implementation and professional services as a single accounting unit. Thus all revenues associated with such an arrangement were recognized pro-rata over the life of the software subscription service contract. Subsequent to the adoption of the updated FASB ASC 605, the Company accounts for each of these elements as separate accounting units. Thus the software subscription service revenue is recognized pro-rata over the life of the software subscription contract, while the related setup and implementation revenues are recognized upon completion. The result of the adoption is an immaterial acceleration of setup and implementation revenues related to software subscriptions.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 BASED COMPENSATION</w:t>
      </w:r>
    </w:p>
    <w:p>
      <w:pPr>
        <w:spacing w:after="0" w:line="22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Share based compensation for the Company’s stock option, restricted stock and stock purchase plans for the three months ended March 31, 2011 and 2010 were $15 and $15, respectively. The Company did not issue shares of common stock related to exercises of stock options granted from its Stock Option, Restricted Stock, and Stock Purchase Plans for the three months ended March 31, 2011 and 2010, respectively.</w:t>
      </w:r>
    </w:p>
    <w:p>
      <w:pPr>
        <w:spacing w:after="0" w:line="166"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On September 21, 2009, the Board adopted the Company’s 2009 Equity Plan (the “2009 Equity Plan”) and the plan was approved by the Company’s stockholders at the December 17, 2009 Annual Meeting of Stockholders. The purpose of the 2009 Equity Plan is to enhance the long-term stockholder value of the Company by offering opportunities to directors, officers, employees and eligible consultants of the Company to acquire and maintain stock ownership in the Company in order to give these persons the opportunity to participate in the Company’s growth and success, and to encourage them to remain in the service of the Company. A total of 200 shares of the Company’s Common Stock were available for issuance under the 2009 Equity Plan and provides for the granting of (i) incentive stock options, (ii) non statutory stock options and (iii) stock purchase rights. A total of 219 options have been granted and are outstanding pursuant to the plan as of March 31, 2011.</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CONTINGENCIES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Asure was the defendant or plaintiff in various actions that arose in the normal course of business. None of the pending legal proceedings to which the Company is a party are material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(LOSS) PER SHARE</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Basic Income (Loss) per share (EPS) is computed based on the weighted average number of common shares outstanding for the period. Diluted EPS reflects the maximum dilution that would have resulted from incremental common shares issuable upon the exercise of stock options. The number of common share equivalents, which includes stock options, is computed using the treasury stock method.</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tables provide the components of the basic and diluted EPS computations for the three month periods ended March 31, 2011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2"/>
              </w:rPr>
              <w:t>For the Three Months</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92"/>
              </w:rPr>
              <w:t>Ended March 31,</w:t>
            </w: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Basic EPS Computation</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Basic Loss per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(0.02</w:t>
            </w: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(0.06)</w:t>
            </w:r>
          </w:p>
        </w:tc>
      </w:tr>
      <w:tr>
        <w:trPr>
          <w:trHeight w:val="21"/>
        </w:trPr>
        <w:tc>
          <w:tcPr>
            <w:tcW w:w="5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4"/>
        </w:trPr>
        <w:tc>
          <w:tcPr>
            <w:tcW w:w="5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2"/>
              </w:rPr>
              <w:t>For the Three Months</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92"/>
              </w:rPr>
              <w:t>Ended March 31,</w:t>
            </w: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Diluted EPS Computation</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60" w:type="dxa"/>
            <w:vAlign w:val="bottom"/>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Common shares equivalents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Diluted Loss per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(0.02</w:t>
            </w: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(0.06)</w:t>
            </w:r>
          </w:p>
        </w:tc>
      </w:tr>
      <w:tr>
        <w:trPr>
          <w:trHeight w:val="21"/>
        </w:trPr>
        <w:tc>
          <w:tcPr>
            <w:tcW w:w="5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Stock options to acquire 219 shares for the three month periods ended March 31, 2011 and stock options to acquire 209 shares for the three months ended March 31, 2010 were excluded in the computations of diluted EPS because the effect of including the stock options would have been anti-dilutive.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The following review of Asure’s financial position as of March 31, 2011 and December 31, 2010 and for the three months ended March 31, 2011 and 2010 should be read in conjunction with the Company’s 2010 Annual Report on Form 10-K filed with the Securities and Exchange Commission. Asure’s internet website address is http://www.asuresoftware.com. The Company’s annual reports on Form 10-K, quarterly reports on Form 10-Q, current reports on Form 8-K and amendments to those reports filed or furnished pursuant to Section 13(a) or 15(d) of the Securities Exchange Act of 1934 are available through the investor relations page of the Company’s internet website free of charge as soon as reasonably practicable after they are electronically filed, or furnished to, the Securities and Exchange Commission. Asure’s internet website and the information contained therein or connected thereto are not intended to be incorporated into this Quarterly Report on Form 10-Q.</w:t>
      </w:r>
    </w:p>
    <w:p>
      <w:pPr>
        <w:spacing w:after="0" w:line="178"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 Company currently offers two main product lines in its software and services business: NetSimplicity and iEmployee. Asure’s NetSimplicity product line provides simple and affordable solutions to common office administration problems. NetSimplicity’s flagship product, Meeting Room Manager (“MRM”), automates the entire facility scheduling process: reserving rooms, requesting equipment, ordering food, sending invitations, reporting on the meeting environment and more. Asure’s iEmployee product line helps simplify the HR process and improves employee productivity by managing and communicating human resources, employee benefits and payroll information. iEmployee's web-based solutions include Time &amp; Attendance, Timesheets, Human Resource Benefits, Expenses and others.</w:t>
      </w:r>
    </w:p>
    <w:p>
      <w:pPr>
        <w:spacing w:after="0" w:line="22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On December 17, 2009, the Company’s stockholders approved a proposal to affect a 10-for-1 reverse stock split. The reverse stock split was effective December 28, 2009 and as a result the Company’s stock began and has continued to trade above $1.00. On January 20, 2010, the Company received a letter from Nasdaq stating that it had regained compliance with the minimum $1.00 bid price requirement. In addition, the Company’s stockholders approved the change of the Company’s name from Forgent Networks, Inc. to Asure Software,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w:t>
      </w:r>
    </w:p>
    <w:p>
      <w:pPr>
        <w:spacing w:after="0" w:line="187"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are believed to be reasonable as of the filing date of this report, they inherently are subject to certain risks and uncertainties. Additionally, Asure is under no obligation to update any of the forward-looking statements after the date of this Form 10-Q to conform such statements to actual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The following table sets forth the percentage of total revenues represented by certain items in Asure’s Consolidated Statements of Operations for the fiscal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58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rPr>
              <w:t>FOR THE THREE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58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9"/>
              </w:rPr>
              <w:t>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b w:val="1"/>
                <w:bCs w:val="1"/>
                <w:color w:val="auto"/>
                <w:w w:val="93"/>
              </w:rPr>
              <w:t>March 31,</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20" w:type="dxa"/>
            <w:vAlign w:val="bottom"/>
          </w:tcPr>
          <w:p>
            <w:pPr>
              <w:jc w:val="right"/>
              <w:spacing w:after="0"/>
              <w:rPr>
                <w:sz w:val="20"/>
                <w:szCs w:val="20"/>
                <w:color w:val="auto"/>
              </w:rPr>
            </w:pPr>
            <w:r>
              <w:rPr>
                <w:rFonts w:ascii="Arial" w:cs="Arial" w:eastAsia="Arial" w:hAnsi="Arial"/>
                <w:sz w:val="18"/>
                <w:szCs w:val="18"/>
                <w:color w:val="auto"/>
              </w:rPr>
              <w:t>81.3</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(loss) income, net</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9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440" w:type="dxa"/>
            <w:vAlign w:val="bottom"/>
          </w:tcPr>
          <w:p>
            <w:pPr>
              <w:spacing w:after="0"/>
              <w:rPr>
                <w:sz w:val="18"/>
                <w:szCs w:val="18"/>
                <w:color w:val="auto"/>
              </w:rPr>
            </w:pPr>
          </w:p>
        </w:tc>
      </w:tr>
      <w:tr>
        <w:trPr>
          <w:trHeight w:val="608"/>
        </w:trPr>
        <w:tc>
          <w:tcPr>
            <w:tcW w:w="1440" w:type="dxa"/>
            <w:vAlign w:val="bottom"/>
          </w:tcPr>
          <w:p>
            <w:pPr>
              <w:spacing w:after="0"/>
              <w:rPr>
                <w:sz w:val="24"/>
                <w:szCs w:val="24"/>
                <w:color w:val="auto"/>
              </w:rPr>
            </w:pPr>
          </w:p>
        </w:tc>
        <w:tc>
          <w:tcPr>
            <w:tcW w:w="5320" w:type="dxa"/>
            <w:vAlign w:val="bottom"/>
          </w:tcPr>
          <w:p>
            <w:pPr>
              <w:ind w:left="4180"/>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Consolidated revenues represent the combined revenues of the Company and its subsidiaries, including sales of the Company’s scheduling software, human resource and time and attendance software, complementary hardware devices to enhance its software products, software maintenance and support services, installation and training services and other professional services.</w:t>
      </w:r>
    </w:p>
    <w:p>
      <w:pPr>
        <w:spacing w:after="0" w:line="181"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Revenues for the three months ended March 31, 2011 were $2,357, a decrease of $102, or 4.1%, from the $2,459 reported for the three months ended March 31, 2010. This was primarily due to a $99 decrease in hardware revenue.</w:t>
      </w:r>
    </w:p>
    <w:p>
      <w:pPr>
        <w:spacing w:after="0" w:line="197"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Asure will continue to target small and medium businesses and divisions of enterprises. In addition to continuing to develop its workforce management solutions and release new software updates and enhancements, the Company is actively exploring other opportunities to acquire additional products or technologies to complement its current software and services. For example, in 2010, Asure acquired an additional product from its Australian distribution partner. This product, NetSimplicity’s Social View, is available as a complementary product to both Meeting Room Manager On Demand and the perpetual in-house software solution. Social View is a public calendar module that allows read-only access to event and/or room information to the web without user login. Asure also is implementing marketing initiatives, including tailoring its solutions to provide increased value and a simplified purchasing model to targeted customers. As the overall workforce management solutions market continues to experience significant growth related to software as a service (“SaaS”) products, Asure will continue to focus on sales of its MRM and iEmployee SaaS products. Management believes that further economic recovery will facilitate additional revenue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Gross margins for the three months ended March 31, 2011 were $1,917, an increase of $95, or 5.2%, from the $1,822 reported for the three months ended March 31, 2010. Gross margins as a percentage of revenues were 81.3% and 74.1% for the three months ended March 31, 2011 and 2010, respectively. The increase in gross margins of $95 was primarily due to the increase in Software margin, $138, primarily due to a decrease in Software cost of goods of $141.This increase was offset by a decrease in hardware margins by $43, related to the decrease in hardware revenue of $99.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Selling, general and administrative (“SG&amp;A”) expenses for the three months ended March 31, 2011 were $1,401, a decrease of $40 or 2.8%, from the $1,441 reported for the three months ended March 31, 2010. SG&amp;A expenses as a percentage of revenues were 59.4% and 58.6% for the three months ended March 31, 2011 and 2010, respectively. The $40 decrease was driven by business turnaround efforts and other cost reductions, such as reductions in insurance costs, $30 and depreciation, $33. The net effect of real estate related savings, compared to the three months ended March 31, 2010, due to the amendment to the Company’s building lease with WB One &amp; Two LTD in April 2010, $66, was offset by one time severance expense, $56, in the three months ended March 31, 2011.</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Throughout its operations, Asure continues to evaluate any unnecessary SG&amp;A expenses and plans to further reduce expenses as appropriate.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Research and development (“R&amp;D”) expenses for the three months ended March 31, 2011 were $391, an increase of $49, or 14.3%, from the $342 reported for the three months ended March 31, 2010. R&amp;D expenses as a percentage of revenues were 16.6% and 13.9% for the three months ended March 31, 2011 and 2010, respectively. The $49 increase in R&amp;D expenses was primarily driven by recent investments in R&amp;D to enhance our Saas or cloud-based platforms.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Asure continues to enhance its workforce management solutions-particularly its Time &amp; Attendance software from the iEmployee product line and its Meeting Room Manager software from its NetSimplicity product line. Recent enhancements to the Time &amp; Attendance include an additional application programming interface (“API”) delivered via webservices for time collection, which expands the software’s interoperatibility with various time clocks in addition to Asure’s Easy Touch Time Clock. Additionally, the Company implemented a new line of clocks that contains several forms of data collection including magnetic stripe, barcode, proximity and biometric readers. The expanded interoperability and new line of clocks expanded Time &amp; Attendance’s capabilities to meet various customers’ requirements by increasing the customers’ choices when selecting hardware devices. Asure also added functionality to its Time &amp; Attendance software by developing an automated calculation of the time off accruals and a new flexible pay schedule that allows customers to specify start and end dates and times for multiple different pay periods.</w:t>
      </w:r>
    </w:p>
    <w:p>
      <w:pPr>
        <w:spacing w:after="0" w:line="206" w:lineRule="exact"/>
        <w:rPr>
          <w:sz w:val="20"/>
          <w:szCs w:val="20"/>
          <w:color w:val="auto"/>
        </w:rPr>
      </w:pPr>
    </w:p>
    <w:p>
      <w:pPr>
        <w:jc w:val="both"/>
        <w:ind w:right="20" w:firstLine="972"/>
        <w:spacing w:after="0" w:line="264" w:lineRule="auto"/>
        <w:rPr>
          <w:sz w:val="20"/>
          <w:szCs w:val="20"/>
          <w:color w:val="auto"/>
        </w:rPr>
      </w:pPr>
      <w:r>
        <w:rPr>
          <w:rFonts w:ascii="Arial" w:cs="Arial" w:eastAsia="Arial" w:hAnsi="Arial"/>
          <w:sz w:val="18"/>
          <w:szCs w:val="18"/>
          <w:color w:val="auto"/>
        </w:rPr>
        <w:t>Additionally, Asure continues to develop Meeting Room Manager and released a few minor versions in 2010 that enhanced the Microsoft Outlook Plug-in, Web and Interactive LCD interfaces, allowed assigned delegates the ability to schedule meetings on behalf of others, and provided more sophisticated conflict resolution options for scheduling recurring meetings via Microsoft Outlook.</w:t>
      </w:r>
    </w:p>
    <w:p>
      <w:pPr>
        <w:spacing w:after="0" w:line="208"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auto"/>
        </w:rPr>
        <w:t>Asure’s development efforts for future releases and enhancements are driven by feedback received from its existing and potential customers and by gauging market trends. Management believes it has the appropriate development team to design and further improve its workforce management solutions.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 in Operating Expenses</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Amortization expense for the three months ended March 31, 2011 and 2010 was $149 and $149, respectively. Upon acquiring the iEmployee business in October 2007, Asure recorded several intangible assets, which are being amortized over their estimated useful lives. The amortization expenses during the three months ended March 31, 2011 and 2010 relate entirely to these acquired intangible assets.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Asure generated a net loss of $60, or $0.02 per share, during the three months ended March 31, 2011, compared to a net loss of $188 or $0.06 per share reported for the three months ended March 31, 2010. Net loss as a percentage of total revenues were 2.5% for the three months ended March 31, 2011 compared to Net Loss of 7.6% for the three months ended March 31, 2010.</w:t>
      </w:r>
    </w:p>
    <w:p>
      <w:pPr>
        <w:spacing w:after="0" w:line="18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Asure will continue to implement its corporate strategy for growing its software and services business by modestly investing in areas that directly generate revenue and positive cash flows for the Company. However, uncertainties and challenges remain, especially during this macroeconomic environment downturn, and there can be no assurance that the Company can successfully grow its revenues or achieve profitability during the remainder of fiscal year 2011.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1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rPr>
              <w:t>FOR THE THREE MONTHS</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rPr>
              <w:t>ENDED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MARCH 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2010</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4"/>
        </w:trPr>
        <w:tc>
          <w:tcPr>
            <w:tcW w:w="14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3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5"/>
              </w:rPr>
              <w:t>Cash, cash equivalents and short-term investments</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1,991</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provided/(used) in operating activities</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Cash provided/(used) in investing activities</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provided/(used) in financing activities</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1440" w:type="dxa"/>
            <w:vAlign w:val="bottom"/>
          </w:tcPr>
          <w:p>
            <w:pPr>
              <w:spacing w:after="0"/>
              <w:rPr>
                <w:sz w:val="18"/>
                <w:szCs w:val="18"/>
                <w:color w:val="auto"/>
              </w:rPr>
            </w:pPr>
          </w:p>
        </w:tc>
      </w:tr>
      <w:tr>
        <w:trPr>
          <w:trHeight w:val="608"/>
        </w:trPr>
        <w:tc>
          <w:tcPr>
            <w:tcW w:w="14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80" w:type="dxa"/>
            <w:vAlign w:val="bottom"/>
          </w:tcPr>
          <w:p>
            <w:pPr>
              <w:jc w:val="right"/>
              <w:ind w:right="950"/>
              <w:spacing w:after="0"/>
              <w:rPr>
                <w:sz w:val="20"/>
                <w:szCs w:val="20"/>
                <w:color w:val="auto"/>
              </w:rPr>
            </w:pPr>
            <w:r>
              <w:rPr>
                <w:rFonts w:ascii="Arial" w:cs="Arial" w:eastAsia="Arial" w:hAnsi="Arial"/>
                <w:sz w:val="18"/>
                <w:szCs w:val="18"/>
                <w:color w:val="auto"/>
              </w:rPr>
              <w:t>13</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Working capital was ($147) on March 31, 2011, a decrease of $253 from $106 on March 31, 2010. This decrease was primarily due to a reduction in current assets of $561. Approximately $1,500 was used to fund the lease amendment payment, while cash from operations, net of this payment, was $619 from January 1, 2010 to March 31, 2011. The decrease was offset by decrease in current liabilities related to reductions in accounts payables and lease impairments amounting to $308.The Company believes that it can continue to generate positive cash flow as demonstrated by the current quarter of 2011 and thus continue to increase its available working capital.</w:t>
      </w:r>
    </w:p>
    <w:p>
      <w:pPr>
        <w:spacing w:after="0" w:line="18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Cash provided by operating activities was $312 for the three months ended March 31, 2011 primarily to reduction in accounts receivable of $206; $238 of depreciation and amortization expenses; a net loss of $60 and a decrease in accrued expenses of $71. Cash used in operating activities was $111 for the three months ended March 31, 2010 due primarily to $188 in net loss and a $244 reduction in accounts payable offset by a decrease in accounts receivable of $420.</w:t>
      </w:r>
    </w:p>
    <w:p>
      <w:pPr>
        <w:spacing w:after="0" w:line="187"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Cash used in investing activities was ($8) for the three months ended March 31, 2011 due to net purchases of property and equipment. Cash used by investing activities was ($77) for the three months ended March 31, 2010 due primarily to net purchases of property and equipment. Asure’s current operations are not capital intensive and management does not anticipate any significant capital expenditures during the remainder of calendar year 2011.</w:t>
      </w:r>
    </w:p>
    <w:p>
      <w:pPr>
        <w:spacing w:after="0" w:line="147"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The Company leases office space and equipment under non-cancelable operating leases that expire at various dates through 2013. Certain leases obligate Asure to pay property taxes, maintenance and insurance and include escalation clauses. Approximately $480 or 74.8% of the Company’s total operating lease obligations relate to its corporate office facility at Wild Basin in Austin, Texas.</w:t>
      </w:r>
    </w:p>
    <w:p>
      <w:pPr>
        <w:spacing w:after="0" w:line="181"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Management continues to evaluate and reduce any unnecessary expenditure, while continuing to closely monitor all of its cash sources and uses as it manages its operations.</w:t>
      </w:r>
    </w:p>
    <w:p>
      <w:pPr>
        <w:spacing w:after="0" w:line="170"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Cash used in financing activities was ($12) for the three months ended March 31, 2011 related to payments on capital leases. Cash used in financing activities was ($123) for the three months ended March 31, 2010 related primarily to the repurchase of treasury stock for ($110) and payment on capital leases for ($13). Management believes it currently has sufficient cash and short-term investments on hand to fund its operations during the next twelve months and beyond without needing to obtain long-term financing. Therefore, the Company does not anticipate that it will be affected by any credit shortage in the current economic business environment.</w:t>
      </w:r>
    </w:p>
    <w:p>
      <w:pPr>
        <w:spacing w:after="0" w:line="18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Pursuant to Asure’s stock repurchase plan, the Company is allowed to repurchase up to 300,000 shares (adjusted for the 10 to 1 reverse stock split) of the Company’s common stock. In total, Asure has repurchased 256,107 shares for approximately $5.0 million over the life of the plan, including 43,364 shares of common stock for $110 purchased in 2010. Management will periodically assess repurchasing additional shares, depending on the Company’s cash position, market conditions and other factors.</w:t>
      </w:r>
    </w:p>
    <w:p>
      <w:pPr>
        <w:spacing w:after="0" w:line="187"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As of March 31, 2011, Asure’s principal source of liquidity consisted of $1,375 of current cash and cash equivalents as well as future cash generated from operations. The company was able to increase its cash by $305 from the prior quarter even though it had a loss of $60 for the quarter ending March 31, 2011. The Company is continuing to reduce expenses and thus may utilize its cash balances in the short-term to reduce long-term costs. The Company expects that it will be able to generate positive cash flows from operating activities for the remainder of 2011.</w:t>
      </w:r>
    </w:p>
    <w:p>
      <w:pPr>
        <w:spacing w:after="0" w:line="171"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Management is focused on growing its existing software operations and looking to make strategic acquisitions in the near future. In the short-term, any acquisitions will be funded with equity, cash on the balance sheet, cash from operations, and cash or debt raised from outside sources.</w:t>
      </w:r>
    </w:p>
    <w:p>
      <w:pPr>
        <w:spacing w:after="0" w:line="14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0" w:lineRule="exact"/>
        <w:rPr>
          <w:sz w:val="20"/>
          <w:szCs w:val="20"/>
          <w:color w:val="auto"/>
        </w:rPr>
      </w:pPr>
    </w:p>
    <w:p>
      <w:pPr>
        <w:spacing w:after="0" w:line="27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2010. For additional information on critical accounting policies, refer to “Management’s Discussion and Analysis” in our 2010 Annual Report on Form 10-K.</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Company is a smaller reporting company as defined by Rule 12b-2 under the Exchange Act and is not required to provide the information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The Company maintains disclosure controls and procedures that are designed to ensure that information required to be disclosed in the reports it files under the Securities and Exchange Act of 1934, as amended, is recorded, processed, summarized and reported within the time periods specified in the rules and forms of the Securities and Exchange Commission. Such controls include those designed to ensure that information for disclosure is communicated to management, including the Chairman of the Board and the Chief Executive Officer (“CEO”), as appropriate to allow timely decisions regarding required disclosure.</w:t>
      </w:r>
    </w:p>
    <w:p>
      <w:pPr>
        <w:spacing w:after="0" w:line="193"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The CEO and CFO, with the participation of management, have evaluated the effectiveness of the Company’s disclosure controls and procedures as of March 31, 2011. Based on their evaluation, they have concluded, to the best of their knowledge and belief, that the disclosure controls and procedures are effective. No changes were made in the Company’s internal controls over financial reporting during the three months ended March 31, 2011, that have materially affected, or are reasonably likely to materially affect, the Company’s internal controls over financial reporting.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Company is a smaller reporting company as defined by Rule 12b-2 of the Exchange Act and is not required to provide the information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600" w:type="dxa"/>
            <w:vAlign w:val="bottom"/>
            <w:gridSpan w:val="5"/>
          </w:tcPr>
          <w:p>
            <w:pPr>
              <w:ind w:left="160"/>
              <w:spacing w:after="0"/>
              <w:rPr>
                <w:sz w:val="20"/>
                <w:szCs w:val="20"/>
                <w:color w:val="auto"/>
              </w:rPr>
            </w:pPr>
            <w:r>
              <w:rPr>
                <w:rFonts w:ascii="Arial" w:cs="Arial" w:eastAsia="Arial" w:hAnsi="Arial"/>
                <w:sz w:val="18"/>
                <w:szCs w:val="18"/>
                <w:color w:val="auto"/>
              </w:rPr>
              <w:t>None</w:t>
            </w:r>
          </w:p>
        </w:tc>
      </w:tr>
      <w:tr>
        <w:trPr>
          <w:trHeight w:val="432"/>
        </w:trPr>
        <w:tc>
          <w:tcPr>
            <w:tcW w:w="11420" w:type="dxa"/>
            <w:vAlign w:val="bottom"/>
            <w:gridSpan w:val="6"/>
          </w:tcPr>
          <w:p>
            <w:pPr>
              <w:spacing w:after="0"/>
              <w:rPr>
                <w:sz w:val="20"/>
                <w:szCs w:val="20"/>
                <w:color w:val="auto"/>
              </w:rPr>
            </w:pPr>
            <w:r>
              <w:rPr>
                <w:rFonts w:ascii="Arial" w:cs="Arial" w:eastAsia="Arial" w:hAnsi="Arial"/>
                <w:sz w:val="18"/>
                <w:szCs w:val="18"/>
                <w:b w:val="1"/>
                <w:bCs w:val="1"/>
                <w:color w:val="auto"/>
              </w:rPr>
              <w:t>ITEM 3.  DEFAULTS UPON SENIOR SECURITIES</w:t>
            </w:r>
          </w:p>
        </w:tc>
      </w:tr>
      <w:tr>
        <w:trPr>
          <w:trHeight w:val="432"/>
        </w:trPr>
        <w:tc>
          <w:tcPr>
            <w:tcW w:w="820" w:type="dxa"/>
            <w:vAlign w:val="bottom"/>
          </w:tcPr>
          <w:p>
            <w:pPr>
              <w:spacing w:after="0"/>
              <w:rPr>
                <w:sz w:val="24"/>
                <w:szCs w:val="24"/>
                <w:color w:val="auto"/>
              </w:rPr>
            </w:pPr>
          </w:p>
        </w:tc>
        <w:tc>
          <w:tcPr>
            <w:tcW w:w="10600" w:type="dxa"/>
            <w:vAlign w:val="bottom"/>
            <w:gridSpan w:val="5"/>
          </w:tcPr>
          <w:p>
            <w:pPr>
              <w:ind w:left="160"/>
              <w:spacing w:after="0"/>
              <w:rPr>
                <w:sz w:val="20"/>
                <w:szCs w:val="20"/>
                <w:color w:val="auto"/>
              </w:rPr>
            </w:pPr>
            <w:r>
              <w:rPr>
                <w:rFonts w:ascii="Arial" w:cs="Arial" w:eastAsia="Arial" w:hAnsi="Arial"/>
                <w:sz w:val="18"/>
                <w:szCs w:val="18"/>
                <w:color w:val="auto"/>
              </w:rPr>
              <w:t>None</w:t>
            </w:r>
          </w:p>
        </w:tc>
      </w:tr>
      <w:tr>
        <w:trPr>
          <w:trHeight w:val="459"/>
        </w:trPr>
        <w:tc>
          <w:tcPr>
            <w:tcW w:w="11420" w:type="dxa"/>
            <w:vAlign w:val="bottom"/>
            <w:gridSpan w:val="6"/>
          </w:tcPr>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tc>
      </w:tr>
      <w:tr>
        <w:trPr>
          <w:trHeight w:val="459"/>
        </w:trPr>
        <w:tc>
          <w:tcPr>
            <w:tcW w:w="820" w:type="dxa"/>
            <w:vAlign w:val="bottom"/>
          </w:tcPr>
          <w:p>
            <w:pPr>
              <w:spacing w:after="0"/>
              <w:rPr>
                <w:sz w:val="24"/>
                <w:szCs w:val="24"/>
                <w:color w:val="auto"/>
              </w:rPr>
            </w:pPr>
          </w:p>
        </w:tc>
        <w:tc>
          <w:tcPr>
            <w:tcW w:w="10600" w:type="dxa"/>
            <w:vAlign w:val="bottom"/>
            <w:gridSpan w:val="5"/>
          </w:tcPr>
          <w:p>
            <w:pPr>
              <w:ind w:left="160"/>
              <w:spacing w:after="0"/>
              <w:rPr>
                <w:sz w:val="20"/>
                <w:szCs w:val="20"/>
                <w:color w:val="auto"/>
              </w:rPr>
            </w:pPr>
            <w:r>
              <w:rPr>
                <w:rFonts w:ascii="Arial" w:cs="Arial" w:eastAsia="Arial" w:hAnsi="Arial"/>
                <w:sz w:val="18"/>
                <w:szCs w:val="18"/>
                <w:color w:val="auto"/>
              </w:rPr>
              <w:t>None</w:t>
            </w: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600" w:type="dxa"/>
            <w:vAlign w:val="bottom"/>
            <w:gridSpan w:val="5"/>
          </w:tcPr>
          <w:p>
            <w:pPr>
              <w:ind w:left="2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820" w:type="dxa"/>
            <w:vAlign w:val="bottom"/>
          </w:tcPr>
          <w:p>
            <w:pPr>
              <w:spacing w:after="0"/>
              <w:rPr>
                <w:sz w:val="24"/>
                <w:szCs w:val="24"/>
                <w:color w:val="auto"/>
              </w:rPr>
            </w:pPr>
          </w:p>
        </w:tc>
        <w:tc>
          <w:tcPr>
            <w:tcW w:w="10600" w:type="dxa"/>
            <w:vAlign w:val="bottom"/>
            <w:gridSpan w:val="5"/>
          </w:tcPr>
          <w:p>
            <w:pPr>
              <w:ind w:left="160"/>
              <w:spacing w:after="0"/>
              <w:rPr>
                <w:sz w:val="20"/>
                <w:szCs w:val="20"/>
                <w:color w:val="auto"/>
              </w:rPr>
            </w:pPr>
            <w:r>
              <w:rPr>
                <w:rFonts w:ascii="Arial" w:cs="Arial" w:eastAsia="Arial" w:hAnsi="Arial"/>
                <w:sz w:val="18"/>
                <w:szCs w:val="18"/>
                <w:color w:val="auto"/>
              </w:rPr>
              <w:t>None</w:t>
            </w: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ind w:left="436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76"/>
        </w:trPr>
        <w:tc>
          <w:tcPr>
            <w:tcW w:w="8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15"/>
                <w:szCs w:val="15"/>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ASURE SOFTWARE, INC.</w:t>
      </w:r>
    </w:p>
    <w:p>
      <w:pPr>
        <w:spacing w:after="0" w:line="200" w:lineRule="exact"/>
        <w:rPr>
          <w:sz w:val="20"/>
          <w:szCs w:val="20"/>
          <w:color w:val="auto"/>
        </w:rPr>
      </w:pPr>
    </w:p>
    <w:p>
      <w:pPr>
        <w:spacing w:after="0" w:line="245" w:lineRule="exact"/>
        <w:rPr>
          <w:sz w:val="20"/>
          <w:szCs w:val="20"/>
          <w:color w:val="auto"/>
        </w:rPr>
      </w:pPr>
    </w:p>
    <w:p>
      <w:pPr>
        <w:spacing w:after="0"/>
        <w:tabs>
          <w:tab w:leader="none" w:pos="3660" w:val="left"/>
        </w:tabs>
        <w:rPr>
          <w:sz w:val="20"/>
          <w:szCs w:val="20"/>
          <w:color w:val="auto"/>
        </w:rPr>
      </w:pPr>
      <w:r>
        <w:rPr>
          <w:rFonts w:ascii="Arial" w:cs="Arial" w:eastAsia="Arial" w:hAnsi="Arial"/>
          <w:sz w:val="18"/>
          <w:szCs w:val="18"/>
          <w:color w:val="auto"/>
        </w:rPr>
        <w:t>May 13, 2011</w:t>
      </w:r>
      <w:r>
        <w:rPr>
          <w:sz w:val="20"/>
          <w:szCs w:val="20"/>
          <w:color w:val="auto"/>
        </w:rPr>
        <w:tab/>
      </w: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14605</wp:posOffset>
            </wp:positionV>
            <wp:extent cx="445960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59605" cy="17145"/>
                    </a:xfrm>
                    <a:prstGeom prst="rect">
                      <a:avLst/>
                    </a:prstGeom>
                    <a:noFill/>
                  </pic:spPr>
                </pic:pic>
              </a:graphicData>
            </a:graphic>
          </wp:anchor>
        </w:drawing>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3660" w:val="left"/>
        </w:tabs>
        <w:rPr>
          <w:sz w:val="20"/>
          <w:szCs w:val="20"/>
          <w:color w:val="auto"/>
        </w:rPr>
      </w:pPr>
      <w:r>
        <w:rPr>
          <w:rFonts w:ascii="Arial" w:cs="Arial" w:eastAsia="Arial" w:hAnsi="Arial"/>
          <w:sz w:val="18"/>
          <w:szCs w:val="18"/>
          <w:color w:val="auto"/>
        </w:rPr>
        <w:t>May 13, 2011</w:t>
      </w:r>
      <w:r>
        <w:rPr>
          <w:sz w:val="20"/>
          <w:szCs w:val="20"/>
          <w:color w:val="auto"/>
        </w:rPr>
        <w:tab/>
      </w:r>
      <w:r>
        <w:rPr>
          <w:rFonts w:ascii="Arial" w:cs="Arial" w:eastAsia="Arial" w:hAnsi="Arial"/>
          <w:sz w:val="17"/>
          <w:szCs w:val="17"/>
          <w:color w:val="auto"/>
        </w:rPr>
        <w:t>By: /s/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14605</wp:posOffset>
            </wp:positionV>
            <wp:extent cx="445960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59605" cy="17145"/>
                    </a:xfrm>
                    <a:prstGeom prst="rect">
                      <a:avLst/>
                    </a:prstGeom>
                    <a:noFill/>
                  </pic:spPr>
                </pic:pic>
              </a:graphicData>
            </a:graphic>
          </wp:anchor>
        </w:drawing>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ind w:left="3400"/>
              <w:spacing w:after="0"/>
              <w:rPr>
                <w:sz w:val="20"/>
                <w:szCs w:val="20"/>
                <w:color w:val="auto"/>
              </w:rPr>
            </w:pPr>
            <w:r>
              <w:rPr>
                <w:rFonts w:ascii="Arial" w:cs="Arial" w:eastAsia="Arial" w:hAnsi="Arial"/>
                <w:sz w:val="18"/>
                <w:szCs w:val="18"/>
                <w:b w:val="1"/>
                <w:bCs w:val="1"/>
                <w:color w:val="auto"/>
              </w:rPr>
              <w:t>INDEX TO EXHIBITS</w:t>
            </w:r>
          </w:p>
        </w:tc>
      </w:tr>
      <w:tr>
        <w:trPr>
          <w:trHeight w:val="630"/>
        </w:trPr>
        <w:tc>
          <w:tcPr>
            <w:tcW w:w="13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000" w:type="dxa"/>
            <w:vAlign w:val="bottom"/>
            <w:gridSpan w:val="3"/>
          </w:tcPr>
          <w:p>
            <w:pPr>
              <w:ind w:left="436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76"/>
        </w:trPr>
        <w:tc>
          <w:tcPr>
            <w:tcW w:w="130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15"/>
                <w:szCs w:val="15"/>
                <w:color w:val="auto"/>
              </w:rPr>
            </w:pP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24"/>
                <w:szCs w:val="24"/>
                <w:color w:val="auto"/>
              </w:rPr>
            </w:pP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628"/>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Borders>
              <w:top w:val="single" w:sz="8" w:color="0000EE"/>
            </w:tcBorders>
          </w:tcPr>
          <w:p>
            <w:pPr>
              <w:ind w:left="4200"/>
              <w:spacing w:after="0"/>
              <w:rPr>
                <w:sz w:val="20"/>
                <w:szCs w:val="20"/>
                <w:color w:val="auto"/>
              </w:rPr>
            </w:pPr>
            <w:r>
              <w:rPr>
                <w:rFonts w:ascii="Arial" w:cs="Arial" w:eastAsia="Arial" w:hAnsi="Arial"/>
                <w:sz w:val="18"/>
                <w:szCs w:val="18"/>
                <w:color w:val="auto"/>
              </w:rPr>
              <w:t>18</w:t>
            </w:r>
          </w:p>
        </w:tc>
        <w:tc>
          <w:tcPr>
            <w:tcW w:w="34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18"/>
        </w:trPr>
        <w:tc>
          <w:tcPr>
            <w:tcW w:w="1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0219"/>
          </w:cols>
          <w:pgMar w:left="240" w:top="122"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Chief Executive Officer, of Asure Software, Inc. (the "Company"), certify, that:</w:t>
      </w:r>
    </w:p>
    <w:p>
      <w:pPr>
        <w:spacing w:after="0" w:line="252" w:lineRule="exact"/>
        <w:rPr>
          <w:sz w:val="20"/>
          <w:szCs w:val="20"/>
          <w:color w:val="auto"/>
        </w:rPr>
      </w:pPr>
    </w:p>
    <w:p>
      <w:pPr>
        <w:ind w:left="520" w:hanging="188"/>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52"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50" w:lineRule="exact"/>
        <w:rPr>
          <w:rFonts w:ascii="Arial" w:cs="Arial" w:eastAsia="Arial" w:hAnsi="Arial"/>
          <w:sz w:val="16"/>
          <w:szCs w:val="16"/>
          <w:color w:val="auto"/>
        </w:rPr>
      </w:pPr>
    </w:p>
    <w:p>
      <w:pPr>
        <w:ind w:firstLine="332"/>
        <w:spacing w:after="0" w:line="277" w:lineRule="auto"/>
        <w:tabs>
          <w:tab w:leader="none" w:pos="52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97"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208"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8"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208" w:lineRule="exact"/>
        <w:rPr>
          <w:rFonts w:ascii="Arial" w:cs="Arial" w:eastAsia="Arial" w:hAnsi="Arial"/>
          <w:sz w:val="18"/>
          <w:szCs w:val="18"/>
          <w:color w:val="auto"/>
        </w:rPr>
      </w:pPr>
    </w:p>
    <w:p>
      <w:pPr>
        <w:ind w:firstLine="656"/>
        <w:spacing w:after="0" w:line="308" w:lineRule="auto"/>
        <w:tabs>
          <w:tab w:leader="none" w:pos="934"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73"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2011) that has materially affected, or is reasonably likely to materially affect, the Company’s internal control over financial reporting; and</w:t>
      </w:r>
    </w:p>
    <w:p>
      <w:pPr>
        <w:spacing w:after="0" w:line="208" w:lineRule="exact"/>
        <w:rPr>
          <w:rFonts w:ascii="Arial" w:cs="Arial" w:eastAsia="Arial" w:hAnsi="Arial"/>
          <w:sz w:val="18"/>
          <w:szCs w:val="18"/>
          <w:color w:val="auto"/>
        </w:rPr>
      </w:pPr>
    </w:p>
    <w:p>
      <w:pPr>
        <w:ind w:firstLine="332"/>
        <w:spacing w:after="0" w:line="277" w:lineRule="auto"/>
        <w:tabs>
          <w:tab w:leader="none" w:pos="51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97" w:lineRule="exact"/>
        <w:rPr>
          <w:rFonts w:ascii="Arial" w:cs="Arial" w:eastAsia="Arial" w:hAnsi="Arial"/>
          <w:sz w:val="18"/>
          <w:szCs w:val="18"/>
          <w:color w:val="auto"/>
        </w:rPr>
      </w:pPr>
    </w:p>
    <w:p>
      <w:pPr>
        <w:ind w:firstLine="656"/>
        <w:spacing w:after="0" w:line="277" w:lineRule="auto"/>
        <w:tabs>
          <w:tab w:leader="none" w:pos="909"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firstLine="656"/>
        <w:spacing w:after="0" w:line="277" w:lineRule="auto"/>
        <w:tabs>
          <w:tab w:leader="none" w:pos="909"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tabs>
          <w:tab w:leader="none" w:pos="4140" w:val="left"/>
        </w:tabs>
        <w:rPr>
          <w:sz w:val="20"/>
          <w:szCs w:val="20"/>
          <w:color w:val="auto"/>
        </w:rPr>
      </w:pPr>
      <w:r>
        <w:rPr>
          <w:rFonts w:ascii="Arial" w:cs="Arial" w:eastAsia="Arial" w:hAnsi="Arial"/>
          <w:sz w:val="18"/>
          <w:szCs w:val="18"/>
          <w:color w:val="auto"/>
        </w:rPr>
        <w:t>Date: May 13, 2011</w:t>
      </w:r>
      <w:r>
        <w:rPr>
          <w:sz w:val="20"/>
          <w:szCs w:val="20"/>
          <w:color w:val="auto"/>
        </w:rPr>
        <w:tab/>
      </w: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14605</wp:posOffset>
            </wp:positionV>
            <wp:extent cx="421068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10685"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David Scoglio, Chief Financial Officer, of Asure Software, Inc. (the "Company"), certify that:</w:t>
      </w:r>
    </w:p>
    <w:p>
      <w:pPr>
        <w:spacing w:after="0" w:line="252" w:lineRule="exact"/>
        <w:rPr>
          <w:sz w:val="20"/>
          <w:szCs w:val="20"/>
          <w:color w:val="auto"/>
        </w:rPr>
      </w:pPr>
    </w:p>
    <w:p>
      <w:pPr>
        <w:ind w:left="520" w:hanging="188"/>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52"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50" w:lineRule="exact"/>
        <w:rPr>
          <w:rFonts w:ascii="Arial" w:cs="Arial" w:eastAsia="Arial" w:hAnsi="Arial"/>
          <w:sz w:val="16"/>
          <w:szCs w:val="16"/>
          <w:color w:val="auto"/>
        </w:rPr>
      </w:pPr>
    </w:p>
    <w:p>
      <w:pPr>
        <w:ind w:firstLine="332"/>
        <w:spacing w:after="0" w:line="277" w:lineRule="auto"/>
        <w:tabs>
          <w:tab w:leader="none" w:pos="52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97"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208"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8"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208" w:lineRule="exact"/>
        <w:rPr>
          <w:rFonts w:ascii="Arial" w:cs="Arial" w:eastAsia="Arial" w:hAnsi="Arial"/>
          <w:sz w:val="18"/>
          <w:szCs w:val="18"/>
          <w:color w:val="auto"/>
        </w:rPr>
      </w:pPr>
    </w:p>
    <w:p>
      <w:pPr>
        <w:ind w:firstLine="656"/>
        <w:spacing w:after="0" w:line="308" w:lineRule="auto"/>
        <w:tabs>
          <w:tab w:leader="none" w:pos="934"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73"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2011) that has materially affected, or is reasonably likely to materially affect, the Company’s internal control over financial reporting; and</w:t>
      </w:r>
    </w:p>
    <w:p>
      <w:pPr>
        <w:spacing w:after="0" w:line="208" w:lineRule="exact"/>
        <w:rPr>
          <w:rFonts w:ascii="Arial" w:cs="Arial" w:eastAsia="Arial" w:hAnsi="Arial"/>
          <w:sz w:val="18"/>
          <w:szCs w:val="18"/>
          <w:color w:val="auto"/>
        </w:rPr>
      </w:pPr>
    </w:p>
    <w:p>
      <w:pPr>
        <w:ind w:firstLine="332"/>
        <w:spacing w:after="0" w:line="277" w:lineRule="auto"/>
        <w:tabs>
          <w:tab w:leader="none" w:pos="51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97" w:lineRule="exact"/>
        <w:rPr>
          <w:rFonts w:ascii="Arial" w:cs="Arial" w:eastAsia="Arial" w:hAnsi="Arial"/>
          <w:sz w:val="18"/>
          <w:szCs w:val="18"/>
          <w:color w:val="auto"/>
        </w:rPr>
      </w:pPr>
    </w:p>
    <w:p>
      <w:pPr>
        <w:ind w:firstLine="656"/>
        <w:spacing w:after="0" w:line="277" w:lineRule="auto"/>
        <w:tabs>
          <w:tab w:leader="none" w:pos="909"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firstLine="656"/>
        <w:spacing w:after="0" w:line="277" w:lineRule="auto"/>
        <w:tabs>
          <w:tab w:leader="none" w:pos="909"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tabs>
          <w:tab w:leader="none" w:pos="4280" w:val="left"/>
        </w:tabs>
        <w:rPr>
          <w:sz w:val="20"/>
          <w:szCs w:val="20"/>
          <w:color w:val="auto"/>
        </w:rPr>
      </w:pPr>
      <w:r>
        <w:rPr>
          <w:rFonts w:ascii="Arial" w:cs="Arial" w:eastAsia="Arial" w:hAnsi="Arial"/>
          <w:sz w:val="18"/>
          <w:szCs w:val="18"/>
          <w:color w:val="auto"/>
        </w:rPr>
        <w:t>Date: May 13, 2011</w:t>
      </w:r>
      <w:r>
        <w:rPr>
          <w:sz w:val="20"/>
          <w:szCs w:val="20"/>
          <w:color w:val="auto"/>
        </w:rPr>
        <w:tab/>
      </w:r>
      <w:r>
        <w:rPr>
          <w:rFonts w:ascii="Arial" w:cs="Arial" w:eastAsia="Arial" w:hAnsi="Arial"/>
          <w:sz w:val="17"/>
          <w:szCs w:val="17"/>
          <w:color w:val="auto"/>
        </w:rPr>
        <w:t>By: /s/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411670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16705" cy="1714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the undersigned, Patrick Goepel, Chief Executive Officer of Asure Software, Inc. (the “Company”), do hereby certify, pursuant to 18 U.S.C. Section 1350, as adopted by Section 906 of the Sarbanes-Oxley Act of 2002, that:</w:t>
      </w:r>
    </w:p>
    <w:p>
      <w:pPr>
        <w:spacing w:after="0" w:line="197" w:lineRule="exact"/>
        <w:rPr>
          <w:sz w:val="20"/>
          <w:szCs w:val="20"/>
          <w:color w:val="auto"/>
        </w:rPr>
      </w:pPr>
    </w:p>
    <w:p>
      <w:pPr>
        <w:ind w:firstLine="332"/>
        <w:spacing w:after="0" w:line="277" w:lineRule="auto"/>
        <w:tabs>
          <w:tab w:leader="none" w:pos="52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2011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spacing w:after="0"/>
        <w:tabs>
          <w:tab w:leader="none" w:pos="4620" w:val="left"/>
          <w:tab w:leader="none" w:pos="5080" w:val="left"/>
        </w:tabs>
        <w:rPr>
          <w:sz w:val="20"/>
          <w:szCs w:val="20"/>
          <w:color w:val="auto"/>
        </w:rPr>
      </w:pPr>
      <w:r>
        <w:rPr>
          <w:rFonts w:ascii="Arial" w:cs="Arial" w:eastAsia="Arial" w:hAnsi="Arial"/>
          <w:sz w:val="18"/>
          <w:szCs w:val="18"/>
          <w:color w:val="auto"/>
        </w:rPr>
        <w:t>Date: May 13,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382460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the undersigned, David Scoglio, Chief Financial Officer, of Asure Software, Inc. (the “Company”), do hereby certify, pursuant to 18 U.S.C. Section 1350, as adopted by Section 906 of the Sarbanes-Oxley Act of 2002, that:</w:t>
      </w:r>
    </w:p>
    <w:p>
      <w:pPr>
        <w:spacing w:after="0" w:line="197" w:lineRule="exact"/>
        <w:rPr>
          <w:sz w:val="20"/>
          <w:szCs w:val="20"/>
          <w:color w:val="auto"/>
        </w:rPr>
      </w:pPr>
    </w:p>
    <w:p>
      <w:pPr>
        <w:ind w:firstLine="332"/>
        <w:spacing w:after="0" w:line="277" w:lineRule="auto"/>
        <w:tabs>
          <w:tab w:leader="none" w:pos="52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2011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Date: May 13, 2011</w:t>
      </w:r>
      <w:r>
        <w:rPr>
          <w:sz w:val="20"/>
          <w:szCs w:val="20"/>
          <w:color w:val="auto"/>
        </w:rPr>
        <w:tab/>
      </w:r>
      <w:r>
        <w:rPr>
          <w:rFonts w:ascii="Arial" w:cs="Arial" w:eastAsia="Arial" w:hAnsi="Arial"/>
          <w:sz w:val="17"/>
          <w:szCs w:val="17"/>
          <w:color w:val="auto"/>
        </w:rPr>
        <w:t>By: /s/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14605</wp:posOffset>
            </wp:positionV>
            <wp:extent cx="40563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2019-12-10T11:17:46Z</dcterms:created>
  <dcterms:modified xsi:type="dcterms:W3CDTF">2019-12-10T11:17:46Z</dcterms:modified>
</cp:coreProperties>
</file>