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00" w:right="1740" w:hanging="3709"/>
        <w:spacing w:after="0" w:line="564" w:lineRule="auto"/>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378" w:lineRule="exact"/>
        <w:rPr>
          <w:sz w:val="24"/>
          <w:szCs w:val="24"/>
          <w:color w:val="auto"/>
        </w:rPr>
      </w:pPr>
    </w:p>
    <w:p>
      <w:pPr>
        <w:ind w:left="520" w:hanging="329"/>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108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8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(Exact Name of Registrant as Specified in its Charter)</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gridSpan w:val="6"/>
          </w:tcPr>
          <w:p>
            <w:pPr>
              <w:spacing w:after="0"/>
              <w:rPr>
                <w:sz w:val="24"/>
                <w:szCs w:val="2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3"/>
              </w:rPr>
              <w:t>(State of other jurisdiction of</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3"/>
              </w:rPr>
              <w:t>incorporation or organization)</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6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0"/>
              </w:rPr>
              <w:t>110 Wild Basin Road, Suite 100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900" w:type="dxa"/>
            <w:vAlign w:val="bottom"/>
            <w:gridSpan w:val="8"/>
          </w:tcPr>
          <w:p>
            <w:pPr>
              <w:jc w:val="center"/>
              <w:ind w:right="488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32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r>
        <w:trPr>
          <w:trHeight w:val="392"/>
        </w:trPr>
        <w:tc>
          <w:tcPr>
            <w:tcW w:w="5200" w:type="dxa"/>
            <w:vAlign w:val="bottom"/>
            <w:gridSpan w:val="7"/>
          </w:tcPr>
          <w:p>
            <w:pPr>
              <w:jc w:val="center"/>
              <w:ind w:left="399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5"/>
          </w:tcPr>
          <w:p>
            <w:pPr>
              <w:jc w:val="center"/>
              <w:ind w:left="330"/>
              <w:spacing w:after="0"/>
              <w:rPr>
                <w:sz w:val="20"/>
                <w:szCs w:val="20"/>
                <w:color w:val="auto"/>
              </w:rPr>
            </w:pPr>
            <w:r>
              <w:rPr>
                <w:rFonts w:ascii="Arial" w:cs="Arial" w:eastAsia="Arial" w:hAnsi="Arial"/>
                <w:sz w:val="18"/>
                <w:szCs w:val="18"/>
                <w:color w:val="auto"/>
                <w:w w:val="90"/>
              </w:rPr>
              <w:t>(Registrant’s Telephone Number, including Area Code)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13, 2013, the registrant had outstanding 5,262,548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360" w:type="dxa"/>
            <w:vAlign w:val="bottom"/>
            <w:gridSpan w:val="19"/>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60" w:type="dxa"/>
            <w:vAlign w:val="bottom"/>
          </w:tcPr>
          <w:p>
            <w:pPr>
              <w:spacing w:after="0"/>
              <w:rPr>
                <w:sz w:val="14"/>
                <w:szCs w:val="14"/>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9"/>
          </w:tcPr>
          <w:p>
            <w:pPr>
              <w:jc w:val="center"/>
              <w:ind w:right="22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41"/>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9"/>
          </w:tcPr>
          <w:p>
            <w:pPr>
              <w:ind w:left="700"/>
              <w:spacing w:after="0"/>
              <w:rPr>
                <w:sz w:val="20"/>
                <w:szCs w:val="20"/>
                <w:color w:val="auto"/>
              </w:rPr>
            </w:pPr>
            <w:r>
              <w:rPr>
                <w:rFonts w:ascii="Arial" w:cs="Arial" w:eastAsia="Arial" w:hAnsi="Arial"/>
                <w:sz w:val="18"/>
                <w:szCs w:val="18"/>
                <w:b w:val="1"/>
                <w:bCs w:val="1"/>
                <w:color w:val="auto"/>
              </w:rPr>
              <w:t>PART I - FINANCIAL INFORMATION</w:t>
            </w:r>
          </w:p>
        </w:tc>
        <w:tc>
          <w:tcPr>
            <w:tcW w:w="1060" w:type="dxa"/>
            <w:vAlign w:val="bottom"/>
          </w:tcPr>
          <w:p>
            <w:pPr>
              <w:spacing w:after="0"/>
              <w:rPr>
                <w:sz w:val="18"/>
                <w:szCs w:val="18"/>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1060" w:type="dxa"/>
            <w:vAlign w:val="bottom"/>
          </w:tcPr>
          <w:p>
            <w:pPr>
              <w:spacing w:after="0"/>
              <w:rPr>
                <w:sz w:val="24"/>
                <w:szCs w:val="24"/>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6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2013 and December 31, 2012</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60" w:type="dxa"/>
            <w:vAlign w:val="bottom"/>
            <w:gridSpan w:val="16"/>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Comprehensive Loss for the Three Months ended March 31, 2013 and 2012</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tcBorders>
              <w:top w:val="single" w:sz="8" w:color="0000EE"/>
            </w:tcBorders>
            <w:gridSpan w:val="15"/>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Cash Flows for the Three Months Ended March 31, 2013 and 2012</w:t>
              </w:r>
            </w:hyperlink>
          </w:p>
        </w:tc>
        <w:tc>
          <w:tcPr>
            <w:tcW w:w="9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700" w:type="dxa"/>
            <w:vAlign w:val="bottom"/>
            <w:tcBorders>
              <w:top w:val="single" w:sz="8" w:color="0000EE"/>
            </w:tcBorders>
            <w:gridSpan w:val="5"/>
          </w:tcPr>
          <w:p>
            <w:pPr>
              <w:spacing w:after="0"/>
              <w:rPr>
                <w:sz w:val="17"/>
                <w:szCs w:val="17"/>
                <w:color w:val="auto"/>
              </w:rPr>
            </w:pPr>
          </w:p>
        </w:tc>
        <w:tc>
          <w:tcPr>
            <w:tcW w:w="156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Management’s Discussion and Analysis of Financial Condition and Results of Operations</w:t>
              </w:r>
            </w:hyperlink>
          </w:p>
        </w:tc>
        <w:tc>
          <w:tcPr>
            <w:tcW w:w="274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540" w:type="dxa"/>
            <w:vAlign w:val="bottom"/>
            <w:gridSpan w:val="18"/>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Controls and Procedures</w:t>
              </w:r>
            </w:hyperlink>
          </w:p>
        </w:tc>
        <w:tc>
          <w:tcPr>
            <w:tcW w:w="492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8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3"/>
              </w:rPr>
            </w:pPr>
            <w:hyperlink w:anchor="page22">
              <w:r>
                <w:rPr>
                  <w:rFonts w:ascii="Arial" w:cs="Arial" w:eastAsia="Arial" w:hAnsi="Arial"/>
                  <w:sz w:val="18"/>
                  <w:szCs w:val="18"/>
                  <w:b w:val="1"/>
                  <w:bCs w:val="1"/>
                  <w:color w:val="0000EE"/>
                  <w:w w:val="83"/>
                </w:rPr>
                <w:t>Legal Proceedings</w:t>
              </w:r>
            </w:hyperlink>
          </w:p>
        </w:tc>
        <w:tc>
          <w:tcPr>
            <w:tcW w:w="818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5"/>
              </w:rPr>
            </w:pPr>
            <w:hyperlink w:anchor="page22">
              <w:r>
                <w:rPr>
                  <w:rFonts w:ascii="Arial" w:cs="Arial" w:eastAsia="Arial" w:hAnsi="Arial"/>
                  <w:sz w:val="18"/>
                  <w:szCs w:val="18"/>
                  <w:b w:val="1"/>
                  <w:bCs w:val="1"/>
                  <w:color w:val="0000EE"/>
                  <w:w w:val="85"/>
                </w:rPr>
                <w:t>Risk Factors</w:t>
              </w:r>
            </w:hyperlink>
          </w:p>
        </w:tc>
        <w:tc>
          <w:tcPr>
            <w:tcW w:w="8600" w:type="dxa"/>
            <w:vAlign w:val="bottom"/>
            <w:gridSpan w:val="1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540" w:type="dxa"/>
            <w:vAlign w:val="bottom"/>
            <w:gridSpan w:val="1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Unregistered Sales of Equity Securities and Use of Proceeds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86"/>
              </w:rPr>
            </w:pPr>
            <w:hyperlink w:anchor="page22">
              <w:r>
                <w:rPr>
                  <w:rFonts w:ascii="Arial" w:cs="Arial" w:eastAsia="Arial" w:hAnsi="Arial"/>
                  <w:sz w:val="18"/>
                  <w:szCs w:val="18"/>
                  <w:b w:val="1"/>
                  <w:bCs w:val="1"/>
                  <w:color w:val="0000EE"/>
                  <w:w w:val="86"/>
                </w:rPr>
                <w:t>Defaults upon Senior Securities</w:t>
              </w:r>
            </w:hyperlink>
          </w:p>
        </w:tc>
        <w:tc>
          <w:tcPr>
            <w:tcW w:w="2140" w:type="dxa"/>
            <w:vAlign w:val="bottom"/>
            <w:tcBorders>
              <w:top w:val="single" w:sz="8" w:color="0000EE"/>
            </w:tcBorders>
            <w:gridSpan w:val="4"/>
          </w:tcPr>
          <w:p>
            <w:pPr>
              <w:spacing w:after="0"/>
              <w:rPr>
                <w:sz w:val="17"/>
                <w:szCs w:val="17"/>
                <w:color w:val="auto"/>
              </w:rPr>
            </w:pPr>
          </w:p>
        </w:tc>
        <w:tc>
          <w:tcPr>
            <w:tcW w:w="502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9540" w:type="dxa"/>
            <w:vAlign w:val="bottom"/>
            <w:gridSpan w:val="1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Submission of Matters to a Vote of Security Holders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94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Information</w:t>
              </w:r>
            </w:hyperlink>
          </w:p>
        </w:tc>
        <w:tc>
          <w:tcPr>
            <w:tcW w:w="5600" w:type="dxa"/>
            <w:vAlign w:val="bottom"/>
            <w:gridSpan w:val="8"/>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2"/>
              </w:rPr>
            </w:pPr>
            <w:hyperlink w:anchor="page22">
              <w:r>
                <w:rPr>
                  <w:rFonts w:ascii="Arial" w:cs="Arial" w:eastAsia="Arial" w:hAnsi="Arial"/>
                  <w:sz w:val="18"/>
                  <w:szCs w:val="18"/>
                  <w:b w:val="1"/>
                  <w:bCs w:val="1"/>
                  <w:color w:val="0000EE"/>
                  <w:w w:val="82"/>
                </w:rPr>
                <w:t>Exhibits</w:t>
              </w:r>
            </w:hyperlink>
          </w:p>
        </w:tc>
        <w:tc>
          <w:tcPr>
            <w:tcW w:w="800" w:type="dxa"/>
            <w:vAlign w:val="bottom"/>
            <w:tcBorders>
              <w:top w:val="single" w:sz="8" w:color="0000EE"/>
            </w:tcBorders>
            <w:gridSpan w:val="3"/>
          </w:tcPr>
          <w:p>
            <w:pPr>
              <w:spacing w:after="0"/>
              <w:rPr>
                <w:sz w:val="17"/>
                <w:szCs w:val="17"/>
                <w:color w:val="auto"/>
              </w:rPr>
            </w:pPr>
          </w:p>
        </w:tc>
        <w:tc>
          <w:tcPr>
            <w:tcW w:w="8140" w:type="dxa"/>
            <w:vAlign w:val="bottom"/>
            <w:gridSpan w:val="1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10360" w:type="dxa"/>
            <w:vAlign w:val="bottom"/>
            <w:gridSpan w:val="19"/>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02"/>
        </w:trPr>
        <w:tc>
          <w:tcPr>
            <w:tcW w:w="810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8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$184 and $182 at March 31, 2013 and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2012,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16"/>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7,249</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12,179</w:t>
            </w:r>
          </w:p>
        </w:tc>
      </w:tr>
      <w:tr>
        <w:trPr>
          <w:trHeight w:val="223"/>
        </w:trPr>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35,552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1"/>
        </w:trPr>
        <w:tc>
          <w:tcPr>
            <w:tcW w:w="1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23"/>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17,498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16,938</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15,887</w:t>
            </w:r>
          </w:p>
        </w:tc>
      </w:tr>
      <w:tr>
        <w:trPr>
          <w:trHeight w:val="223"/>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16,927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17,050</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5,647 and 5,644 shares issued,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5,263 and 5,260 shares outstanding at March 31, 2013 and December 31, 2012,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384 shares at March 31, 2013 and December 31, 2012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274,445</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(268,322)</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(267,222)</w:t>
            </w:r>
          </w:p>
        </w:tc>
      </w:tr>
      <w:tr>
        <w:trPr>
          <w:trHeight w:val="22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81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top w:val="single" w:sz="8" w:color="CCEEFF"/>
            </w:tcBorders>
          </w:tcPr>
          <w:p>
            <w:pPr>
              <w:spacing w:after="0"/>
              <w:rPr>
                <w:sz w:val="19"/>
                <w:szCs w:val="19"/>
                <w:color w:val="auto"/>
              </w:rPr>
            </w:pPr>
          </w:p>
        </w:tc>
      </w:tr>
      <w:tr>
        <w:trPr>
          <w:trHeight w:val="237"/>
        </w:trPr>
        <w:tc>
          <w:tcPr>
            <w:tcW w:w="1020" w:type="dxa"/>
            <w:vAlign w:val="bottom"/>
            <w:shd w:val="clear" w:color="auto" w:fill="CCEEFF"/>
          </w:tcPr>
          <w:p>
            <w:pPr>
              <w:spacing w:after="0"/>
              <w:rPr>
                <w:sz w:val="20"/>
                <w:szCs w:val="20"/>
                <w:color w:val="auto"/>
              </w:rPr>
            </w:pPr>
          </w:p>
        </w:tc>
        <w:tc>
          <w:tcPr>
            <w:tcW w:w="70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Margin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(360</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Loss on debt conversion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loss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Interest expense and other</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 amortization of OID and derivative mark-to-market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Arial" w:cs="Arial" w:eastAsia="Arial" w:hAnsi="Arial"/>
                <w:sz w:val="18"/>
                <w:szCs w:val="18"/>
                <w:b w:val="1"/>
                <w:bCs w:val="1"/>
                <w:color w:val="auto"/>
              </w:rPr>
              <w:t>Total other income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(701)</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(1,061)</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(1,100)</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Foreign currency gain</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5,261,000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4,699,000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rPr>
              <w:t>FOR THE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Amortization of original issue discount (OID)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sale/disposal of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Derivative mark-to-market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conversion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purchases of property and equipment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Collection of note receivable</w:t>
            </w: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conversion of subordinated notes payable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capital leases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options</w:t>
            </w: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8"/>
                <w:szCs w:val="18"/>
                <w:b w:val="1"/>
                <w:bCs w:val="1"/>
                <w:color w:val="auto"/>
              </w:rPr>
              <w:t>Net cash used in financing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Effect of translation exchange rates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1,588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incorporated in 1985, provides web-based workforce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March 31, 2013 and December 31, 2012, the results of operations for the three months ended March 31, 2013 and 2012, and the cash flows for the three months ended March 31, 2013 and 2012. Asure has adjusted all prior periods to reflect its 3-for-2 stock split which occurred in March 27, 2012, as if it had occurred at the earliest date presented in these financial statements.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2012.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represents a certificate of deposit held in a cash collateral account as required by JPMorgan Chase Bank N.A. (“Bank”), to secure our obligations under our credit card line with the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2013, Asure’s principal source of liquidity consisted of $1,588 of current cash and cash equivalents as well as future cash generated from operations. We believe that we have and/or will generate sufficient cash for our short- and long-term needs, including meeting the requirements of the amended Senior Note Payable. We are continuing to reduce expenses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software operations and exploring additional strategic acquisitions in the near future, although we have no agreements to make any acquisition at this time. In the short-term, Asure plans to fund any acquisitions with equity, available cash, future cash from operations, or cash or debt raised from outside sources.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including making the required $2,000 principal payment to Deerpath Funding, LP due by October 31, 2013.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2013, the Financial Accounting Standards Board (“FASB”) issued guidance on disclosures of additional information with respect to changes in accumulated other comprehensive income (“AOCI”) balances by component and significant items reclassified out of AOCI. Expanded disclosures for presentation of changes in AOCI involve disaggregating the total change of each component of other comprehensive income as well as presenting separately for each such component the portion of the change in AOCI related to (1) amounts reclassified into income and (2) current-period other comprehensive income. Additionally, for amounts reclassified into income, we are required to disclose in one location, based upon each specific AOCI component, the amounts impacting individual income statement line items. We are required to disclose the income statement line item impacts only for components of AOCI reclassified into income in their entirety. We would make the disclosures required with respect to income statement line item impacts in either the notes to the consolidated financial statements or parenthetically on the face of the financial statements. For us, this Accounting Standards Update is effective beginning January 1, 2013. Because this standard only impacts presentation and disclosure requirements, its adoption did not have a material impact on our consolidated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As of March 31, 2013, we believe none of the pending legal proceedings to which we are a party are material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Effective August 1, 2008, Asure adopted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75" w:lineRule="exact"/>
        <w:rPr>
          <w:sz w:val="20"/>
          <w:szCs w:val="20"/>
          <w:color w:val="auto"/>
        </w:rPr>
      </w:pPr>
    </w:p>
    <w:p>
      <w:pPr>
        <w:ind w:left="720"/>
        <w:spacing w:after="0"/>
        <w:tabs>
          <w:tab w:leader="none" w:pos="1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840" w:right="40" w:hanging="1102"/>
        <w:spacing w:after="0" w:line="277"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840" w:right="60" w:hanging="1102"/>
        <w:spacing w:after="0" w:line="277"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March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ind w:left="580"/>
              <w:spacing w:after="0"/>
              <w:rPr>
                <w:sz w:val="20"/>
                <w:szCs w:val="20"/>
                <w:color w:val="auto"/>
              </w:rPr>
            </w:pPr>
            <w:r>
              <w:rPr>
                <w:rFonts w:ascii="Arial" w:cs="Arial" w:eastAsia="Arial" w:hAnsi="Arial"/>
                <w:sz w:val="18"/>
                <w:szCs w:val="18"/>
                <w:b w:val="1"/>
                <w:bCs w:val="1"/>
                <w:color w:val="auto"/>
              </w:rPr>
              <w:t>Fair Value Measure at March 31,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ind w:left="440"/>
              <w:spacing w:after="0"/>
              <w:rPr>
                <w:sz w:val="20"/>
                <w:szCs w:val="20"/>
                <w:color w:val="auto"/>
              </w:rPr>
            </w:pPr>
            <w:r>
              <w:rPr>
                <w:rFonts w:ascii="Arial" w:cs="Arial" w:eastAsia="Arial" w:hAnsi="Arial"/>
                <w:sz w:val="18"/>
                <w:szCs w:val="18"/>
                <w:b w:val="1"/>
                <w:bCs w:val="1"/>
                <w:color w:val="auto"/>
              </w:rPr>
              <w:t>Fair Value Measure at December 31,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2012, Asure acquired the capital stock of Meeting Maker – United States, Inc., doing business as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 shares of our common stock, par value $0.01 per share, representing just under five percent of Asure’s outstanding shares and valued at $2.94 per share and (iii) an additional $3,000 note from us that is due on October 31, 2014, subject to offset of any amounts owed by the seller under the indemnification provisions of the stock purchase agreement. The note was adjusted to a fair value of $2,404 based on our incremental borrowing rate. Details regarding the financing of the acquisition are described in the below Notes Payable table. Transactions costs for this acquisition were $905 and we expensed them as incurred.</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Following is the purchase price allocation for the acquisition of PeopleCube in 2012. We based the preliminary fair value estimate for the assets acquired and liabilities assumed for this acquisition upon preliminary calculations and valuations. Our estimates and assumptions for this acquisition is subject to change as we obtain additional information for our estimates during the respective measurement periods (up to one year from the acquisition date). The primary areas of those preliminary estimates that we have not yet finalized relate to certain tangible assets and liabilities acquired, certain legal matters and income and non-income based taxes. We expect to deduct goodwill arising from this acquisition for tax purposes over 15 years.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$7.4 million of intangible assets subject to amortization consist of $5.2 million allocated to Customer Relationships, $1.8 million in Developed Technology, $338 for Trade Names and $23 for a Covenant not-to-compete. We estimated the fair value of the Customer Relationships using the excess earnings method, a form of the income approach. We discounted cash flow projections using a rate of 16.6 percent, which reflects the risk associated with the intangible asset related to the other assets and the overall business operations to us. We estimated the fair value of the Developed Technology and Trade Names using the relief from royalty method based upon a 5% royalty rate. We estimated the value of the Covenant not-to-compete using a damages calculation, which is the form of the income approach.</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Consideration paid:</w:t>
            </w:r>
          </w:p>
        </w:tc>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per stock purchase agreement</w:t>
            </w:r>
          </w:p>
        </w:tc>
        <w:tc>
          <w:tcPr>
            <w:tcW w:w="4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3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Fair value of note payable</w:t>
            </w:r>
          </w:p>
        </w:tc>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issued</w:t>
            </w:r>
          </w:p>
        </w:tc>
        <w:tc>
          <w:tcPr>
            <w:tcW w:w="3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Total consideration paid</w:t>
            </w: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12,951</w:t>
            </w:r>
          </w:p>
        </w:tc>
        <w:tc>
          <w:tcPr>
            <w:tcW w:w="1440" w:type="dxa"/>
            <w:vAlign w:val="bottom"/>
          </w:tcPr>
          <w:p>
            <w:pPr>
              <w:spacing w:after="0"/>
              <w:rPr>
                <w:sz w:val="19"/>
                <w:szCs w:val="19"/>
                <w:color w:val="auto"/>
              </w:rPr>
            </w:pPr>
          </w:p>
        </w:tc>
      </w:tr>
      <w:tr>
        <w:trPr>
          <w:trHeight w:val="581"/>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680" w:type="dxa"/>
            <w:vAlign w:val="bottom"/>
          </w:tcPr>
          <w:p>
            <w:pPr>
              <w:jc w:val="right"/>
              <w:ind w:right="2650"/>
              <w:spacing w:after="0"/>
              <w:rPr>
                <w:sz w:val="20"/>
                <w:szCs w:val="20"/>
                <w:color w:val="auto"/>
              </w:rPr>
            </w:pPr>
            <w:r>
              <w:rPr>
                <w:rFonts w:ascii="Arial" w:cs="Arial" w:eastAsia="Arial" w:hAnsi="Arial"/>
                <w:sz w:val="18"/>
                <w:szCs w:val="18"/>
                <w:color w:val="auto"/>
              </w:rPr>
              <w:t>8</w:t>
            </w: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PeopleCube</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1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2,608</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Fixed assets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9,276</w:t>
            </w:r>
          </w:p>
        </w:tc>
      </w:tr>
      <w:tr>
        <w:trPr>
          <w:trHeight w:val="223"/>
        </w:trPr>
        <w:tc>
          <w:tcPr>
            <w:tcW w:w="7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w:t>
            </w:r>
          </w:p>
        </w:tc>
        <w:tc>
          <w:tcPr>
            <w:tcW w:w="1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19,570</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revenue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(4,089)</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(6,619)</w:t>
            </w:r>
          </w:p>
        </w:tc>
      </w:tr>
      <w:tr>
        <w:trPr>
          <w:trHeight w:val="216"/>
        </w:trPr>
        <w:tc>
          <w:tcPr>
            <w:tcW w:w="780" w:type="dxa"/>
            <w:vAlign w:val="bottom"/>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78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12,951</w:t>
            </w:r>
          </w:p>
        </w:tc>
      </w:tr>
      <w:tr>
        <w:trPr>
          <w:trHeight w:val="20"/>
        </w:trPr>
        <w:tc>
          <w:tcPr>
            <w:tcW w:w="78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summary of pro forma combined results of operation for 2012 gives effect to the acquisition of PeopleCube as if we had completed it on January 1, 2012. This pro forma summary does not reflect any operating efficiencies, cost savings or revenue enhancements that we may achieve by combining companies.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 taken place as January 1, 2012, nor is it indicative of future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 THE</w:t>
            </w: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THREE</w:t>
            </w: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MONTHS</w:t>
            </w: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ENDED</w:t>
            </w: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14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6,143</w:t>
            </w: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(1,216)</w:t>
            </w:r>
          </w:p>
        </w:tc>
      </w:tr>
      <w:tr>
        <w:trPr>
          <w:trHeight w:val="216"/>
        </w:trPr>
        <w:tc>
          <w:tcPr>
            <w:tcW w:w="14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Basic and diluted</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r>
      <w:tr>
        <w:trPr>
          <w:trHeight w:val="216"/>
        </w:trPr>
        <w:tc>
          <w:tcPr>
            <w:tcW w:w="144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w:t>
            </w:r>
          </w:p>
        </w:tc>
      </w:tr>
      <w:tr>
        <w:trPr>
          <w:trHeight w:val="459"/>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NOTE 5 – GOODWILL AND OTHER INTANGIBLE ASSETS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ectPr>
          <w:pgSz w:w="11900" w:h="16838" w:orient="portrait"/>
          <w:cols w:equalWidth="0" w:num="1">
            <w:col w:w="11420"/>
          </w:cols>
          <w:pgMar w:left="240" w:top="12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goodwill:</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15,525</w:t>
            </w:r>
          </w:p>
        </w:tc>
      </w:tr>
      <w:tr>
        <w:trPr>
          <w:trHeight w:val="216"/>
        </w:trPr>
        <w:tc>
          <w:tcPr>
            <w:tcW w:w="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17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15,520</w:t>
            </w:r>
          </w:p>
        </w:tc>
      </w:tr>
      <w:tr>
        <w:trPr>
          <w:trHeight w:val="20"/>
        </w:trPr>
        <w:tc>
          <w:tcPr>
            <w:tcW w:w="78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March 31, 2013 and December 31,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March 31, 2013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Period (in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Years)</w:t>
            </w:r>
          </w:p>
        </w:tc>
        <w:tc>
          <w:tcPr>
            <w:tcW w:w="24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(3,976)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December 31, 2012</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Period (in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Years)</w:t>
            </w:r>
          </w:p>
        </w:tc>
        <w:tc>
          <w:tcPr>
            <w:tcW w:w="24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(3,515)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(5,448)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 amortization expense using the straight-line method over the estimated economic useful lives of the intangible assets, as noted above. Amortization expenses for the three months ended March 31, 2013 and 2012 were $582 and $292, respectively, included in Operating Expenses. Amortization expenses recorded in Cost of Sales were $70 and $65 for the three months ended March 31, 2013 and 2012,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3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 (remaining)</w:t>
            </w:r>
          </w:p>
        </w:tc>
        <w:tc>
          <w:tcPr>
            <w:tcW w:w="43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2014</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2,250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2016</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11,527</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AND DERIVATIVE LIABILITY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Stated Interest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Balance as of</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Balance as of</w:t>
            </w:r>
          </w:p>
        </w:tc>
        <w:tc>
          <w:tcPr>
            <w:tcW w:w="0" w:type="dxa"/>
            <w:vAlign w:val="bottom"/>
          </w:tcPr>
          <w:p>
            <w:pPr>
              <w:spacing w:after="0"/>
              <w:rPr>
                <w:sz w:val="1"/>
                <w:szCs w:val="1"/>
                <w:color w:val="auto"/>
              </w:rPr>
            </w:pP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Rate</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March 31, 2013</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ADI - Acquisition Note</w:t>
            </w: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Legiant Acquisition - Note # 2</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10/1/2014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ADI – Acquisition – Note #3</w:t>
            </w: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Subordinated Convertible Notes Payable – 9% Notes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9/30/2014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 15% Notes</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9/30/2014</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Subordinated Notes Payable: PeopleCube Acquisition Note</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10/31/2014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2,562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Senior Note Payable</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7/01/2016</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Total Notes Payable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19,924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16,474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future principal payments related to our outstanding debt, including the impact of the amendment to the Senior Note Payable discussed below:</w:t>
      </w:r>
    </w:p>
    <w:p>
      <w:pPr>
        <w:spacing w:after="0" w:line="200" w:lineRule="exact"/>
        <w:rPr>
          <w:sz w:val="20"/>
          <w:szCs w:val="20"/>
          <w:color w:val="auto"/>
        </w:rPr>
      </w:pP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Twelve</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b w:val="1"/>
                <w:bCs w:val="1"/>
                <w:color w:val="auto"/>
                <w:w w:val="91"/>
              </w:rPr>
              <w:t>Unamortized</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Months</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Original Issue</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Notes</w:t>
            </w:r>
          </w:p>
        </w:tc>
      </w:tr>
      <w:tr>
        <w:trPr>
          <w:trHeight w:val="241"/>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Ended</w:t>
            </w:r>
          </w:p>
        </w:tc>
        <w:tc>
          <w:tcPr>
            <w:tcW w:w="700" w:type="dxa"/>
            <w:vAlign w:val="bottom"/>
          </w:tcPr>
          <w:p>
            <w:pPr>
              <w:spacing w:after="0"/>
              <w:rPr>
                <w:sz w:val="20"/>
                <w:szCs w:val="20"/>
                <w:color w:val="auto"/>
              </w:rPr>
            </w:pPr>
          </w:p>
        </w:tc>
        <w:tc>
          <w:tcPr>
            <w:tcW w:w="19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Gross Amount</w:t>
            </w:r>
          </w:p>
        </w:tc>
        <w:tc>
          <w:tcPr>
            <w:tcW w:w="1400" w:type="dxa"/>
            <w:vAlign w:val="bottom"/>
          </w:tcPr>
          <w:p>
            <w:pPr>
              <w:spacing w:after="0"/>
              <w:rPr>
                <w:sz w:val="20"/>
                <w:szCs w:val="20"/>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Discount</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0" w:type="dxa"/>
            <w:vAlign w:val="bottom"/>
            <w:gridSpan w:val="3"/>
          </w:tcPr>
          <w:p>
            <w:pPr>
              <w:ind w:left="640"/>
              <w:spacing w:after="0"/>
              <w:rPr>
                <w:sz w:val="20"/>
                <w:szCs w:val="20"/>
                <w:color w:val="auto"/>
              </w:rPr>
            </w:pPr>
            <w:r>
              <w:rPr>
                <w:rFonts w:ascii="Arial" w:cs="Arial" w:eastAsia="Arial" w:hAnsi="Arial"/>
                <w:sz w:val="18"/>
                <w:szCs w:val="18"/>
                <w:b w:val="1"/>
                <w:bCs w:val="1"/>
                <w:color w:val="auto"/>
              </w:rPr>
              <w:t>Payable</w:t>
            </w:r>
          </w:p>
        </w:tc>
      </w:tr>
      <w:tr>
        <w:trPr>
          <w:trHeight w:val="202"/>
        </w:trPr>
        <w:tc>
          <w:tcPr>
            <w:tcW w:w="20" w:type="dxa"/>
            <w:vAlign w:val="bottom"/>
          </w:tcPr>
          <w:p>
            <w:pPr>
              <w:spacing w:after="0"/>
              <w:rPr>
                <w:sz w:val="17"/>
                <w:szCs w:val="17"/>
                <w:color w:val="auto"/>
              </w:rPr>
            </w:pPr>
          </w:p>
        </w:tc>
        <w:tc>
          <w:tcPr>
            <w:tcW w:w="7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4"/>
              </w:rPr>
              <w:t>December</w:t>
            </w:r>
          </w:p>
        </w:tc>
        <w:tc>
          <w:tcPr>
            <w:tcW w:w="7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31, 2013</w:t>
            </w:r>
          </w:p>
        </w:tc>
        <w:tc>
          <w:tcPr>
            <w:tcW w:w="1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w w:val="84"/>
              </w:rPr>
              <w:t>December</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31, 2014</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8,397</w:t>
            </w: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December</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31, 2015</w:t>
            </w: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w w:val="84"/>
              </w:rPr>
              <w:t>December</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7"/>
        </w:trPr>
        <w:tc>
          <w:tcPr>
            <w:tcW w:w="740" w:type="dxa"/>
            <w:vAlign w:val="bottom"/>
            <w:gridSpan w:val="2"/>
          </w:tcPr>
          <w:p>
            <w:pPr>
              <w:spacing w:after="0"/>
              <w:rPr>
                <w:sz w:val="20"/>
                <w:szCs w:val="20"/>
                <w:color w:val="auto"/>
              </w:rPr>
            </w:pPr>
            <w:r>
              <w:rPr>
                <w:rFonts w:ascii="Arial" w:cs="Arial" w:eastAsia="Arial" w:hAnsi="Arial"/>
                <w:sz w:val="18"/>
                <w:szCs w:val="18"/>
                <w:color w:val="auto"/>
              </w:rPr>
              <w:t>31, 2016</w:t>
            </w:r>
          </w:p>
        </w:tc>
        <w:tc>
          <w:tcPr>
            <w:tcW w:w="7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20,722</w:t>
            </w:r>
          </w:p>
        </w:tc>
        <w:tc>
          <w:tcPr>
            <w:tcW w:w="2780" w:type="dxa"/>
            <w:vAlign w:val="bottom"/>
            <w:tcBorders>
              <w:bottom w:val="single" w:sz="8" w:color="CCEEFF"/>
            </w:tcBorders>
            <w:gridSpan w:val="2"/>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6"/>
              </w:rPr>
              <w:t>798</w:t>
            </w:r>
          </w:p>
        </w:tc>
        <w:tc>
          <w:tcPr>
            <w:tcW w:w="2200" w:type="dxa"/>
            <w:vAlign w:val="bottom"/>
            <w:tcBorders>
              <w:bottom w:val="single" w:sz="8" w:color="CCEEFF"/>
            </w:tcBorders>
            <w:gridSpan w:val="2"/>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19,924</w:t>
            </w:r>
          </w:p>
        </w:tc>
        <w:tc>
          <w:tcPr>
            <w:tcW w:w="7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ADI - Acquisition Note</w:t>
      </w:r>
    </w:p>
    <w:p>
      <w:pPr>
        <w:spacing w:after="0" w:line="25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 conjunction with the acquisition of the assets of ADI in October 2011, our wholly-owned subsidiary issued a $1,095 note payable to the seller. This note bears interest at an annual rate of 0.16%, will mature on October 1, 2014 and is guaranteed by us. We may offset any indemnification payments owed by the seller under the asset purchase agreement against up to $1,000 due under the</w:t>
      </w:r>
    </w:p>
    <w:p>
      <w:pPr>
        <w:jc w:val="both"/>
        <w:spacing w:after="0" w:line="323" w:lineRule="auto"/>
        <w:rPr>
          <w:sz w:val="20"/>
          <w:szCs w:val="20"/>
          <w:color w:val="auto"/>
        </w:rPr>
      </w:pPr>
      <w:r>
        <w:rPr>
          <w:rFonts w:ascii="Arial" w:cs="Arial" w:eastAsia="Arial" w:hAnsi="Arial"/>
          <w:sz w:val="16"/>
          <w:szCs w:val="16"/>
          <w:color w:val="auto"/>
        </w:rPr>
        <w:t>note. We recorded the note at fair value using a discount rate of 9%, which resulted in an original issue discount of $244, which will accrete up the note to its aggregate principal amount over the course of the life of the loan using the effective interest method. We made a principal payment of $245 in July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Legiant Acquisition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acquisition of Legiant, our wholly-owned subsidiary issued three separate promissory notes to the seller. The details of each of the notes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Legiant Acquisition - Note #1 was for an aggregate principal amount of $250, bore interest at an annual rate of 0.20% and matured in February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paid this note in full in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#2</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Legiant Acquisition - Note #2 is for the principal amount of $478, bears interest at an annual rate of 5.00% and required monthly payments of $10 until June 2012. Asure made a principal payment for $235 in July 2012. No further cash interest or principal is payable until the maturity date of October 1, 2014.</w:t>
      </w:r>
    </w:p>
    <w:p>
      <w:pPr>
        <w:sectPr>
          <w:pgSz w:w="11900" w:h="16838" w:orient="portrait"/>
          <w:cols w:equalWidth="0" w:num="1">
            <w:col w:w="11420"/>
          </w:cols>
          <w:pgMar w:left="240" w:top="122" w:right="239" w:bottom="919"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919"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#3</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Legiant Acquisition - Note #3 is for an aggregate principal amount of $1,761, bears interest at an annual rate of 0.20%, and is due in a single lump sum on October 1, 2014. We may offset any indemnification payments owed by the seller under the asset purchase agreement to us against up to $1,000 of Note #3. We recorded the note at fair value using a discount rate of 9%, resulting in an original issue discount of $382, which will accrete up the note to its aggregate principal amount over the course of the life of the loan using the effective interest method.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guaranteed all three promissory notes, which are subordinated to our senior note payable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As Originally Issued</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senior note payable and the 15% Notes discussed below.</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Beginning 12 months from the date of issuance, each note holder may convert the 9% Notes into shares of our common stock at a conversion price of $5.00 per share, subject to adjustments for stock dividends and splits and certain other events. Additionally, if we subsequently issue common stock at a price below the then current conversion price, the conversion price will be reset to the greater of $3.27 per share (the closing price of our common stock on September 30, 2011) or such lower price. In the event that a holder of a 9% Note elects to convert the 9% Note into equity, and we determine that such conversion would jeopardize our federal tax loss carryforward benefits, we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us, multiplied by the Premium Rate. The Premium Rate is 1.1 if a holder notifies us of an intention to convert the 9% Note into equity prior to the date that is 90 days before the maturity date and 1.5 if such notification is made within 90 days of the maturity date. The 9% Notes also contain customary terms of default.</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agreed that if we issue common stock below $3.25 per share, each holder of the 9% Notes outstanding at that time will have the right to purchase such holder’s pro rata portion of the new stock issuance.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9% Notes contained embedded derivative instruments related to the conversion feature that Asure accounted for separately. Asure has re-measured the fair values of these instruments for each reporting period and recorded a gain or loss for the change in fair value. At inception, we valued the conversion feature at $274, resulting in an original issue discount on the convertible debt accreting up the 9% Notes to their aggregate principal amount over the course of the life of the loan using the effective interest method. We recognized amortization of the original issue discount of $21 during 2011. We used a Monte Carlo simulation in a risk-neutral framework to simulate our market capitalization outcomes, including considerations of our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our Consolidated Statements of Comprehensive Income (Loss).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Amendments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As consideration for agreeing to the terms of the amendment, we made a one-time cash payment in such amount as follows: (i) $211 for holders of 9% Notes who elected to convert their 9% Notes into common stock prior to March 16, 2012, an amount equal to 80% of the interest that such holder would have received by holding the 9% Note to maturity and (ii) $11 for holders of 9% Notes who did not elect to convert their 9% Notes into common stock prior to March 16, 2012, an amount equal to 3% of the outstanding principal amount of each 9% Note. In each case, the holders of the 9% Notes agreed to the removal of the dilution protection provision to reset the conversion price below $5.00 per share upon certain issuances of our common stock below $5.00 per share. Holders of approximately $1,150 of the total $1,500 of principal amount of 9% Notes converted their 9% Notes to common stock.</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amendment to the 9% Notes eliminated the derivative liability. Effective on March 10, 2012, we no longer accounted for the derivatives on a separate basis. Therefore, we no longer re-measure the value of the derivatives after the amendment date. The fair value of the conversion feature was $1,300 at March 10, 2012, with $465 recorded in the income statement for the mark-to-market impact. We recorded this amount in interest expense – amortization of OID and derivative mark-to-market in the Consolidated Statements of Comprehensive Income (Loss). The conversion of the 9% Notes and elimination of the derivative liability resulted in a loss on debt conversion of $198, a reduction in the carrying value of the 9% Notes to $296 at March 31, 2012 and an increase in additional paid in capital of $2,244 for the issuance of 345 shares of common stock issued upon conversion.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Goepel, our Chief Executive Officer, purchased $200 of the 9% Notes. Red Oak Fund, LP purchased $600 of the 9% Notes. Mr. Sandberg, our Chairman, is the controlling member of Red Oak Partners, LLC, which manages the Red Oak Fund. Both parties subsequently converted the 9% Notes under the terms of the amendment.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- 15% Notes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2011, we sold $1,700 of our 15% subordinated notes (“15% Notes”) in a private placement to accredited investors. The 15% Notes pay interest on each of March 31, June 30, September 30 and December 31, beginning on December 31, 2011, at a rate of 15% per year. The 15% Notes have a maturity date of September 30, 2014. On July 1,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are secured by all of our assets, but are subordinated to our obligations to the senior note payable discussed below. The 15% Notes also contain customary terms of default.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PeopleCube Acquisition –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we issued a $3,000 Note to the seller in the PeopleCube stock acquisition. The note is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note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2012, we and our wholly-owned subsidiaries entered into a loan agreement with Deerpath Funding, LP, a Delaware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which was amended effective December 31, 2012, also provides for a conditional commitment to provide additional single advance senior secured term loans from time to time in an aggregate amount not to exceed $10,000 to be used for refinancing certain other indebtedness, funding permitted acquisitions or other growth initiatives, and paying fees and expenses of the term loans and permitted acquisitions. We have not borrowed any amounts under the conditional term loan commitment.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senior note payable bears interest at a floating annual rate equal to LIBOR plus 8.00%, subject to a LIBOR floor of 9.5%, or a minimum of 11.5%. It requires a separate $2,000 principal payment by October 31, 2013 in addition to monthly payments of interest only beginning on August 1, 2012 and quarterly principal payments of $362 beginning on October 1, 2012, with any remaining principal due on July 1, 2016. If we do not make the $2,000 principal payment by May 31, 2013, the interest rate on that portion of the entire term loan will increase by 3% until paid. In addition, in March 2013, we paid a $240 loan amendment fee, of which $52 was recorded to interest expense and $188 was recorded as a prepaid expense and are amortizing to interest expense over the term of the note payable using the straight-line method.</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all or a portion of the principal amount outstanding at any time, subject to a premium ranging from 1% to 5% of the principal amount being prepaid depending on if the prepayment occurs on or before the first, second or third anniversary of the closing date. The term loan requires annual mandatory prepayments beginning December 31, 2012 of outstanding principal with 75% of excess cash flow as defined in the loan agreement (such percentage to be reduced to 50% if we achieve a specified senior debt-to-EBITDA ratio) and, at Deerpath’s election, with proceeds from certain events, including 100% of the net proceeds of any asset sales and issuance of equity securities. The senior note payable is secured by a first priority lien on all of our and our subsidiaries’ assets and pledges of 100% of the equity interests in Asure’s domestic subsidiaries and 65% of the equity interests in Asure’s foreign subsidiaries.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loan agreement contains customary covenants, including but not limited to limitations with respect to debt, liens, mergers and acquisitions, sale of assets, loans or advances to and investments in others, dividends or other distributions, capital expenditures and management compensation. Beginning with the quarter ending September 30, 2012, we were required to maintain a total debt-to-EBITDA ratio of not greater than 3.75 to 1.00 (3.50 to 1.00 at December 31, 2012). Beginning with the quarter ended March 31, 2013, we were required to maintain a total debt-to-EBITDA ratio of not greater than 4.50 to 1.00, with the levels stepping down thereafter to 2.75 to 1.00 for the quarter ending March 31, 2014 and thereafter. Beginning with the quarter ended December 31, 2012, we agreed to a senior debt-to-EBITDA ratio of not greater than 2.66 to 1.00 with the levels stepping down thereafter to 1.75 to 1.00 for the quarter ending December 31, 2014 and thereafter. Deerpath may designate one representative to attend all meetings of our board of directors as a non-voting observer.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 compliance with the amended covenant requirements as of March 31, 2013 and expect to be in compliance over the subsequent twelve month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principal payments of $362 on the senior note payable on each of October 1, 2012 and January 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2011, we entered into a credit agreement with JPMorgan Chase Bank N.A. (“Bank”), providing for a $500 line of credit (the “Line of Credit”), which we fully utilized as of December 31, 2011.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repaid the $500 outstanding under the line of credit in full in July 2012. This line has expired as of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 based compensation for our stock option plans for the three months ended March 31, 2013 and 2012 were $24 and $11, respectively. We issued 2,500 and 6,125 shares of common stock related to exercises of stock options granted from our Stock Option Plan for the three months ended March 31, 2013 and 2012,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2012 to increase the number of shares reserved under the plan from 525,000 to 900,000. We have a total of 677,000 options granted and outstanding pursuant to the 2009 Plan as of March 31,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income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changes in each component of accumulated other comprehensive (loss) income, net of tax (in thousands):</w:t>
      </w: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41"/>
        </w:trPr>
        <w:tc>
          <w:tcPr>
            <w:tcW w:w="536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Items</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7"/>
        </w:trPr>
        <w:tc>
          <w:tcPr>
            <w:tcW w:w="5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tax (expense) benefit allocated to each component of other comprehensive (loss) income (in thousands):</w:t>
      </w: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2013</w:t>
            </w: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Before Tax</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Net of Tax</w:t>
            </w:r>
          </w:p>
        </w:tc>
        <w:tc>
          <w:tcPr>
            <w:tcW w:w="12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677,000 and 519,000 shares as of March 31, 2013 and 2012, respectively, from the computation of the dilutive stock options because the effect of including the stock options would have been anti-dilutive.</w:t>
      </w:r>
    </w:p>
    <w:p>
      <w:pPr>
        <w:spacing w:after="0" w:line="215" w:lineRule="exact"/>
        <w:rPr>
          <w:sz w:val="20"/>
          <w:szCs w:val="20"/>
          <w:color w:val="auto"/>
        </w:rPr>
      </w:pPr>
    </w:p>
    <w:p>
      <w:pPr>
        <w:jc w:val="both"/>
        <w:ind w:firstLine="708"/>
        <w:spacing w:after="0" w:line="277" w:lineRule="auto"/>
        <w:rPr>
          <w:sz w:val="20"/>
          <w:szCs w:val="20"/>
          <w:color w:val="auto"/>
        </w:rPr>
      </w:pPr>
      <w:r>
        <w:rPr>
          <w:rFonts w:ascii="Arial" w:cs="Arial" w:eastAsia="Arial" w:hAnsi="Arial"/>
          <w:sz w:val="18"/>
          <w:szCs w:val="18"/>
          <w:color w:val="auto"/>
        </w:rPr>
        <w:t>On April 30, 2012, we completed a 3-for-2 stock split. All prior periods have been adjusted to reflect the impact of the stock split, including the impact on basic and diluted net loss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months ended March 31, 2013 and 2012:</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548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Ended March 31,</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Ended March 31,</w:t>
            </w:r>
          </w:p>
        </w:tc>
      </w:tr>
      <w:tr>
        <w:trPr>
          <w:trHeight w:val="241"/>
        </w:trPr>
        <w:tc>
          <w:tcPr>
            <w:tcW w:w="54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5,261,000</w:t>
            </w:r>
          </w:p>
        </w:tc>
        <w:tc>
          <w:tcPr>
            <w:tcW w:w="1360" w:type="dxa"/>
            <w:vAlign w:val="bottom"/>
          </w:tcPr>
          <w:p>
            <w:pPr>
              <w:jc w:val="right"/>
              <w:spacing w:after="0"/>
              <w:rPr>
                <w:sz w:val="20"/>
                <w:szCs w:val="20"/>
                <w:color w:val="auto"/>
              </w:rPr>
            </w:pPr>
            <w:r>
              <w:rPr>
                <w:rFonts w:ascii="Arial" w:cs="Arial" w:eastAsia="Arial" w:hAnsi="Arial"/>
                <w:sz w:val="18"/>
                <w:szCs w:val="18"/>
                <w:color w:val="auto"/>
              </w:rPr>
              <w:t>4,699,000</w:t>
            </w:r>
          </w:p>
        </w:tc>
        <w:tc>
          <w:tcPr>
            <w:tcW w:w="120" w:type="dxa"/>
            <w:vAlign w:val="bottom"/>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r>
      <w:tr>
        <w:trPr>
          <w:trHeight w:val="27"/>
        </w:trPr>
        <w:tc>
          <w:tcPr>
            <w:tcW w:w="5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11, 2013, we received a letter from The NASDAQ Stock Market (“NASDAQ”) stating that pursuant to Rule 5550(b)(2), we had not met the $35 million minimum Market Value of Listed Securities (“MVLS”) for our common stock.</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NASDAQ notification has no immediate effect on the listing of our common stock and Asure has a grace period of 180 calendar days, or until October 8, 2013, to regain compliance. After the grace period expires, NASDAQ may notify us of its intent to delist our common stock, to which we may appeal any delisting determination by the NASDAQ staff to a NASDAQ Hearings Panel.</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Rule 5550, we can regain compliance and avoid the potential for delisting by satisfying any one of the minimum MVLS test, the minimum equity test or the minimum net income test. NASDAQ advised us in its letter that we did not meet the requirements under NASDAQ Marketplace Rule 5550(b)(1), which requires maintenance of $2.5 million of stockholders’ equity, and Rule 5550(b)(3), which requires net income from continuing operations of $500,000 or more in 2012 or in two of the three years 2010, 2011 and 2012. However, NASDAQ did not advise us that our failure to meet those Rules subjects us to potential delisting.</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cannot control our stock price or market capitalization, Asure will continue to monitor the MVLS for its common stock and consider various options available if the common stock does not trade at a level that is likely to regain compliance within the requisite grace period. One of the options available to us is to issue common stock to meet the minimum equity requirement.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review of Asure’s financial position as of and for the three months ended March 31, 2013 and 2012 should be read in conjunction with our 2012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is a leading global provider of web-based workforce management solutions that enable organizations to manage their office environment as well as their human resource and payroll processes effectively and efficiently. Our software is delivered primarily as software-as-a-service, or SaaS, and on premise. Asure markets a suite of hardware products that enable time and facility management and are fully integrated with our software offerings. We also offer a wide range of professional services for implementation and customer customization. Our revenues consist of software subscription revenue, hardware revenue, maintenance revenue, onetime software license revenue and professional services revenue.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offerings consist of AsureSpace™ workplace management solutions that enable organizations to manage their office environments and optimize real estate utilization, and AsureForce® time and labor management solutions which help organizations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22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April 2012, we effected a 3-for-2 stock split. We made cash payments based upon the closing price of our shares on the record date in lieu of the issuance of fractional shares. Share and per share information in this report, including in our financial statements, reflect the impact of the stock split.</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11, 2013, we received a letter from The NASDAQ Stock Market (“NASDAQ”) stating that pursuant to Rule 5550(b)(2), we had not met the $35 million minimum Market Value of Listed Securities (“MVLS”) for our common stock. The NASDAQ notification has no immediate effect on the listing of our common stock and Asure has a grace period of 180 calendar days, or until October 8, 2013, to regain compliance. Although we cannot control our stock price or market capitalization, Asure will continue to monitor the MVLS for its common stock and consider various options available if the common stock does not trade at a level that is likely to regain compliance within the requisite grace period. One of those options available to us is to issue common stock to meet the minimum equity requirement.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Comprehensive Loss for the fiscal periods indicated: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53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Gross margin</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76.3</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represent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Revenues for the three months ended March 31, 2013 were $5,975, an increase of $1,822 or 43.9%, from the $4,153 reported for the three months ended March 31, 2012. The increase was primarily due to $1,925 of revenues generated by PeopleCube, which we acquired in July 2012.</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sales are concentrated in certain industry sectors, including corporate, education, healthcare, governmental, legal and non-profit, our total customer base is widely spread across industries. Geographically, we sell our products worldwide, but sales are largely concentrated in the United States and Canada. Additionally, Asure has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Asure will continue to focus on sales of its Meeting Room Manager On Demand, PeopleCube and ADI SaaS products.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gross margin for the three months ended March 31, 2013 was $4,198, an increase of $1,091, or 35.1%, from the $3,107 reported for the three months ended March 31, 2012. Gross margin as a percentage of revenues was 70.3% and 74.8% for the three months ended March 31, 2013 and 2012, respectively. We attribute the increase in gross margins of $1,091 to a full year of ADI and Legiant revenues and the acquisition of PeopleCube in July 2012. Absent PeopleCube, gross margin would have increased to 76%. PeopleCube accounted for 32% of first quarter 2013 consolidated revenues and recognized an overall gross margin of 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(“SG&amp;A”) expenses for the three months ended March 31, 2013 were $3,276, an increase of $1,141 or 53.4%, from the $2,135 reported for the three months ended March 31, 2012. SG&amp;A expenses as a percentage of revenues were 54.8% and 51.4% for the three months ended March 31, 2013 and 2012, respectively. The increase of $1,141 was primarily due to approximately $935 of PeopleCube expenses, which business we acquired in the third quarter of 2012, and were therefore not present in the first quarter of 2012, as well as an increase of approximately $200 in ADI’s sales and marketing salaries.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expenses for the three months ended March 31, 2013 were $700, an increase of $109, or 18.4%, from the $591 reported for the three months ended March 31, 2012. R&amp;D expenses as a percentage of revenues were 11.7% and 14.2% for the three months ended March 31, 2013 and 2012, respectively. Absent PeopleCube, which had R&amp;D expenses of $278 which were not present in the first quarter of 2012, R&amp;D expenses would have decreased $169 from the prior year first quarter.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in management’s view a technological edge with competition.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in June 2012 a new version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our existing and potential customers and by gauging market trends. Management believes we have the appropriate development team to design and further improve our workforce management solutions.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expenses for the three months ended March 31, 2013 were $582, an increase of $290, or 99.3%, from the $292 reported for the three months ended March 31, 2012. Amortization expenses as a percentage of revenues were 9.7% and 7.0% for the three months ended March 31, 2013 and 2012, respectively. This increase is due to the amortization of intangibles acquired in the acquisition of PeopleCube in July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Income tax expense for the three months ended March 31, 2013 was $39, a decrease of $6, or 13.3%, from the $45 reported for the three months ended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expense for the three months ended March 31, 2013 was $701, a decrease of $190, or 21.3%, from the $891 reported for the three months ended March 31, 2012. Other expense as a percentage of revenues was 11.7% and 21.5% for the three months ended March 31, 2013 and 2012, respectively. Other expense for the three months ended March 31, 2013 is composed primarily of interest expense on notes payable of $680. Other expense for the three months ended March 31, 2012 is comprised of loss on debt conversion $199, amortization of OID and derivative mark-to-market of $535 and quarterly interest on notes payable of $120.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generated a net loss of $1,100, or $(0.21) per share, during the three months ended March 31, 2013, compared to a net loss of $847 or $(0.18) per share reported for the three months ended March 31, 2012. Net loss as a percentage of total revenues was 18.4% for the three months ended March 31, 2013 compared to net loss of 20.4% of total revenues for the three months ended March 31, 2012.</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especially during this macroeconomic environment downturn, and there can be no assurance that we can successfully grow our revenues or achieve profitability during the remainder of fiscal year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67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w:t>
            </w:r>
          </w:p>
        </w:tc>
        <w:tc>
          <w:tcPr>
            <w:tcW w:w="1620" w:type="dxa"/>
            <w:vAlign w:val="bottom"/>
            <w:gridSpan w:val="5"/>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72"/>
              </w:rPr>
              <w:t>thousands)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(9,689)</w:t>
            </w:r>
          </w:p>
        </w:tc>
      </w:tr>
      <w:tr>
        <w:trPr>
          <w:trHeight w:val="230"/>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2,177</w:t>
            </w:r>
          </w:p>
        </w:tc>
      </w:tr>
      <w:tr>
        <w:trPr>
          <w:trHeight w:val="400"/>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spacing w:after="0"/>
              <w:rPr>
                <w:sz w:val="20"/>
                <w:szCs w:val="20"/>
                <w:color w:val="auto"/>
              </w:rPr>
            </w:pPr>
            <w:r>
              <w:rPr>
                <w:rFonts w:ascii="Arial" w:cs="Arial" w:eastAsia="Arial" w:hAnsi="Arial"/>
                <w:sz w:val="18"/>
                <w:szCs w:val="18"/>
                <w:b w:val="1"/>
                <w:bCs w:val="1"/>
                <w:color w:val="auto"/>
              </w:rPr>
              <w:t>FOR THE THREE MONTHS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ENDED</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Arial" w:cs="Arial" w:eastAsia="Arial" w:hAnsi="Arial"/>
                <w:sz w:val="16"/>
                <w:szCs w:val="16"/>
                <w:b w:val="1"/>
                <w:bCs w:val="1"/>
                <w:color w:val="auto"/>
                <w:w w:val="74"/>
              </w:rPr>
              <w:t>thousands)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(494 )</w:t>
            </w: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Working capital was ($10,226) on March 31, 2013, a decrease of $537 from $(9,689) on December 31, 2012. The decrease was due to an increase in deferred revenue of $605 and an increase in accrued compensation and benefits of $260, offset by an increase in prepaid expenses and other current assets of $348. These changes are primarily attributable to the acquisition of ADI and Legiant in 2011 and PeopleCube in July 2012.</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provided by operating activities was $76 for the three months ended March 31, 2013 primarily due to the net loss of $(1,100) which was offset by depreciation and amortization of $764, an increase in accrued expenses and deferred revenue of $825, and an increase in prepaid expenses of $172. Cash provided by operating activities was $609 for the three months ended March 31, 2012 primarily due to a loss of ($847) which was offset by the non-cash loss on debt conversion of $198, depreciation and amortization of $404, interest expense on amortization of OID and derivative mark-to-market of $535, and a decrease in accounts payable, accrued expenses and deferred revenue of $ 246.</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investing activities was $140 and $21 for the three months ended March 31, 2013 and March 31, 2012, respectively, due to net purchases of property.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used in financing activities was $570 and $494 for the three months ended March 31, 2013 and March 31, 2012, respectively, consisting of payments on notes payable and capital leases. Cash used in financing for the three months ended March 31, 2013 and March 31, 2012 also included $188 of payments on amendment of the senior note payable and $222 of payments on conversion of subordinated notes payable,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office space and equipment under non-cancelable operating leases that expire at various dates through 2016. Certain leases obligate Asure to pay property taxes, maintenance and insurance and include escalation clauses. Approximately $559 or 50.8% of our total operating lease obligations relate to our corporate office facility at Wild Basin in Austin, Texas.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2013, Asure’s principal source of liquidity consisted of approximately $1.6 million of current cash and cash equivalents as well as future cash generated from operations. Subject to the matters discussed below, we believe that we currently have and/or will generate sufficient cash for our operational needs, including any required debt payments, for at least the next twelve months. We continue to reduce expenses and may utilize some of our cash balances in the short-term to reduce our long-term costs. We currently project that we can generate positive cash flows from our operating activities in 2013.</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although we have no current agreements to acquire any technology or business. At present, we plan to fund any future acquisition with equity, existing cash, cash generated from future operations and/or cash or debt raised from outside sources.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including making the required $2,000 principal payment to Deerpath Funding, LP due by October 31, 2013. However, we cannot assure that we will be able to raise additional capital on acceptable terms, or at all. Management believes that we have sufficient capital and liquidity to fund and cultivate the growth of our current and future operations for at least the next 12 months and to maintain compliance with the terms of our debt agreements and related covenants.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2012. For additional information on critical accounting policies, refer to “Management’s Discussion and Analysis” in our 2012 Annual Report on Form 10-K.</w:t>
      </w:r>
    </w:p>
    <w:p>
      <w:pPr>
        <w:sectPr>
          <w:pgSz w:w="11900" w:h="16838" w:orient="portrait"/>
          <w:cols w:equalWidth="0" w:num="1">
            <w:col w:w="11420"/>
          </w:cols>
          <w:pgMar w:left="240" w:top="114"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March 31, 2013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period ended March 31, 2013, there were no changes in our internal control over financial reporting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6"/>
          </w:tcPr>
          <w:p>
            <w:pPr>
              <w:ind w:left="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1420" w:type="dxa"/>
            <w:vAlign w:val="bottom"/>
            <w:gridSpan w:val="7"/>
          </w:tcPr>
          <w:p>
            <w:pPr>
              <w:ind w:left="660"/>
              <w:spacing w:after="0"/>
              <w:rPr>
                <w:sz w:val="20"/>
                <w:szCs w:val="20"/>
                <w:color w:val="auto"/>
              </w:rPr>
            </w:pPr>
            <w:r>
              <w:rPr>
                <w:rFonts w:ascii="Arial" w:cs="Arial" w:eastAsia="Arial" w:hAnsi="Arial"/>
                <w:sz w:val="18"/>
                <w:szCs w:val="18"/>
                <w:color w:val="auto"/>
              </w:rPr>
              <w:t>None</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176"/>
        </w:trPr>
        <w:tc>
          <w:tcPr>
            <w:tcW w:w="8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980" w:type="dxa"/>
            <w:vAlign w:val="bottom"/>
            <w:gridSpan w:val="2"/>
          </w:tcPr>
          <w:p>
            <w:pPr>
              <w:spacing w:after="0"/>
              <w:rPr>
                <w:sz w:val="15"/>
                <w:szCs w:val="15"/>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98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w w:val="95"/>
              </w:rPr>
              <w:t>The following materials from Asure Software, Inc.’s Quarterly Report on Form 10-Q for the quarter ended March 31, 2013, formatted in</w:t>
            </w:r>
          </w:p>
        </w:tc>
      </w:tr>
    </w:tbl>
    <w:p>
      <w:pPr>
        <w:jc w:val="both"/>
        <w:ind w:left="1160" w:right="40"/>
        <w:spacing w:after="0" w:line="255" w:lineRule="auto"/>
        <w:rPr>
          <w:sz w:val="20"/>
          <w:szCs w:val="20"/>
          <w:color w:val="auto"/>
        </w:rPr>
      </w:pPr>
      <w:r>
        <w:rPr>
          <w:rFonts w:ascii="Arial" w:cs="Arial" w:eastAsia="Arial" w:hAnsi="Arial"/>
          <w:sz w:val="18"/>
          <w:szCs w:val="18"/>
          <w:color w:val="auto"/>
        </w:rPr>
        <w:t>XBRL (Extensible Business Reporting Language): (1) the Condensed Consolidated Balance Sheets, (2) the Condensed Consolidated Statements of Comprehensive Loss, (3) the Condensed Consolidated Statements of Cash Flows, and (4) Notes to Consolidated Financial Statements, tagged as blocks of text.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080" w:type="dxa"/>
            <w:vAlign w:val="bottom"/>
            <w:gridSpan w:val="2"/>
          </w:tcPr>
          <w:p>
            <w:pPr>
              <w:ind w:left="1360"/>
              <w:spacing w:after="0"/>
              <w:rPr>
                <w:sz w:val="20"/>
                <w:szCs w:val="20"/>
                <w:color w:val="auto"/>
              </w:rPr>
            </w:pPr>
            <w:r>
              <w:rPr>
                <w:rFonts w:ascii="Arial" w:cs="Arial" w:eastAsia="Arial" w:hAnsi="Arial"/>
                <w:sz w:val="18"/>
                <w:szCs w:val="18"/>
                <w:b w:val="1"/>
                <w:bCs w:val="1"/>
                <w:color w:val="auto"/>
              </w:rPr>
              <w:t>ASURE SOFTWARE, INC.</w:t>
            </w:r>
          </w:p>
        </w:tc>
        <w:tc>
          <w:tcPr>
            <w:tcW w:w="3980" w:type="dxa"/>
            <w:vAlign w:val="bottom"/>
          </w:tcPr>
          <w:p>
            <w:pPr>
              <w:spacing w:after="0"/>
              <w:rPr>
                <w:sz w:val="20"/>
                <w:szCs w:val="20"/>
                <w:color w:val="auto"/>
              </w:rPr>
            </w:pPr>
          </w:p>
        </w:tc>
      </w:tr>
      <w:tr>
        <w:trPr>
          <w:trHeight w:val="655"/>
        </w:trPr>
        <w:tc>
          <w:tcPr>
            <w:tcW w:w="2360" w:type="dxa"/>
            <w:vAlign w:val="bottom"/>
          </w:tcPr>
          <w:p>
            <w:pPr>
              <w:spacing w:after="0"/>
              <w:rPr>
                <w:sz w:val="20"/>
                <w:szCs w:val="20"/>
                <w:color w:val="auto"/>
              </w:rPr>
            </w:pPr>
            <w:r>
              <w:rPr>
                <w:rFonts w:ascii="Arial" w:cs="Arial" w:eastAsia="Arial" w:hAnsi="Arial"/>
                <w:sz w:val="18"/>
                <w:szCs w:val="18"/>
                <w:color w:val="auto"/>
              </w:rPr>
              <w:t>May 15, 2013</w:t>
            </w:r>
          </w:p>
        </w:tc>
        <w:tc>
          <w:tcPr>
            <w:tcW w:w="5080" w:type="dxa"/>
            <w:vAlign w:val="bottom"/>
            <w:gridSpan w:val="2"/>
          </w:tcPr>
          <w:p>
            <w:pPr>
              <w:ind w:left="1360"/>
              <w:spacing w:after="0"/>
              <w:rPr>
                <w:sz w:val="20"/>
                <w:szCs w:val="20"/>
                <w:color w:val="auto"/>
              </w:rPr>
            </w:pPr>
            <w:r>
              <w:rPr>
                <w:rFonts w:ascii="Arial" w:cs="Arial" w:eastAsia="Arial" w:hAnsi="Arial"/>
                <w:sz w:val="18"/>
                <w:szCs w:val="18"/>
                <w:color w:val="auto"/>
              </w:rPr>
              <w:t>By:  /s/ PATRICK GOEPEL</w:t>
            </w:r>
          </w:p>
        </w:tc>
        <w:tc>
          <w:tcPr>
            <w:tcW w:w="3980" w:type="dxa"/>
            <w:vAlign w:val="bottom"/>
          </w:tcPr>
          <w:p>
            <w:pPr>
              <w:spacing w:after="0"/>
              <w:rPr>
                <w:sz w:val="24"/>
                <w:szCs w:val="24"/>
                <w:color w:val="auto"/>
              </w:rPr>
            </w:pPr>
          </w:p>
        </w:tc>
      </w:tr>
      <w:tr>
        <w:trPr>
          <w:trHeight w:val="202"/>
        </w:trPr>
        <w:tc>
          <w:tcPr>
            <w:tcW w:w="2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Patrick Goepel</w:t>
            </w:r>
          </w:p>
        </w:tc>
        <w:tc>
          <w:tcPr>
            <w:tcW w:w="3980" w:type="dxa"/>
            <w:vAlign w:val="bottom"/>
          </w:tcPr>
          <w:p>
            <w:pPr>
              <w:spacing w:after="0"/>
              <w:rPr>
                <w:sz w:val="17"/>
                <w:szCs w:val="17"/>
                <w:color w:val="auto"/>
              </w:rPr>
            </w:pPr>
          </w:p>
        </w:tc>
      </w:tr>
      <w:tr>
        <w:trPr>
          <w:trHeight w:val="230"/>
        </w:trPr>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980" w:type="dxa"/>
            <w:vAlign w:val="bottom"/>
          </w:tcPr>
          <w:p>
            <w:pPr>
              <w:spacing w:after="0"/>
              <w:rPr>
                <w:sz w:val="20"/>
                <w:szCs w:val="20"/>
                <w:color w:val="auto"/>
              </w:rPr>
            </w:pPr>
          </w:p>
        </w:tc>
      </w:tr>
      <w:tr>
        <w:trPr>
          <w:trHeight w:val="439"/>
        </w:trPr>
        <w:tc>
          <w:tcPr>
            <w:tcW w:w="2360" w:type="dxa"/>
            <w:vAlign w:val="bottom"/>
          </w:tcPr>
          <w:p>
            <w:pPr>
              <w:spacing w:after="0"/>
              <w:rPr>
                <w:sz w:val="20"/>
                <w:szCs w:val="20"/>
                <w:color w:val="auto"/>
              </w:rPr>
            </w:pPr>
            <w:r>
              <w:rPr>
                <w:rFonts w:ascii="Arial" w:cs="Arial" w:eastAsia="Arial" w:hAnsi="Arial"/>
                <w:sz w:val="18"/>
                <w:szCs w:val="18"/>
                <w:color w:val="auto"/>
              </w:rPr>
              <w:t>May 15, 2013</w:t>
            </w:r>
          </w:p>
        </w:tc>
        <w:tc>
          <w:tcPr>
            <w:tcW w:w="5080" w:type="dxa"/>
            <w:vAlign w:val="bottom"/>
            <w:gridSpan w:val="2"/>
          </w:tcPr>
          <w:p>
            <w:pPr>
              <w:ind w:left="1360"/>
              <w:spacing w:after="0"/>
              <w:rPr>
                <w:sz w:val="20"/>
                <w:szCs w:val="20"/>
                <w:color w:val="auto"/>
              </w:rPr>
            </w:pPr>
            <w:r>
              <w:rPr>
                <w:rFonts w:ascii="Arial" w:cs="Arial" w:eastAsia="Arial" w:hAnsi="Arial"/>
                <w:sz w:val="18"/>
                <w:szCs w:val="18"/>
                <w:color w:val="auto"/>
              </w:rPr>
              <w:t>By:  /s/ JENNIFER CROW</w:t>
            </w:r>
          </w:p>
        </w:tc>
        <w:tc>
          <w:tcPr>
            <w:tcW w:w="3980" w:type="dxa"/>
            <w:vAlign w:val="bottom"/>
          </w:tcPr>
          <w:p>
            <w:pPr>
              <w:spacing w:after="0"/>
              <w:rPr>
                <w:sz w:val="24"/>
                <w:szCs w:val="24"/>
                <w:color w:val="auto"/>
              </w:rPr>
            </w:pPr>
          </w:p>
        </w:tc>
      </w:tr>
      <w:tr>
        <w:trPr>
          <w:trHeight w:val="202"/>
        </w:trPr>
        <w:tc>
          <w:tcPr>
            <w:tcW w:w="2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Jennifer Crow</w:t>
            </w:r>
          </w:p>
        </w:tc>
        <w:tc>
          <w:tcPr>
            <w:tcW w:w="3980" w:type="dxa"/>
            <w:vAlign w:val="bottom"/>
          </w:tcPr>
          <w:p>
            <w:pPr>
              <w:spacing w:after="0"/>
              <w:rPr>
                <w:sz w:val="17"/>
                <w:szCs w:val="17"/>
                <w:color w:val="auto"/>
              </w:rPr>
            </w:pPr>
          </w:p>
        </w:tc>
      </w:tr>
      <w:tr>
        <w:trPr>
          <w:trHeight w:val="230"/>
        </w:trPr>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80" w:type="dxa"/>
            <w:vAlign w:val="bottom"/>
          </w:tcPr>
          <w:p>
            <w:pPr>
              <w:spacing w:after="0"/>
              <w:rPr>
                <w:sz w:val="20"/>
                <w:szCs w:val="20"/>
                <w:color w:val="auto"/>
              </w:rPr>
            </w:pPr>
          </w:p>
        </w:tc>
      </w:tr>
      <w:tr>
        <w:trPr>
          <w:trHeight w:val="797"/>
        </w:trPr>
        <w:tc>
          <w:tcPr>
            <w:tcW w:w="2360" w:type="dxa"/>
            <w:vAlign w:val="bottom"/>
          </w:tcPr>
          <w:p>
            <w:pPr>
              <w:spacing w:after="0"/>
              <w:rPr>
                <w:sz w:val="24"/>
                <w:szCs w:val="24"/>
                <w:color w:val="auto"/>
              </w:rPr>
            </w:pPr>
          </w:p>
        </w:tc>
        <w:tc>
          <w:tcPr>
            <w:tcW w:w="5080" w:type="dxa"/>
            <w:vAlign w:val="bottom"/>
            <w:gridSpan w:val="2"/>
          </w:tcPr>
          <w:p>
            <w:pPr>
              <w:jc w:val="right"/>
              <w:ind w:right="1550"/>
              <w:spacing w:after="0"/>
              <w:rPr>
                <w:sz w:val="20"/>
                <w:szCs w:val="20"/>
                <w:color w:val="auto"/>
              </w:rPr>
            </w:pPr>
            <w:r>
              <w:rPr>
                <w:rFonts w:ascii="Arial" w:cs="Arial" w:eastAsia="Arial" w:hAnsi="Arial"/>
                <w:sz w:val="18"/>
                <w:szCs w:val="18"/>
                <w:color w:val="auto"/>
              </w:rPr>
              <w:t>23</w:t>
            </w:r>
          </w:p>
        </w:tc>
        <w:tc>
          <w:tcPr>
            <w:tcW w:w="3980" w:type="dxa"/>
            <w:vAlign w:val="bottom"/>
          </w:tcPr>
          <w:p>
            <w:pPr>
              <w:spacing w:after="0"/>
              <w:rPr>
                <w:sz w:val="24"/>
                <w:szCs w:val="24"/>
                <w:color w:val="auto"/>
              </w:rPr>
            </w:pPr>
          </w:p>
        </w:tc>
      </w:tr>
      <w:tr>
        <w:trPr>
          <w:trHeight w:val="118"/>
        </w:trPr>
        <w:tc>
          <w:tcPr>
            <w:tcW w:w="23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36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98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98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w w:val="95"/>
              </w:rPr>
              <w:t>The following materials from Asure Software, Inc.’s Quarterly Report on Form 10-Q for the quarter ended March 31, 2013, formatted in</w:t>
            </w:r>
          </w:p>
        </w:tc>
      </w:tr>
    </w:tbl>
    <w:p>
      <w:pPr>
        <w:jc w:val="both"/>
        <w:ind w:left="1160" w:right="40"/>
        <w:spacing w:after="0" w:line="255" w:lineRule="auto"/>
        <w:rPr>
          <w:sz w:val="20"/>
          <w:szCs w:val="20"/>
          <w:color w:val="auto"/>
        </w:rPr>
      </w:pPr>
      <w:r>
        <w:rPr>
          <w:rFonts w:ascii="Arial" w:cs="Arial" w:eastAsia="Arial" w:hAnsi="Arial"/>
          <w:sz w:val="18"/>
          <w:szCs w:val="18"/>
          <w:color w:val="auto"/>
        </w:rPr>
        <w:t>XBRL (Extensible Business Reporting Language): (1) the Condensed Consolidated Balance Sheets, (2) the Condensed Consolidated Statements of Comprehensive Loss, (3) the Condensed Consolidated Statements of Cash Flows, and (4) Notes to Consolidated Financial Statements, tagged as blocks of text.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920" w:val="left"/>
          <w:tab w:leader="none" w:pos="4440" w:val="left"/>
        </w:tabs>
        <w:rPr>
          <w:sz w:val="20"/>
          <w:szCs w:val="20"/>
          <w:color w:val="auto"/>
        </w:rPr>
      </w:pPr>
      <w:r>
        <w:rPr>
          <w:rFonts w:ascii="Arial" w:cs="Arial" w:eastAsia="Arial" w:hAnsi="Arial"/>
          <w:sz w:val="18"/>
          <w:szCs w:val="18"/>
          <w:color w:val="auto"/>
        </w:rPr>
        <w:t>Date: May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25044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Jennifer Crow, certify that:</w:t>
      </w:r>
    </w:p>
    <w:p>
      <w:pPr>
        <w:spacing w:after="0" w:line="225"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4000" w:val="left"/>
          <w:tab w:leader="none" w:pos="4640" w:val="left"/>
        </w:tabs>
        <w:rPr>
          <w:sz w:val="20"/>
          <w:szCs w:val="20"/>
          <w:color w:val="auto"/>
        </w:rPr>
      </w:pPr>
      <w:r>
        <w:rPr>
          <w:rFonts w:ascii="Arial" w:cs="Arial" w:eastAsia="Arial" w:hAnsi="Arial"/>
          <w:sz w:val="18"/>
          <w:szCs w:val="18"/>
          <w:color w:val="auto"/>
        </w:rPr>
        <w:t>Date: May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wp:posOffset>
            </wp:positionV>
            <wp:extent cx="24784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8405"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4300" w:val="left"/>
          <w:tab w:leader="none" w:pos="4820" w:val="left"/>
        </w:tabs>
        <w:rPr>
          <w:sz w:val="20"/>
          <w:szCs w:val="20"/>
          <w:color w:val="auto"/>
        </w:rPr>
      </w:pPr>
      <w:r>
        <w:rPr>
          <w:rFonts w:ascii="Arial" w:cs="Arial" w:eastAsia="Arial" w:hAnsi="Arial"/>
          <w:sz w:val="18"/>
          <w:szCs w:val="18"/>
          <w:color w:val="auto"/>
        </w:rPr>
        <w:t>Date: May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23323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235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Jennifer Crow,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4000" w:val="left"/>
          <w:tab w:leader="none" w:pos="4640" w:val="left"/>
        </w:tabs>
        <w:rPr>
          <w:sz w:val="20"/>
          <w:szCs w:val="20"/>
          <w:color w:val="auto"/>
        </w:rPr>
      </w:pPr>
      <w:r>
        <w:rPr>
          <w:rFonts w:ascii="Arial" w:cs="Arial" w:eastAsia="Arial" w:hAnsi="Arial"/>
          <w:sz w:val="18"/>
          <w:szCs w:val="18"/>
          <w:color w:val="auto"/>
        </w:rPr>
        <w:t>Date: May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wp:posOffset>
            </wp:positionV>
            <wp:extent cx="24784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8405"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2019-12-06T06:24:10Z</dcterms:created>
  <dcterms:modified xsi:type="dcterms:W3CDTF">2019-12-06T06:24:10Z</dcterms:modified>
</cp:coreProperties>
</file>