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184785</wp:posOffset>
            </wp:positionV>
            <wp:extent cx="866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194310</wp:posOffset>
            </wp:positionV>
            <wp:extent cx="866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8" w:lineRule="exact"/>
        <w:rPr>
          <w:sz w:val="24"/>
          <w:szCs w:val="24"/>
          <w:color w:val="auto"/>
        </w:rPr>
      </w:pPr>
    </w:p>
    <w:p>
      <w:pPr>
        <w:ind w:left="3900" w:right="1920" w:hanging="3797"/>
        <w:spacing w:after="0" w:line="501" w:lineRule="auto"/>
        <w:tabs>
          <w:tab w:leader="none" w:pos="35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351" w:lineRule="exact"/>
        <w:rPr>
          <w:sz w:val="24"/>
          <w:szCs w:val="24"/>
          <w:color w:val="auto"/>
        </w:rPr>
      </w:pPr>
    </w:p>
    <w:p>
      <w:pPr>
        <w:ind w:left="360" w:hanging="257"/>
        <w:spacing w:after="0"/>
        <w:tabs>
          <w:tab w:leader="none" w:pos="3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37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b w:val="1"/>
                <w:bCs w:val="1"/>
                <w:color w:val="auto"/>
                <w:w w:val="96"/>
              </w:rPr>
              <w:t>For the transition period from</w:t>
            </w: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r>
      <w:tr>
        <w:trPr>
          <w:trHeight w:val="385"/>
        </w:trPr>
        <w:tc>
          <w:tcPr>
            <w:tcW w:w="3300" w:type="dxa"/>
            <w:vAlign w:val="bottom"/>
            <w:gridSpan w:val="4"/>
          </w:tcPr>
          <w:p>
            <w:pPr>
              <w:ind w:left="700"/>
              <w:spacing w:after="0"/>
              <w:rPr>
                <w:sz w:val="20"/>
                <w:szCs w:val="20"/>
                <w:color w:val="auto"/>
              </w:rPr>
            </w:pPr>
            <w:r>
              <w:rPr>
                <w:rFonts w:ascii="Arial" w:cs="Arial" w:eastAsia="Arial" w:hAnsi="Arial"/>
                <w:sz w:val="18"/>
                <w:szCs w:val="18"/>
                <w:b w:val="1"/>
                <w:bCs w:val="1"/>
                <w:color w:val="auto"/>
                <w:w w:val="89"/>
              </w:rPr>
              <w:t>Commission file number: 0-20008</w:t>
            </w: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4500245</wp:posOffset>
            </wp:positionH>
            <wp:positionV relativeFrom="paragraph">
              <wp:posOffset>-265430</wp:posOffset>
            </wp:positionV>
            <wp:extent cx="400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39" w:lineRule="exact"/>
        <w:rPr>
          <w:sz w:val="24"/>
          <w:szCs w:val="24"/>
          <w:color w:val="auto"/>
        </w:rPr>
      </w:pPr>
    </w:p>
    <w:tbl>
      <w:tblPr>
        <w:tblLayout w:type="fixed"/>
        <w:tblInd w:w="1120" w:type="dxa"/>
        <w:tblCellMar>
          <w:top w:w="0" w:type="dxa"/>
          <w:left w:w="0" w:type="dxa"/>
          <w:bottom w:w="0" w:type="dxa"/>
          <w:right w:w="0" w:type="dxa"/>
        </w:tblCellMar>
      </w:tblPr>
      <w:tr>
        <w:trPr>
          <w:trHeight w:val="375"/>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32"/>
                <w:szCs w:val="32"/>
                <w:b w:val="1"/>
                <w:bCs w:val="1"/>
                <w:color w:val="auto"/>
                <w:w w:val="99"/>
              </w:rPr>
              <w:t>ASURE SOFTWARE, INC.</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40" w:type="dxa"/>
            <w:vAlign w:val="bottom"/>
            <w:gridSpan w:val="5"/>
          </w:tcPr>
          <w:p>
            <w:pPr>
              <w:jc w:val="center"/>
              <w:ind w:left="290"/>
              <w:spacing w:after="0"/>
              <w:rPr>
                <w:sz w:val="20"/>
                <w:szCs w:val="20"/>
                <w:color w:val="auto"/>
              </w:rPr>
            </w:pPr>
            <w:r>
              <w:rPr>
                <w:rFonts w:ascii="Arial" w:cs="Arial" w:eastAsia="Arial" w:hAnsi="Arial"/>
                <w:sz w:val="18"/>
                <w:szCs w:val="18"/>
                <w:color w:val="auto"/>
                <w:w w:val="91"/>
              </w:rPr>
              <w:t>(Exact Name of Registrant as Specified in its Charter)</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100" w:type="dxa"/>
            <w:vAlign w:val="bottom"/>
            <w:gridSpan w:val="2"/>
            <w:vMerge w:val="restart"/>
          </w:tcPr>
          <w:p>
            <w:pPr>
              <w:ind w:left="420"/>
              <w:spacing w:after="0"/>
              <w:rPr>
                <w:sz w:val="20"/>
                <w:szCs w:val="20"/>
                <w:color w:val="auto"/>
              </w:rPr>
            </w:pPr>
            <w:r>
              <w:rPr>
                <w:rFonts w:ascii="Arial" w:cs="Arial" w:eastAsia="Arial" w:hAnsi="Arial"/>
                <w:sz w:val="18"/>
                <w:szCs w:val="18"/>
                <w:color w:val="auto"/>
                <w:w w:val="95"/>
              </w:rPr>
              <w:t>(State or</w:t>
            </w:r>
          </w:p>
        </w:tc>
        <w:tc>
          <w:tcPr>
            <w:tcW w:w="5720" w:type="dxa"/>
            <w:vAlign w:val="bottom"/>
            <w:gridSpan w:val="7"/>
          </w:tcPr>
          <w:p>
            <w:pPr>
              <w:jc w:val="center"/>
              <w:ind w:right="5000"/>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74-2415696</w:t>
            </w:r>
          </w:p>
        </w:tc>
        <w:tc>
          <w:tcPr>
            <w:tcW w:w="0" w:type="dxa"/>
            <w:vAlign w:val="bottom"/>
          </w:tcPr>
          <w:p>
            <w:pPr>
              <w:spacing w:after="0"/>
              <w:rPr>
                <w:sz w:val="1"/>
                <w:szCs w:val="1"/>
                <w:color w:val="auto"/>
              </w:rPr>
            </w:pPr>
          </w:p>
        </w:tc>
      </w:tr>
      <w:tr>
        <w:trPr>
          <w:trHeight w:val="20"/>
        </w:trPr>
        <w:tc>
          <w:tcPr>
            <w:tcW w:w="1100" w:type="dxa"/>
            <w:vAlign w:val="bottom"/>
            <w:gridSpan w:val="2"/>
            <w:vMerge w:val="continue"/>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00" w:type="dxa"/>
            <w:vAlign w:val="bottom"/>
            <w:gridSpan w:val="2"/>
            <w:vMerge w:val="continue"/>
          </w:tcPr>
          <w:p>
            <w:pPr>
              <w:spacing w:after="0"/>
              <w:rPr>
                <w:sz w:val="12"/>
                <w:szCs w:val="12"/>
                <w:color w:val="auto"/>
              </w:rPr>
            </w:pPr>
          </w:p>
        </w:tc>
        <w:tc>
          <w:tcPr>
            <w:tcW w:w="5720" w:type="dxa"/>
            <w:vAlign w:val="bottom"/>
            <w:gridSpan w:val="7"/>
          </w:tcPr>
          <w:p>
            <w:pPr>
              <w:spacing w:after="0" w:line="142" w:lineRule="exact"/>
              <w:rPr>
                <w:sz w:val="20"/>
                <w:szCs w:val="20"/>
                <w:color w:val="auto"/>
              </w:rPr>
            </w:pPr>
            <w:r>
              <w:rPr>
                <w:rFonts w:ascii="Arial" w:cs="Arial" w:eastAsia="Arial" w:hAnsi="Arial"/>
                <w:sz w:val="16"/>
                <w:szCs w:val="16"/>
                <w:color w:val="auto"/>
              </w:rPr>
              <w:t>other jurisdiction of</w:t>
            </w:r>
          </w:p>
        </w:tc>
        <w:tc>
          <w:tcPr>
            <w:tcW w:w="1580" w:type="dxa"/>
            <w:vAlign w:val="bottom"/>
            <w:gridSpan w:val="5"/>
          </w:tcPr>
          <w:p>
            <w:pPr>
              <w:jc w:val="center"/>
              <w:ind w:left="153"/>
              <w:spacing w:after="0" w:line="142" w:lineRule="exact"/>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230"/>
        </w:trPr>
        <w:tc>
          <w:tcPr>
            <w:tcW w:w="6820" w:type="dxa"/>
            <w:vAlign w:val="bottom"/>
            <w:gridSpan w:val="9"/>
          </w:tcPr>
          <w:p>
            <w:pPr>
              <w:jc w:val="center"/>
              <w:ind w:right="3900"/>
              <w:spacing w:after="0"/>
              <w:rPr>
                <w:sz w:val="20"/>
                <w:szCs w:val="20"/>
                <w:color w:val="auto"/>
              </w:rPr>
            </w:pPr>
            <w:r>
              <w:rPr>
                <w:rFonts w:ascii="Arial" w:cs="Arial" w:eastAsia="Arial" w:hAnsi="Arial"/>
                <w:sz w:val="18"/>
                <w:szCs w:val="18"/>
                <w:color w:val="auto"/>
                <w:w w:val="92"/>
              </w:rPr>
              <w:t>incorporation or organization)</w:t>
            </w:r>
          </w:p>
        </w:tc>
        <w:tc>
          <w:tcPr>
            <w:tcW w:w="1580" w:type="dxa"/>
            <w:vAlign w:val="bottom"/>
            <w:gridSpan w:val="5"/>
          </w:tcPr>
          <w:p>
            <w:pPr>
              <w:jc w:val="center"/>
              <w:ind w:left="153"/>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96"/>
        </w:trPr>
        <w:tc>
          <w:tcPr>
            <w:tcW w:w="6820" w:type="dxa"/>
            <w:vAlign w:val="bottom"/>
            <w:gridSpan w:val="9"/>
          </w:tcPr>
          <w:p>
            <w:pPr>
              <w:jc w:val="center"/>
              <w:ind w:right="3900"/>
              <w:spacing w:after="0"/>
              <w:rPr>
                <w:sz w:val="20"/>
                <w:szCs w:val="20"/>
                <w:color w:val="auto"/>
              </w:rPr>
            </w:pPr>
            <w:r>
              <w:rPr>
                <w:rFonts w:ascii="Arial" w:cs="Arial" w:eastAsia="Arial" w:hAnsi="Arial"/>
                <w:sz w:val="18"/>
                <w:szCs w:val="18"/>
                <w:b w:val="1"/>
                <w:bCs w:val="1"/>
                <w:color w:val="auto"/>
                <w:w w:val="90"/>
              </w:rPr>
              <w:t>110 Wild Basin Road, Suite 100</w:t>
            </w:r>
          </w:p>
        </w:tc>
        <w:tc>
          <w:tcPr>
            <w:tcW w:w="680" w:type="dxa"/>
            <w:vAlign w:val="bottom"/>
            <w:gridSpan w:val="2"/>
            <w:vMerge w:val="restart"/>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78746</w:t>
            </w:r>
          </w:p>
        </w:tc>
        <w:tc>
          <w:tcPr>
            <w:tcW w:w="20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40" w:type="dxa"/>
            <w:vAlign w:val="bottom"/>
            <w:vMerge w:val="restart"/>
          </w:tcPr>
          <w:p>
            <w:pPr>
              <w:spacing w:after="0"/>
              <w:rPr>
                <w:sz w:val="20"/>
                <w:szCs w:val="20"/>
                <w:color w:val="auto"/>
              </w:rPr>
            </w:pPr>
            <w:r>
              <w:rPr>
                <w:rFonts w:ascii="Arial" w:cs="Arial" w:eastAsia="Arial" w:hAnsi="Arial"/>
                <w:sz w:val="18"/>
                <w:szCs w:val="18"/>
                <w:color w:val="auto"/>
                <w:w w:val="99"/>
              </w:rPr>
              <w:t>(Address of</w:t>
            </w:r>
          </w:p>
        </w:tc>
        <w:tc>
          <w:tcPr>
            <w:tcW w:w="1040" w:type="dxa"/>
            <w:vAlign w:val="bottom"/>
            <w:tcBorders>
              <w:bottom w:val="single" w:sz="8" w:color="auto"/>
            </w:tcBorders>
            <w:gridSpan w:val="3"/>
          </w:tcPr>
          <w:p>
            <w:pPr>
              <w:jc w:val="center"/>
              <w:spacing w:after="0" w:line="189" w:lineRule="exact"/>
              <w:rPr>
                <w:sz w:val="20"/>
                <w:szCs w:val="20"/>
                <w:color w:val="auto"/>
              </w:rPr>
            </w:pPr>
            <w:r>
              <w:rPr>
                <w:rFonts w:ascii="Arial" w:cs="Arial" w:eastAsia="Arial" w:hAnsi="Arial"/>
                <w:sz w:val="18"/>
                <w:szCs w:val="18"/>
                <w:b w:val="1"/>
                <w:bCs w:val="1"/>
                <w:color w:val="auto"/>
                <w:w w:val="88"/>
              </w:rPr>
              <w:t>Austin, Texas</w:t>
            </w:r>
          </w:p>
        </w:tc>
        <w:tc>
          <w:tcPr>
            <w:tcW w:w="4840" w:type="dxa"/>
            <w:vAlign w:val="bottom"/>
            <w:gridSpan w:val="5"/>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940" w:type="dxa"/>
            <w:vAlign w:val="bottom"/>
            <w:vMerge w:val="continue"/>
          </w:tcPr>
          <w:p>
            <w:pPr>
              <w:spacing w:after="0"/>
              <w:rPr>
                <w:sz w:val="19"/>
                <w:szCs w:val="19"/>
                <w:color w:val="auto"/>
              </w:rPr>
            </w:pPr>
          </w:p>
        </w:tc>
        <w:tc>
          <w:tcPr>
            <w:tcW w:w="5880" w:type="dxa"/>
            <w:vAlign w:val="bottom"/>
            <w:gridSpan w:val="8"/>
          </w:tcPr>
          <w:p>
            <w:pPr>
              <w:spacing w:after="0"/>
              <w:rPr>
                <w:sz w:val="20"/>
                <w:szCs w:val="20"/>
                <w:color w:val="auto"/>
              </w:rPr>
            </w:pPr>
            <w:r>
              <w:rPr>
                <w:rFonts w:ascii="Arial" w:cs="Arial" w:eastAsia="Arial" w:hAnsi="Arial"/>
                <w:sz w:val="18"/>
                <w:szCs w:val="18"/>
                <w:color w:val="auto"/>
              </w:rPr>
              <w:t>Principal Executive Offices)</w:t>
            </w:r>
          </w:p>
        </w:tc>
        <w:tc>
          <w:tcPr>
            <w:tcW w:w="480" w:type="dxa"/>
            <w:vAlign w:val="bottom"/>
          </w:tcPr>
          <w:p>
            <w:pPr>
              <w:spacing w:after="0"/>
              <w:rPr>
                <w:sz w:val="19"/>
                <w:szCs w:val="19"/>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283"/>
        </w:trPr>
        <w:tc>
          <w:tcPr>
            <w:tcW w:w="5160" w:type="dxa"/>
            <w:vAlign w:val="bottom"/>
            <w:gridSpan w:val="7"/>
          </w:tcPr>
          <w:p>
            <w:pPr>
              <w:jc w:val="center"/>
              <w:ind w:left="3950"/>
              <w:spacing w:after="0"/>
              <w:rPr>
                <w:sz w:val="20"/>
                <w:szCs w:val="20"/>
                <w:color w:val="auto"/>
              </w:rPr>
            </w:pPr>
            <w:r>
              <w:rPr>
                <w:rFonts w:ascii="Arial" w:cs="Arial" w:eastAsia="Arial" w:hAnsi="Arial"/>
                <w:sz w:val="18"/>
                <w:szCs w:val="18"/>
                <w:b w:val="1"/>
                <w:bCs w:val="1"/>
                <w:color w:val="auto"/>
                <w:w w:val="90"/>
              </w:rPr>
              <w:t>(512) 437-2700</w:t>
            </w:r>
          </w:p>
        </w:tc>
        <w:tc>
          <w:tcPr>
            <w:tcW w:w="1660" w:type="dxa"/>
            <w:vAlign w:val="bottom"/>
            <w:gridSpan w:val="2"/>
            <w:vMerge w:val="restart"/>
          </w:tcPr>
          <w:p>
            <w:pPr>
              <w:spacing w:after="0"/>
              <w:rPr>
                <w:sz w:val="20"/>
                <w:szCs w:val="20"/>
                <w:color w:val="auto"/>
              </w:rPr>
            </w:pPr>
            <w:r>
              <w:rPr>
                <w:rFonts w:ascii="Arial" w:cs="Arial" w:eastAsia="Arial" w:hAnsi="Arial"/>
                <w:sz w:val="18"/>
                <w:szCs w:val="18"/>
                <w:color w:val="auto"/>
                <w:w w:val="97"/>
              </w:rPr>
              <w:t>including Area Code)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80" w:type="dxa"/>
            <w:vAlign w:val="bottom"/>
            <w:gridSpan w:val="3"/>
          </w:tcPr>
          <w:p>
            <w:pPr>
              <w:ind w:left="620"/>
              <w:spacing w:after="0"/>
              <w:rPr>
                <w:sz w:val="20"/>
                <w:szCs w:val="20"/>
                <w:color w:val="auto"/>
              </w:rPr>
            </w:pPr>
            <w:r>
              <w:rPr>
                <w:rFonts w:ascii="Arial" w:cs="Arial" w:eastAsia="Arial" w:hAnsi="Arial"/>
                <w:sz w:val="18"/>
                <w:szCs w:val="18"/>
                <w:color w:val="auto"/>
                <w:w w:val="95"/>
              </w:rPr>
              <w:t>(Registrant’s Telephone Number,</w:t>
            </w:r>
          </w:p>
        </w:tc>
        <w:tc>
          <w:tcPr>
            <w:tcW w:w="166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945" w:right="239" w:bottom="1440" w:gutter="0" w:footer="0" w:header="0"/>
        </w:sectPr>
      </w:pPr>
    </w:p>
    <w:p>
      <w:pPr>
        <w:spacing w:after="0" w:line="95" w:lineRule="exact"/>
        <w:rPr>
          <w:sz w:val="24"/>
          <w:szCs w:val="24"/>
          <w:color w:val="auto"/>
        </w:rPr>
      </w:pPr>
    </w:p>
    <w:p>
      <w:pPr>
        <w:ind w:left="2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3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4">
            <w:col w:w="2400" w:space="720"/>
            <w:col w:w="1720" w:space="720"/>
            <w:col w:w="2160" w:space="720"/>
            <w:col w:w="2980"/>
          </w:cols>
          <w:pgMar w:left="240" w:top="945" w:right="239" w:bottom="1440" w:gutter="0" w:footer="0" w:header="0"/>
          <w:type w:val="continuous"/>
        </w:sectPr>
      </w:pPr>
    </w:p>
    <w:p>
      <w:pPr>
        <w:ind w:left="2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945" w:right="239" w:bottom="1440" w:gutter="0" w:footer="0" w:header="0"/>
          <w:type w:val="continuous"/>
        </w:sectPr>
      </w:pPr>
    </w:p>
    <w:p>
      <w:pPr>
        <w:spacing w:after="0" w:line="160"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spacing w:after="0"/>
        <w:rPr>
          <w:sz w:val="20"/>
          <w:szCs w:val="20"/>
          <w:color w:val="auto"/>
        </w:rPr>
      </w:pPr>
      <w:r>
        <w:rPr>
          <w:rFonts w:ascii="Arial" w:cs="Arial" w:eastAsia="Arial" w:hAnsi="Arial"/>
          <w:sz w:val="22"/>
          <w:szCs w:val="22"/>
          <w:color w:val="auto"/>
        </w:rPr>
        <w:t>As of May 8, 2017, the registrant had outstanding 8,630,023 shares of its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20" w:type="dxa"/>
            <w:vAlign w:val="bottom"/>
            <w:gridSpan w:val="8"/>
          </w:tcPr>
          <w:p>
            <w:pPr>
              <w:jc w:val="center"/>
              <w:ind w:right="248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20" w:type="dxa"/>
            <w:vAlign w:val="bottom"/>
            <w:gridSpan w:val="8"/>
            <w:vMerge w:val="restart"/>
          </w:tcPr>
          <w:p>
            <w:pPr>
              <w:jc w:val="center"/>
              <w:ind w:right="2480"/>
              <w:spacing w:after="0"/>
              <w:rPr>
                <w:sz w:val="20"/>
                <w:szCs w:val="20"/>
                <w:color w:val="auto"/>
              </w:rPr>
            </w:pPr>
            <w:r>
              <w:rPr>
                <w:rFonts w:ascii="Arial" w:cs="Arial" w:eastAsia="Arial" w:hAnsi="Arial"/>
                <w:sz w:val="18"/>
                <w:szCs w:val="18"/>
                <w:b w:val="1"/>
                <w:bCs w:val="1"/>
                <w:color w:val="auto"/>
              </w:rPr>
              <w:t>PART I - FINANCIAL INFORMATION</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20" w:type="dxa"/>
            <w:vAlign w:val="bottom"/>
            <w:gridSpan w:val="8"/>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80" w:type="dxa"/>
            <w:vAlign w:val="bottom"/>
            <w:gridSpan w:val="1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80" w:type="dxa"/>
            <w:vAlign w:val="bottom"/>
            <w:gridSpan w:val="14"/>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2017 and December 31, 2016</w:t>
              </w:r>
            </w:hyperlink>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80" w:type="dxa"/>
            <w:vAlign w:val="bottom"/>
            <w:gridSpan w:val="14"/>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Loss for the Three Months ended March 31, 2017 and 2016</w:t>
              </w:r>
            </w:hyperlink>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340" w:type="dxa"/>
            <w:vAlign w:val="bottom"/>
            <w:tcBorders>
              <w:top w:val="single" w:sz="8" w:color="0000EE"/>
            </w:tcBorders>
            <w:gridSpan w:val="13"/>
          </w:tcPr>
          <w:p>
            <w:pPr>
              <w:spacing w:after="0" w:line="182"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Cash Flows for the Three Months Ended March 31, 2017 and 2016</w:t>
              </w:r>
            </w:hyperlink>
          </w:p>
        </w:tc>
        <w:tc>
          <w:tcPr>
            <w:tcW w:w="10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300" w:type="dxa"/>
            <w:vAlign w:val="bottom"/>
          </w:tcPr>
          <w:p>
            <w:pPr>
              <w:spacing w:after="0"/>
              <w:rPr>
                <w:sz w:val="15"/>
                <w:szCs w:val="15"/>
                <w:color w:val="auto"/>
              </w:rPr>
            </w:pPr>
          </w:p>
        </w:tc>
        <w:tc>
          <w:tcPr>
            <w:tcW w:w="40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700" w:type="dxa"/>
            <w:vAlign w:val="bottom"/>
            <w:tcBorders>
              <w:top w:val="single" w:sz="8" w:color="0000EE"/>
            </w:tcBorders>
            <w:gridSpan w:val="5"/>
          </w:tcPr>
          <w:p>
            <w:pPr>
              <w:spacing w:after="0"/>
              <w:rPr>
                <w:sz w:val="15"/>
                <w:szCs w:val="15"/>
                <w:color w:val="auto"/>
              </w:rPr>
            </w:pPr>
          </w:p>
        </w:tc>
        <w:tc>
          <w:tcPr>
            <w:tcW w:w="1680" w:type="dxa"/>
            <w:vAlign w:val="bottom"/>
            <w:gridSpan w:val="2"/>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840" w:type="dxa"/>
            <w:vAlign w:val="bottom"/>
            <w:vMerge w:val="continue"/>
          </w:tcPr>
          <w:p>
            <w:pPr>
              <w:spacing w:after="0"/>
              <w:rPr>
                <w:sz w:val="15"/>
                <w:szCs w:val="15"/>
                <w:color w:val="auto"/>
              </w:rPr>
            </w:pPr>
          </w:p>
        </w:tc>
        <w:tc>
          <w:tcPr>
            <w:tcW w:w="9680" w:type="dxa"/>
            <w:vAlign w:val="bottom"/>
            <w:gridSpan w:val="15"/>
          </w:tcPr>
          <w:p>
            <w:pPr>
              <w:spacing w:after="0" w:line="182"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Management’s Discussion and Analysis of Financial Condition and Results of Operations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840" w:type="dxa"/>
            <w:vAlign w:val="bottom"/>
          </w:tcPr>
          <w:p>
            <w:pPr>
              <w:spacing w:after="0" w:line="182" w:lineRule="exact"/>
              <w:rPr>
                <w:sz w:val="20"/>
                <w:szCs w:val="20"/>
                <w:color w:val="auto"/>
              </w:rPr>
            </w:pPr>
            <w:r>
              <w:rPr>
                <w:rFonts w:ascii="Arial" w:cs="Arial" w:eastAsia="Arial" w:hAnsi="Arial"/>
                <w:sz w:val="18"/>
                <w:szCs w:val="18"/>
                <w:b w:val="1"/>
                <w:bCs w:val="1"/>
                <w:color w:val="auto"/>
              </w:rPr>
              <w:t>Item 3.</w:t>
            </w:r>
          </w:p>
        </w:tc>
        <w:tc>
          <w:tcPr>
            <w:tcW w:w="6820" w:type="dxa"/>
            <w:vAlign w:val="bottom"/>
            <w:tcBorders>
              <w:top w:val="single" w:sz="8" w:color="0000EE"/>
            </w:tcBorders>
            <w:gridSpan w:val="12"/>
          </w:tcPr>
          <w:p>
            <w:pPr>
              <w:spacing w:after="0" w:line="182"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Quantitative and Qualitative Disclosures About Market Risk</w:t>
              </w:r>
            </w:hyperlink>
          </w:p>
        </w:tc>
        <w:tc>
          <w:tcPr>
            <w:tcW w:w="2860" w:type="dxa"/>
            <w:vAlign w:val="bottom"/>
            <w:gridSpan w:val="3"/>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840" w:type="dxa"/>
            <w:vAlign w:val="bottom"/>
          </w:tcPr>
          <w:p>
            <w:pPr>
              <w:spacing w:after="0" w:line="182" w:lineRule="exact"/>
              <w:rPr>
                <w:sz w:val="20"/>
                <w:szCs w:val="20"/>
                <w:color w:val="auto"/>
              </w:rPr>
            </w:pPr>
            <w:r>
              <w:rPr>
                <w:rFonts w:ascii="Arial" w:cs="Arial" w:eastAsia="Arial" w:hAnsi="Arial"/>
                <w:sz w:val="18"/>
                <w:szCs w:val="18"/>
                <w:b w:val="1"/>
                <w:bCs w:val="1"/>
                <w:color w:val="auto"/>
              </w:rPr>
              <w:t>Item 4.</w:t>
            </w:r>
          </w:p>
        </w:tc>
        <w:tc>
          <w:tcPr>
            <w:tcW w:w="4640" w:type="dxa"/>
            <w:vAlign w:val="bottom"/>
            <w:tcBorders>
              <w:top w:val="single" w:sz="8" w:color="0000EE"/>
            </w:tcBorders>
            <w:gridSpan w:val="10"/>
          </w:tcPr>
          <w:p>
            <w:pPr>
              <w:spacing w:after="0" w:line="182"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Controls and Procedures</w:t>
              </w:r>
            </w:hyperlink>
          </w:p>
        </w:tc>
        <w:tc>
          <w:tcPr>
            <w:tcW w:w="5040" w:type="dxa"/>
            <w:vAlign w:val="bottom"/>
            <w:gridSpan w:val="5"/>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26"/>
        </w:trPr>
        <w:tc>
          <w:tcPr>
            <w:tcW w:w="84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20" w:type="dxa"/>
            <w:vAlign w:val="bottom"/>
            <w:gridSpan w:val="8"/>
          </w:tcPr>
          <w:p>
            <w:pPr>
              <w:jc w:val="center"/>
              <w:ind w:right="2500"/>
              <w:spacing w:after="0"/>
              <w:rPr>
                <w:sz w:val="20"/>
                <w:szCs w:val="20"/>
                <w:color w:val="auto"/>
              </w:rPr>
            </w:pPr>
            <w:r>
              <w:rPr>
                <w:rFonts w:ascii="Arial" w:cs="Arial" w:eastAsia="Arial" w:hAnsi="Arial"/>
                <w:sz w:val="18"/>
                <w:szCs w:val="18"/>
                <w:b w:val="1"/>
                <w:bCs w:val="1"/>
                <w:color w:val="auto"/>
              </w:rPr>
              <w:t>PART II - 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80" w:type="dxa"/>
            <w:vAlign w:val="bottom"/>
            <w:gridSpan w:val="15"/>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840" w:type="dxa"/>
            <w:vAlign w:val="bottom"/>
          </w:tcPr>
          <w:p>
            <w:pPr>
              <w:spacing w:after="0" w:line="182" w:lineRule="exact"/>
              <w:rPr>
                <w:sz w:val="20"/>
                <w:szCs w:val="20"/>
                <w:color w:val="auto"/>
              </w:rPr>
            </w:pPr>
            <w:r>
              <w:rPr>
                <w:rFonts w:ascii="Arial" w:cs="Arial" w:eastAsia="Arial" w:hAnsi="Arial"/>
                <w:sz w:val="18"/>
                <w:szCs w:val="18"/>
                <w:b w:val="1"/>
                <w:bCs w:val="1"/>
                <w:color w:val="auto"/>
              </w:rPr>
              <w:t>Item 1A.</w:t>
            </w:r>
          </w:p>
        </w:tc>
        <w:tc>
          <w:tcPr>
            <w:tcW w:w="1380" w:type="dxa"/>
            <w:vAlign w:val="bottom"/>
            <w:tcBorders>
              <w:top w:val="single" w:sz="8" w:color="0000EE"/>
            </w:tcBorders>
            <w:gridSpan w:val="4"/>
          </w:tcPr>
          <w:p>
            <w:pPr>
              <w:spacing w:after="0" w:line="182"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Risk Factors</w:t>
              </w:r>
            </w:hyperlink>
          </w:p>
        </w:tc>
        <w:tc>
          <w:tcPr>
            <w:tcW w:w="1020" w:type="dxa"/>
            <w:vAlign w:val="bottom"/>
            <w:gridSpan w:val="2"/>
          </w:tcPr>
          <w:p>
            <w:pPr>
              <w:spacing w:after="0"/>
              <w:rPr>
                <w:sz w:val="15"/>
                <w:szCs w:val="15"/>
                <w:color w:val="auto"/>
              </w:rPr>
            </w:pPr>
          </w:p>
        </w:tc>
        <w:tc>
          <w:tcPr>
            <w:tcW w:w="2140" w:type="dxa"/>
            <w:vAlign w:val="bottom"/>
            <w:gridSpan w:val="3"/>
          </w:tcPr>
          <w:p>
            <w:pPr>
              <w:spacing w:after="0"/>
              <w:rPr>
                <w:sz w:val="15"/>
                <w:szCs w:val="15"/>
                <w:color w:val="auto"/>
              </w:rPr>
            </w:pPr>
          </w:p>
        </w:tc>
        <w:tc>
          <w:tcPr>
            <w:tcW w:w="5140" w:type="dxa"/>
            <w:vAlign w:val="bottom"/>
            <w:gridSpan w:val="6"/>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840" w:type="dxa"/>
            <w:vAlign w:val="bottom"/>
          </w:tcPr>
          <w:p>
            <w:pPr>
              <w:spacing w:after="0" w:line="182" w:lineRule="exact"/>
              <w:rPr>
                <w:sz w:val="20"/>
                <w:szCs w:val="20"/>
                <w:color w:val="auto"/>
              </w:rPr>
            </w:pPr>
            <w:r>
              <w:rPr>
                <w:rFonts w:ascii="Arial" w:cs="Arial" w:eastAsia="Arial" w:hAnsi="Arial"/>
                <w:sz w:val="18"/>
                <w:szCs w:val="18"/>
                <w:b w:val="1"/>
                <w:bCs w:val="1"/>
                <w:color w:val="auto"/>
              </w:rPr>
              <w:t>Item 2.</w:t>
            </w:r>
          </w:p>
        </w:tc>
        <w:tc>
          <w:tcPr>
            <w:tcW w:w="96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84"/>
              </w:rPr>
            </w:pPr>
            <w:hyperlink w:anchor="page22">
              <w:r>
                <w:rPr>
                  <w:rFonts w:ascii="Arial" w:cs="Arial" w:eastAsia="Arial" w:hAnsi="Arial"/>
                  <w:sz w:val="18"/>
                  <w:szCs w:val="18"/>
                  <w:b w:val="1"/>
                  <w:bCs w:val="1"/>
                  <w:color w:val="0000EE"/>
                  <w:w w:val="84"/>
                </w:rPr>
                <w:t>Unregistered</w:t>
              </w:r>
            </w:hyperlink>
          </w:p>
        </w:tc>
        <w:tc>
          <w:tcPr>
            <w:tcW w:w="8720" w:type="dxa"/>
            <w:vAlign w:val="bottom"/>
            <w:gridSpan w:val="12"/>
          </w:tcPr>
          <w:p>
            <w:pPr>
              <w:ind w:left="60"/>
              <w:spacing w:after="0" w:line="182"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Sales of Equity Securities and Use of Proceeds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840" w:type="dxa"/>
            <w:vAlign w:val="bottom"/>
          </w:tcPr>
          <w:p>
            <w:pPr>
              <w:spacing w:after="0" w:line="182" w:lineRule="exact"/>
              <w:rPr>
                <w:sz w:val="20"/>
                <w:szCs w:val="20"/>
                <w:color w:val="auto"/>
              </w:rPr>
            </w:pPr>
            <w:r>
              <w:rPr>
                <w:rFonts w:ascii="Arial" w:cs="Arial" w:eastAsia="Arial" w:hAnsi="Arial"/>
                <w:sz w:val="18"/>
                <w:szCs w:val="18"/>
                <w:b w:val="1"/>
                <w:bCs w:val="1"/>
                <w:color w:val="auto"/>
              </w:rPr>
              <w:t>Item 3.</w:t>
            </w:r>
          </w:p>
        </w:tc>
        <w:tc>
          <w:tcPr>
            <w:tcW w:w="4540" w:type="dxa"/>
            <w:vAlign w:val="bottom"/>
            <w:tcBorders>
              <w:top w:val="single" w:sz="8" w:color="0000EE"/>
            </w:tcBorders>
            <w:gridSpan w:val="9"/>
          </w:tcPr>
          <w:p>
            <w:pPr>
              <w:spacing w:after="0" w:line="182"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Defaults upon Senior Securities</w:t>
              </w:r>
            </w:hyperlink>
          </w:p>
        </w:tc>
        <w:tc>
          <w:tcPr>
            <w:tcW w:w="5140" w:type="dxa"/>
            <w:vAlign w:val="bottom"/>
            <w:gridSpan w:val="6"/>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840" w:type="dxa"/>
            <w:vAlign w:val="bottom"/>
          </w:tcPr>
          <w:p>
            <w:pPr>
              <w:spacing w:after="0" w:line="182" w:lineRule="exact"/>
              <w:rPr>
                <w:sz w:val="20"/>
                <w:szCs w:val="20"/>
                <w:color w:val="auto"/>
              </w:rPr>
            </w:pPr>
            <w:r>
              <w:rPr>
                <w:rFonts w:ascii="Arial" w:cs="Arial" w:eastAsia="Arial" w:hAnsi="Arial"/>
                <w:sz w:val="18"/>
                <w:szCs w:val="18"/>
                <w:b w:val="1"/>
                <w:bCs w:val="1"/>
                <w:color w:val="auto"/>
              </w:rPr>
              <w:t>Item 6.</w:t>
            </w:r>
          </w:p>
        </w:tc>
        <w:tc>
          <w:tcPr>
            <w:tcW w:w="6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b w:val="1"/>
                <w:bCs w:val="1"/>
                <w:color w:val="0000EE"/>
                <w:w w:val="85"/>
              </w:rPr>
            </w:pPr>
            <w:hyperlink w:anchor="page22">
              <w:r>
                <w:rPr>
                  <w:rFonts w:ascii="Arial" w:cs="Arial" w:eastAsia="Arial" w:hAnsi="Arial"/>
                  <w:sz w:val="18"/>
                  <w:szCs w:val="18"/>
                  <w:b w:val="1"/>
                  <w:bCs w:val="1"/>
                  <w:color w:val="0000EE"/>
                  <w:w w:val="85"/>
                </w:rPr>
                <w:t>Exhibits</w:t>
              </w:r>
            </w:hyperlink>
          </w:p>
        </w:tc>
        <w:tc>
          <w:tcPr>
            <w:tcW w:w="1780" w:type="dxa"/>
            <w:vAlign w:val="bottom"/>
            <w:tcBorders>
              <w:top w:val="single" w:sz="8" w:color="0000EE"/>
            </w:tcBorders>
            <w:gridSpan w:val="4"/>
          </w:tcPr>
          <w:p>
            <w:pPr>
              <w:spacing w:after="0"/>
              <w:rPr>
                <w:sz w:val="15"/>
                <w:szCs w:val="15"/>
                <w:color w:val="auto"/>
              </w:rPr>
            </w:pPr>
          </w:p>
        </w:tc>
        <w:tc>
          <w:tcPr>
            <w:tcW w:w="7280" w:type="dxa"/>
            <w:vAlign w:val="bottom"/>
            <w:gridSpan w:val="9"/>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85"/>
        </w:trPr>
        <w:tc>
          <w:tcPr>
            <w:tcW w:w="10520" w:type="dxa"/>
            <w:vAlign w:val="bottom"/>
            <w:gridSpan w:val="16"/>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838"/>
        </w:trPr>
        <w:tc>
          <w:tcPr>
            <w:tcW w:w="84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4"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20" w:type="dxa"/>
            <w:vAlign w:val="bottom"/>
          </w:tcPr>
          <w:p>
            <w:pPr>
              <w:spacing w:after="0"/>
              <w:rPr>
                <w:sz w:val="24"/>
                <w:szCs w:val="24"/>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b w:val="1"/>
                <w:bCs w:val="1"/>
                <w:color w:val="auto"/>
                <w:w w:val="98"/>
              </w:rPr>
              <w:t>ASURE SOFTWARE, INC.</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color w:val="auto"/>
                <w:w w:val="91"/>
              </w:rPr>
              <w:t>(Amounts in thousands)</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March 31, 2017</w:t>
            </w:r>
          </w:p>
        </w:tc>
        <w:tc>
          <w:tcPr>
            <w:tcW w:w="12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r>
      <w:tr>
        <w:trPr>
          <w:trHeight w:val="228"/>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9"/>
                <w:szCs w:val="19"/>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5"/>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8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12,767</w:t>
            </w:r>
          </w:p>
        </w:tc>
      </w:tr>
      <w:tr>
        <w:trPr>
          <w:trHeight w:val="188"/>
        </w:trPr>
        <w:tc>
          <w:tcPr>
            <w:tcW w:w="20" w:type="dxa"/>
            <w:vAlign w:val="bottom"/>
          </w:tcPr>
          <w:p>
            <w:pPr>
              <w:spacing w:after="0"/>
              <w:rPr>
                <w:sz w:val="16"/>
                <w:szCs w:val="16"/>
                <w:color w:val="auto"/>
              </w:rPr>
            </w:pPr>
          </w:p>
        </w:tc>
        <w:tc>
          <w:tcPr>
            <w:tcW w:w="8340" w:type="dxa"/>
            <w:vAlign w:val="bottom"/>
          </w:tcPr>
          <w:p>
            <w:pPr>
              <w:ind w:left="640"/>
              <w:spacing w:after="0" w:line="189" w:lineRule="exact"/>
              <w:rPr>
                <w:sz w:val="20"/>
                <w:szCs w:val="20"/>
                <w:color w:val="auto"/>
              </w:rPr>
            </w:pPr>
            <w:r>
              <w:rPr>
                <w:rFonts w:ascii="Arial" w:cs="Arial" w:eastAsia="Arial" w:hAnsi="Arial"/>
                <w:sz w:val="18"/>
                <w:szCs w:val="18"/>
                <w:color w:val="auto"/>
                <w:w w:val="96"/>
              </w:rPr>
              <w:t>Accounts and note receivable, net of allowance for doubtful accounts of $328 and $338 at March 31,</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2017 and December 31, 2016, respectively</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8,108</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r>
      <w:tr>
        <w:trPr>
          <w:trHeight w:val="223"/>
        </w:trPr>
        <w:tc>
          <w:tcPr>
            <w:tcW w:w="20" w:type="dxa"/>
            <w:vAlign w:val="bottom"/>
          </w:tcPr>
          <w:p>
            <w:pPr>
              <w:spacing w:after="0"/>
              <w:rPr>
                <w:sz w:val="19"/>
                <w:szCs w:val="19"/>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1,256</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 before funds held for clients</w:t>
            </w: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Funds held for clients</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22,981</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44,327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45,599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1,878</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26,259</w:t>
            </w: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12,048</w:t>
            </w: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95,097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85,823</w:t>
            </w:r>
          </w:p>
        </w:tc>
      </w:tr>
      <w:tr>
        <w:trPr>
          <w:trHeight w:val="21"/>
        </w:trPr>
        <w:tc>
          <w:tcPr>
            <w:tcW w:w="83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Current portion of notes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5,455</w:t>
            </w:r>
          </w:p>
        </w:tc>
      </w:tr>
      <w:tr>
        <w:trPr>
          <w:trHeight w:val="216"/>
        </w:trPr>
        <w:tc>
          <w:tcPr>
            <w:tcW w:w="20" w:type="dxa"/>
            <w:vAlign w:val="bottom"/>
          </w:tcPr>
          <w:p>
            <w:pPr>
              <w:spacing w:after="0"/>
              <w:rPr>
                <w:sz w:val="18"/>
                <w:szCs w:val="18"/>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1,576</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w:t>
            </w:r>
          </w:p>
        </w:tc>
      </w:tr>
      <w:tr>
        <w:trPr>
          <w:trHeight w:val="216"/>
        </w:trPr>
        <w:tc>
          <w:tcPr>
            <w:tcW w:w="20" w:type="dxa"/>
            <w:vAlign w:val="bottom"/>
          </w:tcPr>
          <w:p>
            <w:pPr>
              <w:spacing w:after="0"/>
              <w:rPr>
                <w:sz w:val="18"/>
                <w:szCs w:val="18"/>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Other accrued liabilities</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936</w:t>
            </w: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Deferred revenue</w:t>
            </w: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b w:val="1"/>
                <w:bCs w:val="1"/>
                <w:color w:val="auto"/>
              </w:rPr>
              <w:t>Total current liabilities before client fund obligations</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17,468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18,411</w:t>
            </w: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Client fund obligations</w:t>
            </w: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32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48,012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41,392</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Notes payable, net of current portion of debt issuance cost and debt discount</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24,581</w:t>
            </w:r>
          </w:p>
        </w:tc>
      </w:tr>
      <w:tr>
        <w:trPr>
          <w:trHeight w:val="223"/>
        </w:trPr>
        <w:tc>
          <w:tcPr>
            <w:tcW w:w="20" w:type="dxa"/>
            <w:vAlign w:val="bottom"/>
          </w:tcPr>
          <w:p>
            <w:pPr>
              <w:spacing w:after="0"/>
              <w:rPr>
                <w:sz w:val="19"/>
                <w:szCs w:val="19"/>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835</w:t>
            </w: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long-term liabilities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28,933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26,185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76,945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67,577</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(Note 13)</w:t>
            </w: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88"/>
        </w:trPr>
        <w:tc>
          <w:tcPr>
            <w:tcW w:w="20" w:type="dxa"/>
            <w:vAlign w:val="bottom"/>
          </w:tcPr>
          <w:p>
            <w:pPr>
              <w:spacing w:after="0"/>
              <w:rPr>
                <w:sz w:val="16"/>
                <w:szCs w:val="16"/>
                <w:color w:val="auto"/>
              </w:rPr>
            </w:pPr>
          </w:p>
        </w:tc>
        <w:tc>
          <w:tcPr>
            <w:tcW w:w="8340" w:type="dxa"/>
            <w:vAlign w:val="bottom"/>
          </w:tcPr>
          <w:p>
            <w:pPr>
              <w:ind w:left="640"/>
              <w:spacing w:after="0" w:line="189" w:lineRule="exact"/>
              <w:rPr>
                <w:sz w:val="20"/>
                <w:szCs w:val="20"/>
                <w:color w:val="auto"/>
              </w:rPr>
            </w:pPr>
            <w:r>
              <w:rPr>
                <w:rFonts w:ascii="Arial" w:cs="Arial" w:eastAsia="Arial" w:hAnsi="Arial"/>
                <w:sz w:val="18"/>
                <w:szCs w:val="18"/>
                <w:color w:val="auto"/>
                <w:w w:val="95"/>
              </w:rPr>
              <w:t>Common stock, $.01 par value; 11,000 shares authorized; 9,014 and 8,901 shares issued, 8,630 and</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8,517 shares outstanding at March 31, 2017 and December 31, 2016, respectively</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Treasury stock at cost, 384 shares at March 31, 2017 and December 31, 2016</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(5,017)</w:t>
            </w:r>
          </w:p>
        </w:tc>
      </w:tr>
      <w:tr>
        <w:trPr>
          <w:trHeight w:val="216"/>
        </w:trPr>
        <w:tc>
          <w:tcPr>
            <w:tcW w:w="20" w:type="dxa"/>
            <w:vAlign w:val="bottom"/>
          </w:tcPr>
          <w:p>
            <w:pPr>
              <w:spacing w:after="0"/>
              <w:rPr>
                <w:sz w:val="18"/>
                <w:szCs w:val="18"/>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296,042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295,044</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(272,934)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(271,875)</w:t>
            </w:r>
          </w:p>
        </w:tc>
      </w:tr>
      <w:tr>
        <w:trPr>
          <w:trHeight w:val="223"/>
        </w:trPr>
        <w:tc>
          <w:tcPr>
            <w:tcW w:w="20" w:type="dxa"/>
            <w:vAlign w:val="bottom"/>
          </w:tcPr>
          <w:p>
            <w:pPr>
              <w:spacing w:after="0"/>
              <w:rPr>
                <w:sz w:val="19"/>
                <w:szCs w:val="19"/>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18,152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95,097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85,823</w:t>
            </w: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spacing w:after="0" w:line="234" w:lineRule="auto"/>
        <w:rPr>
          <w:sz w:val="20"/>
          <w:szCs w:val="20"/>
          <w:color w:val="auto"/>
        </w:rPr>
      </w:pPr>
      <w:r>
        <w:rPr>
          <w:rFonts w:ascii="Arial" w:cs="Arial" w:eastAsia="Arial" w:hAnsi="Arial"/>
          <w:sz w:val="18"/>
          <w:szCs w:val="18"/>
          <w:color w:val="auto"/>
        </w:rPr>
        <w:t>(Amounts 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8"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FOR THE</w:t>
      </w:r>
    </w:p>
    <w:p>
      <w:pPr>
        <w:spacing w:after="0" w:line="11"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THREE MONTHS ENDED</w:t>
      </w:r>
    </w:p>
    <w:p>
      <w:pPr>
        <w:jc w:val="center"/>
        <w:ind w:left="8240"/>
        <w:spacing w:after="0" w:line="232" w:lineRule="auto"/>
        <w:rPr>
          <w:sz w:val="20"/>
          <w:szCs w:val="20"/>
          <w:color w:val="auto"/>
        </w:rPr>
      </w:pPr>
      <w:r>
        <w:rPr>
          <w:rFonts w:ascii="Arial" w:cs="Arial" w:eastAsia="Arial" w:hAnsi="Arial"/>
          <w:sz w:val="18"/>
          <w:szCs w:val="18"/>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Cloud revenue</w:t>
            </w:r>
          </w:p>
        </w:tc>
        <w:tc>
          <w:tcPr>
            <w:tcW w:w="27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640"/>
              <w:spacing w:after="0"/>
              <w:rPr>
                <w:sz w:val="20"/>
                <w:szCs w:val="20"/>
                <w:color w:val="auto"/>
              </w:rPr>
            </w:pPr>
            <w:r>
              <w:rPr>
                <w:rFonts w:ascii="Arial" w:cs="Arial" w:eastAsia="Arial" w:hAnsi="Arial"/>
                <w:sz w:val="18"/>
                <w:szCs w:val="18"/>
                <w:color w:val="auto"/>
              </w:rPr>
              <w:t>Hardware revenue</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Maintenance and support revenue</w:t>
            </w: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640"/>
              <w:spacing w:after="0"/>
              <w:rPr>
                <w:sz w:val="20"/>
                <w:szCs w:val="20"/>
                <w:color w:val="auto"/>
              </w:rPr>
            </w:pPr>
            <w:r>
              <w:rPr>
                <w:rFonts w:ascii="Arial" w:cs="Arial" w:eastAsia="Arial" w:hAnsi="Arial"/>
                <w:sz w:val="18"/>
                <w:szCs w:val="18"/>
                <w:color w:val="auto"/>
              </w:rPr>
              <w:t>On premise software license revenue</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Professional services revenue</w:t>
            </w:r>
          </w:p>
        </w:tc>
        <w:tc>
          <w:tcPr>
            <w:tcW w:w="24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480"/>
              <w:spacing w:after="0"/>
              <w:rPr>
                <w:sz w:val="20"/>
                <w:szCs w:val="20"/>
                <w:color w:val="auto"/>
              </w:rPr>
            </w:pPr>
            <w:r>
              <w:rPr>
                <w:rFonts w:ascii="Arial" w:cs="Arial" w:eastAsia="Arial" w:hAnsi="Arial"/>
                <w:sz w:val="18"/>
                <w:szCs w:val="18"/>
                <w:b w:val="1"/>
                <w:bCs w:val="1"/>
                <w:color w:val="auto"/>
              </w:rPr>
              <w:t>Total revenues</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10,727</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4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2,438</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Arial" w:cs="Arial" w:eastAsia="Arial" w:hAnsi="Arial"/>
                <w:sz w:val="18"/>
                <w:szCs w:val="18"/>
                <w:b w:val="1"/>
                <w:bCs w:val="1"/>
                <w:color w:val="auto"/>
              </w:rPr>
              <w:t>Gross margin</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8,289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Selling, general and administrative</w:t>
            </w: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640"/>
              <w:spacing w:after="0"/>
              <w:rPr>
                <w:sz w:val="20"/>
                <w:szCs w:val="20"/>
                <w:color w:val="auto"/>
              </w:rPr>
            </w:pPr>
            <w:r>
              <w:rPr>
                <w:rFonts w:ascii="Arial" w:cs="Arial" w:eastAsia="Arial" w:hAnsi="Arial"/>
                <w:sz w:val="18"/>
                <w:szCs w:val="18"/>
                <w:color w:val="auto"/>
              </w:rPr>
              <w:t>Research and development</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769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Amortization of intangible assets</w:t>
            </w:r>
          </w:p>
        </w:tc>
        <w:tc>
          <w:tcPr>
            <w:tcW w:w="24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2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8,659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(370</w:t>
            </w: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(1,229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Other income (loss)</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 expense and other</w:t>
            </w: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320"/>
              <w:spacing w:after="0"/>
              <w:rPr>
                <w:sz w:val="20"/>
                <w:szCs w:val="20"/>
                <w:color w:val="auto"/>
              </w:rPr>
            </w:pPr>
            <w:r>
              <w:rPr>
                <w:rFonts w:ascii="Arial" w:cs="Arial" w:eastAsia="Arial" w:hAnsi="Arial"/>
                <w:sz w:val="18"/>
                <w:szCs w:val="18"/>
                <w:b w:val="1"/>
                <w:bCs w:val="1"/>
                <w:color w:val="auto"/>
              </w:rPr>
              <w:t>Total other loss</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(547)</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Loss from operations before income taxes</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(917)</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tax provision</w:t>
            </w: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74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(1,059)</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640"/>
              <w:spacing w:after="0"/>
              <w:rPr>
                <w:sz w:val="20"/>
                <w:szCs w:val="20"/>
                <w:color w:val="auto"/>
              </w:rPr>
            </w:pPr>
            <w:r>
              <w:rPr>
                <w:rFonts w:ascii="Arial" w:cs="Arial" w:eastAsia="Arial" w:hAnsi="Arial"/>
                <w:sz w:val="18"/>
                <w:szCs w:val="18"/>
                <w:color w:val="auto"/>
              </w:rPr>
              <w:t>Foreign currency translation (loss) gain</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2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Basic</w:t>
            </w:r>
          </w:p>
        </w:tc>
        <w:tc>
          <w:tcPr>
            <w:tcW w:w="27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7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Weighted average basic and diluted shares</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Diluted</w:t>
            </w:r>
          </w:p>
        </w:tc>
        <w:tc>
          <w:tcPr>
            <w:tcW w:w="2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8,628,000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6,290,000</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8"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FOR THE</w:t>
      </w:r>
    </w:p>
    <w:p>
      <w:pPr>
        <w:spacing w:after="0" w:line="11"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THREE MONTHS ENDED</w:t>
      </w:r>
    </w:p>
    <w:p>
      <w:pPr>
        <w:jc w:val="center"/>
        <w:ind w:left="8240"/>
        <w:spacing w:after="0" w:line="232" w:lineRule="auto"/>
        <w:rPr>
          <w:sz w:val="20"/>
          <w:szCs w:val="20"/>
          <w:color w:val="auto"/>
        </w:rPr>
      </w:pPr>
      <w:r>
        <w:rPr>
          <w:rFonts w:ascii="Arial" w:cs="Arial" w:eastAsia="Arial" w:hAnsi="Arial"/>
          <w:sz w:val="18"/>
          <w:szCs w:val="18"/>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loss</w:t>
            </w:r>
          </w:p>
        </w:tc>
        <w:tc>
          <w:tcPr>
            <w:tcW w:w="16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Adjustments to reconcile net loss to net cash provided by operations: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Provision for doubtful accounts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Share-based compensation</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Changes in operating assets and liabilities: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and note receivable</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Inventory</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assets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598</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expenses and other long-term obligations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Deferred revenue</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(516)</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Net cash used in operating activities</w:t>
            </w:r>
          </w:p>
        </w:tc>
        <w:tc>
          <w:tcPr>
            <w:tcW w:w="13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(1,185)</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Acquisitions net of cash acquired</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(8,076)</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Purchases of property and equipment</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Collection of note receivable</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change in funds held for clients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400"/>
              <w:spacing w:after="0"/>
              <w:rPr>
                <w:sz w:val="20"/>
                <w:szCs w:val="20"/>
                <w:color w:val="auto"/>
              </w:rPr>
            </w:pPr>
            <w:r>
              <w:rPr>
                <w:rFonts w:ascii="Arial" w:cs="Arial" w:eastAsia="Arial" w:hAnsi="Arial"/>
                <w:sz w:val="18"/>
                <w:szCs w:val="18"/>
                <w:b w:val="1"/>
                <w:bCs w:val="1"/>
                <w:color w:val="auto"/>
              </w:rPr>
              <w:t>Net cash used in investing activities</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(6,557)</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(24,205)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Proceeds from notes payable</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Payments on notes payable</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(6,069)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Debt financing fees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Payments on capital leases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proceeds from issuance of stock</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Net change in client fund obligations</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(1,485)</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38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(2,700</w:t>
            </w:r>
          </w:p>
        </w:tc>
        <w:tc>
          <w:tcPr>
            <w:tcW w:w="200" w:type="dxa"/>
            <w:vAlign w:val="bottom"/>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Effect of foreign exchange rates</w:t>
            </w:r>
          </w:p>
        </w:tc>
        <w:tc>
          <w:tcPr>
            <w:tcW w:w="13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(10,479</w:t>
            </w: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12,767</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1,158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3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2,288</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 paid for:</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6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Subordinated notes payable- See Note 4</w:t>
            </w:r>
          </w:p>
        </w:tc>
        <w:tc>
          <w:tcPr>
            <w:tcW w:w="16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2,090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CPI Acquisition- See Note 4</w:t>
            </w:r>
          </w:p>
        </w:tc>
        <w:tc>
          <w:tcPr>
            <w:tcW w:w="16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PRESENTATION</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Asure Software, Inc., a Delaware corporation incorporated in 1985, is a provider of cloud-based software-as-a-service (“SaaS”) time and labor management and Agile Workplace management solutions that enable organizations to manage their office environments as well as their human resource and payroll processes effectively and efficiently. Asure develops, markets, sells and supports its offerings worldwide through its principal office in Austin, Texas and through additional offices in Tampa, Florida; Traverse City, Michigan and London, United Kingdom.</w:t>
      </w:r>
    </w:p>
    <w:p>
      <w:pPr>
        <w:spacing w:after="0" w:line="1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We have prepared the accompanying unaudited condensed consolidated financial statements in accordance with the rules and regulations of the Securities and Exchange Commission and accordingly, they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our financial position as of March 31, 2017 and December 31, 2016, the results of operations for the three months ended March 31, 2017 and 2016, and the cash flows for the three months ended March 31, 2017 and 2016.</w:t>
      </w:r>
    </w:p>
    <w:p>
      <w:pPr>
        <w:spacing w:after="0" w:line="1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You should read these condensed consolidated financial statements in conjunction with our audited consolidated financial statements and notes thereto filed with the Securities and Exchange Commission in our annual report on Form 10-K for the fiscal year ended December 31, 2016. The results for the interim periods are not necessarily indicative of results for a full fiscal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include cash deposits and highly liquid investments with an original maturity of three months or less when purchased.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As of March 31, 2017, Asure’s principal sources of liquidity consisted of approximately $2,288 of cash and cash equivalents, future cash generated from operations and $3,000 available for borrowing under our Wells Fargo revolver discussed in Note 6 – Notes Payable. We believe that we have and/or will generate sufficient cash for our short- and long-term needs, including meeting the requirements of our term loan, and the related debt covenant requirements. We continue to seek reductions in our expenses as a percentage of revenue on an annual basis and thus may utilize our cash balances in the short-term to reduce long-term costs. Based on current internal projections, we believe that we have and/or will generate sufficient cash for our operational needs, including any required debt payments, for at least the next twelve months from the issuance of the consolidated financial statements.</w:t>
      </w:r>
    </w:p>
    <w:p>
      <w:pPr>
        <w:spacing w:after="0" w:line="1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Management is focused on growing our existing product offering, as well as our customer base, to increase our recurring revenues. We have made and will continue to explore additional strategic acquisitions. We expect to fund any future acquisitions with equity, available cash, future cash from operations, or debt from outside sources.</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twelve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Standards</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In July 2015, the Financial Accounting Standards Board (“FASB”) issued Accounting Standards Update (“ASU”) 2015-11, “Simplifying the Measurement of Inventory”. Inventory within the scope of this update is required to be measured at the lower of its cost or net realizable value, with net realizable value being the estimated selling price in the ordinary course of business, less reasonably predictable costs of completion, disposal, and transportation. This ASU is effective prospectively for fiscal years and interim periods beginning after December 15, 2016, with early adoption permitted. We adopted the provisions of ASU 2015-11 on January 1, 2017. This adoption did not have any impact on our consolidated financial statements.</w:t>
      </w:r>
    </w:p>
    <w:p>
      <w:pPr>
        <w:spacing w:after="0" w:line="161"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The purpose of ASU 2016-09 is to simplify the accounting for share-based payment transactions, including the income tax consequences, classification of awards as either equity or liabilities, and classification of such activity on the statement of cash flows. ASU 2016-09 is effective for fiscal years beginning after December 15, 2016, including interim periods within that year. Prospective, retrospective, or modified retrospective application may be used dependent on the specific requirements of the amendments within ASU 2016-09. Effective January 1, 2017, the Company adopted ASU 2016-09 on a prospective basis. As such, prior periods have not been adjusted.</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In January 2017, the FASB issued ASU 2017-04, “Simplifying the Test for Goodwill Impairment (Topic 350)”, which eliminates Step 2 from the goodwill impairment test. ASU 2017-04 is effective for annual and interim periods in fiscal years beginning after December 15, 2019. Early adoption is permitted for interim or annual goodwill impairment tests performed after January 1, 2017 and should be applied prospectively. We adopted the provisions of ASU 2017-04 on January 1, 2017. The adoption did not have a material impact on our consolidated financial statements.</w:t>
      </w:r>
    </w:p>
    <w:p>
      <w:pPr>
        <w:spacing w:after="0" w:line="15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In January 2017, the FASB issued ASU No. 2017-01, “Business Combinations (Topic 806): Clarifying the Definition of a Business”, which provides guidance in evaluating whether transactions should be accounted for as acquisitions (or disposals) of assets or businesses. The definition of a business affects many areas of accounting, including acquisitions, disposals, goodwill, and consolidation. The guidance is effective for public companies for fiscal years beginning after December 15, 2017. We adopted this standard early as of January 1, 2017 as permitted under the standard. The adoption did not have any impact on our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Yet To Be Adopted</w:t>
      </w:r>
    </w:p>
    <w:p>
      <w:pPr>
        <w:spacing w:after="0" w:line="19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 xml:space="preserve">In May 2014, the FASB issued FASB ASU No. 2014-09, “Revenue from Contracts with Customers (Topic 606),” which supersedes the revenue recognition requirements in ASC 605, “Revenue Recognition”. The core principle of ASU 2014-09 is that an entity should recognize revenue to depict the transfer of promised goods or services to customers in an amount that reflects the consideration to which the entity expects to be entitled in exchange for those goods or services. The guidance provides a five-step process to achieve that core principle. ASU 2014-09 requires disclosures enabling users of financial statements to understand the nature, amount, timing and uncertainty of revenue and cash flows arising from contracts with customers. Additionally, qualitative and quantitative disclosures are required about contracts with customers, significant judgments and changes in judgments, and assets recognized from the costs to obtain or fulfill a contract. In August 2015, the FASB issued FASB ASU No. 2015-14, “Revenue from Contracts with Customers (Topic 606): Deferral of the Effective Date”, which deferred the effective date of ASU 2014-09 by one year. ASU 2014-09 is now effective for annual reporting periods beginning after December 15, 2017, including interim periods within that reporting period, using one of two retrospective application methods. Early application is permitted only as of annual reporting periods beginning after December 15, 2016, including interim reporting periods within that reporting period. In March 2016, the FASB issued FASB ASU No. 2016-08, “Revenue from Contracts with Customers (Topic 606): Principal versus Agent Considerations (Reporting Revenue Gross versus Net)”. ASU 2016-08 clarifies the implementation guidance on principal versus agent considerations. In April 2016, the FASB issued ASU No. 2016-10, “Revenue from Contracts with Customers: Identifying Performance Obligations and Licensing.” ASU 2016-10 clarifies the implementation guidance in Topic 606 for identifying performance obligations and determining when to recognize revenue on licensing agreements for intellectual property. In May 2016, the FASB issued ASU No. 2016-11, “Revenue Recognition (Topic 605) and Derivatives and Hedging (Topic 815): Rescission of SEC Guidance Because of Accounting Standards Updates 2014-09 and 2014-16 Pursuant to Staff Announcements at the March 3, 2016 EITF Meeting.” ASU 2016-11 rescinds certain SEC staff comments previously made in regard to these ASU’s. </w:t>
      </w:r>
      <w:r>
        <w:rPr>
          <w:rFonts w:ascii="Arial" w:cs="Arial" w:eastAsia="Arial" w:hAnsi="Arial"/>
          <w:sz w:val="16"/>
          <w:szCs w:val="16"/>
          <w:color w:val="222222"/>
        </w:rPr>
        <w:t>In May 2016, the FASB issued ASU No.</w:t>
      </w:r>
      <w:r>
        <w:rPr>
          <w:rFonts w:ascii="Arial" w:cs="Arial" w:eastAsia="Arial" w:hAnsi="Arial"/>
          <w:sz w:val="16"/>
          <w:szCs w:val="16"/>
          <w:color w:val="auto"/>
        </w:rPr>
        <w:t xml:space="preserve"> </w:t>
      </w:r>
      <w:r>
        <w:rPr>
          <w:rFonts w:ascii="Arial" w:cs="Arial" w:eastAsia="Arial" w:hAnsi="Arial"/>
          <w:sz w:val="16"/>
          <w:szCs w:val="16"/>
          <w:color w:val="222222"/>
        </w:rPr>
        <w:t xml:space="preserve">2016-12, “Revenue from Contracts with Customers (Topic 606): Narrow-Scope Improvements and Practical Expedients” that provide guidance on assessing collectability, presentation of sales taxes, noncash consideration, and completed contracts and contract modifications at transition. </w:t>
      </w:r>
      <w:r>
        <w:rPr>
          <w:rFonts w:ascii="Arial" w:cs="Arial" w:eastAsia="Arial" w:hAnsi="Arial"/>
          <w:sz w:val="16"/>
          <w:szCs w:val="16"/>
          <w:color w:val="000000"/>
        </w:rPr>
        <w:t>We are currently evaluating</w:t>
      </w:r>
      <w:r>
        <w:rPr>
          <w:rFonts w:ascii="Arial" w:cs="Arial" w:eastAsia="Arial" w:hAnsi="Arial"/>
          <w:sz w:val="16"/>
          <w:szCs w:val="16"/>
          <w:color w:val="222222"/>
        </w:rPr>
        <w:t xml:space="preserve"> </w:t>
      </w:r>
      <w:r>
        <w:rPr>
          <w:rFonts w:ascii="Arial" w:cs="Arial" w:eastAsia="Arial" w:hAnsi="Arial"/>
          <w:sz w:val="16"/>
          <w:szCs w:val="16"/>
          <w:color w:val="000000"/>
        </w:rPr>
        <w:t>the effect that the adoption of ASU 2014-09, ASU 2015-14, ASU 2016-08, ASU 2016- 10, ASU 2016-11, ASU 2016-12 and ASU 2016-20 will have on our consolidated financial statements.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In February 2016, the FASB issued ASU No. 2016-02, “Leases (Topic 842)”. The core principle of the standard is that a lessee should recognize the assets and liabilities that arise from leases. A lessee should recognize in its statement of financial position a liability to make lease payments (the lease liability) and a right-of-use asset representing its right to use the underlying asset for the lease term. We will be required to adopt the new standard in the first quarter of 2019. We are currently evaluating the impact ASU 2016-02 will have on our consolidated financial statements.</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which eliminates the diversity in practice related to eight cash flow classification issues. This ASU is effective for on January 1, 2018 with early adoption permitted. We believe its adoption will not significantly impact our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Although Asure has been, and in the future may be, the defendant or plaintiff in various actions arising in the normal course of business, as of March 31, 2017, we were not party to any pending legal proceedings.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establishes a framework for measuring fair value in U.S. generally accepted accounting principles and expands disclosures about fair value measurements.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three-tier fair value hierarchy, which is based on the reliability of the inputs used in measuring fair values. These tiers include:</w:t>
      </w:r>
    </w:p>
    <w:p>
      <w:pPr>
        <w:spacing w:after="0" w:line="221"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xml:space="preserve">Quoted prices in active markets for </w:t>
      </w:r>
      <w:r>
        <w:rPr>
          <w:rFonts w:ascii="Arial" w:cs="Arial" w:eastAsia="Arial" w:hAnsi="Arial"/>
          <w:sz w:val="16"/>
          <w:szCs w:val="16"/>
          <w:i w:val="1"/>
          <w:iCs w:val="1"/>
          <w:color w:val="auto"/>
        </w:rPr>
        <w:t>identical</w:t>
      </w:r>
      <w:r>
        <w:rPr>
          <w:rFonts w:ascii="Arial" w:cs="Arial" w:eastAsia="Arial" w:hAnsi="Arial"/>
          <w:sz w:val="16"/>
          <w:szCs w:val="16"/>
          <w:color w:val="auto"/>
        </w:rPr>
        <w:t xml:space="preserve"> assets or liabilities;</w:t>
      </w:r>
    </w:p>
    <w:p>
      <w:pPr>
        <w:spacing w:after="0" w:line="198" w:lineRule="exact"/>
        <w:rPr>
          <w:sz w:val="20"/>
          <w:szCs w:val="20"/>
          <w:color w:val="auto"/>
        </w:rPr>
      </w:pPr>
    </w:p>
    <w:p>
      <w:pPr>
        <w:ind w:left="1680" w:hanging="1025"/>
        <w:spacing w:after="0" w:line="262" w:lineRule="auto"/>
        <w:tabs>
          <w:tab w:leader="none" w:pos="1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 xml:space="preserve">Quoted prices in active markets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assets or liabilities; quoted prices in markets that are not active for identical or similar assets or liabilities; and model-driven valuations whose significant inputs are observable; and</w:t>
      </w:r>
    </w:p>
    <w:p>
      <w:pPr>
        <w:spacing w:after="0" w:line="156"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 hierarchy for our financial assets measured at fair value on a recurring basis as of March 31,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3"/>
              </w:rPr>
              <w:t>Fair Value Measure at March 31, 2017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88"/>
              </w:rPr>
              <w:t>Quoted</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Prices</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Value at</w:t>
            </w:r>
          </w:p>
        </w:tc>
        <w:tc>
          <w:tcPr>
            <w:tcW w:w="22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in Active</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2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19"/>
                <w:szCs w:val="19"/>
                <w:color w:val="auto"/>
              </w:rPr>
            </w:pPr>
          </w:p>
        </w:tc>
        <w:tc>
          <w:tcPr>
            <w:tcW w:w="126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19"/>
                <w:szCs w:val="19"/>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(Level 2)</w:t>
            </w: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2,288</w:t>
            </w:r>
          </w:p>
        </w:tc>
        <w:tc>
          <w:tcPr>
            <w:tcW w:w="2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2,288</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1"/>
              </w:rPr>
              <w:t>Fair Value Measure at December 31, 2016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88"/>
              </w:rPr>
              <w:t>Quoted</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Prices</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Value at</w:t>
            </w:r>
          </w:p>
        </w:tc>
        <w:tc>
          <w:tcPr>
            <w:tcW w:w="22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in Active</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2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19"/>
                <w:szCs w:val="19"/>
                <w:color w:val="auto"/>
              </w:rPr>
            </w:pPr>
          </w:p>
        </w:tc>
        <w:tc>
          <w:tcPr>
            <w:tcW w:w="126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19"/>
                <w:szCs w:val="19"/>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(Level 2)</w:t>
            </w: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12,767</w:t>
            </w:r>
          </w:p>
        </w:tc>
        <w:tc>
          <w:tcPr>
            <w:tcW w:w="2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12,767</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711"/>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Acquisitions</w:t>
      </w:r>
    </w:p>
    <w:p>
      <w:pPr>
        <w:spacing w:after="0" w:line="20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In January 2017, we closed three strategic acquisitions: Personnel Management Systems, Inc., a provider of outsourced HR solutions; Corporate Payroll, Inc. (Payroll Division), a provider of payroll services; and Payroll Specialties NW, Inc., a provider of payroll services.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 Agreement</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In January 2017, we closed on the acquisition of all of the outstanding shares of common stock (the “Shares”) of Personnel Management Systems, Inc., a Washington corporation (“PMSI”), pursuant to a Stock Purchase Agreement (the “Stock Purchase Agreement”), among us, PMSI, the sellers identified therein, and the stockholders’ representative named therein. The aggregate consideration for the Shares consisted of (i) $3,875 in cash and (ii) a subordinated promissory note (the “PMSI Note”) in the principal amount of $1,125 subject to adjustment as provided in the Stock Purchase Agreement. We funded the cash payment with proceeds from our recent public stock offering. The PMSI Note bears interest at an annual rate of 2.0% and matures on April 30, 2018. The entire unpaid principal and all accrued interest under the PMSI Note is payable at maturity. The Stock Purchase Agreement contains certain customary representations, warranties, indemnities and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In January 2017, we closed on the acquisition of substantially all the assets of Corporate Payroll, Inc., an Ohio corporation (“CPI”), relating to its payroll service bureau business, pursuant to an Asset Purchase Agreement (the “CPI Asset Purchase Agreement”). The aggregate consideration for the assets consisted of (i) $1,500 in cash, (ii) a subordinated promissory note (the “CPI Note”) in the principal amount of $500 and (iii) 112,166 shares of our common stock valued at $1,000, subject to adjustment as provided in the CPI Asset Purchase Agreement. We funded the cash payment with proceeds from our recent public stock offering. The CPI Note bears no interest and matures on April 30, 2018. The entire unpaid principal under the CPI Note is payable at maturity. The recipient of the shares of our common stock entered into a six month lock-up agreement with us. The CPI Asset Purchase Agreement contains certain customary representations, warranties, indemnities and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In January 2017, we closed on the acquisition of substantially all the assets of Payroll Specialties NW, Inc., an Oregon corporation (“PSNW”), pursuant to an Asset Purchase Agreement (the “PSNW Asset Purchase Agreement”). The aggregate consideration for the assets consisted of (i) $3,010 in cash and (ii) a subordinated promissory note (the “PSNW Note”) in the principal amount of $600, subject to adjustment as provided in the PSNW Asset Purchase Agreement. We funded the cash payment with proceeds from our recent public stock offering. The PSNW Note bears interest at an annual rate of 2.0% and matures on April 30, 2018. The entire unpaid principal and all accrued interest under the PSNW Note is payable at maturity. The PSNW Asset Purchase Agreement contains certain customary representations, warranties, indemnities and covenants.</w:t>
      </w:r>
    </w:p>
    <w:p>
      <w:pPr>
        <w:spacing w:after="0" w:line="16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Following is the purchase price allocation for these acquisitions. We based the preliminary fair value estimate for the assets acquired and liabilities assumed for these acquisitions upon preliminary calculations and valuations. Our estimates and assumptions for these acquisition are subject to change as we obtain additional information for our estimates during the respective measurement periods (up to one year from the acquisition date). The primary areas of those preliminary estimates that we have not yet finalized relate to certain tangible assets and liabilities acquired, certain legal matters and income and non-income based taxes.</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We recorded the transactions using the acquisition method of accounting and recognized assets and liabilities assumed at their fair value as of the dates of acquisitions. The $6,088 of intangible assets subject to amortization consist of $5,645 allocated to Customer Relationships, $331 for Trade Names and $112 for Noncompete. To value the Trade Name, we employed the relief from royalty method under the market approach. For the Noncompetes, we employed a form of the income approach which analyzes the Company’s profitability with these assets in place, in contrast to the Company’s profitability without them. For the Customers, we employed a form of the excess earnings method, which is a form of the income approach. The discount rate used in valuing these assets was 17.2%, which reflects the risk associated with the intangible assets related to the other assets and the overall business operations to us. We estimated the fair values of the Trade Names using the relief from royalty method based upon a 1.2% royalty rate.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or otherwise noted)</w:t>
      </w:r>
    </w:p>
    <w:p>
      <w:pPr>
        <w:spacing w:after="0" w:line="18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Company believes significant synergies are expected to arise from this strategic acquisition. This factor contributed to a purchase price that was in excess of the fair value of the net assets acquired and, as a result, the Company recorded goodwill. A portion of acquired goodwill will be deductible for tax purposes.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based the allocations on fair values at the date of acquisition: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ind w:left="1140"/>
              <w:spacing w:after="0"/>
              <w:rPr>
                <w:sz w:val="20"/>
                <w:szCs w:val="20"/>
                <w:color w:val="auto"/>
              </w:rPr>
            </w:pPr>
            <w:r>
              <w:rPr>
                <w:rFonts w:ascii="Arial" w:cs="Arial" w:eastAsia="Arial" w:hAnsi="Arial"/>
                <w:sz w:val="18"/>
                <w:szCs w:val="18"/>
                <w:b w:val="1"/>
                <w:bCs w:val="1"/>
                <w:color w:val="auto"/>
              </w:rPr>
              <w:t>Amount</w:t>
            </w: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Assets Acquired</w:t>
            </w:r>
          </w:p>
        </w:tc>
        <w:tc>
          <w:tcPr>
            <w:tcW w:w="300" w:type="dxa"/>
            <w:vAlign w:val="bottom"/>
          </w:tcPr>
          <w:p>
            <w:pPr>
              <w:spacing w:after="0"/>
              <w:rPr>
                <w:sz w:val="19"/>
                <w:szCs w:val="19"/>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CPI</w:t>
            </w:r>
          </w:p>
        </w:tc>
        <w:tc>
          <w:tcPr>
            <w:tcW w:w="1900" w:type="dxa"/>
            <w:vAlign w:val="bottom"/>
            <w:gridSpan w:val="3"/>
          </w:tcPr>
          <w:p>
            <w:pPr>
              <w:ind w:left="460"/>
              <w:spacing w:after="0"/>
              <w:rPr>
                <w:sz w:val="20"/>
                <w:szCs w:val="20"/>
                <w:color w:val="auto"/>
              </w:rPr>
            </w:pPr>
            <w:r>
              <w:rPr>
                <w:rFonts w:ascii="Arial" w:cs="Arial" w:eastAsia="Arial" w:hAnsi="Arial"/>
                <w:sz w:val="18"/>
                <w:szCs w:val="18"/>
                <w:b w:val="1"/>
                <w:bCs w:val="1"/>
                <w:color w:val="auto"/>
              </w:rPr>
              <w:t>PMSI</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PSNW</w:t>
            </w: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Funds held for clients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1,190</w:t>
            </w: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2,247</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1,579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Total assets acquired</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5,710</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5,518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9,940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21,168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Accrued other liabilities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Client fund obligations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2,754</w:t>
            </w:r>
          </w:p>
        </w:tc>
        <w:tc>
          <w:tcPr>
            <w:tcW w:w="24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6,294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assumed</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2016 Acquisition</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Through the stock and asset purchases described below, we have entered into the human resource management, payroll processing and benefits administration services businesses, which we intend to integrate into our existing AsureForce® product line.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 Agreement</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 March 2016, we acquired all of the issued and outstanding shares of common stock (the “Shares”) of Mangrove Employer Services, Inc. of Tampa, Florida (“Mangrove”). Pursuant to this stock purchase, we acquired the payroll division of Mangrove, which is engaged in the human resource management and payroll processing businesses. The aggregate consideration for the Shares consisted of (i) $11,348 in cash, a portion of which was used to pay certain obligations of Mangrove and (ii) a secured subordinated promissory note (the “Note”) in the principal amount of $6,000, subject to adjustment as provided in the Stock Purchase Agreement. We funded the cash payment with proceeds from our credit agreement with Wells Fargo. The Note bears interest at an annual rate of 3.50% and matures in March 2018, with the first installment of principal due in March 2017 and the second installment of principal due in March 2018. The Stock Purchase Agreement contains certain customary representations, warranties, indemnities and covenants. Details regarding the financing of the acquisition are described in the below Notes Payable table. Transaction costs for this acquisition were $706 and we expensed them as incurred. The acquisition costs are included in other income (loss) in the Condensed Consolidated Income Statement for three months ended March 31, 2016.</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March 2016, we also acquired substantially all the assets of Mangrove COBRAsource Inc., a benefits administration services business which then was a wholly owned subsidiary of Mangrove. The aggregate consideration for the assets was $1,036, which Mangrove COBRAsource applied to pay off certain loan balances. The Asset Purchase Agreement contains certain customary representations, warranties, indemnities and covenants.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purchase price allocation for the acquisition of Mangrove.</w:t>
      </w:r>
    </w:p>
    <w:p>
      <w:pPr>
        <w:spacing w:after="0" w:line="198" w:lineRule="exact"/>
        <w:rPr>
          <w:sz w:val="20"/>
          <w:szCs w:val="20"/>
          <w:color w:val="auto"/>
        </w:rPr>
      </w:pPr>
    </w:p>
    <w:p>
      <w:pPr>
        <w:jc w:val="both"/>
        <w:ind w:firstLine="705"/>
        <w:spacing w:after="0" w:line="257" w:lineRule="auto"/>
        <w:rPr>
          <w:sz w:val="20"/>
          <w:szCs w:val="20"/>
          <w:color w:val="auto"/>
        </w:rPr>
      </w:pPr>
      <w:r>
        <w:rPr>
          <w:rFonts w:ascii="Arial" w:cs="Arial" w:eastAsia="Arial" w:hAnsi="Arial"/>
          <w:sz w:val="17"/>
          <w:szCs w:val="17"/>
          <w:color w:val="auto"/>
        </w:rPr>
        <w:t>We recorded the transaction using the acquisition method of accounting and recognized assets and liabilities assumed at their fair value as of the date of acquisition. The $8,700 of intangible assets subject to amortization consist of $1,200 allocated to Customer Relationships, $6,900 in Developed Technology and $600 for Trade Names. We estimated the fair value of the Customer Relationships and Developed Technology using the excess earnings method, a form of the income approach. We discounted cash flow projections using a rate of 18.1%, which reflects the risk associated with the intangible asset related to the other assets and the overall business operations to us. We estimated the fair value of the Trade Names using the relief from royalty method based upon a 1.2% royalty rate for the payroll division and 0.5% for the benefits administration services business.</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Company believes significant synergies are expected to arise from this strategic acquisition. This factor contributed to a purchase price that was in excess of the fair value of the net assets acquired and, as a result, the Company recorded goodwill. A portion of acquired goodwill will be deductible for tax purposes.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We based the allocations on fair values at the date of acquisition:</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2"/>
        </w:trPr>
        <w:tc>
          <w:tcPr>
            <w:tcW w:w="7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7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Assets acquired</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Funds held for clients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16,419</w:t>
            </w: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120" w:type="dxa"/>
            <w:vAlign w:val="bottom"/>
            <w:shd w:val="clear" w:color="auto" w:fill="CCEEFF"/>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Intangibles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19"/>
                <w:szCs w:val="19"/>
                <w:color w:val="auto"/>
              </w:rPr>
            </w:pPr>
          </w:p>
        </w:tc>
      </w:tr>
      <w:tr>
        <w:trPr>
          <w:trHeight w:val="257"/>
        </w:trPr>
        <w:tc>
          <w:tcPr>
            <w:tcW w:w="780" w:type="dxa"/>
            <w:vAlign w:val="bottom"/>
          </w:tcPr>
          <w:p>
            <w:pPr>
              <w:spacing w:after="0"/>
              <w:rPr>
                <w:sz w:val="22"/>
                <w:szCs w:val="22"/>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34,944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10"/>
        </w:trPr>
        <w:tc>
          <w:tcPr>
            <w:tcW w:w="7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assumed</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Client fund obligations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16,419</w:t>
            </w:r>
          </w:p>
        </w:tc>
        <w:tc>
          <w:tcPr>
            <w:tcW w:w="12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assumed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16,944</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7060" w:type="dxa"/>
            <w:vAlign w:val="bottom"/>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18,000</w:t>
            </w:r>
          </w:p>
        </w:tc>
        <w:tc>
          <w:tcPr>
            <w:tcW w:w="120" w:type="dxa"/>
            <w:vAlign w:val="bottom"/>
          </w:tcPr>
          <w:p>
            <w:pPr>
              <w:spacing w:after="0"/>
              <w:rPr>
                <w:sz w:val="18"/>
                <w:szCs w:val="18"/>
                <w:color w:val="auto"/>
              </w:rPr>
            </w:pPr>
          </w:p>
        </w:tc>
      </w:tr>
      <w:tr>
        <w:trPr>
          <w:trHeight w:val="21"/>
        </w:trPr>
        <w:tc>
          <w:tcPr>
            <w:tcW w:w="7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unaudited summary of pro forma combined results of operation for the three months ended March 31, 2016 gives effect to the acquisitions of Mangrove and PMSI and the acquisition of assets of COBRAsource, PSNW and CPI as if we had completed them on January 1, 2016. This pro forma summary does not reflect any operating efficiencies, cost savings or revenue enhancements that we may achieve by combining operations. In addition, we have not reflected certain non-recurring expenses, such as legal expenses and other transactions expenses for the first 12 months after the acquisition, in the pro forma summary. We present this pro forma summary for informational purposes only and it is not necessarily indicative of what our actual results of operations would have been had the acquisitions taken place as January 1, 2016, nor is it indicative of future consolidated results of operations.</w:t>
      </w:r>
    </w:p>
    <w:p>
      <w:pPr>
        <w:spacing w:after="0" w:line="169"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4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FOR THE</w:t>
            </w: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FOR THE</w:t>
            </w:r>
          </w:p>
        </w:tc>
      </w:tr>
      <w:tr>
        <w:trPr>
          <w:trHeight w:val="203"/>
        </w:trPr>
        <w:tc>
          <w:tcPr>
            <w:tcW w:w="4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rPr>
              <w:t>THREE</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THREE</w:t>
            </w:r>
          </w:p>
        </w:tc>
      </w:tr>
      <w:tr>
        <w:trPr>
          <w:trHeight w:val="203"/>
        </w:trPr>
        <w:tc>
          <w:tcPr>
            <w:tcW w:w="4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rPr>
              <w:t>MONTHS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MONTHS</w:t>
            </w:r>
          </w:p>
        </w:tc>
      </w:tr>
      <w:tr>
        <w:trPr>
          <w:trHeight w:val="203"/>
        </w:trPr>
        <w:tc>
          <w:tcPr>
            <w:tcW w:w="4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ENDED</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ENDED</w:t>
            </w:r>
          </w:p>
        </w:tc>
      </w:tr>
      <w:tr>
        <w:trPr>
          <w:trHeight w:val="216"/>
        </w:trPr>
        <w:tc>
          <w:tcPr>
            <w:tcW w:w="4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MARCH 31,</w:t>
            </w:r>
          </w:p>
        </w:tc>
      </w:tr>
      <w:tr>
        <w:trPr>
          <w:trHeight w:val="241"/>
        </w:trPr>
        <w:tc>
          <w:tcPr>
            <w:tcW w:w="4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10,997</w:t>
            </w:r>
          </w:p>
        </w:tc>
        <w:tc>
          <w:tcPr>
            <w:tcW w:w="12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(827)</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Basic and diluted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r>
      <w:tr>
        <w:trPr>
          <w:trHeight w:val="216"/>
        </w:trPr>
        <w:tc>
          <w:tcPr>
            <w:tcW w:w="4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8,628</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6,290</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 xml:space="preserve">Asure accounted for its historical acquisitions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We recorded the amount exceeding the fair value of net assets acquired at the date of acquisition as goodwill. We recorded intangible assets apart from goodwill if the assets had contractual or other legal rights or if the assets could be separated and sold, transferred, licensed, rented or exchanged. Asure’s goodwill relates to the following acquisitions: ADI and Legiant in 2011, PeopleCube in 2012, FotoPunch and Roomtag in 2014, Mangrove in 2016, and PMSI, CPI and PSNW in January 2017.</w:t>
      </w:r>
    </w:p>
    <w:p>
      <w:pPr>
        <w:spacing w:after="0" w:line="143" w:lineRule="exact"/>
        <w:rPr>
          <w:sz w:val="20"/>
          <w:szCs w:val="20"/>
          <w:color w:val="auto"/>
        </w:rPr>
      </w:pPr>
    </w:p>
    <w:p>
      <w:pPr>
        <w:jc w:val="both"/>
        <w:ind w:firstLine="646"/>
        <w:spacing w:after="0" w:line="274" w:lineRule="auto"/>
        <w:rPr>
          <w:sz w:val="20"/>
          <w:szCs w:val="20"/>
          <w:color w:val="auto"/>
        </w:rPr>
      </w:pPr>
      <w:r>
        <w:rPr>
          <w:rFonts w:ascii="Arial" w:cs="Arial" w:eastAsia="Arial" w:hAnsi="Arial"/>
          <w:sz w:val="16"/>
          <w:szCs w:val="16"/>
          <w:color w:val="auto"/>
        </w:rPr>
        <w:t xml:space="preserve">In accordance with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we review and evaluate our long-lived assets, including intangible assets with finite lives, for impairment whenever events or changes in circumstances indicate that we may not recover their net book value. We test goodwill for impairment on an annual basis in the fourth fiscal quarter of each year, and between annual tests, if indicators of potential impairment exist, using a fair-value-based approach. There has been no impairment of goodwill for the periods presented. We amortize intangible assets not considered to have an indefinite useful life using the straight-line method over their estimated period of benefit, which generally ranges from one to nine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The following table summarizes the changes in our goodwill:</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89"/>
        </w:trPr>
        <w:tc>
          <w:tcPr>
            <w:tcW w:w="78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3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26,259</w:t>
            </w: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220" w:type="dxa"/>
            <w:vAlign w:val="bottom"/>
          </w:tcPr>
          <w:p>
            <w:pPr>
              <w:ind w:left="640"/>
              <w:spacing w:after="0"/>
              <w:rPr>
                <w:sz w:val="20"/>
                <w:szCs w:val="20"/>
                <w:color w:val="auto"/>
              </w:rPr>
            </w:pPr>
            <w:r>
              <w:rPr>
                <w:rFonts w:ascii="Arial" w:cs="Arial" w:eastAsia="Arial" w:hAnsi="Arial"/>
                <w:sz w:val="18"/>
                <w:szCs w:val="18"/>
                <w:color w:val="auto"/>
              </w:rPr>
              <w:t>Goodwill recognized upon acquisitions of PMSI, CPI and PSNW</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5,016</w:t>
            </w: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Adjustment to Goodwill associated with acquisition of Mangrove</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6220" w:type="dxa"/>
            <w:vAlign w:val="bottom"/>
          </w:tcPr>
          <w:p>
            <w:pPr>
              <w:ind w:left="640"/>
              <w:spacing w:after="0"/>
              <w:rPr>
                <w:sz w:val="20"/>
                <w:szCs w:val="20"/>
                <w:color w:val="auto"/>
              </w:rPr>
            </w:pPr>
            <w:r>
              <w:rPr>
                <w:rFonts w:ascii="Arial" w:cs="Arial" w:eastAsia="Arial" w:hAnsi="Arial"/>
                <w:sz w:val="18"/>
                <w:szCs w:val="18"/>
                <w:color w:val="auto"/>
              </w:rPr>
              <w:t>Foreign exchange adjustment to goodwill</w:t>
            </w:r>
          </w:p>
        </w:tc>
        <w:tc>
          <w:tcPr>
            <w:tcW w:w="8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57"/>
        </w:trPr>
        <w:tc>
          <w:tcPr>
            <w:tcW w:w="780" w:type="dxa"/>
            <w:vAlign w:val="bottom"/>
          </w:tcPr>
          <w:p>
            <w:pPr>
              <w:spacing w:after="0"/>
              <w:rPr>
                <w:sz w:val="22"/>
                <w:szCs w:val="22"/>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8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31,455</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gross carrying amount and accumulated amortization of our intangible assets as of March 31, 2017 and December 31, 2016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w w:val="95"/>
              </w:rPr>
              <w:t>March 31, 2017</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0"/>
              </w:rPr>
              <w:t>Average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4"/>
              </w:rPr>
              <w:t>Amortization</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w w:val="91"/>
              </w:rPr>
              <w:t>Accumulated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Intangible Assets</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 (in Years)</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Gross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19,656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(10,807)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Trade Names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Noncompete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33,161</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(15,977)</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17,184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w w:val="93"/>
              </w:rPr>
              <w:t>December 31, 2016</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0"/>
              </w:rPr>
              <w:t>Average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4"/>
              </w:rPr>
              <w:t>Amortization</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w w:val="91"/>
              </w:rPr>
              <w:t>Accumulated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Intangible Assets</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 (in Years)</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Gross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(10,270)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Trade Names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(707)</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27,073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(15,025)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500" w:type="dxa"/>
            <w:vAlign w:val="bottom"/>
            <w:gridSpan w:val="2"/>
          </w:tcPr>
          <w:p>
            <w:pPr>
              <w:jc w:val="right"/>
              <w:ind w:right="670"/>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record amortization expense using the straight-line method over the estimated useful lives of the intangible assets, as noted above. Amortization expenses for the three months ended March 31, 2017 and 2016 were $847 and $377, respectively, included in Operating Expenses. Amortization expenses recorded in Cost of Sales were $106 and $107 for the three months ended March 31, 2017 and 2016, respectively.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future estimated amortization expense relating to our intangible assets as of March 31, 2017:</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21"/>
        </w:trPr>
        <w:tc>
          <w:tcPr>
            <w:tcW w:w="4460" w:type="dxa"/>
            <w:vAlign w:val="bottom"/>
          </w:tcPr>
          <w:p>
            <w:pPr>
              <w:spacing w:after="0"/>
              <w:rPr>
                <w:sz w:val="20"/>
                <w:szCs w:val="20"/>
                <w:color w:val="auto"/>
              </w:rPr>
            </w:pPr>
            <w:r>
              <w:rPr>
                <w:rFonts w:ascii="Arial" w:cs="Arial" w:eastAsia="Arial" w:hAnsi="Arial"/>
                <w:sz w:val="18"/>
                <w:szCs w:val="18"/>
                <w:b w:val="1"/>
                <w:bCs w:val="1"/>
                <w:color w:val="auto"/>
              </w:rPr>
              <w:t>Calendar Years</w:t>
            </w:r>
          </w:p>
        </w:tc>
        <w:tc>
          <w:tcPr>
            <w:tcW w:w="2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2017 (April to December)</w:t>
            </w:r>
          </w:p>
        </w:tc>
        <w:tc>
          <w:tcPr>
            <w:tcW w:w="30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2018</w:t>
            </w:r>
          </w:p>
        </w:tc>
        <w:tc>
          <w:tcPr>
            <w:tcW w:w="2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3,443</w:t>
            </w:r>
          </w:p>
        </w:tc>
        <w:tc>
          <w:tcPr>
            <w:tcW w:w="1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2020</w:t>
            </w:r>
          </w:p>
        </w:tc>
        <w:tc>
          <w:tcPr>
            <w:tcW w:w="2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20" w:type="dxa"/>
            <w:vAlign w:val="bottom"/>
            <w:shd w:val="clear" w:color="auto" w:fill="CCEEFF"/>
          </w:tcPr>
          <w:p>
            <w:pPr>
              <w:spacing w:after="0"/>
              <w:rPr>
                <w:sz w:val="18"/>
                <w:szCs w:val="18"/>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Thereafter</w:t>
            </w:r>
          </w:p>
        </w:tc>
        <w:tc>
          <w:tcPr>
            <w:tcW w:w="26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120" w:type="dxa"/>
            <w:vAlign w:val="bottom"/>
          </w:tcPr>
          <w:p>
            <w:pPr>
              <w:spacing w:after="0"/>
              <w:rPr>
                <w:sz w:val="19"/>
                <w:szCs w:val="19"/>
                <w:color w:val="auto"/>
              </w:rPr>
            </w:pPr>
          </w:p>
        </w:tc>
      </w:tr>
      <w:tr>
        <w:trPr>
          <w:trHeight w:val="257"/>
        </w:trPr>
        <w:tc>
          <w:tcPr>
            <w:tcW w:w="446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17,184</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Arial" w:cs="Arial" w:eastAsia="Arial" w:hAnsi="Arial"/>
                <w:sz w:val="18"/>
                <w:szCs w:val="18"/>
                <w:b w:val="1"/>
                <w:bCs w:val="1"/>
                <w:color w:val="auto"/>
              </w:rPr>
              <w:t>NOTE 6 – NOTES PAYABLE</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6640" w:type="dxa"/>
            <w:vAlign w:val="bottom"/>
            <w:gridSpan w:val="3"/>
          </w:tcPr>
          <w:p>
            <w:pPr>
              <w:ind w:left="660"/>
              <w:spacing w:after="0"/>
              <w:rPr>
                <w:sz w:val="20"/>
                <w:szCs w:val="20"/>
                <w:color w:val="auto"/>
              </w:rPr>
            </w:pPr>
            <w:r>
              <w:rPr>
                <w:rFonts w:ascii="Arial" w:cs="Arial" w:eastAsia="Arial" w:hAnsi="Arial"/>
                <w:sz w:val="18"/>
                <w:szCs w:val="18"/>
                <w:color w:val="auto"/>
                <w:w w:val="95"/>
              </w:rPr>
              <w:t>The following table summarizes our outstanding debt as of the dates indicated:</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Balance as of</w:t>
            </w:r>
          </w:p>
        </w:tc>
      </w:t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89"/>
              </w:rPr>
              <w:t>Stated Interest</w:t>
            </w:r>
          </w:p>
        </w:tc>
        <w:tc>
          <w:tcPr>
            <w:tcW w:w="120" w:type="dxa"/>
            <w:vAlign w:val="bottom"/>
          </w:tcPr>
          <w:p>
            <w:pPr>
              <w:spacing w:after="0"/>
              <w:rPr>
                <w:sz w:val="17"/>
                <w:szCs w:val="17"/>
                <w:color w:val="auto"/>
              </w:rPr>
            </w:pPr>
          </w:p>
        </w:tc>
        <w:tc>
          <w:tcPr>
            <w:tcW w:w="14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w w:val="89"/>
              </w:rPr>
              <w:t>Balance as of</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88"/>
              </w:rPr>
              <w:t>December 31,</w:t>
            </w:r>
          </w:p>
        </w:tc>
      </w:tr>
      <w:tr>
        <w:trPr>
          <w:trHeight w:val="228"/>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tcPr>
          <w:p>
            <w:pPr>
              <w:spacing w:after="0"/>
              <w:rPr>
                <w:sz w:val="19"/>
                <w:szCs w:val="19"/>
                <w:color w:val="auto"/>
              </w:rPr>
            </w:pPr>
          </w:p>
        </w:tc>
        <w:tc>
          <w:tcPr>
            <w:tcW w:w="14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Maturity</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80" w:type="dxa"/>
            <w:vAlign w:val="bottom"/>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March 31, 2017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Payable- Mangrove acquisition</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3/18/2018</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Subordinated Notes Payable- PMSI acquisition</w:t>
            </w:r>
          </w:p>
        </w:tc>
        <w:tc>
          <w:tcPr>
            <w:tcW w:w="1600" w:type="dxa"/>
            <w:vAlign w:val="bottom"/>
            <w:gridSpan w:val="2"/>
          </w:tcPr>
          <w:p>
            <w:pPr>
              <w:ind w:left="500"/>
              <w:spacing w:after="0"/>
              <w:rPr>
                <w:sz w:val="20"/>
                <w:szCs w:val="20"/>
                <w:color w:val="auto"/>
              </w:rPr>
            </w:pPr>
            <w:r>
              <w:rPr>
                <w:rFonts w:ascii="Arial" w:cs="Arial" w:eastAsia="Arial" w:hAnsi="Arial"/>
                <w:sz w:val="18"/>
                <w:szCs w:val="18"/>
                <w:color w:val="auto"/>
              </w:rPr>
              <w:t>4/30/2018</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Payable- CPI acquisition</w:t>
            </w:r>
          </w:p>
        </w:tc>
        <w:tc>
          <w:tcPr>
            <w:tcW w:w="1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4/30/2018</w:t>
            </w: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Subordinated Notes Payable- PSNW acquisition</w:t>
            </w:r>
          </w:p>
        </w:tc>
        <w:tc>
          <w:tcPr>
            <w:tcW w:w="1600" w:type="dxa"/>
            <w:vAlign w:val="bottom"/>
            <w:gridSpan w:val="2"/>
          </w:tcPr>
          <w:p>
            <w:pPr>
              <w:ind w:left="500"/>
              <w:spacing w:after="0"/>
              <w:rPr>
                <w:sz w:val="20"/>
                <w:szCs w:val="20"/>
                <w:color w:val="auto"/>
              </w:rPr>
            </w:pPr>
            <w:r>
              <w:rPr>
                <w:rFonts w:ascii="Arial" w:cs="Arial" w:eastAsia="Arial" w:hAnsi="Arial"/>
                <w:sz w:val="18"/>
                <w:szCs w:val="18"/>
                <w:color w:val="auto"/>
              </w:rPr>
              <w:t>3/31/2018</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Term Loan - Wells Fargo</w:t>
            </w:r>
          </w:p>
        </w:tc>
        <w:tc>
          <w:tcPr>
            <w:tcW w:w="1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3/31/2019</w:t>
            </w: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29,715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24,715</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b w:val="1"/>
                <w:bCs w:val="1"/>
                <w:color w:val="auto"/>
              </w:rPr>
              <w:t>Total Notes Payable</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31,915</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30,715</w:t>
            </w:r>
          </w:p>
        </w:tc>
      </w:tr>
      <w:tr>
        <w:trPr>
          <w:trHeight w:val="216"/>
        </w:trPr>
        <w:tc>
          <w:tcPr>
            <w:tcW w:w="5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Short-term notes payable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5,455</w:t>
            </w:r>
          </w:p>
        </w:tc>
      </w:tr>
      <w:tr>
        <w:trPr>
          <w:trHeight w:val="230"/>
        </w:trPr>
        <w:tc>
          <w:tcPr>
            <w:tcW w:w="5040" w:type="dxa"/>
            <w:vAlign w:val="bottom"/>
          </w:tcPr>
          <w:p>
            <w:pPr>
              <w:ind w:left="660"/>
              <w:spacing w:after="0"/>
              <w:rPr>
                <w:sz w:val="20"/>
                <w:szCs w:val="20"/>
                <w:color w:val="auto"/>
              </w:rPr>
            </w:pPr>
            <w:r>
              <w:rPr>
                <w:rFonts w:ascii="Arial" w:cs="Arial" w:eastAsia="Arial" w:hAnsi="Arial"/>
                <w:sz w:val="18"/>
                <w:szCs w:val="18"/>
                <w:color w:val="auto"/>
              </w:rPr>
              <w:t>Long-term notes payable</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28,944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25,260</w:t>
            </w: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debt issuance costs as of the dates indicated:</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Gross Notes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Debt Issuance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Net Notes</w:t>
            </w:r>
          </w:p>
        </w:tc>
      </w:tr>
      <w:tr>
        <w:trPr>
          <w:trHeight w:val="203"/>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89"/>
              </w:rPr>
              <w:t>Payable at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89"/>
              </w:rPr>
              <w:t>Costs and Debt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2"/>
              </w:rPr>
              <w:t>Payable at</w:t>
            </w:r>
          </w:p>
        </w:tc>
      </w:tr>
      <w:tr>
        <w:trPr>
          <w:trHeight w:val="228"/>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Notes Payable</w:t>
            </w:r>
          </w:p>
        </w:tc>
        <w:tc>
          <w:tcPr>
            <w:tcW w:w="100" w:type="dxa"/>
            <w:vAlign w:val="bottom"/>
          </w:tcPr>
          <w:p>
            <w:pPr>
              <w:spacing w:after="0"/>
              <w:rPr>
                <w:sz w:val="19"/>
                <w:szCs w:val="19"/>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March 31, 2017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Discount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March 31, 2017</w:t>
            </w:r>
          </w:p>
        </w:tc>
        <w:tc>
          <w:tcPr>
            <w:tcW w:w="120" w:type="dxa"/>
            <w:vAlign w:val="bottom"/>
          </w:tcPr>
          <w:p>
            <w:pPr>
              <w:spacing w:after="0"/>
              <w:rPr>
                <w:sz w:val="19"/>
                <w:szCs w:val="19"/>
                <w:color w:val="auto"/>
              </w:rPr>
            </w:pPr>
          </w:p>
        </w:tc>
      </w:tr>
      <w:tr>
        <w:trPr>
          <w:trHeight w:val="243"/>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current portion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2,971</w:t>
            </w: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Notes payable, net of current portion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ind w:left="800"/>
              <w:spacing w:after="0"/>
              <w:rPr>
                <w:sz w:val="20"/>
                <w:szCs w:val="20"/>
                <w:color w:val="auto"/>
              </w:rPr>
            </w:pPr>
            <w:r>
              <w:rPr>
                <w:rFonts w:ascii="Arial" w:cs="Arial" w:eastAsia="Arial" w:hAnsi="Arial"/>
                <w:sz w:val="18"/>
                <w:szCs w:val="18"/>
                <w:color w:val="auto"/>
              </w:rPr>
              <w:t>28,165</w:t>
            </w:r>
          </w:p>
        </w:tc>
      </w:tr>
      <w:tr>
        <w:trPr>
          <w:trHeight w:val="21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Notes Payable</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31,915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b w:val="1"/>
                <w:bCs w:val="1"/>
                <w:color w:val="auto"/>
                <w:w w:val="83"/>
              </w:rPr>
              <w:t>31,136</w:t>
            </w:r>
          </w:p>
        </w:tc>
        <w:tc>
          <w:tcPr>
            <w:tcW w:w="120" w:type="dxa"/>
            <w:vAlign w:val="bottom"/>
            <w:shd w:val="clear" w:color="auto" w:fill="CCEEFF"/>
          </w:tcPr>
          <w:p>
            <w:pPr>
              <w:spacing w:after="0"/>
              <w:rPr>
                <w:sz w:val="18"/>
                <w:szCs w:val="18"/>
                <w:color w:val="auto"/>
              </w:rPr>
            </w:pPr>
          </w:p>
        </w:tc>
      </w:tr>
      <w:tr>
        <w:trPr>
          <w:trHeight w:val="387"/>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Gross Notes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Net Notes</w:t>
            </w:r>
          </w:p>
        </w:tc>
      </w:tr>
      <w:tr>
        <w:trPr>
          <w:trHeight w:val="203"/>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89"/>
              </w:rPr>
              <w:t>Payable at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86"/>
              </w:rPr>
              <w:t>Debt Issuance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2"/>
              </w:rPr>
              <w:t>Payable at</w:t>
            </w:r>
          </w:p>
        </w:tc>
      </w:tr>
      <w:tr>
        <w:trPr>
          <w:trHeight w:val="203"/>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89"/>
              </w:rPr>
              <w:t>Costs and Debt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0"/>
              </w:rPr>
              <w:t>December 31,</w:t>
            </w:r>
          </w:p>
        </w:tc>
      </w:tr>
      <w:tr>
        <w:trPr>
          <w:trHeight w:val="228"/>
        </w:trPr>
        <w:tc>
          <w:tcPr>
            <w:tcW w:w="3760" w:type="dxa"/>
            <w:vAlign w:val="bottom"/>
          </w:tcPr>
          <w:p>
            <w:pPr>
              <w:spacing w:after="0"/>
              <w:rPr>
                <w:sz w:val="20"/>
                <w:szCs w:val="20"/>
                <w:color w:val="auto"/>
              </w:rPr>
            </w:pPr>
            <w:r>
              <w:rPr>
                <w:rFonts w:ascii="Arial" w:cs="Arial" w:eastAsia="Arial" w:hAnsi="Arial"/>
                <w:sz w:val="18"/>
                <w:szCs w:val="18"/>
                <w:b w:val="1"/>
                <w:bCs w:val="1"/>
                <w:color w:val="auto"/>
              </w:rPr>
              <w:t>Notes Payable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Discount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19"/>
                <w:szCs w:val="19"/>
                <w:color w:val="auto"/>
              </w:rPr>
            </w:pPr>
          </w:p>
        </w:tc>
      </w:tr>
      <w:tr>
        <w:trPr>
          <w:trHeight w:val="216"/>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Notes payable, current portion</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4"/>
              </w:rPr>
              <w:t>5,455</w:t>
            </w:r>
          </w:p>
        </w:tc>
        <w:tc>
          <w:tcPr>
            <w:tcW w:w="120" w:type="dxa"/>
            <w:vAlign w:val="bottom"/>
            <w:shd w:val="clear" w:color="auto" w:fill="CCEEFF"/>
          </w:tcPr>
          <w:p>
            <w:pPr>
              <w:spacing w:after="0"/>
              <w:rPr>
                <w:sz w:val="18"/>
                <w:szCs w:val="18"/>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Notes payable, net of current portion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ind w:left="800"/>
              <w:spacing w:after="0"/>
              <w:rPr>
                <w:sz w:val="20"/>
                <w:szCs w:val="20"/>
                <w:color w:val="auto"/>
              </w:rPr>
            </w:pPr>
            <w:r>
              <w:rPr>
                <w:rFonts w:ascii="Arial" w:cs="Arial" w:eastAsia="Arial" w:hAnsi="Arial"/>
                <w:sz w:val="18"/>
                <w:szCs w:val="18"/>
                <w:color w:val="auto"/>
              </w:rPr>
              <w:t>24,581</w:t>
            </w:r>
          </w:p>
        </w:tc>
      </w:tr>
      <w:tr>
        <w:trPr>
          <w:trHeight w:val="21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Notes Payable</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30,715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b w:val="1"/>
                <w:bCs w:val="1"/>
                <w:color w:val="auto"/>
                <w:w w:val="83"/>
              </w:rPr>
              <w:t>30,036</w:t>
            </w: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future principal payments related to our outstanding debt:</w:t>
      </w:r>
    </w:p>
    <w:p>
      <w:pPr>
        <w:spacing w:after="0" w:line="208" w:lineRule="exact"/>
        <w:rPr>
          <w:sz w:val="20"/>
          <w:szCs w:val="20"/>
          <w:color w:val="auto"/>
        </w:rPr>
      </w:pPr>
    </w:p>
    <w:tbl>
      <w:tblPr>
        <w:tblLayout w:type="fixed"/>
        <w:tblInd w:w="2860" w:type="dxa"/>
        <w:tblCellMar>
          <w:top w:w="0" w:type="dxa"/>
          <w:left w:w="0" w:type="dxa"/>
          <w:bottom w:w="0" w:type="dxa"/>
          <w:right w:w="0" w:type="dxa"/>
        </w:tblCellMar>
      </w:tblPr>
      <w:tr>
        <w:trPr>
          <w:trHeight w:val="228"/>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Gross Amount</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5,171</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24,515</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Gross Notes Payable</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31,915</w:t>
            </w:r>
          </w:p>
        </w:tc>
        <w:tc>
          <w:tcPr>
            <w:tcW w:w="14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PMSI Acquisition</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In January 2017, we closed on the acquisition of all of the outstanding shares of common stock (the “Shares”) of Personnel Management Systems, Inc., a Washington corporation (“PMSI”), pursuant to a Stock Purchase Agreement (the “Stock Purchase Agreement”), among us, PMSI, the sellers identified therein, and the stockholders’ representative named therein. The aggregate consideration for the Shares consisted of (i) $3,875 in cash and (ii) a subordinated promissory note (the “PMSI Note”) in the principal amount of $1,125 subject to adjustment as provided in the Stock Purchase Agreement. We funded the cash payment with proceeds from our recent public stock offering. The PMSI Note bears interest at an annual rate of 2.0% and matures on April 30, 2018. The entire unpaid principal and all accrued interest under the PMSI Note is payable at maturity.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CPI Acquisition</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In January 2017, we closed on the acquisition of substantially all the assets of Corporate Payroll, Inc., an Ohio corporation (“CPI”), relating to its payroll service bureau business, pursuant to an Asset Purchase Agreement (the “CPI Asset Purchase Agreement”). The aggregate consideration for the assets consisted of (i) $1,500 in cash, (ii) a subordinated promissory note (the “CPI Note”) in the principal amount of $500 and (iii) 112,166 shares of our common stock valued at $1,000, subject to adjustment as provided in the CPI Asset Purchase Agreement. We funded the cash payment with proceeds from our recent public stock offering. The CPI Note bears no interest and matures on April 30, 2018. The entire unpaid principal under the CPI Note is payable at maturity.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 PSNW Acquisition</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In January 2017, we closed on the acquisition of substantially all the assets of Payroll Specialties NW, Inc., an Oregon corporation (“PSNW”), pursuant to an Asset Purchase Agreement (the “PSNW Asset Purchase Agreement”). The aggregate consideration for the assets consisted of (i) $3,010 in cash and (ii) a subordinated promissory note (the “PSNW Note”) in the principal amount of $600, subject to adjustment as provided in the PSNW Asset Purchase Agreement. We funded the cash payment with proceeds from our recent public stock offering. The PSNW Note bears interest at an annual rate of 2.0% and matures on April 30, 2018. The entire unpaid principal and all accrued interest under the PSNW Note is payable at maturity.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Mangrove Acquisition</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In March 2016, we acquired all of the issued and outstanding shares of common stock (the “Shares”) of Mangrove. Pursuant to this stock purchase, we acquired the payroll division of Mangrove, which is engaged in the human resource management and payroll processing businesses. The aggregate consideration for the Shares consisted of (i) $11,348 in cash, a portion of which was used to pay certain obligations of Mangrove and (ii) a secured subordinated promissory note (the “Note”) in the principal amount of $6,000, subject to adjustment as provided in the Stock Purchase Agreement. We funded the cash payment with proceeds from the Credit Agreement with Wells Fargo. This note was paid in full in the first quarter of 2017.</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 Wells Fargo</w:t>
      </w:r>
    </w:p>
    <w:p>
      <w:pPr>
        <w:spacing w:after="0" w:line="198" w:lineRule="exact"/>
        <w:rPr>
          <w:sz w:val="20"/>
          <w:szCs w:val="20"/>
          <w:color w:val="auto"/>
        </w:rPr>
      </w:pPr>
    </w:p>
    <w:p>
      <w:pPr>
        <w:jc w:val="both"/>
        <w:ind w:firstLine="698"/>
        <w:spacing w:after="0" w:line="239" w:lineRule="auto"/>
        <w:rPr>
          <w:sz w:val="20"/>
          <w:szCs w:val="20"/>
          <w:color w:val="auto"/>
        </w:rPr>
      </w:pPr>
      <w:r>
        <w:rPr>
          <w:rFonts w:ascii="Arial" w:cs="Arial" w:eastAsia="Arial" w:hAnsi="Arial"/>
          <w:sz w:val="18"/>
          <w:szCs w:val="18"/>
          <w:color w:val="auto"/>
        </w:rPr>
        <w:t>In March 2014, we entered into a credit agreement (the “Credit Agreement”) with Wells Fargo Bank, N.A., as administrative agent, and the lenders that are party thereto. 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 In March 2014 and in connection with the Credit Agreement, we and our wholly-owned active subsidiaries entered into a Guaranty and Security Agreement with Wells Fargo Bank. Under the Guaranty and Security Agreement, we and each of our wholly-owned active subsidiaries have guaranteed all obligations under the Credit Agreement and granted a security interest in substantially all of our and our subsidiaries’ assets.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18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Credit Agreement provided for a term loan in the amount of $15,000 maturing in March 2019. We used the proceeds of the term loan to finance the repayment of all amounts outstanding under our loan agreement with Deerpath and the payment of certain fees, cost and expenses related to the Credit Agreement.</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Credit Agreement also provided for a revolving loan commitment in the aggregate amount of up to $3,000. The outstanding principal amount of the revolving loan is due and payable in March 2019. As of March 31, 2017 and December 31, 2016, $0 was outstanding and $3,000 was available for borrowing under the revolver.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the Credit Agreement provided for a $10,000 uncommitted incremental term loan facility to support permitted acquisitions.</w:t>
      </w:r>
    </w:p>
    <w:p>
      <w:pPr>
        <w:spacing w:after="0" w:line="1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In March 2017, we amended our Credit Agreement with Wells Fargo Bank, N.A to, among other things, obtain an additional term loan in the amount of $5,000. Upon disbursement of the additional term loan, the aggregate principal amount outstanding under our terms loans will be approximately $29,714. The aggregate outstanding principal amount of the term loans is payable as follows: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$743 on June 30, 2017 and the last day of each fiscal quarter thereafter.</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the first quarter of 2017, we used the proceeds of the additional term loan to repay a portion of all amounts outstanding under the secured subordinated note we issued in connection with the Mangrove acquisition. In the March 2017 amendment, in accordance with the terms of the Credit Agreement, Wells Fargo consented to such early repayment of the Mangrove note, subject to the condition, among others, that the repayment of the Mangrove note will not exceed $5,879.</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March 2017 amendment also amends our fixed charge coverage ratio and leverage ratio. We have now agreed to:</w:t>
      </w:r>
    </w:p>
    <w:p>
      <w:pPr>
        <w:spacing w:after="0" w:line="198" w:lineRule="exact"/>
        <w:rPr>
          <w:sz w:val="20"/>
          <w:szCs w:val="20"/>
          <w:color w:val="auto"/>
        </w:rPr>
      </w:pPr>
    </w:p>
    <w:p>
      <w:pPr>
        <w:jc w:val="both"/>
        <w:ind w:firstLine="656"/>
        <w:spacing w:after="0" w:line="248" w:lineRule="auto"/>
        <w:tabs>
          <w:tab w:leader="none" w:pos="846"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fixed charge coverage ratio of not less than 1.25 to 1.0 beginning with the quarter ending March 31, 2017 and each calendar quarter thereafter up to December 31, 2017, and not less than 1.5 to 1.0 beginning with the quarter ending March 31, 2018 and each calendar quarter thereafter up to December 31, 2018, and</w:t>
      </w:r>
    </w:p>
    <w:p>
      <w:pPr>
        <w:spacing w:after="0" w:line="168" w:lineRule="exact"/>
        <w:rPr>
          <w:rFonts w:ascii="Arial" w:cs="Arial" w:eastAsia="Arial" w:hAnsi="Arial"/>
          <w:sz w:val="18"/>
          <w:szCs w:val="18"/>
          <w:color w:val="auto"/>
        </w:rPr>
      </w:pPr>
    </w:p>
    <w:p>
      <w:pPr>
        <w:ind w:left="860" w:hanging="204"/>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leverage ratio of not greater than 4.25 to 1.0 beginning with the quarter ending March 31, 2017, stepping down to 3.0 to 1.0 at March 31, 2018.</w:t>
      </w:r>
    </w:p>
    <w:p>
      <w:pPr>
        <w:spacing w:after="0" w:line="2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As of March 31, 2017, we were in compliance with all covenants and all payments remain current. We expect to be in compliance or be able to obtain compliance through debt repayments with available cash on hand or as we expect to generate from the ordinary course of operations over the next twelve months.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 BASED COMPENSATION</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Share based compensation for our stock option plans for the three months ended March 31, 2017 and 2016 were $54 and $39, respectively. We issued no shares of common stock related to exercises of stock options granted from our Stock Option Plan for the three months ended March 31, 2017 and 1,500 for the three months ended March 31, 2016, respectively.</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Asure has one active equity plan, the 2009 Equity Plan (the “2009 Plan”). The 2009 Plan provides for the issuance of non-qualified and incentive stock options to our employees and consultants. We generally grant stock options with exercise prices greater than or equal to the fair market value at the time of grant. The options generally vest over three to four years and are exercisable for a period of five to ten years beginning with date of grant. Our shareholders approved an amendment to the 2009 Plan in June 2014 to increase the number of shares reserved under the plan from 1,200,000 to 1,400,000. We have a total of 609,000 options granted and outstanding pursuant to the 2009 Plan as of March 31, 2017.</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COMPREHENSIVE LOSS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Comprehensive income (loss) represents a measure of all changes in equity that result from recognized transactions and other economic events other than those resulting from investments by and distributions to shareholders. Our other comprehensive income (loss) includes foreign currency translation adjustments.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each component of accumulated other comprehensive income (loss), net of tax:</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r>
      <w:tr>
        <w:trPr>
          <w:trHeight w:val="203"/>
        </w:trPr>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5"/>
              </w:rPr>
              <w:t>Other</w:t>
            </w:r>
          </w:p>
        </w:tc>
      </w:tr>
      <w:tr>
        <w:trPr>
          <w:trHeight w:val="203"/>
        </w:trPr>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Foreign</w:t>
            </w:r>
          </w:p>
        </w:tc>
        <w:tc>
          <w:tcPr>
            <w:tcW w:w="140" w:type="dxa"/>
            <w:vAlign w:val="bottom"/>
          </w:tcPr>
          <w:p>
            <w:pPr>
              <w:spacing w:after="0"/>
              <w:rPr>
                <w:sz w:val="17"/>
                <w:szCs w:val="17"/>
                <w:color w:val="auto"/>
              </w:rPr>
            </w:pPr>
          </w:p>
        </w:tc>
        <w:tc>
          <w:tcPr>
            <w:tcW w:w="14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88"/>
              </w:rPr>
              <w:t>Comprehensive</w:t>
            </w:r>
          </w:p>
        </w:tc>
      </w:tr>
      <w:tr>
        <w:trPr>
          <w:trHeight w:val="228"/>
        </w:trPr>
        <w:tc>
          <w:tcPr>
            <w:tcW w:w="5360" w:type="dxa"/>
            <w:vAlign w:val="bottom"/>
          </w:tcPr>
          <w:p>
            <w:pPr>
              <w:spacing w:after="0"/>
              <w:rPr>
                <w:sz w:val="19"/>
                <w:szCs w:val="19"/>
                <w:color w:val="auto"/>
              </w:rPr>
            </w:pPr>
          </w:p>
        </w:tc>
        <w:tc>
          <w:tcPr>
            <w:tcW w:w="15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6"/>
              </w:rPr>
              <w:t>Currency Items</w:t>
            </w:r>
          </w:p>
        </w:tc>
        <w:tc>
          <w:tcPr>
            <w:tcW w:w="140" w:type="dxa"/>
            <w:vAlign w:val="bottom"/>
          </w:tcPr>
          <w:p>
            <w:pPr>
              <w:spacing w:after="0"/>
              <w:rPr>
                <w:sz w:val="19"/>
                <w:szCs w:val="19"/>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Loss Items</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December 31, 2016</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188"/>
        </w:trPr>
        <w:tc>
          <w:tcPr>
            <w:tcW w:w="5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7"/>
              </w:rPr>
              <w:t>Amounts reclassified from accumulated other comprehensive income</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current-period other comprehensive loss</w:t>
            </w:r>
          </w:p>
        </w:tc>
        <w:tc>
          <w:tcPr>
            <w:tcW w:w="2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March 31, 2017</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tax benefit (expense) allocated to each component of other comprehensive income (loss):</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3860" w:type="dxa"/>
            <w:vAlign w:val="bottom"/>
          </w:tcPr>
          <w:p>
            <w:pPr>
              <w:spacing w:after="0"/>
              <w:rPr>
                <w:sz w:val="19"/>
                <w:szCs w:val="19"/>
                <w:color w:val="auto"/>
              </w:rPr>
            </w:pPr>
          </w:p>
        </w:tc>
        <w:tc>
          <w:tcPr>
            <w:tcW w:w="430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8"/>
                <w:szCs w:val="18"/>
                <w:b w:val="1"/>
                <w:bCs w:val="1"/>
                <w:color w:val="auto"/>
              </w:rPr>
              <w:t>Three Months Ended March 31, 2017</w:t>
            </w: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8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Before Tax</w:t>
            </w:r>
          </w:p>
        </w:tc>
        <w:tc>
          <w:tcPr>
            <w:tcW w:w="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Tax Benefit</w:t>
            </w: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Net of Tax</w:t>
            </w: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2"/>
              </w:rPr>
              <w:t>(34)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6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(34)</w:t>
            </w:r>
          </w:p>
        </w:tc>
        <w:tc>
          <w:tcPr>
            <w:tcW w:w="120" w:type="dxa"/>
            <w:vAlign w:val="bottom"/>
            <w:shd w:val="clear" w:color="auto" w:fill="CCEEFF"/>
          </w:tcPr>
          <w:p>
            <w:pPr>
              <w:spacing w:after="0"/>
              <w:rPr>
                <w:sz w:val="18"/>
                <w:szCs w:val="18"/>
                <w:color w:val="auto"/>
              </w:rPr>
            </w:pPr>
          </w:p>
        </w:tc>
      </w:tr>
      <w:tr>
        <w:trPr>
          <w:trHeight w:val="223"/>
        </w:trPr>
        <w:tc>
          <w:tcPr>
            <w:tcW w:w="3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spacing w:after="0"/>
              <w:rPr>
                <w:sz w:val="19"/>
                <w:szCs w:val="19"/>
                <w:color w:val="auto"/>
              </w:rPr>
            </w:pPr>
          </w:p>
        </w:tc>
        <w:tc>
          <w:tcPr>
            <w:tcW w:w="380" w:type="dxa"/>
            <w:vAlign w:val="bottom"/>
            <w:gridSpan w:val="2"/>
          </w:tcPr>
          <w:p>
            <w:pPr>
              <w:spacing w:after="0"/>
              <w:rPr>
                <w:sz w:val="19"/>
                <w:szCs w:val="19"/>
                <w:color w:val="auto"/>
              </w:rPr>
            </w:pPr>
          </w:p>
        </w:tc>
      </w:tr>
      <w:tr>
        <w:trPr>
          <w:trHeight w:val="257"/>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2"/>
              </w:rPr>
              <w:t>(34)</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96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(34)</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NET LOSS PER SHARE</w:t>
      </w:r>
    </w:p>
    <w:p>
      <w:pPr>
        <w:spacing w:after="0" w:line="2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We compute net loss per share based on the weighted average number of common shares outstanding for the period. Diluted net loss per share reflects the maximum dilution that would have resulted from incremental common shares issuable upon the exercise of stock options. We compute the number of common share equivalents, which includes stock options, using the treasury stock method. We have excluded stock options to acquire 609,000 and 546,000 shares as of March 31, 2017 and 2016, respectively, from the computation of the dilutive stock options because the effect of including the stock options would have been anti-dilutive.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computation of basic and diluted net loss per common share for the three months ended March 31, 2017 and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Three Months</w:t>
            </w: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rPr>
              <w:t>Ended March 31,</w:t>
            </w:r>
          </w:p>
        </w:tc>
        <w:tc>
          <w:tcPr>
            <w:tcW w:w="1500" w:type="dxa"/>
            <w:vAlign w:val="bottom"/>
            <w:gridSpan w:val="3"/>
          </w:tcPr>
          <w:p>
            <w:pPr>
              <w:ind w:left="40"/>
              <w:spacing w:after="0"/>
              <w:rPr>
                <w:sz w:val="20"/>
                <w:szCs w:val="20"/>
                <w:color w:val="auto"/>
              </w:rPr>
            </w:pPr>
            <w:r>
              <w:rPr>
                <w:rFonts w:ascii="Arial" w:cs="Arial" w:eastAsia="Arial" w:hAnsi="Arial"/>
                <w:sz w:val="18"/>
                <w:szCs w:val="18"/>
                <w:b w:val="1"/>
                <w:bCs w:val="1"/>
                <w:color w:val="auto"/>
              </w:rPr>
              <w:t>Ended March 31,</w:t>
            </w:r>
          </w:p>
        </w:tc>
        <w:tc>
          <w:tcPr>
            <w:tcW w:w="1440" w:type="dxa"/>
            <w:vAlign w:val="bottom"/>
          </w:tcPr>
          <w:p>
            <w:pPr>
              <w:spacing w:after="0"/>
              <w:rPr>
                <w:sz w:val="18"/>
                <w:szCs w:val="18"/>
                <w:color w:val="auto"/>
              </w:rPr>
            </w:pPr>
          </w:p>
        </w:tc>
      </w:tr>
      <w:tr>
        <w:trPr>
          <w:trHeight w:val="228"/>
        </w:trPr>
        <w:tc>
          <w:tcPr>
            <w:tcW w:w="14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1"/>
              </w:rPr>
              <w:t>Weighted-average shares of common stock outstanding</w:t>
            </w: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8,628,000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6,290,000</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Pr>
          <w:p>
            <w:pPr>
              <w:spacing w:after="0"/>
              <w:rPr>
                <w:sz w:val="22"/>
                <w:szCs w:val="22"/>
                <w:color w:val="auto"/>
              </w:rPr>
            </w:pPr>
          </w:p>
        </w:tc>
      </w:tr>
      <w:tr>
        <w:trPr>
          <w:trHeight w:val="670"/>
        </w:trPr>
        <w:tc>
          <w:tcPr>
            <w:tcW w:w="14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60" w:type="dxa"/>
            <w:vAlign w:val="bottom"/>
          </w:tcPr>
          <w:p>
            <w:pPr>
              <w:jc w:val="right"/>
              <w:ind w:right="10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 Asure has attempted to identify these forward-looking statements with the words “believes,” “estimates,” “plans,” “expects,” “anticipates,” “may,” “could” and other similar expressions. Although these forward-looking statements reflect management’s current plans and expectations, which we believe are reasonable as of the filing date of this report, they inherently are subject to certain risks and uncertainties. These risks and uncertainties include — but are not limited to — adverse changes in the economy, financial markets, and credit markets; delays or reductions in information technology spending; the development of the market for cloud based workplace applications; product development; market acceptance of new products and product improvements; our ability to retain or increase our customer base; security breaches; errors, disruptions or delays in our services; privacy concerns; changes in the our sales cycle; competition, including pricing pressures, entry of new competitors, and new technologies; intellectual property enforcement and litigation; our ability to hire, retain and motivate employees; our ability to manage our growth; our ability to realize benefits from acquisitions; changes in sales may not be immediately reflected in our operating results due to our subscription model; changes in laws and regulations; and changes in accounting standards. Asure is under no obligation to update any of the forward-looking statements after the date of this Form 10-Q to conform such statements to actual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review of Asure’s financial position as of March 31, 2017 and December 31, 2016 and the results of operations and cash flows for the three months ended March 31, 2017 and 2016 should be read in conjunction with our 2016 Annual Report on Form 10-K filed with the Securities and Exchange Commission. Asure’s internet website address is http://www.asuresoftware.com. Our annual reports on Form 10-K, quarterly reports on Form 10-Q, current reports on Form 8-K and amendments to those reports filed or furnished pursuant to Section 13(a) or 15(d) of the Securities Exchange Act of 1934 are available through the investor relations page of our internet website free of charge as soon as reasonably practicable after they are electronically filed, or furnished to, the Securities and Exchange Commission. Asure’s internet website and the information contained therein or connected thereto is not incorporated into this Quarterly Report on Form 10-Q.</w:t>
      </w:r>
    </w:p>
    <w:p>
      <w:pPr>
        <w:spacing w:after="0" w:line="17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Asure is a leading global provider of cloud-based software-as-a-service (“SaaS”) time and labor management and Agile Workplace management solutions that enable companies of all sizes and complexities to operate more efficiently and proactively manage costs associated with their most expensive assets: real estate, labor and technology.</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We currently offer two main product lines, AsureSpace™ and AsureForce®. Our AsureSpace™ Agile Workplace management solutions enable organizations to manage their office environments and optimize real estate utilization. Our AsureForce® time and labor management solutions help organizations optimize labor and labor administration costs and activities. With our acquisitions of Mangrove Employer Services, Inc. and the assets of Mangrove COBRAsource Inc. in 2016, we have entered into the human resource management, payroll processing and benefits administration services businesses, which we are integrating into our AsureForce® product line. For both product lines, support and professional services are other key elements of our software and services business. As an extension of our perpetual software product offerings, Asure offers our customers maintenance and support contracts that provide ready access to qualified support staff, software patches and upgrades to our software products. We also provide installation of and training on our products, add-on software customization and other professional services on a global scale.</w:t>
      </w:r>
    </w:p>
    <w:p>
      <w:pPr>
        <w:spacing w:after="0" w:line="16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target our sales and marketing efforts to a wide range of audiences, from small and medium-sized businesses to Fortune 500 companies and divisions of enterprise organizations throughout the United States, Europe and Asia/Pacific. We generate sales of our solutions through our direct sales teams and indirectly through our channel partners. We are expanding our investment in our direct sales teams to continue to address our market opportunity.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 following table sets forth, for the fiscal periods indicated, the percentage of total revenues represented by certain items in Asure’s Condensed Consolidated Statements of Comprehensive Loss:</w:t>
      </w:r>
    </w:p>
    <w:p>
      <w:pPr>
        <w:spacing w:after="0" w:line="152" w:lineRule="exact"/>
        <w:rPr>
          <w:sz w:val="20"/>
          <w:szCs w:val="20"/>
          <w:color w:val="auto"/>
        </w:rPr>
      </w:pPr>
    </w:p>
    <w:p>
      <w:pPr>
        <w:jc w:val="center"/>
        <w:ind w:left="5200"/>
        <w:spacing w:after="0"/>
        <w:rPr>
          <w:sz w:val="20"/>
          <w:szCs w:val="20"/>
          <w:color w:val="auto"/>
        </w:rPr>
      </w:pPr>
      <w:r>
        <w:rPr>
          <w:rFonts w:ascii="Arial" w:cs="Arial" w:eastAsia="Arial" w:hAnsi="Arial"/>
          <w:sz w:val="18"/>
          <w:szCs w:val="18"/>
          <w:b w:val="1"/>
          <w:bCs w:val="1"/>
          <w:color w:val="auto"/>
        </w:rPr>
        <w:t>FOR THE THREE</w:t>
      </w:r>
    </w:p>
    <w:p>
      <w:pPr>
        <w:spacing w:after="0" w:line="11" w:lineRule="exact"/>
        <w:rPr>
          <w:sz w:val="20"/>
          <w:szCs w:val="20"/>
          <w:color w:val="auto"/>
        </w:rPr>
      </w:pPr>
    </w:p>
    <w:p>
      <w:pPr>
        <w:jc w:val="center"/>
        <w:ind w:left="5200"/>
        <w:spacing w:after="0"/>
        <w:rPr>
          <w:sz w:val="20"/>
          <w:szCs w:val="20"/>
          <w:color w:val="auto"/>
        </w:rPr>
      </w:pPr>
      <w:r>
        <w:rPr>
          <w:rFonts w:ascii="Arial" w:cs="Arial" w:eastAsia="Arial" w:hAnsi="Arial"/>
          <w:sz w:val="18"/>
          <w:szCs w:val="18"/>
          <w:b w:val="1"/>
          <w:bCs w:val="1"/>
          <w:color w:val="auto"/>
        </w:rPr>
        <w:t>MONTHS ENDED</w:t>
      </w:r>
    </w:p>
    <w:p>
      <w:pPr>
        <w:jc w:val="center"/>
        <w:ind w:left="5200"/>
        <w:spacing w:after="0" w:line="232" w:lineRule="auto"/>
        <w:rPr>
          <w:sz w:val="20"/>
          <w:szCs w:val="20"/>
          <w:color w:val="auto"/>
        </w:rPr>
      </w:pPr>
      <w:r>
        <w:rPr>
          <w:rFonts w:ascii="Arial" w:cs="Arial" w:eastAsia="Arial" w:hAnsi="Arial"/>
          <w:sz w:val="18"/>
          <w:szCs w:val="18"/>
          <w:b w:val="1"/>
          <w:bCs w:val="1"/>
          <w:color w:val="auto"/>
        </w:rPr>
        <w:t>March 31,</w:t>
      </w:r>
    </w:p>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77.3</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74.3</w:t>
            </w: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65.7</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64.4</w:t>
            </w: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7.2</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80.7</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82.0</w:t>
            </w: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loss, net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MARCH 31, 2017 AND 2016 (Amounts in thousands)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revenue was derived from the following sources:</w:t>
      </w:r>
    </w:p>
    <w:p>
      <w:pPr>
        <w:spacing w:after="0" w:line="194"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FOR THE THREE</w:t>
      </w:r>
    </w:p>
    <w:p>
      <w:pPr>
        <w:spacing w:after="0" w:line="11"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MONTHS ENDED</w:t>
      </w:r>
    </w:p>
    <w:p>
      <w:pPr>
        <w:jc w:val="center"/>
        <w:ind w:left="1880"/>
        <w:spacing w:after="0" w:line="232" w:lineRule="auto"/>
        <w:rPr>
          <w:sz w:val="20"/>
          <w:szCs w:val="20"/>
          <w:color w:val="auto"/>
        </w:rPr>
      </w:pPr>
      <w:r>
        <w:rPr>
          <w:rFonts w:ascii="Arial" w:cs="Arial" w:eastAsia="Arial" w:hAnsi="Arial"/>
          <w:sz w:val="18"/>
          <w:szCs w:val="18"/>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Increase</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(Decrease)</w:t>
            </w: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Cloud revenue</w:t>
            </w: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7,836</w:t>
            </w: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2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Hardware revenue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693</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support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On premise software license revenue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10,727</w:t>
            </w:r>
          </w:p>
        </w:tc>
        <w:tc>
          <w:tcPr>
            <w:tcW w:w="2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6,722</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4,005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Revenue represents our consolidated revenues,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155"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Our product offerings are categorized into AsureSpace™ and AsureForce®. AsureSpace™ offers workplace management solutions that enable organizations to manage their office environments and optimize real estate utilization, and AsureForce® offers time and labor management solutions which help organizations optimize labor and labor administration costs and activities, including benefits administration, human resource management, payroll processing and time and attendance. Both product groupings include cloud revenue, hardware revenue, maintenance and support revenue, on premise software license revenue and professional services revenue. AsureSpace™ revenues include PeopleCube, Meeting Room Manager and Roomtag revenues. AsureForce® revenues include ADI, Legiant, iEmployee, FotoPunch, Mangrove, PMSI, CPI and PSNW revenues.</w:t>
      </w:r>
    </w:p>
    <w:p>
      <w:pPr>
        <w:spacing w:after="0" w:line="15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Total revenue for the three months ended March 31, 2017 was $10,727, an increase of $4,005 or 59.6%, from the $6,722 reported for the three months ended March 31, 2016. Cloud revenue increased from the first quarter of 2016 due to our continued emphasis on selling integrated cloud based solutions.</w:t>
      </w:r>
    </w:p>
    <w:p>
      <w:pPr>
        <w:spacing w:after="0" w:line="148"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AsureSpace™ revenue for the three months ended March 31, 2017 was $4,105, an increase of $371 or 9.9%, from the $3,734 recorded for the three months ended March 31, 2016. AsureSpace™ cloud, hardware, and on premise software license revenues increased, offset by decreases in maintenance and support and professional services revenues. Cloud revenue increased $98, or 4.9%, and hardware revenue increased $427, or 127.1%, and on premise software license revenue increased $80, or 463.8%, over the three months ended March 31, 2016. The largest decrease was in professional services revenue of $151, or 27.8%, primarily caused by the timing of services.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AsureForce® revenue for the three months ended March 31, 2017 was $6,622, an increase of $3,634 or 121.6%, from the $2,988 recorded for the three months ended March 31, 2016. This increase was primarily due to the acquisition of Mangrove in March 2016 and the acquisitions of PMSI, CPI and PMSI in January 2017, resulting in $4,152 of revenue in the first quarter of 2017. Cloud and professional services revenues increased, with the largest increases in cloud revenue of $3,876, or 210.0%, and professional services revenue of $64, or 26.3%, over the three months ended March 31, 2016. These increases were offset by a decrease in AsureForce® hardware, maintenance and support, and on premise software license revenue of $307, or 34.2%, as compared to the three months ended March 31, 2016, primarily in maintenance and support revenue, which decreased $223, or 53.5%. This decrease is primarily due to timing and size of contracts and renewals and our continued emphasis on transitioning from on premise to on demand revenue.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Although our total customer base is widely spread across industries, our sales are concentrated in certain industry sectors, including corporate, education, healthcare, government, legal and non-profit. We continue to target small and medium sized businesses and divisions of larger enterprises in these same industries as prospective customers. Geographically, we sell our products worldwide, but sales are largely concentrated in the United States, Canada and Europe. Additionally, we have a distribution partner in Australia. As the overall workforce management solutions market continues to experience significant growth related to SaaS products, we will continue to focus on sales of Meeting Room Manager On Demand, PeopleCube and ADI SaaS products.</w:t>
      </w:r>
    </w:p>
    <w:p>
      <w:pPr>
        <w:spacing w:after="0" w:line="146" w:lineRule="exact"/>
        <w:rPr>
          <w:sz w:val="20"/>
          <w:szCs w:val="20"/>
          <w:color w:val="auto"/>
        </w:rPr>
      </w:pPr>
    </w:p>
    <w:p>
      <w:pPr>
        <w:jc w:val="both"/>
        <w:ind w:left="20" w:right="20" w:firstLine="644"/>
        <w:spacing w:after="0" w:line="324" w:lineRule="auto"/>
        <w:rPr>
          <w:sz w:val="20"/>
          <w:szCs w:val="20"/>
          <w:color w:val="auto"/>
        </w:rPr>
      </w:pPr>
      <w:r>
        <w:rPr>
          <w:rFonts w:ascii="Arial" w:cs="Arial" w:eastAsia="Arial" w:hAnsi="Arial"/>
          <w:sz w:val="16"/>
          <w:szCs w:val="16"/>
          <w:color w:val="auto"/>
        </w:rPr>
        <w:t>In addition to continuing to develop our workforce and Agile Workplace management solutions and release new software updates and enhancements, we continue to actively explore other opportunities to acquire additional products or technologies to complement our current software and services.</w:t>
      </w:r>
    </w:p>
    <w:p>
      <w:pPr>
        <w:spacing w:after="0" w:line="111" w:lineRule="exact"/>
        <w:rPr>
          <w:sz w:val="20"/>
          <w:szCs w:val="20"/>
          <w:color w:val="auto"/>
        </w:rPr>
      </w:pPr>
    </w:p>
    <w:p>
      <w:pPr>
        <w:jc w:val="both"/>
        <w:ind w:left="20" w:firstLine="644"/>
        <w:spacing w:after="0" w:line="254" w:lineRule="auto"/>
        <w:rPr>
          <w:sz w:val="20"/>
          <w:szCs w:val="20"/>
          <w:color w:val="auto"/>
        </w:rPr>
      </w:pPr>
      <w:r>
        <w:rPr>
          <w:rFonts w:ascii="Arial" w:cs="Arial" w:eastAsia="Arial" w:hAnsi="Arial"/>
          <w:sz w:val="17"/>
          <w:szCs w:val="17"/>
          <w:color w:val="auto"/>
        </w:rPr>
        <w:t>Our March 2016 acquisitions from Mangrove enabled us to enter into the human resource management, payroll processing and benefits administration services businesses, which we are integrating into our existing AsureForce® product line. Through the acquisition of PMSI, we will add HR consulting expertise to our current offering. Existing and new clients will now have access to an outsourced human resources department, which when combined with our current solution, will provide clients all the tools necessary to ensure the success of their most valuable resources – their people. With its extensive broker community, the acquisition of CPI in January 2017 creates a new channel for our expansion into the Midwest. We will leverage CPI’s referral network to provide new clients the tools necessary to ensure the success of their most valuable resources, their people. With the acquisition of PSNW in January 2017, we will leverage PSNW’s small business payroll solutions to grow market share in the small- and mid-sized business space, making us a leading choice for payroll services for businesses of any size.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8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Consolidated gross margin for the three months ended March 31, 2017 was $8,289, an increase of $3,297, or 66.0%, from the $4,992 reported for the three months ended March 31, 2016. Gross margin as a percentage of revenues was 77.3% and 74.3% for the three months ended March 31, 2017 and 2016, respectively. We attribute the increase in gross margin to a shift in the mix of our revenue between our higher margin and lower margin product lines, as well as the acquisitions in January 2017, as compared to the prior year.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Selling, general and administrative (“SG&amp;A”) expenses for the three months ended March 31, 2017 were $7,043, an increase of $2,010 or 39.9%, from the $5,033 reported for the three months ended March 31, 2016. SG&amp;A expenses as a percentage of revenues were 65.7% and 64.4% for the three months ended March 31, 2017 and 2016, respectively.</w:t>
      </w:r>
    </w:p>
    <w:p>
      <w:pPr>
        <w:spacing w:after="0" w:line="1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General and administrative expenses increased $2,334, or 76.6%, and sales and marketing expense decreased $324, or 16.3%, from the three months ended March 31, 2016. We incurred higher general and administrative expenses primarily due to higher headcount and professional fees incurred in connection with our acquisitions. We continue to evaluate any unnecessary expenses and any increases in SG&amp;A are designed to enhance future revenue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Research and development (“R&amp;D”) expenses for the three months ended March 31, 2017 were $769, a slight decrease of $42, or 5.2%, from the $811 reported for the three months ended March 31, 2016. R&amp;D expenses as a percentage of revenues were 7.2% and 12.1% for the three months ended March 31, 2017 and 2016, respectively.</w:t>
      </w:r>
    </w:p>
    <w:p>
      <w:pPr>
        <w:spacing w:after="0" w:line="1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continue to improve our products and technologies through organic improvements as well as through acquired intellectual property. We believe that our expanded investment in SaaS hosting, mobile and hardware technologies lays the ground work for broader market opportunities, and represents a key aspect of our competitive differentiation. Native mobile applications, QR Code integration, expanded web service integration and other technologies are all part of our initiatives.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Our development efforts for future releases and enhancements are driven by feedback received from our existing and potential customers and by gauging market trends. We believe we have the appropriate development team to design and further improve our workforce management solutions.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w:t>
      </w:r>
    </w:p>
    <w:p>
      <w:pPr>
        <w:spacing w:after="0" w:line="2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Amortization expenses for the three months ended March 31, 2017 were $847, an increase of $470, or 124.7%, from the $377 reported for the three months ended March 31, 2016. This increase is due to the amortization recorded in the first quarter of 2017 related to the intangible assets acquired as part of the acquisitions in January 2017. Amortization expenses as a percentage of revenues were 7.9% and 5.6% for the three months ended March 31, 2017 and 2016,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Loss</w:t>
      </w:r>
    </w:p>
    <w:p>
      <w:pPr>
        <w:spacing w:after="0" w:line="20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Other loss for the three months ended March 31, 2017 was $547, an increase of $266, or 94.7%, from the $281 reported for the three months ended March 31, 2016. Other loss as a percentage of revenues was 5.1% and 4.2% for the three months ended March 31, 2017 and 2016, respectively. Other loss for the three months ended March 31, 2017 is composed primarily of interest expense on notes payable of $625 offset by $80 in gain recorded in connection with debt extinguishment. Other loss for the three months ended March 31, 2016 is composed primarily of interest expense on notes payable of $292.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Income tax expense for the three months ended March 31, 2017 was $142, an increase of $98, or 222.7%, from the $44 reported for the three months ended March 31, 2016.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02"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We incurred a net loss of $1,059, or $(0.12) per share, during the three months ended March 31, 2017, compared to a net loss of $1,554 or $(0.25) per share reported for the three months ended March 31, 2016. Net loss as a percentage of total revenues was 9.9% for the three months ended March 31, 2017 compared to net loss of 23.1% of total revenues for the three months ended March 31, 2016.</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intend to continue to implement our corporate strategy for growing the software and services business by modestly investing in areas that directly generate revenue and positive cash flows for the Company. However, uncertainties and challenges remain and there can be no assurance that we can successfully grow our revenues or achieve profitability during the remainder of fiscal year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 (Amounts in thousands)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0"/>
        </w:trPr>
        <w:tc>
          <w:tcPr>
            <w:tcW w:w="14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28"/>
        </w:trPr>
        <w:tc>
          <w:tcPr>
            <w:tcW w:w="14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4,207</w:t>
            </w:r>
          </w:p>
        </w:tc>
      </w:tr>
      <w:tr>
        <w:trPr>
          <w:trHeight w:val="230"/>
        </w:trPr>
        <w:tc>
          <w:tcPr>
            <w:tcW w:w="14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2,288</w:t>
            </w:r>
          </w:p>
        </w:tc>
        <w:tc>
          <w:tcPr>
            <w:tcW w:w="1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12,767</w:t>
            </w:r>
          </w:p>
        </w:tc>
      </w:tr>
      <w:tr>
        <w:trPr>
          <w:trHeight w:val="400"/>
        </w:trPr>
        <w:tc>
          <w:tcPr>
            <w:tcW w:w="14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8"/>
              </w:rPr>
              <w:t>For the Three Months Ended</w:t>
            </w:r>
          </w:p>
        </w:tc>
      </w:tr>
      <w:tr>
        <w:trPr>
          <w:trHeight w:val="228"/>
        </w:trPr>
        <w:tc>
          <w:tcPr>
            <w:tcW w:w="14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80" w:type="dxa"/>
            <w:vAlign w:val="bottom"/>
            <w:gridSpan w:val="5"/>
          </w:tcPr>
          <w:p>
            <w:pPr>
              <w:jc w:val="right"/>
              <w:ind w:right="120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14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w:t>
            </w:r>
          </w:p>
        </w:tc>
      </w:tr>
      <w:tr>
        <w:trPr>
          <w:trHeight w:val="216"/>
        </w:trPr>
        <w:tc>
          <w:tcPr>
            <w:tcW w:w="14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(6,557)</w:t>
            </w:r>
          </w:p>
        </w:tc>
        <w:tc>
          <w:tcPr>
            <w:tcW w:w="1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(24,205)</w:t>
            </w:r>
          </w:p>
        </w:tc>
      </w:tr>
      <w:tr>
        <w:trPr>
          <w:trHeight w:val="216"/>
        </w:trPr>
        <w:tc>
          <w:tcPr>
            <w:tcW w:w="14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24,201</w:t>
            </w:r>
          </w:p>
        </w:tc>
      </w:tr>
    </w:tbl>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u w:val="single" w:color="auto"/>
          <w:color w:val="auto"/>
        </w:rPr>
        <w:t>Working Capital</w:t>
      </w:r>
      <w:r>
        <w:rPr>
          <w:rFonts w:ascii="Arial" w:cs="Arial" w:eastAsia="Arial" w:hAnsi="Arial"/>
          <w:sz w:val="18"/>
          <w:szCs w:val="18"/>
          <w:color w:val="auto"/>
        </w:rPr>
        <w:t>. We had a working capital deficit of $3,685 at March 31, 2017, a decrease of $7,892 from working capital of $4,207 at December 31, 2016. Working capital deficit at March 31, 2017 and working capital at December 31, 2016 includes $9,265 and $9,252 of deferred revenue, respectively. Deferred revenue is an obligation to perform future services. We expect that deferred revenue will convert to future revenue as we perform our services, but this does not represent future payments. Deferred revenue can vary based on seasonality, expiration of initial multi-year contracts and deals that are billed after implementation rather than in advance of service delivery. We attribute the decrease in our working capital to a decrease in cash, due to the acquisitions of PMSI, CPI and PSNW in the first quarter of 2017.</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u w:val="single" w:color="auto"/>
          <w:color w:val="auto"/>
        </w:rPr>
        <w:t>Operating Activities</w:t>
      </w:r>
      <w:r>
        <w:rPr>
          <w:rFonts w:ascii="Arial" w:cs="Arial" w:eastAsia="Arial" w:hAnsi="Arial"/>
          <w:sz w:val="17"/>
          <w:szCs w:val="17"/>
          <w:color w:val="auto"/>
        </w:rPr>
        <w:t>. Cash used in operating activities was $1,185 for the three months ended March 31, 2017. The $1,185 of cash used in operating activities during the first quarter of 2017 was primarily driven by an increase in prepaid expenses and other assets of $1,004, a decrease in deferred revenue of $516, and an increase in accounts receivable of $366. This was offset by an increase in accounts payable of $598. The $638 of cash used in operating activities during the first quarter of 2016 was primarily driven by net income (after adjustment for non-cash items) of $789, a decrease in accounts payable of $798 and a decrease in other accrued liabilities of $748. This was offset by increases in deferred revenue of $637, as well as decreases in accounts receivable of $723, prepaid expenses and other assets of $187, and inventory of $150, respectively.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7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u w:val="single" w:color="auto"/>
          <w:color w:val="auto"/>
        </w:rPr>
        <w:t>Investing Activities</w:t>
      </w:r>
      <w:r>
        <w:rPr>
          <w:rFonts w:ascii="Arial" w:cs="Arial" w:eastAsia="Arial" w:hAnsi="Arial"/>
          <w:sz w:val="18"/>
          <w:szCs w:val="18"/>
          <w:color w:val="auto"/>
        </w:rPr>
        <w:t>. Cash used in investing activities was $6,557 and $24,205 for the three months ended March 31, 2017 and March 31, 2016, respectively. Cash used in investing for the three months ended March 31, 2017 is primarily due to the acquisitions of PMSI, CPI and PSNW in January 2017, offset by a decrease in funds held for clients. The cash used in investing for the three months ended March 31, 2016 is due primarily to the acquisition of Mangrove and the increase in funds held for clients in the first quarter of 2016.</w:t>
      </w:r>
    </w:p>
    <w:p>
      <w:pPr>
        <w:spacing w:after="0" w:line="17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u w:val="single" w:color="auto"/>
          <w:color w:val="auto"/>
        </w:rPr>
        <w:t>Financing Activities</w:t>
      </w:r>
      <w:r>
        <w:rPr>
          <w:rFonts w:ascii="Arial" w:cs="Arial" w:eastAsia="Arial" w:hAnsi="Arial"/>
          <w:sz w:val="18"/>
          <w:szCs w:val="18"/>
          <w:color w:val="auto"/>
        </w:rPr>
        <w:t>. Cash used in financing activities was $2,700 for the three months ended March 31, 2017. We incurred $5,000 of debt, offset by payments on debt of $6,069 and client fund obligations of $1,485. Cash provided by financing activities was $24,201 for the three months ended March 31, 2016. We incurred $12,500 of debt and $12,189 of client fund obligations, primarily due to the cash used in the acquisition of Mangrove and the increase in funds held for clients in the first quarter of 2016. This is offset by debt financing fees of $438.</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18"/>
          <w:szCs w:val="18"/>
          <w:u w:val="single" w:color="auto"/>
          <w:color w:val="auto"/>
        </w:rPr>
        <w:t>Sources of Liquidity</w:t>
      </w:r>
      <w:r>
        <w:rPr>
          <w:rFonts w:ascii="Arial" w:cs="Arial" w:eastAsia="Arial" w:hAnsi="Arial"/>
          <w:sz w:val="18"/>
          <w:szCs w:val="18"/>
          <w:color w:val="auto"/>
        </w:rPr>
        <w:t>. As of March 31, 2017, Asure’s principal sources of liquidity consisted of approximately $2,288 of cash and cash equivalents, future cash generated from operations, and $3,000 available under our Wells Fargo revolver. We believe that we have and/or will generate sufficient cash for our short- and long-term needs. Based on current internal projections, we believe that we have and/or will generate sufficient cash for our operational needs, including any required debt payments, for at least the next twelve months from the issuance of the consolidated financial statements. We currently project that we can generate positive cash flows from our operating activities for at least the next twelve months from the issuance of the consolidated financial statements.</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Our management team is focused on growing our existing software operations and is also seeking additional strategic acquisitions for the near future. At present, we plan to fund any future acquisition with equity, existing cash and cash equivalents cash generated from future operations and/or cash or debt raised from outside sources.</w:t>
      </w:r>
    </w:p>
    <w:p>
      <w:pPr>
        <w:spacing w:after="0" w:line="16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twelve months from the issuance of the consolidated financial statements and to maintain compliance with the terms of our debt agreements and related covenants or to obtain compliance through debt repayments made with our available cash on hand or anticipated for receipt in the ordinary course of operations.</w:t>
      </w:r>
    </w:p>
    <w:p>
      <w:pPr>
        <w:spacing w:after="0" w:line="17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u w:val="single" w:color="auto"/>
          <w:color w:val="auto"/>
        </w:rPr>
        <w:t>Capital Resources</w:t>
      </w:r>
      <w:r>
        <w:rPr>
          <w:rFonts w:ascii="Arial" w:cs="Arial" w:eastAsia="Arial" w:hAnsi="Arial"/>
          <w:sz w:val="18"/>
          <w:szCs w:val="18"/>
          <w:color w:val="auto"/>
        </w:rPr>
        <w:t>. At March 31, 2017, we had $29,715 outstanding under our credit agreement with Wells Fargo. Available funds under the term credit facility were approximately $0 and under the revolving credit facility were approximately $3,000 at March 31, 2017. For further discussion regarding debt and financing arrangements, see Note 6 to the accompanying condensed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There were no material changes to our critical accounting policies and estimates since December 31, 2016. For additional information on critical accounting policies, refer to “Management’s Discussion and Analysis” in our 2016 Annual Report on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are a smaller reporting company as defined by Rule 12b-2 under the Exchange Act and are not required to provide the information required under this item.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us. 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as of March 31, 2017 to provide reasonable assurance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 over Financial Reporting</w:t>
      </w:r>
    </w:p>
    <w:p>
      <w:pPr>
        <w:spacing w:after="0" w:line="20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During the period ended March 31, 2017, there were no changes in our internal control over financial reporting that have materially affected, or are reasonably likely to materially affect, our internal control over financial reporting.</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ind w:left="66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05"/>
        </w:trPr>
        <w:tc>
          <w:tcPr>
            <w:tcW w:w="196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9"/>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960" w:type="dxa"/>
            <w:vAlign w:val="bottom"/>
          </w:tcPr>
          <w:p>
            <w:pPr>
              <w:spacing w:after="0" w:line="176" w:lineRule="exact"/>
              <w:rPr>
                <w:sz w:val="20"/>
                <w:szCs w:val="20"/>
                <w:color w:val="auto"/>
              </w:rPr>
            </w:pPr>
            <w:r>
              <w:rPr>
                <w:rFonts w:ascii="Arial" w:cs="Arial" w:eastAsia="Arial" w:hAnsi="Arial"/>
                <w:sz w:val="18"/>
                <w:szCs w:val="18"/>
                <w:color w:val="auto"/>
              </w:rPr>
              <w:t>3.1 *</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680" w:type="dxa"/>
            <w:vAlign w:val="bottom"/>
            <w:tcBorders>
              <w:bottom w:val="single" w:sz="8" w:color="0000EE"/>
            </w:tcBorders>
          </w:tcPr>
          <w:p>
            <w:pPr>
              <w:spacing w:after="0" w:line="17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Restated Certificate of Incorporation.</w:t>
              </w:r>
            </w:hyperlink>
          </w:p>
        </w:tc>
        <w:tc>
          <w:tcPr>
            <w:tcW w:w="6640" w:type="dxa"/>
            <w:vAlign w:val="bottom"/>
            <w:gridSpan w:val="3"/>
          </w:tcPr>
          <w:p>
            <w:pPr>
              <w:spacing w:after="0"/>
              <w:rPr>
                <w:sz w:val="15"/>
                <w:szCs w:val="15"/>
                <w:color w:val="auto"/>
              </w:rPr>
            </w:pPr>
          </w:p>
        </w:tc>
      </w:tr>
      <w:tr>
        <w:trPr>
          <w:trHeight w:val="412"/>
        </w:trPr>
        <w:tc>
          <w:tcPr>
            <w:tcW w:w="196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2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24"/>
                <w:szCs w:val="24"/>
                <w:color w:val="auto"/>
              </w:rPr>
            </w:pPr>
          </w:p>
        </w:tc>
      </w:tr>
      <w:tr>
        <w:trPr>
          <w:trHeight w:val="385"/>
        </w:trPr>
        <w:tc>
          <w:tcPr>
            <w:tcW w:w="19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2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24"/>
                <w:szCs w:val="24"/>
                <w:color w:val="auto"/>
              </w:rPr>
            </w:pPr>
          </w:p>
        </w:tc>
      </w:tr>
      <w:tr>
        <w:trPr>
          <w:trHeight w:val="385"/>
        </w:trPr>
        <w:tc>
          <w:tcPr>
            <w:tcW w:w="19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340" w:type="dxa"/>
            <w:vAlign w:val="bottom"/>
            <w:gridSpan w:val="5"/>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4"/>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85"/>
        </w:trPr>
        <w:tc>
          <w:tcPr>
            <w:tcW w:w="196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340" w:type="dxa"/>
            <w:vAlign w:val="bottom"/>
            <w:gridSpan w:val="5"/>
          </w:tcPr>
          <w:p>
            <w:pPr>
              <w:spacing w:after="0"/>
              <w:rPr>
                <w:rFonts w:ascii="Arial" w:cs="Arial" w:eastAsia="Arial" w:hAnsi="Arial"/>
                <w:sz w:val="18"/>
                <w:szCs w:val="18"/>
                <w:color w:val="0000EE"/>
                <w:w w:val="96"/>
              </w:rPr>
            </w:pPr>
            <w:hyperlink w:anchor="page37">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4"/>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98"/>
        </w:trPr>
        <w:tc>
          <w:tcPr>
            <w:tcW w:w="196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340" w:type="dxa"/>
            <w:vAlign w:val="bottom"/>
            <w:gridSpan w:val="5"/>
          </w:tcPr>
          <w:p>
            <w:pPr>
              <w:spacing w:after="0"/>
              <w:rPr>
                <w:sz w:val="20"/>
                <w:szCs w:val="20"/>
                <w:color w:val="auto"/>
              </w:rPr>
            </w:pPr>
            <w:r>
              <w:rPr>
                <w:rFonts w:ascii="Arial" w:cs="Arial" w:eastAsia="Arial" w:hAnsi="Arial"/>
                <w:sz w:val="18"/>
                <w:szCs w:val="18"/>
                <w:color w:val="auto"/>
                <w:w w:val="96"/>
              </w:rPr>
              <w:t>The following materials from Asure Software, Inc.’s Quarterly Report on Form 10-Q for the quarter ended March 31, 2017,</w:t>
            </w:r>
          </w:p>
        </w:tc>
      </w:tr>
      <w:tr>
        <w:trPr>
          <w:trHeight w:val="219"/>
        </w:trPr>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340" w:type="dxa"/>
            <w:vAlign w:val="bottom"/>
            <w:gridSpan w:val="5"/>
          </w:tcPr>
          <w:p>
            <w:pPr>
              <w:spacing w:after="0"/>
              <w:rPr>
                <w:sz w:val="20"/>
                <w:szCs w:val="20"/>
                <w:color w:val="auto"/>
              </w:rPr>
            </w:pPr>
            <w:r>
              <w:rPr>
                <w:rFonts w:ascii="Arial" w:cs="Arial" w:eastAsia="Arial" w:hAnsi="Arial"/>
                <w:sz w:val="18"/>
                <w:szCs w:val="18"/>
                <w:color w:val="auto"/>
                <w:w w:val="97"/>
              </w:rPr>
              <w:t>formatted in XBRL (Extensible Business Reporting Language): (1) the Condensed Consolidated Balance Sheets, (2) the</w:t>
            </w:r>
          </w:p>
        </w:tc>
      </w:tr>
    </w:tbl>
    <w:p>
      <w:pPr>
        <w:ind w:left="2080"/>
        <w:spacing w:after="0" w:line="243" w:lineRule="auto"/>
        <w:rPr>
          <w:sz w:val="20"/>
          <w:szCs w:val="20"/>
          <w:color w:val="auto"/>
        </w:rPr>
      </w:pPr>
      <w:r>
        <w:rPr>
          <w:rFonts w:ascii="Arial" w:cs="Arial" w:eastAsia="Arial" w:hAnsi="Arial"/>
          <w:sz w:val="18"/>
          <w:szCs w:val="18"/>
          <w:color w:val="auto"/>
        </w:rPr>
        <w:t>Condensed Consolidated Statements of Comprehensive Loss, (3) the Condensed Consolidated Statements of Cash Flows, and (4) Notes to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6640" w:type="dxa"/>
            <w:vAlign w:val="bottom"/>
            <w:gridSpan w:val="2"/>
          </w:tcPr>
          <w:p>
            <w:pPr>
              <w:ind w:left="2080"/>
              <w:spacing w:after="0"/>
              <w:rPr>
                <w:sz w:val="20"/>
                <w:szCs w:val="20"/>
                <w:color w:val="auto"/>
              </w:rPr>
            </w:pPr>
            <w:r>
              <w:rPr>
                <w:rFonts w:ascii="Arial" w:cs="Arial" w:eastAsia="Arial" w:hAnsi="Arial"/>
                <w:sz w:val="18"/>
                <w:szCs w:val="18"/>
                <w:b w:val="1"/>
                <w:bCs w:val="1"/>
                <w:color w:val="auto"/>
              </w:rPr>
              <w:t>ASURE SOFTWARE, INC.</w:t>
            </w:r>
          </w:p>
        </w:tc>
      </w:tr>
      <w:tr>
        <w:trPr>
          <w:trHeight w:val="601"/>
        </w:trPr>
        <w:tc>
          <w:tcPr>
            <w:tcW w:w="3080" w:type="dxa"/>
            <w:vAlign w:val="bottom"/>
          </w:tcPr>
          <w:p>
            <w:pPr>
              <w:spacing w:after="0"/>
              <w:rPr>
                <w:sz w:val="20"/>
                <w:szCs w:val="20"/>
                <w:color w:val="auto"/>
              </w:rPr>
            </w:pPr>
            <w:r>
              <w:rPr>
                <w:rFonts w:ascii="Arial" w:cs="Arial" w:eastAsia="Arial" w:hAnsi="Arial"/>
                <w:sz w:val="18"/>
                <w:szCs w:val="18"/>
                <w:color w:val="auto"/>
              </w:rPr>
              <w:t>May 11, 2017</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GOEPEL</w:t>
            </w:r>
          </w:p>
        </w:tc>
      </w:tr>
      <w:tr>
        <w:trPr>
          <w:trHeight w:val="188"/>
        </w:trPr>
        <w:tc>
          <w:tcPr>
            <w:tcW w:w="3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980" w:type="dxa"/>
            <w:vAlign w:val="bottom"/>
          </w:tcPr>
          <w:p>
            <w:pPr>
              <w:spacing w:after="0" w:line="189" w:lineRule="exact"/>
              <w:rPr>
                <w:sz w:val="20"/>
                <w:szCs w:val="20"/>
                <w:color w:val="auto"/>
              </w:rPr>
            </w:pPr>
            <w:r>
              <w:rPr>
                <w:rFonts w:ascii="Arial" w:cs="Arial" w:eastAsia="Arial" w:hAnsi="Arial"/>
                <w:sz w:val="18"/>
                <w:szCs w:val="18"/>
                <w:color w:val="auto"/>
              </w:rPr>
              <w:t>Patrick Goepel</w:t>
            </w:r>
          </w:p>
        </w:tc>
      </w:tr>
      <w:tr>
        <w:trPr>
          <w:trHeight w:val="230"/>
        </w:trPr>
        <w:tc>
          <w:tcPr>
            <w:tcW w:w="30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99"/>
        </w:trPr>
        <w:tc>
          <w:tcPr>
            <w:tcW w:w="3080" w:type="dxa"/>
            <w:vAlign w:val="bottom"/>
          </w:tcPr>
          <w:p>
            <w:pPr>
              <w:spacing w:after="0"/>
              <w:rPr>
                <w:sz w:val="20"/>
                <w:szCs w:val="20"/>
                <w:color w:val="auto"/>
              </w:rPr>
            </w:pPr>
            <w:r>
              <w:rPr>
                <w:rFonts w:ascii="Arial" w:cs="Arial" w:eastAsia="Arial" w:hAnsi="Arial"/>
                <w:sz w:val="18"/>
                <w:szCs w:val="18"/>
                <w:color w:val="auto"/>
              </w:rPr>
              <w:t>May 11, 2017</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WOLFE</w:t>
            </w:r>
          </w:p>
        </w:tc>
      </w:tr>
      <w:tr>
        <w:trPr>
          <w:trHeight w:val="188"/>
        </w:trPr>
        <w:tc>
          <w:tcPr>
            <w:tcW w:w="3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980" w:type="dxa"/>
            <w:vAlign w:val="bottom"/>
          </w:tcPr>
          <w:p>
            <w:pPr>
              <w:spacing w:after="0" w:line="189" w:lineRule="exact"/>
              <w:rPr>
                <w:sz w:val="20"/>
                <w:szCs w:val="20"/>
                <w:color w:val="auto"/>
              </w:rPr>
            </w:pPr>
            <w:r>
              <w:rPr>
                <w:rFonts w:ascii="Arial" w:cs="Arial" w:eastAsia="Arial" w:hAnsi="Arial"/>
                <w:sz w:val="18"/>
                <w:szCs w:val="18"/>
                <w:color w:val="auto"/>
              </w:rPr>
              <w:t>Brad Wolfe</w:t>
            </w:r>
          </w:p>
        </w:tc>
      </w:tr>
      <w:tr>
        <w:trPr>
          <w:trHeight w:val="230"/>
        </w:trPr>
        <w:tc>
          <w:tcPr>
            <w:tcW w:w="30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640" w:type="dxa"/>
            <w:vAlign w:val="bottom"/>
            <w:gridSpan w:val="3"/>
          </w:tcPr>
          <w:p>
            <w:pPr>
              <w:ind w:left="40"/>
              <w:spacing w:after="0"/>
              <w:rPr>
                <w:sz w:val="20"/>
                <w:szCs w:val="20"/>
                <w:color w:val="auto"/>
              </w:rPr>
            </w:pPr>
            <w:r>
              <w:rPr>
                <w:rFonts w:ascii="Arial" w:cs="Arial" w:eastAsia="Arial" w:hAnsi="Arial"/>
                <w:sz w:val="18"/>
                <w:szCs w:val="18"/>
                <w:b w:val="1"/>
                <w:bCs w:val="1"/>
                <w:color w:val="auto"/>
              </w:rPr>
              <w:t>INDEX TO EXHIBITS</w:t>
            </w:r>
          </w:p>
        </w:tc>
      </w:tr>
      <w:tr>
        <w:trPr>
          <w:trHeight w:val="399"/>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96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680" w:type="dxa"/>
            <w:vAlign w:val="bottom"/>
            <w:tcBorders>
              <w:bottom w:val="single" w:sz="8" w:color="0000EE"/>
            </w:tcBorders>
          </w:tcPr>
          <w:p>
            <w:pPr>
              <w:spacing w:after="0" w:line="17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Restated Certificate of Incorporation.</w:t>
              </w:r>
            </w:hyperlink>
          </w:p>
        </w:tc>
        <w:tc>
          <w:tcPr>
            <w:tcW w:w="6640" w:type="dxa"/>
            <w:vAlign w:val="bottom"/>
            <w:gridSpan w:val="3"/>
          </w:tcPr>
          <w:p>
            <w:pPr>
              <w:spacing w:after="0"/>
              <w:rPr>
                <w:sz w:val="15"/>
                <w:szCs w:val="15"/>
                <w:color w:val="auto"/>
              </w:rPr>
            </w:pPr>
          </w:p>
        </w:tc>
      </w:tr>
      <w:tr>
        <w:trPr>
          <w:trHeight w:val="412"/>
        </w:trPr>
        <w:tc>
          <w:tcPr>
            <w:tcW w:w="196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2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24"/>
                <w:szCs w:val="24"/>
                <w:color w:val="auto"/>
              </w:rPr>
            </w:pPr>
          </w:p>
        </w:tc>
      </w:tr>
      <w:tr>
        <w:trPr>
          <w:trHeight w:val="385"/>
        </w:trPr>
        <w:tc>
          <w:tcPr>
            <w:tcW w:w="19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2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24"/>
                <w:szCs w:val="24"/>
                <w:color w:val="auto"/>
              </w:rPr>
            </w:pPr>
          </w:p>
        </w:tc>
      </w:tr>
      <w:tr>
        <w:trPr>
          <w:trHeight w:val="385"/>
        </w:trPr>
        <w:tc>
          <w:tcPr>
            <w:tcW w:w="19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340" w:type="dxa"/>
            <w:vAlign w:val="bottom"/>
            <w:gridSpan w:val="5"/>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4"/>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85"/>
        </w:trPr>
        <w:tc>
          <w:tcPr>
            <w:tcW w:w="196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340" w:type="dxa"/>
            <w:vAlign w:val="bottom"/>
            <w:gridSpan w:val="5"/>
          </w:tcPr>
          <w:p>
            <w:pPr>
              <w:spacing w:after="0"/>
              <w:rPr>
                <w:rFonts w:ascii="Arial" w:cs="Arial" w:eastAsia="Arial" w:hAnsi="Arial"/>
                <w:sz w:val="18"/>
                <w:szCs w:val="18"/>
                <w:color w:val="0000EE"/>
                <w:w w:val="96"/>
              </w:rPr>
            </w:pPr>
            <w:hyperlink w:anchor="page37">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4"/>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98"/>
        </w:trPr>
        <w:tc>
          <w:tcPr>
            <w:tcW w:w="196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340" w:type="dxa"/>
            <w:vAlign w:val="bottom"/>
            <w:gridSpan w:val="5"/>
          </w:tcPr>
          <w:p>
            <w:pPr>
              <w:spacing w:after="0"/>
              <w:rPr>
                <w:sz w:val="20"/>
                <w:szCs w:val="20"/>
                <w:color w:val="auto"/>
              </w:rPr>
            </w:pPr>
            <w:r>
              <w:rPr>
                <w:rFonts w:ascii="Arial" w:cs="Arial" w:eastAsia="Arial" w:hAnsi="Arial"/>
                <w:sz w:val="18"/>
                <w:szCs w:val="18"/>
                <w:color w:val="auto"/>
                <w:w w:val="96"/>
              </w:rPr>
              <w:t>The following materials from Asure Software, Inc.’s Quarterly Report on Form 10-Q for the quarter ended March 31, 2017,</w:t>
            </w:r>
          </w:p>
        </w:tc>
      </w:tr>
      <w:tr>
        <w:trPr>
          <w:trHeight w:val="203"/>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40" w:type="dxa"/>
            <w:vAlign w:val="bottom"/>
            <w:gridSpan w:val="5"/>
          </w:tcPr>
          <w:p>
            <w:pPr>
              <w:spacing w:after="0" w:line="202" w:lineRule="exact"/>
              <w:rPr>
                <w:sz w:val="20"/>
                <w:szCs w:val="20"/>
                <w:color w:val="auto"/>
              </w:rPr>
            </w:pPr>
            <w:r>
              <w:rPr>
                <w:rFonts w:ascii="Arial" w:cs="Arial" w:eastAsia="Arial" w:hAnsi="Arial"/>
                <w:sz w:val="18"/>
                <w:szCs w:val="18"/>
                <w:color w:val="auto"/>
                <w:w w:val="97"/>
              </w:rPr>
              <w:t>formatted in XBRL (Extensible Business Reporting Language): (1) the Condensed Consolidated Balance Sheets, (2) the</w:t>
            </w:r>
          </w:p>
        </w:tc>
      </w:tr>
      <w:tr>
        <w:trPr>
          <w:trHeight w:val="203"/>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40" w:type="dxa"/>
            <w:vAlign w:val="bottom"/>
            <w:gridSpan w:val="5"/>
          </w:tcPr>
          <w:p>
            <w:pPr>
              <w:spacing w:after="0" w:line="202" w:lineRule="exact"/>
              <w:rPr>
                <w:sz w:val="20"/>
                <w:szCs w:val="20"/>
                <w:color w:val="auto"/>
              </w:rPr>
            </w:pPr>
            <w:r>
              <w:rPr>
                <w:rFonts w:ascii="Arial" w:cs="Arial" w:eastAsia="Arial" w:hAnsi="Arial"/>
                <w:sz w:val="18"/>
                <w:szCs w:val="18"/>
                <w:color w:val="auto"/>
                <w:w w:val="91"/>
              </w:rPr>
              <w:t>Condensed Consolidated Statements of Comprehensive Loss, (3) the Condensed Consolidated Statements of Cash Flows, and</w:t>
            </w: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340" w:type="dxa"/>
            <w:vAlign w:val="bottom"/>
            <w:gridSpan w:val="5"/>
          </w:tcPr>
          <w:p>
            <w:pPr>
              <w:spacing w:after="0"/>
              <w:rPr>
                <w:sz w:val="20"/>
                <w:szCs w:val="20"/>
                <w:color w:val="auto"/>
              </w:rPr>
            </w:pPr>
            <w:r>
              <w:rPr>
                <w:rFonts w:ascii="Arial" w:cs="Arial" w:eastAsia="Arial" w:hAnsi="Arial"/>
                <w:sz w:val="18"/>
                <w:szCs w:val="18"/>
                <w:color w:val="auto"/>
              </w:rPr>
              <w:t>(4) Notes to Condensed Consolidated Financial Statements.</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3.1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00" w:lineRule="exact"/>
        <w:rPr>
          <w:sz w:val="20"/>
          <w:szCs w:val="20"/>
          <w:color w:val="auto"/>
        </w:rPr>
      </w:pPr>
    </w:p>
    <w:p>
      <w:pPr>
        <w:spacing w:after="0" w:line="2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Asure Software, Inc., a Delaware corporation, hereby certifies that:</w:t>
      </w:r>
    </w:p>
    <w:p>
      <w:pPr>
        <w:spacing w:after="0" w:line="293" w:lineRule="exact"/>
        <w:rPr>
          <w:sz w:val="20"/>
          <w:szCs w:val="20"/>
          <w:color w:val="auto"/>
        </w:rPr>
      </w:pPr>
    </w:p>
    <w:p>
      <w:pPr>
        <w:ind w:left="1340" w:hanging="684"/>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present name of the corporation is Asure Software, Inc.</w:t>
      </w:r>
    </w:p>
    <w:p>
      <w:pPr>
        <w:spacing w:after="0" w:line="211" w:lineRule="exact"/>
        <w:rPr>
          <w:rFonts w:ascii="Arial" w:cs="Arial" w:eastAsia="Arial" w:hAnsi="Arial"/>
          <w:sz w:val="18"/>
          <w:szCs w:val="18"/>
          <w:color w:val="auto"/>
        </w:rPr>
      </w:pPr>
    </w:p>
    <w:p>
      <w:pPr>
        <w:ind w:firstLine="656"/>
        <w:spacing w:after="0" w:line="309" w:lineRule="auto"/>
        <w:tabs>
          <w:tab w:leader="none" w:pos="1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corporation was originally incorporated under the name VideoTelecom Corp., and its original certificate of incorporation was filed with the Secretary of State of the State of Delaware on May 30, 1989.</w:t>
      </w:r>
    </w:p>
    <w:p>
      <w:pPr>
        <w:spacing w:after="0" w:line="128" w:lineRule="exact"/>
        <w:rPr>
          <w:rFonts w:ascii="Arial" w:cs="Arial" w:eastAsia="Arial" w:hAnsi="Arial"/>
          <w:sz w:val="18"/>
          <w:szCs w:val="18"/>
          <w:color w:val="auto"/>
        </w:rPr>
      </w:pPr>
    </w:p>
    <w:p>
      <w:pPr>
        <w:jc w:val="both"/>
        <w:ind w:firstLine="656"/>
        <w:spacing w:after="0" w:line="288" w:lineRule="auto"/>
        <w:tabs>
          <w:tab w:leader="none" w:pos="149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corporation’s Board of Directors has duly adopted this Restated Certificate of Incorporation in accordance with the provisions of Section 242 and Section 245 of the General Corporation Law of the State of Delaware (“DGCL”). This Restated Certificate of Incorporation only restates and integrates and does not further amend (except as permitted under Section 242(b)(1) of the DGCL) the provisions of the corporation’s certificate of incorporation, as theretofore amended or supplemented, and there is no discrepancy between those provisions and the provisions of this Restated Certificate of Incorporation.</w:t>
      </w:r>
    </w:p>
    <w:p>
      <w:pPr>
        <w:spacing w:after="0" w:line="149" w:lineRule="exact"/>
        <w:rPr>
          <w:rFonts w:ascii="Arial" w:cs="Arial" w:eastAsia="Arial" w:hAnsi="Arial"/>
          <w:sz w:val="18"/>
          <w:szCs w:val="18"/>
          <w:color w:val="auto"/>
        </w:rPr>
      </w:pPr>
    </w:p>
    <w:p>
      <w:pPr>
        <w:ind w:left="1340" w:hanging="684"/>
        <w:spacing w:after="0"/>
        <w:tabs>
          <w:tab w:leader="none" w:pos="1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text of the certificate of incorporation, as heretofore amended or supplemented, is hereby restated to read in its entirety as follows:</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(the “Corporation”) is Asure Software, Inc.</w:t>
      </w:r>
    </w:p>
    <w:p>
      <w:pPr>
        <w:spacing w:after="0" w:line="25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The address of the Corporation’s registered office in the State of Delaware is Corporation Trust Center, 1209 Orange Street, in the city of</w:t>
      </w:r>
      <w:r>
        <w:rPr>
          <w:rFonts w:ascii="Arial" w:cs="Arial" w:eastAsia="Arial" w:hAnsi="Arial"/>
          <w:sz w:val="18"/>
          <w:szCs w:val="18"/>
          <w:b w:val="1"/>
          <w:bCs w:val="1"/>
          <w:color w:val="auto"/>
        </w:rPr>
        <w:t xml:space="preserve"> </w:t>
      </w:r>
      <w:r>
        <w:rPr>
          <w:rFonts w:ascii="Arial" w:cs="Arial" w:eastAsia="Arial" w:hAnsi="Arial"/>
          <w:sz w:val="18"/>
          <w:szCs w:val="18"/>
          <w:color w:val="auto"/>
        </w:rPr>
        <w:t>Wilmington, County of New Castle, 19801. The name of its registered agent at such address is The Corporation Trust Company.</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purpose of the Corporation is to engage in any lawful act or activity for which corporations may be organized under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Law of Delaware.</w:t>
      </w:r>
    </w:p>
    <w:p>
      <w:pPr>
        <w:spacing w:after="0" w:line="16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The Corporation shall have the authority to issue two (2) classes of shares to be designated, respectively, “Preferred Stock”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All of said shares shall be One Cent ($.01) par value each. The total number of shares of capital stock which the Corporation shall have the authority to issue is Twenty-Three Million Five Hundred Thousand (23,500,000), which shall consist of Twenty-Two Million (22,000,000) shares of Common Stock and One and One-Half Million (1,500,000) shares of Preferred Stock.</w:t>
      </w:r>
    </w:p>
    <w:p>
      <w:pPr>
        <w:spacing w:after="0" w:line="181"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The relative preferences, powers, rights, qualifications, limitations and restrictions in respect of the Common Stock and the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are as follows:</w:t>
      </w:r>
    </w:p>
    <w:p>
      <w:pPr>
        <w:spacing w:after="0" w:line="16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The Preferred Stock authorized by this Restated Certificate of Incorporation may be issued from time to time in one or more series. The Board of Directors of the Corporation (the “Board of Directors”) is hereby authorized to fix or alter the dividend rights, dividend rate, conversion rights, voting rights, rights and terms of redemption, including sinking fund provisions, the redemption price or prices, the liquidation preferences and the other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 w:name="page26"/>
    <w:bookmarkEnd w:id="25"/>
    <w:p>
      <w:pPr>
        <w:jc w:val="both"/>
        <w:spacing w:after="0" w:line="309" w:lineRule="auto"/>
        <w:rPr>
          <w:sz w:val="20"/>
          <w:szCs w:val="20"/>
          <w:color w:val="auto"/>
        </w:rPr>
      </w:pPr>
      <w:r>
        <w:rPr>
          <w:rFonts w:ascii="Arial" w:cs="Arial" w:eastAsia="Arial" w:hAnsi="Arial"/>
          <w:sz w:val="18"/>
          <w:szCs w:val="18"/>
          <w:color w:val="auto"/>
        </w:rPr>
        <w:t>powers, rights, qualifications, limitations and restrictions of any wholly unissued class or series of Preferred Stock and the number of shares constituting any such series and the designation thereof, or any of them.</w:t>
      </w:r>
    </w:p>
    <w:p>
      <w:pPr>
        <w:spacing w:after="0" w:line="16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The Board of Directors is further authorized to increase or decrease the number of shares of any series of Preferred Stock, the number of which was fixed by it, subsequent to the issue of shares of that series, but not below the number of shares of such series then outstanding, subject to the limitations and restrictions stated in the resolution of the Board of Directors originally fixing the number of shares of such series. In case the number of shares of any series shall be so decreased, the shares constituting such decrease shall resume the status which they had prior to the adoption of the resolution originally fixing the number of shares of such series.</w:t>
      </w:r>
    </w:p>
    <w:p>
      <w:pPr>
        <w:spacing w:after="0" w:line="203" w:lineRule="exact"/>
        <w:rPr>
          <w:sz w:val="20"/>
          <w:szCs w:val="20"/>
          <w:color w:val="auto"/>
        </w:rPr>
      </w:pPr>
    </w:p>
    <w:p>
      <w:pPr>
        <w:ind w:firstLine="656"/>
        <w:spacing w:after="0" w:line="277" w:lineRule="auto"/>
        <w:tabs>
          <w:tab w:leader="none" w:pos="1364"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Designation and Amount. The shares of such series shall be designated as “Series A Junior Participating Preferred Stock,” par value $0.01 per share, and the number of shares constituting such series shall be Three Hundred Fifty Thousand (350,000).</w:t>
      </w:r>
    </w:p>
    <w:p>
      <w:pPr>
        <w:spacing w:after="0" w:line="197" w:lineRule="exact"/>
        <w:rPr>
          <w:rFonts w:ascii="Arial" w:cs="Arial" w:eastAsia="Arial" w:hAnsi="Arial"/>
          <w:sz w:val="18"/>
          <w:szCs w:val="18"/>
          <w:color w:val="auto"/>
        </w:rPr>
      </w:pPr>
    </w:p>
    <w:p>
      <w:pPr>
        <w:ind w:left="1340" w:hanging="684"/>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252"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2.1. Subject to the prior and superior right of the holders of any shares of any series of Preferred Stock ranking prior and superior to the shares of Series A Junior Participating Preferred Stock with respect to dividends, the holders of shares of Series A Junior Participating Preferred Stock shall be entitled to receive when, as and if declared by the Board of Directors out of funds legally available for the purpose, quarterly dividends payable in cash on the last day of March, June, September and December in each year (each such date being referred to herein as a “QUARTERLY DIVIDEND PAYMENT DATE”), commencing on the first Quarterly Dividend Payment Date after the first issuance of a share or fraction of a share of Series A Junior Participating Preferred Stock, in an amount per share (rounded to the nearest cent) equal to,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of the Corporation (the “COMMON STOCK”) since the immediately preceding Quarterly Dividend Payment Date, or, with respect to the first Quarterly Dividend Payment Date, since the first issuance of any share or fraction of a share of Series A Junior Participating Preferred Stock. In the event the Corporation shall at any time after October 28, 2009 (the “RIGHTS DECLARATION DATE”) (i) declare any dividend on Common Stock payable in shares of Common Stock, (ii) subdivide the outstanding Common Stock, or (iii) combine the outstanding Common Stock into a smaller number of shares, then in each such case the amount to which holders of shares of Series A Junior Participating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2.2. The Corporation shall declare a dividend or distribution on the Series A Junior Participating Preferred Stock as provided in paragraph (A) above immediately after it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declares a dividend or distribution on the Common Stock (other than a dividend payable in shares of Common Stock).</w:t>
      </w:r>
    </w:p>
    <w:p>
      <w:pPr>
        <w:spacing w:after="0" w:line="26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2.3. 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30 days prior to the date fixed for the payment thereof.</w:t>
      </w:r>
    </w:p>
    <w:p>
      <w:pPr>
        <w:spacing w:after="0" w:line="196" w:lineRule="exact"/>
        <w:rPr>
          <w:sz w:val="20"/>
          <w:szCs w:val="20"/>
          <w:color w:val="auto"/>
        </w:rPr>
      </w:pPr>
    </w:p>
    <w:p>
      <w:pPr>
        <w:ind w:left="1340" w:hanging="684"/>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Rights. The holders of shares of Series A Junior Participating Preferred Stock shall have the following voting rights:</w:t>
      </w:r>
    </w:p>
    <w:p>
      <w:pPr>
        <w:spacing w:after="0" w:line="25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3.1. Subject to the provision for adjustment hereinafter set forth, each one-one-thousandth of a share of Series A Junior Participating Preferred Stock shall entitle the holder thereof to one vote on all matters submitted to a vote of the stockholders of the Corporation. In the event the Corporation shall at any time after the Rights Declaration Date (i) declare any dividend on Common Stock payable in shares of Common Stock, (ii) subdivide the outstanding Common Stock, or (iii) combine the Outstanding Common Stock into a smaller number of shares, then in each such case the number of votes per share to which holders of shares of Series A Junior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3.2. Except as otherwise provided herein or by law, the holders of shares of Series A Junior Participating Preferred Stock and the holders of shares of Common Stock shall vote together as one class on all matters submitted to a vote of stockholders of the Corporation.</w:t>
      </w:r>
    </w:p>
    <w:p>
      <w:pPr>
        <w:spacing w:after="0" w:line="197"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3.3. Except as required by law, holders of Series A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7" w:name="page28"/>
    <w:bookmarkEnd w:id="27"/>
    <w:p>
      <w:pPr>
        <w:ind w:left="1340" w:hanging="684"/>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Restrictions.</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4.1. The Corporation shall not declare any dividend on, make any distribution on, or redeem or purchase or otherwise acquire for consideration any shares of Common Stock after the first issuance of a share or fraction of a share of Series A Junior Participating Preferred Stock unless concurrently therewith it shall declare a dividend on such Preferred Stock as required by Section 2 hereof.</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4.2. Whenever quarterly dividends or other dividends or distributions payable on the Series A Junior Participating Preferred Stock as provided in Section 2 hereof are in arrears, thereafter and until all accrued and unpaid dividends and distributions, whether or not declared, on shares of the Series A Junior Participating Preferred Stock outstanding shall have been paid in full, the Corporation shall not:</w:t>
      </w:r>
    </w:p>
    <w:p>
      <w:pPr>
        <w:spacing w:after="0" w:line="174" w:lineRule="exact"/>
        <w:rPr>
          <w:sz w:val="20"/>
          <w:szCs w:val="20"/>
          <w:color w:val="auto"/>
        </w:rPr>
      </w:pPr>
    </w:p>
    <w:p>
      <w:pPr>
        <w:jc w:val="both"/>
        <w:ind w:left="660" w:firstLine="1293"/>
        <w:spacing w:after="0" w:line="247" w:lineRule="auto"/>
        <w:tabs>
          <w:tab w:leader="none" w:pos="2201" w:val="left"/>
        </w:tabs>
        <w:numPr>
          <w:ilvl w:val="0"/>
          <w:numId w:val="8"/>
        </w:numPr>
        <w:rPr>
          <w:rFonts w:ascii="Arial" w:cs="Arial" w:eastAsia="Arial" w:hAnsi="Arial"/>
          <w:sz w:val="18"/>
          <w:szCs w:val="18"/>
          <w:color w:val="auto"/>
        </w:rPr>
      </w:pPr>
      <w:r>
        <w:rPr>
          <w:rFonts w:ascii="Arial" w:cs="Arial" w:eastAsia="Arial" w:hAnsi="Arial"/>
          <w:sz w:val="22"/>
          <w:szCs w:val="22"/>
          <w:color w:val="auto"/>
        </w:rPr>
        <w:t>declare or pay dividends on, make any other distributions on, or redeem or purchase or otherwise acquire for consideration any shares of stock ranking junior (either as to dividends or upon liquidation, dissolution or winding up) to the Series A Junior Participating Preferred Stock;</w:t>
      </w:r>
    </w:p>
    <w:p>
      <w:pPr>
        <w:spacing w:after="0" w:line="177" w:lineRule="exact"/>
        <w:rPr>
          <w:rFonts w:ascii="Arial" w:cs="Arial" w:eastAsia="Arial" w:hAnsi="Arial"/>
          <w:sz w:val="18"/>
          <w:szCs w:val="18"/>
          <w:color w:val="auto"/>
        </w:rPr>
      </w:pPr>
    </w:p>
    <w:p>
      <w:pPr>
        <w:jc w:val="both"/>
        <w:ind w:left="660" w:firstLine="1293"/>
        <w:spacing w:after="0" w:line="239" w:lineRule="auto"/>
        <w:tabs>
          <w:tab w:leader="none" w:pos="2238" w:val="left"/>
        </w:tabs>
        <w:numPr>
          <w:ilvl w:val="0"/>
          <w:numId w:val="8"/>
        </w:numPr>
        <w:rPr>
          <w:rFonts w:ascii="Arial" w:cs="Arial" w:eastAsia="Arial" w:hAnsi="Arial"/>
          <w:sz w:val="18"/>
          <w:szCs w:val="18"/>
          <w:color w:val="auto"/>
        </w:rPr>
      </w:pPr>
      <w:r>
        <w:rPr>
          <w:rFonts w:ascii="Arial" w:cs="Arial" w:eastAsia="Arial" w:hAnsi="Arial"/>
          <w:sz w:val="22"/>
          <w:szCs w:val="22"/>
          <w:color w:val="auto"/>
        </w:rPr>
        <w:t>declare or pay dividends on,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w:t>
      </w:r>
    </w:p>
    <w:p>
      <w:pPr>
        <w:spacing w:after="0" w:line="185" w:lineRule="exact"/>
        <w:rPr>
          <w:rFonts w:ascii="Arial" w:cs="Arial" w:eastAsia="Arial" w:hAnsi="Arial"/>
          <w:sz w:val="18"/>
          <w:szCs w:val="18"/>
          <w:color w:val="auto"/>
        </w:rPr>
      </w:pPr>
    </w:p>
    <w:p>
      <w:pPr>
        <w:jc w:val="both"/>
        <w:ind w:left="660" w:firstLine="1293"/>
        <w:spacing w:after="0" w:line="253" w:lineRule="auto"/>
        <w:tabs>
          <w:tab w:leader="none" w:pos="2201" w:val="left"/>
        </w:tabs>
        <w:numPr>
          <w:ilvl w:val="0"/>
          <w:numId w:val="8"/>
        </w:numPr>
        <w:rPr>
          <w:rFonts w:ascii="Arial" w:cs="Arial" w:eastAsia="Arial" w:hAnsi="Arial"/>
          <w:sz w:val="17"/>
          <w:szCs w:val="17"/>
          <w:color w:val="auto"/>
        </w:rPr>
      </w:pPr>
      <w:r>
        <w:rPr>
          <w:rFonts w:ascii="Arial" w:cs="Arial" w:eastAsia="Arial" w:hAnsi="Arial"/>
          <w:sz w:val="21"/>
          <w:szCs w:val="21"/>
          <w:color w:val="auto"/>
        </w:rPr>
        <w:t>redeem or purchase or otherwise acquire for consideration shares of any stock ranking on a parity (either as to dividends or upon liquidation, dissolution or winding up) with the Series A Junior Participating Preferred Stock, provided that the Corporation may at any time redeem, purchase or otherwise acquire shares of any such parity stock in exchange for shares of any stock of the Corporation ranking junior (either as to dividends or upon dissolution, liquidation or winding up) to the Series A Junior Participating Preferred Stock;</w:t>
      </w:r>
    </w:p>
    <w:p>
      <w:pPr>
        <w:spacing w:after="0" w:line="172" w:lineRule="exact"/>
        <w:rPr>
          <w:rFonts w:ascii="Arial" w:cs="Arial" w:eastAsia="Arial" w:hAnsi="Arial"/>
          <w:sz w:val="17"/>
          <w:szCs w:val="17"/>
          <w:color w:val="auto"/>
        </w:rPr>
      </w:pPr>
    </w:p>
    <w:p>
      <w:pPr>
        <w:jc w:val="both"/>
        <w:ind w:left="660" w:firstLine="1293"/>
        <w:spacing w:after="0" w:line="250" w:lineRule="auto"/>
        <w:tabs>
          <w:tab w:leader="none" w:pos="2211" w:val="left"/>
        </w:tabs>
        <w:numPr>
          <w:ilvl w:val="0"/>
          <w:numId w:val="8"/>
        </w:numPr>
        <w:rPr>
          <w:rFonts w:ascii="Arial" w:cs="Arial" w:eastAsia="Arial" w:hAnsi="Arial"/>
          <w:sz w:val="17"/>
          <w:szCs w:val="17"/>
          <w:color w:val="auto"/>
        </w:rPr>
      </w:pPr>
      <w:r>
        <w:rPr>
          <w:rFonts w:ascii="Arial" w:cs="Arial" w:eastAsia="Arial" w:hAnsi="Arial"/>
          <w:sz w:val="21"/>
          <w:szCs w:val="21"/>
          <w:color w:val="auto"/>
        </w:rPr>
        <w:t>purchase or otherwise acquire for consideration any shares of the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21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4.3. 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8" w:name="page29"/>
    <w:bookmarkEnd w:id="28"/>
    <w:p>
      <w:pPr>
        <w:jc w:val="both"/>
        <w:ind w:firstLine="656"/>
        <w:spacing w:after="0" w:line="259" w:lineRule="auto"/>
        <w:tabs>
          <w:tab w:leader="none" w:pos="135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Reacquired Shares. Any shares of Series A Junior Participating Preferred Stock purchased or otherwise acquired by the Corporation in any 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spacing w:after="0" w:line="213" w:lineRule="exact"/>
        <w:rPr>
          <w:rFonts w:ascii="Arial" w:cs="Arial" w:eastAsia="Arial" w:hAnsi="Arial"/>
          <w:sz w:val="18"/>
          <w:szCs w:val="18"/>
          <w:color w:val="auto"/>
        </w:rPr>
      </w:pPr>
    </w:p>
    <w:p>
      <w:pPr>
        <w:ind w:left="1340" w:hanging="684"/>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Liquidation, Dissolution or Winding Up.</w:t>
      </w:r>
    </w:p>
    <w:p>
      <w:pPr>
        <w:spacing w:after="0" w:line="25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6.1. Upon any liquidation (voluntary or otherwise), dissolution or winding up of the Corporation, no distribution shall be made to the holders of shares of stock ranking junior (either as to dividends or upon liquidation, dissolution or winding up) to the Series A Junior Participating Preferred Stock unless, prior thereto, the holders of shares of the Series A Junior Participating Preferred Stock shall have received an amount equal to accrued and unpaid dividends and distributions thereon, whether or not declared, to the date of such payment, plus an amount equal to the greater of (1) $10 per share, provided that in the event the Corporation does not have sufficient assets, after payment of its liabilities and distribution to holders of Preferred Stock ranking prior to the Series A Junior Participating Preferred Stock, available to permit payment in full of the $10 per share amount, the amount required to be paid under this Section 6(A)(1) shall, subject to Section 6(B) hereof, equal the value of the amount of available assets divided by the number of Outstanding shares of the Series A Junior Participating Preferred Stock or (2) subject to the provisions for adjustment hereinafter set forth, 1,000 times the aggregate per share amount to be distributed to the holders of Common Stock (the greater of (1) or (2), the “Series A Liquidation Preference”). In the event the Corporation shall at any time after the Rights Declaration Date (i) declare any dividend on Common Stock payable in shares of Common Stock, (ii) subdivide the outstanding Common Stock, or (iii) combine the outstanding Common Stock into a smaller number of shares, then in each such case the amount to which holders of shares of Series A Junior Participating Preferred Stock were entitled immediately prior to such event under clause (2) of the preceding sentence shall be adjusted by multiplying such amount by a fraction the numerator of which is the number of shares of Common Stock that were outstanding immediately after such event and the denominator of which is the number of shares of Common Stock that were outstanding immediately prior to such event.</w:t>
      </w:r>
    </w:p>
    <w:p>
      <w:pPr>
        <w:spacing w:after="0" w:line="19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6.2. In the event, however, that there are not sufficient assets available to permit payment in full of the Series A Liquidation Preference and the liquidation preferences of all other series of Preferred Stock, if any, which rank on a parity with the Series A Junior Participating Preferred Stock, then such remaining assets shall be distributed ratably to the holders of such parity shares in proportion to their respective liquidation preferences.</w:t>
      </w:r>
    </w:p>
    <w:p>
      <w:pPr>
        <w:spacing w:after="0" w:line="174" w:lineRule="exact"/>
        <w:rPr>
          <w:sz w:val="20"/>
          <w:szCs w:val="20"/>
          <w:color w:val="auto"/>
        </w:rPr>
      </w:pPr>
    </w:p>
    <w:p>
      <w:pPr>
        <w:jc w:val="both"/>
        <w:ind w:firstLine="656"/>
        <w:spacing w:after="0" w:line="297" w:lineRule="auto"/>
        <w:tabs>
          <w:tab w:leader="none" w:pos="13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Consolidation, Merger, etc. In case the Corporation shall enter into any consolidation, merger, combination or other transaction in which the shares of Common Stock are exchanged for or changed into other stock or securities, cash and/or any other property, then in any such case the shares of Series A Junior Participating Preferred Stock shall at the same time be similarly exchanged or changed in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9" w:name="page30"/>
    <w:bookmarkEnd w:id="29"/>
    <w:p>
      <w:pPr>
        <w:jc w:val="both"/>
        <w:spacing w:after="0" w:line="276" w:lineRule="auto"/>
        <w:rPr>
          <w:sz w:val="20"/>
          <w:szCs w:val="20"/>
          <w:color w:val="auto"/>
        </w:rPr>
      </w:pPr>
      <w:r>
        <w:rPr>
          <w:rFonts w:ascii="Arial" w:cs="Arial" w:eastAsia="Arial" w:hAnsi="Arial"/>
          <w:sz w:val="17"/>
          <w:szCs w:val="17"/>
          <w:color w:val="auto"/>
        </w:rPr>
        <w:t>time after the Rights Declaration Date (i) declare any dividend on Common Stock payable in shares of Common Stock, (ii) subdivide the outstanding Common Stock, or (iii) combine the outstanding Common Stock into a smaller number of shares, then in each such case the amount set forth in the preceding sentence with respect to the exchange or change of shares of Series A Junior Participating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ind w:left="1340" w:hanging="684"/>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Redemption. The shares of Series A Junior Participating Preferred Stock shall not be redeemable.</w:t>
      </w:r>
    </w:p>
    <w:p>
      <w:pPr>
        <w:spacing w:after="0" w:line="252" w:lineRule="exact"/>
        <w:rPr>
          <w:rFonts w:ascii="Arial" w:cs="Arial" w:eastAsia="Arial" w:hAnsi="Arial"/>
          <w:sz w:val="18"/>
          <w:szCs w:val="18"/>
          <w:color w:val="auto"/>
        </w:rPr>
      </w:pPr>
    </w:p>
    <w:p>
      <w:pPr>
        <w:ind w:firstLine="656"/>
        <w:spacing w:after="0" w:line="277" w:lineRule="auto"/>
        <w:tabs>
          <w:tab w:leader="none" w:pos="1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Ranking. The Series A Junior Participating Preferred Stock shall rank junior to all other series of the Corporation’s Preferred Stock as to the payment of dividends and the distribution of assets, unless the terms of any such series shall provide otherwise.</w:t>
      </w:r>
    </w:p>
    <w:p>
      <w:pPr>
        <w:spacing w:after="0" w:line="197" w:lineRule="exact"/>
        <w:rPr>
          <w:rFonts w:ascii="Arial" w:cs="Arial" w:eastAsia="Arial" w:hAnsi="Arial"/>
          <w:sz w:val="18"/>
          <w:szCs w:val="18"/>
          <w:color w:val="auto"/>
        </w:rPr>
      </w:pPr>
    </w:p>
    <w:p>
      <w:pPr>
        <w:jc w:val="both"/>
        <w:ind w:firstLine="656"/>
        <w:spacing w:after="0" w:line="312" w:lineRule="auto"/>
        <w:tabs>
          <w:tab w:leader="none" w:pos="1427"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Amendment. The Certificate of Incorporation of the Corporation shall not be further amended in any manner which would materially alter or change the powers, preference or special rights of the Series A Junior Participating Preferred Stock so as to affect them adversely without the affirmative vote of the holders of a majority or more of the outstanding shares of the Series A Junior Participating Preferred Stock, voting separately as a class.</w:t>
      </w:r>
    </w:p>
    <w:p>
      <w:pPr>
        <w:spacing w:after="0" w:line="173" w:lineRule="exact"/>
        <w:rPr>
          <w:rFonts w:ascii="Arial" w:cs="Arial" w:eastAsia="Arial" w:hAnsi="Arial"/>
          <w:sz w:val="16"/>
          <w:szCs w:val="16"/>
          <w:color w:val="auto"/>
        </w:rPr>
      </w:pPr>
    </w:p>
    <w:p>
      <w:pPr>
        <w:jc w:val="both"/>
        <w:ind w:firstLine="656"/>
        <w:spacing w:after="0" w:line="264" w:lineRule="auto"/>
        <w:tabs>
          <w:tab w:leader="none" w:pos="15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Fractional Shares. Series A Junior Participating Preferred Stock may be issued in fractions of a share which shall entitle the holder, in proportion to such holder’s fractional shares, to exercise voting rights, receive dividends, participate in distributions and to have the benefit of all other rights of holders of the Series A Junior Participating Preferred Stock.”</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SIXTH</w:t>
      </w:r>
      <w:r>
        <w:rPr>
          <w:rFonts w:ascii="Arial" w:cs="Arial" w:eastAsia="Arial" w:hAnsi="Arial"/>
          <w:sz w:val="18"/>
          <w:szCs w:val="18"/>
          <w:color w:val="auto"/>
        </w:rPr>
        <w:t>: Elections of directors need not be by ballot unless the By-Laws of the Corporation shall so provide.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SEVENTH</w:t>
      </w:r>
      <w:r>
        <w:rPr>
          <w:rFonts w:ascii="Arial" w:cs="Arial" w:eastAsia="Arial" w:hAnsi="Arial"/>
          <w:sz w:val="18"/>
          <w:szCs w:val="18"/>
          <w:color w:val="auto"/>
        </w:rPr>
        <w:t>: The Board of Directors of the Corporation may make By-Laws and from time-to-time may alter, amend or repeal By-Laws.</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EIGHTH</w:t>
      </w:r>
      <w:r>
        <w:rPr>
          <w:rFonts w:ascii="Arial" w:cs="Arial" w:eastAsia="Arial" w:hAnsi="Arial"/>
          <w:sz w:val="18"/>
          <w:szCs w:val="18"/>
          <w:color w:val="auto"/>
        </w:rPr>
        <w:t>: No director of the Corporation shall have personal liability to the Corporation or its stockholders for monetary damages for breach of</w:t>
      </w:r>
      <w:r>
        <w:rPr>
          <w:rFonts w:ascii="Arial" w:cs="Arial" w:eastAsia="Arial" w:hAnsi="Arial"/>
          <w:sz w:val="18"/>
          <w:szCs w:val="18"/>
          <w:b w:val="1"/>
          <w:bCs w:val="1"/>
          <w:color w:val="auto"/>
        </w:rPr>
        <w:t xml:space="preserve"> </w:t>
      </w:r>
      <w:r>
        <w:rPr>
          <w:rFonts w:ascii="Arial" w:cs="Arial" w:eastAsia="Arial" w:hAnsi="Arial"/>
          <w:sz w:val="18"/>
          <w:szCs w:val="18"/>
          <w:color w:val="auto"/>
        </w:rPr>
        <w:t>fiduciary duty as a director, provided that nothing in this Article 8 shall eliminate or limit the liability of a director (i) for any breach of the director’s duty of loyalty to the Corporation or its stockholders, (ii) for acts or omissions not in good faith or which involve intentional misconduct or a knowing violation of law, (iii) under § 174 of the Delaware General Corporation Law (the “DGCL”), or (iv) for any transaction from which the director derived an improper personal benefit. In the event the DGCL is amended after the date hereof so as to authorize corporate action further eliminating or limiting the liability of directors of the Corporation, the liability of the directors shall thereupon be eliminated or limited to the maximum extent permitted by the DGCL, as so amended from time to time.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NINTH</w:t>
      </w:r>
      <w:r>
        <w:rPr>
          <w:rFonts w:ascii="Arial" w:cs="Arial" w:eastAsia="Arial" w:hAnsi="Arial"/>
          <w:sz w:val="18"/>
          <w:szCs w:val="18"/>
          <w:color w:val="auto"/>
        </w:rPr>
        <w:t>: The Corporation shall indemnify any person:</w:t>
      </w:r>
    </w:p>
    <w:p>
      <w:pPr>
        <w:spacing w:after="0" w:line="270" w:lineRule="exact"/>
        <w:rPr>
          <w:sz w:val="20"/>
          <w:szCs w:val="20"/>
          <w:color w:val="auto"/>
        </w:rPr>
      </w:pPr>
    </w:p>
    <w:p>
      <w:pPr>
        <w:ind w:firstLine="656"/>
        <w:spacing w:after="0" w:line="309" w:lineRule="auto"/>
        <w:tabs>
          <w:tab w:leader="none" w:pos="14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who was or is a party or is threatened to be made a party to any threatened, pending or completed action, suit or proceeding, whether civil, criminal, administrative 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jc w:val="both"/>
        <w:spacing w:after="0" w:line="325" w:lineRule="auto"/>
        <w:rPr>
          <w:sz w:val="20"/>
          <w:szCs w:val="20"/>
          <w:color w:val="auto"/>
        </w:rPr>
      </w:pPr>
      <w:r>
        <w:rPr>
          <w:rFonts w:ascii="Arial" w:cs="Arial" w:eastAsia="Arial" w:hAnsi="Arial"/>
          <w:sz w:val="16"/>
          <w:szCs w:val="16"/>
          <w:color w:val="auto"/>
        </w:rPr>
        <w:t>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his action was unlawful, or</w:t>
      </w:r>
    </w:p>
    <w:p>
      <w:pPr>
        <w:spacing w:after="0" w:line="181" w:lineRule="exact"/>
        <w:rPr>
          <w:sz w:val="20"/>
          <w:szCs w:val="20"/>
          <w:color w:val="auto"/>
        </w:rPr>
      </w:pPr>
    </w:p>
    <w:p>
      <w:pPr>
        <w:jc w:val="both"/>
        <w:ind w:firstLine="656"/>
        <w:spacing w:after="0" w:line="303" w:lineRule="auto"/>
        <w:tabs>
          <w:tab w:leader="none" w:pos="1466" w:val="left"/>
        </w:tabs>
        <w:numPr>
          <w:ilvl w:val="0"/>
          <w:numId w:val="13"/>
        </w:numPr>
        <w:rPr>
          <w:rFonts w:ascii="Arial" w:cs="Arial" w:eastAsia="Arial" w:hAnsi="Arial"/>
          <w:sz w:val="17"/>
          <w:szCs w:val="17"/>
          <w:color w:val="auto"/>
        </w:rPr>
      </w:pPr>
      <w:r>
        <w:rPr>
          <w:rFonts w:ascii="Arial" w:cs="Arial" w:eastAsia="Arial" w:hAnsi="Arial"/>
          <w:sz w:val="17"/>
          <w:szCs w:val="17"/>
          <w:color w:val="auto"/>
        </w:rPr>
        <w:t>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matters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To the extent that a director, officer, employee or agent of the Corporation has been successful on the merits or otherwise in defense of any action, suit or proceeding referred to in subparagraphs (a) and (b) of this Article 9, or in defense of any claim, issue or matter therein, he shall be indemnified against expenses (including attorneys’ fees) actually and reasonably incurred by him in connection therewith.</w:t>
      </w:r>
    </w:p>
    <w:p>
      <w:pPr>
        <w:spacing w:after="0" w:line="182"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Any indemnification under subparagraphs (a) and (b) of this Article 9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subparagraphs (a) and (b) of this Article 9. Such determination shall be made (i) by the Board of Directors by a majority vote of the quorum consisting of directors who were not parties to such action, suit or proceeding, or (ii) if such a quorum is not obtainable, or, even if obtainable a quorum of disinterested directors so directs, by independent legal counsel in a written opinion, or (iii) by the stockholders.</w:t>
      </w:r>
    </w:p>
    <w:p>
      <w:pPr>
        <w:spacing w:after="0" w:line="159"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shall be paid by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1" w:name="page32"/>
    <w:bookmarkEnd w:id="31"/>
    <w:p>
      <w:pPr>
        <w:jc w:val="both"/>
        <w:spacing w:after="0" w:line="290" w:lineRule="auto"/>
        <w:rPr>
          <w:sz w:val="20"/>
          <w:szCs w:val="20"/>
          <w:color w:val="auto"/>
        </w:rPr>
      </w:pPr>
      <w:r>
        <w:rPr>
          <w:rFonts w:ascii="Arial" w:cs="Arial" w:eastAsia="Arial" w:hAnsi="Arial"/>
          <w:sz w:val="18"/>
          <w:szCs w:val="18"/>
          <w:color w:val="auto"/>
        </w:rPr>
        <w:t>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Article 9. Such expenses (including attorneys’ fees) incurred by other employees and agents may be so paid upon such terms and conditions, if any, as the Board of Directors deems appropriate.</w:t>
      </w:r>
    </w:p>
    <w:p>
      <w:pPr>
        <w:spacing w:after="0" w:line="188"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7"/>
          <w:szCs w:val="17"/>
          <w:color w:val="auto"/>
        </w:rPr>
        <w:t>The indemnification and advancement of expenses provided by, or granted pursuant to, this Article 9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9.</w:t>
      </w:r>
    </w:p>
    <w:p>
      <w:pPr>
        <w:spacing w:after="0" w:line="17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7"/>
          <w:szCs w:val="17"/>
          <w:color w:val="auto"/>
        </w:rPr>
        <w:t>For purposes of this Article 9,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9 with respect to the resulting or surviving corporation as he would have with respect to such constituent corporation if its separate existence had continued.</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purposes of this Article 9,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9.</w:t>
      </w:r>
    </w:p>
    <w:p>
      <w:pPr>
        <w:spacing w:after="0" w:line="19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The indemnification and advancement of expenses provided by, or granted pursuant to, this Article 9 shall, unless otherwise provided when authorized or ratified, continue as to a person who has ceased to be a director, officer, employee or agent and shall inure to the benefit of the heirs, executors and administrators of such a person.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2" w:name="page33"/>
    <w:bookmarkEnd w:id="32"/>
    <w:p>
      <w:pPr>
        <w:jc w:val="both"/>
        <w:ind w:firstLine="648"/>
        <w:spacing w:after="0" w:line="324" w:lineRule="auto"/>
        <w:rPr>
          <w:sz w:val="20"/>
          <w:szCs w:val="20"/>
          <w:color w:val="auto"/>
        </w:rPr>
      </w:pPr>
      <w:r>
        <w:rPr>
          <w:rFonts w:ascii="Arial" w:cs="Arial" w:eastAsia="Arial" w:hAnsi="Arial"/>
          <w:sz w:val="16"/>
          <w:szCs w:val="16"/>
          <w:b w:val="1"/>
          <w:bCs w:val="1"/>
          <w:color w:val="auto"/>
        </w:rPr>
        <w:t>TENTH</w:t>
      </w:r>
      <w:r>
        <w:rPr>
          <w:rFonts w:ascii="Arial" w:cs="Arial" w:eastAsia="Arial" w:hAnsi="Arial"/>
          <w:sz w:val="16"/>
          <w:szCs w:val="16"/>
          <w:color w:val="auto"/>
        </w:rPr>
        <w:t>: Whenever a compromise or arrangement is proposed between the Corporation and its creditors or any class of them and/or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the Corporation under the provisions of § 291 of Title 8 of the Delaware Code or on the application of trustees in dissolution or of any receiver or receivers appointed for the Corporation under the provisions of § 279 of Title 8 of the Delaware Code order a meeting of the creditors or class of creditors, and/or of the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any reorganization of the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this Restated Certificate of Incorporation has been executed by an authorized officer of the Corporation on May 9,</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/s/Patrick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-10160</wp:posOffset>
            </wp:positionV>
            <wp:extent cx="18757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75790"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Patrick Goepel,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37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Patrick Goepel, certify, that:</w:t>
      </w:r>
    </w:p>
    <w:p>
      <w:pPr>
        <w:spacing w:after="0" w:line="198" w:lineRule="exact"/>
        <w:rPr>
          <w:sz w:val="20"/>
          <w:szCs w:val="20"/>
          <w:color w:val="auto"/>
        </w:rPr>
      </w:pPr>
    </w:p>
    <w:p>
      <w:pPr>
        <w:ind w:left="840" w:hanging="18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198" w:lineRule="exact"/>
        <w:rPr>
          <w:rFonts w:ascii="Arial" w:cs="Arial" w:eastAsia="Arial" w:hAnsi="Arial"/>
          <w:sz w:val="18"/>
          <w:szCs w:val="18"/>
          <w:color w:val="auto"/>
        </w:rPr>
      </w:pPr>
    </w:p>
    <w:p>
      <w:pPr>
        <w:ind w:right="20" w:firstLine="656"/>
        <w:spacing w:after="0" w:line="324" w:lineRule="auto"/>
        <w:tabs>
          <w:tab w:leader="none" w:pos="831"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10" w:lineRule="exact"/>
        <w:rPr>
          <w:rFonts w:ascii="Arial" w:cs="Arial" w:eastAsia="Arial" w:hAnsi="Arial"/>
          <w:sz w:val="16"/>
          <w:szCs w:val="16"/>
          <w:color w:val="auto"/>
        </w:rPr>
      </w:pPr>
    </w:p>
    <w:p>
      <w:pPr>
        <w:ind w:firstLine="656"/>
        <w:spacing w:after="0" w:line="262" w:lineRule="auto"/>
        <w:tabs>
          <w:tab w:leader="none" w:pos="83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55" w:lineRule="exact"/>
        <w:rPr>
          <w:rFonts w:ascii="Arial" w:cs="Arial" w:eastAsia="Arial" w:hAnsi="Arial"/>
          <w:sz w:val="18"/>
          <w:szCs w:val="18"/>
          <w:color w:val="auto"/>
        </w:rPr>
      </w:pPr>
    </w:p>
    <w:p>
      <w:pPr>
        <w:jc w:val="both"/>
        <w:ind w:firstLine="656"/>
        <w:spacing w:after="0" w:line="248" w:lineRule="auto"/>
        <w:tabs>
          <w:tab w:leader="none" w:pos="8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69" w:lineRule="exact"/>
        <w:rPr>
          <w:sz w:val="20"/>
          <w:szCs w:val="20"/>
          <w:color w:val="auto"/>
        </w:rPr>
      </w:pPr>
    </w:p>
    <w:p>
      <w:pPr>
        <w:jc w:val="both"/>
        <w:ind w:firstLine="656"/>
        <w:spacing w:after="0" w:line="248" w:lineRule="auto"/>
        <w:tabs>
          <w:tab w:leader="none" w:pos="9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68" w:lineRule="exact"/>
        <w:rPr>
          <w:rFonts w:ascii="Arial" w:cs="Arial" w:eastAsia="Arial" w:hAnsi="Arial"/>
          <w:sz w:val="18"/>
          <w:szCs w:val="18"/>
          <w:color w:val="auto"/>
        </w:rPr>
      </w:pPr>
    </w:p>
    <w:p>
      <w:pPr>
        <w:jc w:val="both"/>
        <w:ind w:firstLine="656"/>
        <w:spacing w:after="0" w:line="248" w:lineRule="auto"/>
        <w:tabs>
          <w:tab w:leader="none" w:pos="93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firstLine="656"/>
        <w:spacing w:after="0" w:line="291" w:lineRule="auto"/>
        <w:tabs>
          <w:tab w:leader="none" w:pos="934"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33" w:lineRule="exact"/>
        <w:rPr>
          <w:rFonts w:ascii="Arial" w:cs="Arial" w:eastAsia="Arial" w:hAnsi="Arial"/>
          <w:sz w:val="17"/>
          <w:szCs w:val="17"/>
          <w:color w:val="auto"/>
        </w:rPr>
      </w:pPr>
    </w:p>
    <w:p>
      <w:pPr>
        <w:jc w:val="both"/>
        <w:ind w:firstLine="656"/>
        <w:spacing w:after="0" w:line="248" w:lineRule="auto"/>
        <w:tabs>
          <w:tab w:leader="none" w:pos="9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March 31, 2017) that has materially affected, or is reasonably likely to materially affect, the Company’s internal control over financial reporting; and</w:t>
      </w:r>
    </w:p>
    <w:p>
      <w:pPr>
        <w:spacing w:after="0" w:line="169" w:lineRule="exact"/>
        <w:rPr>
          <w:sz w:val="20"/>
          <w:szCs w:val="20"/>
          <w:color w:val="auto"/>
        </w:rPr>
      </w:pPr>
    </w:p>
    <w:p>
      <w:pPr>
        <w:ind w:firstLine="656"/>
        <w:spacing w:after="0" w:line="262" w:lineRule="auto"/>
        <w:tabs>
          <w:tab w:leader="none" w:pos="8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56" w:lineRule="exact"/>
        <w:rPr>
          <w:sz w:val="20"/>
          <w:szCs w:val="20"/>
          <w:color w:val="auto"/>
        </w:rPr>
      </w:pPr>
    </w:p>
    <w:p>
      <w:pPr>
        <w:ind w:firstLine="656"/>
        <w:spacing w:after="0" w:line="262" w:lineRule="auto"/>
        <w:tabs>
          <w:tab w:leader="none" w:pos="9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55" w:lineRule="exact"/>
        <w:rPr>
          <w:rFonts w:ascii="Arial" w:cs="Arial" w:eastAsia="Arial" w:hAnsi="Arial"/>
          <w:sz w:val="18"/>
          <w:szCs w:val="18"/>
          <w:color w:val="auto"/>
        </w:rPr>
      </w:pPr>
    </w:p>
    <w:p>
      <w:pPr>
        <w:ind w:firstLine="656"/>
        <w:spacing w:after="0" w:line="262" w:lineRule="auto"/>
        <w:tabs>
          <w:tab w:leader="none" w:pos="9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56" w:lineRule="exact"/>
        <w:rPr>
          <w:sz w:val="20"/>
          <w:szCs w:val="20"/>
          <w:color w:val="auto"/>
        </w:rPr>
      </w:pPr>
    </w:p>
    <w:p>
      <w:pPr>
        <w:spacing w:after="0"/>
        <w:tabs>
          <w:tab w:leader="none" w:pos="3560" w:val="left"/>
          <w:tab w:leader="none" w:pos="4860" w:val="left"/>
        </w:tabs>
        <w:rPr>
          <w:sz w:val="20"/>
          <w:szCs w:val="20"/>
          <w:color w:val="auto"/>
        </w:rPr>
      </w:pPr>
      <w:r>
        <w:rPr>
          <w:rFonts w:ascii="Arial" w:cs="Arial" w:eastAsia="Arial" w:hAnsi="Arial"/>
          <w:sz w:val="18"/>
          <w:szCs w:val="18"/>
          <w:color w:val="auto"/>
        </w:rPr>
        <w:t>Date: May 11,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6350</wp:posOffset>
            </wp:positionV>
            <wp:extent cx="226377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63775" cy="1714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Patrick Goepel</w:t>
      </w:r>
    </w:p>
    <w:p>
      <w:pPr>
        <w:spacing w:after="0" w:line="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60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Brad Wolfe, certify that:</w:t>
      </w:r>
    </w:p>
    <w:p>
      <w:pPr>
        <w:spacing w:after="0" w:line="198" w:lineRule="exact"/>
        <w:rPr>
          <w:sz w:val="20"/>
          <w:szCs w:val="20"/>
          <w:color w:val="auto"/>
        </w:rPr>
      </w:pPr>
    </w:p>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198" w:lineRule="exact"/>
        <w:rPr>
          <w:rFonts w:ascii="Arial" w:cs="Arial" w:eastAsia="Arial" w:hAnsi="Arial"/>
          <w:sz w:val="18"/>
          <w:szCs w:val="18"/>
          <w:color w:val="auto"/>
        </w:rPr>
      </w:pPr>
    </w:p>
    <w:p>
      <w:pPr>
        <w:ind w:right="20" w:firstLine="656"/>
        <w:spacing w:after="0" w:line="324" w:lineRule="auto"/>
        <w:tabs>
          <w:tab w:leader="none" w:pos="8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10" w:lineRule="exact"/>
        <w:rPr>
          <w:rFonts w:ascii="Arial" w:cs="Arial" w:eastAsia="Arial" w:hAnsi="Arial"/>
          <w:sz w:val="16"/>
          <w:szCs w:val="16"/>
          <w:color w:val="auto"/>
        </w:rPr>
      </w:pPr>
    </w:p>
    <w:p>
      <w:pPr>
        <w:ind w:firstLine="656"/>
        <w:spacing w:after="0" w:line="262" w:lineRule="auto"/>
        <w:tabs>
          <w:tab w:leader="none" w:pos="8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55" w:lineRule="exact"/>
        <w:rPr>
          <w:rFonts w:ascii="Arial" w:cs="Arial" w:eastAsia="Arial" w:hAnsi="Arial"/>
          <w:sz w:val="18"/>
          <w:szCs w:val="18"/>
          <w:color w:val="auto"/>
        </w:rPr>
      </w:pPr>
    </w:p>
    <w:p>
      <w:pPr>
        <w:jc w:val="both"/>
        <w:ind w:firstLine="656"/>
        <w:spacing w:after="0" w:line="248" w:lineRule="auto"/>
        <w:tabs>
          <w:tab w:leader="none" w:pos="8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69" w:lineRule="exact"/>
        <w:rPr>
          <w:sz w:val="20"/>
          <w:szCs w:val="20"/>
          <w:color w:val="auto"/>
        </w:rPr>
      </w:pPr>
    </w:p>
    <w:p>
      <w:pPr>
        <w:jc w:val="both"/>
        <w:ind w:firstLine="656"/>
        <w:spacing w:after="0" w:line="248" w:lineRule="auto"/>
        <w:tabs>
          <w:tab w:leader="none" w:pos="9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68" w:lineRule="exact"/>
        <w:rPr>
          <w:rFonts w:ascii="Arial" w:cs="Arial" w:eastAsia="Arial" w:hAnsi="Arial"/>
          <w:sz w:val="18"/>
          <w:szCs w:val="18"/>
          <w:color w:val="auto"/>
        </w:rPr>
      </w:pPr>
    </w:p>
    <w:p>
      <w:pPr>
        <w:jc w:val="both"/>
        <w:ind w:firstLine="656"/>
        <w:spacing w:after="0" w:line="248" w:lineRule="auto"/>
        <w:tabs>
          <w:tab w:leader="none" w:pos="9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firstLine="656"/>
        <w:spacing w:after="0" w:line="291" w:lineRule="auto"/>
        <w:tabs>
          <w:tab w:leader="none" w:pos="934"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33" w:lineRule="exact"/>
        <w:rPr>
          <w:rFonts w:ascii="Arial" w:cs="Arial" w:eastAsia="Arial" w:hAnsi="Arial"/>
          <w:sz w:val="17"/>
          <w:szCs w:val="17"/>
          <w:color w:val="auto"/>
        </w:rPr>
      </w:pPr>
    </w:p>
    <w:p>
      <w:pPr>
        <w:jc w:val="both"/>
        <w:ind w:firstLine="656"/>
        <w:spacing w:after="0" w:line="248" w:lineRule="auto"/>
        <w:tabs>
          <w:tab w:leader="none" w:pos="9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March 31, 2017) that has materially affected, or is reasonably likely to materially affect, the Company’s internal control over financial reporting; and</w:t>
      </w:r>
    </w:p>
    <w:p>
      <w:pPr>
        <w:spacing w:after="0" w:line="169" w:lineRule="exact"/>
        <w:rPr>
          <w:sz w:val="20"/>
          <w:szCs w:val="20"/>
          <w:color w:val="auto"/>
        </w:rPr>
      </w:pPr>
    </w:p>
    <w:p>
      <w:pPr>
        <w:ind w:firstLine="656"/>
        <w:spacing w:after="0" w:line="262" w:lineRule="auto"/>
        <w:tabs>
          <w:tab w:leader="none" w:pos="8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56" w:lineRule="exact"/>
        <w:rPr>
          <w:sz w:val="20"/>
          <w:szCs w:val="20"/>
          <w:color w:val="auto"/>
        </w:rPr>
      </w:pPr>
    </w:p>
    <w:p>
      <w:pPr>
        <w:ind w:firstLine="656"/>
        <w:spacing w:after="0" w:line="262" w:lineRule="auto"/>
        <w:tabs>
          <w:tab w:leader="none" w:pos="9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55" w:lineRule="exact"/>
        <w:rPr>
          <w:rFonts w:ascii="Arial" w:cs="Arial" w:eastAsia="Arial" w:hAnsi="Arial"/>
          <w:sz w:val="18"/>
          <w:szCs w:val="18"/>
          <w:color w:val="auto"/>
        </w:rPr>
      </w:pPr>
    </w:p>
    <w:p>
      <w:pPr>
        <w:ind w:firstLine="656"/>
        <w:spacing w:after="0" w:line="262" w:lineRule="auto"/>
        <w:tabs>
          <w:tab w:leader="none" w:pos="9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56" w:lineRule="exact"/>
        <w:rPr>
          <w:sz w:val="20"/>
          <w:szCs w:val="20"/>
          <w:color w:val="auto"/>
        </w:rPr>
      </w:pPr>
    </w:p>
    <w:p>
      <w:pPr>
        <w:spacing w:after="0"/>
        <w:tabs>
          <w:tab w:leader="none" w:pos="3640" w:val="left"/>
          <w:tab w:leader="none" w:pos="5020" w:val="left"/>
        </w:tabs>
        <w:rPr>
          <w:sz w:val="20"/>
          <w:szCs w:val="20"/>
          <w:color w:val="auto"/>
        </w:rPr>
      </w:pPr>
      <w:r>
        <w:rPr>
          <w:rFonts w:ascii="Arial" w:cs="Arial" w:eastAsia="Arial" w:hAnsi="Arial"/>
          <w:sz w:val="18"/>
          <w:szCs w:val="18"/>
          <w:color w:val="auto"/>
        </w:rPr>
        <w:t>Date: May 11,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6350</wp:posOffset>
            </wp:positionV>
            <wp:extent cx="223837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38375" cy="17145"/>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Brad Wolfe</w:t>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60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Patrick Goepel, do hereby certify, pursuant to 18 U.S.C. Section 1350, as adopted by Section 906 of the Sarbanes-Oxley Act of 2002, that:</w:t>
      </w:r>
    </w:p>
    <w:p>
      <w:pPr>
        <w:spacing w:after="0" w:line="221" w:lineRule="exact"/>
        <w:rPr>
          <w:sz w:val="20"/>
          <w:szCs w:val="20"/>
          <w:color w:val="auto"/>
        </w:rPr>
      </w:pPr>
    </w:p>
    <w:p>
      <w:pPr>
        <w:ind w:firstLine="656"/>
        <w:spacing w:after="0" w:line="262" w:lineRule="auto"/>
        <w:tabs>
          <w:tab w:leader="none" w:pos="8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2017 (the “Report”) fully complies with the requirements of section 13(a) or 15(d) of the Securities Exchange Act of 1934 as amended, and</w:t>
      </w:r>
    </w:p>
    <w:p>
      <w:pPr>
        <w:spacing w:after="0" w:line="155" w:lineRule="exact"/>
        <w:rPr>
          <w:rFonts w:ascii="Arial" w:cs="Arial" w:eastAsia="Arial" w:hAnsi="Arial"/>
          <w:sz w:val="18"/>
          <w:szCs w:val="18"/>
          <w:color w:val="auto"/>
        </w:rPr>
      </w:pPr>
    </w:p>
    <w:p>
      <w:pPr>
        <w:ind w:left="840" w:hanging="184"/>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spacing w:after="0"/>
        <w:tabs>
          <w:tab w:leader="none" w:pos="3900" w:val="left"/>
          <w:tab w:leader="none" w:pos="5180" w:val="left"/>
        </w:tabs>
        <w:rPr>
          <w:sz w:val="20"/>
          <w:szCs w:val="20"/>
          <w:color w:val="auto"/>
        </w:rPr>
      </w:pPr>
      <w:r>
        <w:rPr>
          <w:rFonts w:ascii="Arial" w:cs="Arial" w:eastAsia="Arial" w:hAnsi="Arial"/>
          <w:sz w:val="18"/>
          <w:szCs w:val="18"/>
          <w:color w:val="auto"/>
        </w:rPr>
        <w:t>Date: May 11,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6350</wp:posOffset>
            </wp:positionV>
            <wp:extent cx="21183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18360" cy="1714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Patrick Goepel</w:t>
      </w:r>
    </w:p>
    <w:p>
      <w:pPr>
        <w:spacing w:after="0" w:line="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p>
      <w:pPr>
        <w:sectPr>
          <w:pgSz w:w="11900" w:h="16838" w:orient="portrait"/>
          <w:cols w:equalWidth="0" w:num="1">
            <w:col w:w="11420"/>
          </w:cols>
          <w:pgMar w:left="240" w:top="60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Brad Wolfe, do hereby certify, pursuant to 18 U.S.C. Section 1350, as adopted by Section 906 of the Sarbanes-Oxley Act of 2002, that:</w:t>
      </w:r>
    </w:p>
    <w:p>
      <w:pPr>
        <w:spacing w:after="0" w:line="221" w:lineRule="exact"/>
        <w:rPr>
          <w:sz w:val="20"/>
          <w:szCs w:val="20"/>
          <w:color w:val="auto"/>
        </w:rPr>
      </w:pPr>
    </w:p>
    <w:p>
      <w:pPr>
        <w:ind w:firstLine="656"/>
        <w:spacing w:after="0" w:line="262" w:lineRule="auto"/>
        <w:tabs>
          <w:tab w:leader="none" w:pos="8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2017 (the “Report”) fully complies with the requirements of section 13(a) or 15(d) of the Securities Exchange Act of 1934 as amended, and</w:t>
      </w:r>
    </w:p>
    <w:p>
      <w:pPr>
        <w:spacing w:after="0" w:line="155" w:lineRule="exact"/>
        <w:rPr>
          <w:rFonts w:ascii="Arial" w:cs="Arial" w:eastAsia="Arial" w:hAnsi="Arial"/>
          <w:sz w:val="18"/>
          <w:szCs w:val="18"/>
          <w:color w:val="auto"/>
        </w:rPr>
      </w:pPr>
    </w:p>
    <w:p>
      <w:pPr>
        <w:ind w:left="840" w:hanging="184"/>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spacing w:after="0"/>
        <w:tabs>
          <w:tab w:leader="none" w:pos="3640" w:val="left"/>
          <w:tab w:leader="none" w:pos="5020" w:val="left"/>
        </w:tabs>
        <w:rPr>
          <w:sz w:val="20"/>
          <w:szCs w:val="20"/>
          <w:color w:val="auto"/>
        </w:rPr>
      </w:pPr>
      <w:r>
        <w:rPr>
          <w:rFonts w:ascii="Arial" w:cs="Arial" w:eastAsia="Arial" w:hAnsi="Arial"/>
          <w:sz w:val="18"/>
          <w:szCs w:val="18"/>
          <w:color w:val="auto"/>
        </w:rPr>
        <w:t>Date: May 11,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6350</wp:posOffset>
            </wp:positionV>
            <wp:extent cx="22383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38375" cy="17145"/>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Brad Wolfe</w:t>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3"/>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decimal"/>
      <w:start w:val="5"/>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2"/>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2019-12-29T07:45:23Z</dcterms:created>
  <dcterms:modified xsi:type="dcterms:W3CDTF">2019-12-29T07:45:23Z</dcterms:modified>
</cp:coreProperties>
</file>