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4.0 -->
  <w:body>
    <w:p w:rsidR="00A77B3E">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0" w:name="Section1"/>
      <w:bookmarkEnd w:id="0"/>
      <w:r>
        <w:rPr>
          <w:rFonts w:ascii="Times New Roman" w:eastAsia="Times New Roman" w:hAnsi="Times New Roman" w:cs="Times New Roman"/>
          <w:b/>
          <w:i w:val="0"/>
          <w:sz w:val="20"/>
        </w:rPr>
        <w:t>UNITED STATES</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SECURITIES AND EXCHANGE COMMISSION</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WASHINGTON, D.C. 20549</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FORM </w:t>
      </w:r>
      <w:r>
        <w:rPr>
          <w:rFonts w:ascii="Times New Roman" w:eastAsia="Times New Roman" w:hAnsi="Times New Roman" w:cs="Times New Roman"/>
          <w:b/>
          <w:i w:val="0"/>
          <w:color w:val="000000"/>
          <w:sz w:val="20"/>
          <w:u w:val="none"/>
        </w:rPr>
        <w:t>10-Q</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tbl>
      <w:tblPr>
        <w:tblStyle w:val="TableNormal0"/>
        <w:tblW w:w="11520" w:type="dxa"/>
        <w:jc w:val="left"/>
        <w:tblInd w:w="0" w:type="dxa"/>
        <w:tblLayout w:type="fixed"/>
      </w:tblPr>
      <w:tblGrid>
        <w:gridCol w:w="405"/>
        <w:gridCol w:w="11115"/>
      </w:tblGrid>
      <w:tr>
        <w:tblPrEx>
          <w:tblW w:w="11520" w:type="dxa"/>
          <w:tblInd w:w="0" w:type="dxa"/>
          <w:tblLayout w:type="fixed"/>
        </w:tblPrEx>
        <w:trPr>
          <w:trHeight w:hRule="exact" w:val="48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11115"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Quarterly Report Pursuant to Section 13 or 15(d) of the Securities Exchange Act of 1934 for the quarterly period ended June 30, 2026</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10"/>
        </w:rPr>
      </w:pPr>
    </w:p>
    <w:tbl>
      <w:tblPr>
        <w:tblStyle w:val="TableNormal0"/>
        <w:tblW w:w="11520" w:type="dxa"/>
        <w:jc w:val="left"/>
        <w:tblInd w:w="0" w:type="dxa"/>
        <w:tblLayout w:type="fixed"/>
      </w:tblPr>
      <w:tblGrid>
        <w:gridCol w:w="405"/>
        <w:gridCol w:w="11115"/>
      </w:tblGrid>
      <w:tr>
        <w:tblPrEx>
          <w:tblW w:w="11520" w:type="dxa"/>
          <w:tblInd w:w="0" w:type="dxa"/>
          <w:tblLayout w:type="fixed"/>
        </w:tblPrEx>
        <w:trPr>
          <w:trHeight w:hRule="exact" w:val="285"/>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1111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Transition Report Pursuant to Section 13 or 15(d) of the Securities Exchange Act of 1934 for the transition period from __ to __</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0"/>
        </w:rPr>
      </w:pPr>
    </w:p>
    <w:tbl>
      <w:tblPr>
        <w:tblStyle w:val="TableNormal0"/>
        <w:tblW w:w="11520" w:type="dxa"/>
        <w:jc w:val="center"/>
        <w:tblLayout w:type="fixed"/>
      </w:tblPr>
      <w:tblGrid>
        <w:gridCol w:w="11520"/>
      </w:tblGrid>
      <w:tr>
        <w:tblPrEx>
          <w:tblW w:w="11520" w:type="dxa"/>
          <w:tblLayout w:type="fixed"/>
        </w:tblPrEx>
        <w:trPr>
          <w:trHeight w:hRule="exact" w:val="285"/>
        </w:trPr>
        <w:tc>
          <w:tcPr>
            <w:tcW w:w="11520"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Commission File Number: 1-34522</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40.5pt">
            <v:imagedata r:id="rId4" o:title=""/>
            <o:lock v:ext="edit" aspectratio="t"/>
          </v:shape>
        </w:pic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single"/>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(Exact name of registrant as specified in its charter)</w:t>
      </w:r>
    </w:p>
    <w:tbl>
      <w:tblPr>
        <w:tblStyle w:val="TableNormal0"/>
        <w:tblW w:w="11520" w:type="dxa"/>
        <w:jc w:val="center"/>
        <w:tblLayout w:type="fixed"/>
      </w:tblPr>
      <w:tblGrid>
        <w:gridCol w:w="4485"/>
        <w:gridCol w:w="105"/>
        <w:gridCol w:w="2340"/>
        <w:gridCol w:w="105"/>
        <w:gridCol w:w="4485"/>
      </w:tblGrid>
      <w:tr>
        <w:tblPrEx>
          <w:tblW w:w="11520" w:type="dxa"/>
          <w:tblLayout w:type="fixed"/>
        </w:tblPrEx>
        <w:trPr>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Delaware</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74-2415696</w:t>
            </w:r>
          </w:p>
        </w:tc>
      </w:tr>
      <w:tr>
        <w:tblPrEx>
          <w:tblW w:w="11520" w:type="dxa"/>
          <w:tblLayout w:type="fixed"/>
        </w:tblPrEx>
        <w:trPr>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(State or other jurisdiction of incorporation)</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(I.R.S. Employer Identification No.)</w:t>
            </w:r>
          </w:p>
        </w:tc>
      </w:tr>
      <w:tr>
        <w:tblPrEx>
          <w:tblW w:w="11520" w:type="dxa"/>
          <w:tblLayout w:type="fixed"/>
        </w:tblPrEx>
        <w:trPr>
          <w:trHeight w:hRule="exact" w:val="315"/>
        </w:trPr>
        <w:tc>
          <w:tcPr>
            <w:tcW w:w="44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Layout w:type="fixed"/>
        </w:tblPrEx>
        <w:trPr>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405 Colorado Street, Suite 1800</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sz w:val="20"/>
              </w:rPr>
              <w:t>Austin</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sz w:val="20"/>
              </w:rPr>
              <w:t>Texas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78701</w:t>
            </w:r>
          </w:p>
        </w:tc>
      </w:tr>
      <w:tr>
        <w:tblPrEx>
          <w:tblW w:w="11520" w:type="dxa"/>
          <w:tblLayout w:type="fixed"/>
        </w:tblPrEx>
        <w:trPr>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jc w:val="center"/>
            </w:pPr>
            <w:r>
              <w:rPr>
                <w:rFonts w:ascii="Times New Roman" w:eastAsia="Times New Roman" w:hAnsi="Times New Roman" w:cs="Times New Roman"/>
                <w:b w:val="0"/>
                <w:i w:val="0"/>
                <w:color w:val="000000"/>
                <w:sz w:val="20"/>
                <w:u w:val="none"/>
              </w:rPr>
              <w:t>(Address of principal executive offices)</w:t>
            </w: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jc w:val="center"/>
            </w:pPr>
            <w:r>
              <w:rPr>
                <w:rFonts w:ascii="Times New Roman" w:eastAsia="Times New Roman" w:hAnsi="Times New Roman" w:cs="Times New Roman"/>
                <w:b w:val="0"/>
                <w:i w:val="0"/>
                <w:color w:val="000000"/>
                <w:sz w:val="20"/>
                <w:u w:val="none"/>
              </w:rPr>
              <w:t>(Zip Code)</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10"/>
        </w:rPr>
      </w:pPr>
    </w:p>
    <w:tbl>
      <w:tblPr>
        <w:tblStyle w:val="TableNormal0"/>
        <w:tblW w:w="11520" w:type="dxa"/>
        <w:jc w:val="center"/>
        <w:tblLayout w:type="fixed"/>
      </w:tblPr>
      <w:tblGrid>
        <w:gridCol w:w="11520"/>
      </w:tblGrid>
      <w:tr>
        <w:tblPrEx>
          <w:tblW w:w="11520" w:type="dxa"/>
          <w:tblLayout w:type="fixed"/>
        </w:tblPrEx>
        <w:trPr>
          <w:trHeight w:hRule="exact" w:val="315"/>
        </w:trPr>
        <w:tc>
          <w:tcPr>
            <w:tcW w:w="1152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512</w:t>
            </w:r>
            <w:r>
              <w:rPr>
                <w:rFonts w:ascii="Times New Roman" w:eastAsia="Times New Roman" w:hAnsi="Times New Roman" w:cs="Times New Roman"/>
                <w:b/>
                <w:i w:val="0"/>
                <w:sz w:val="20"/>
              </w:rPr>
              <w:t>-</w:t>
            </w:r>
            <w:r>
              <w:rPr>
                <w:rFonts w:ascii="Times New Roman" w:eastAsia="Times New Roman" w:hAnsi="Times New Roman" w:cs="Times New Roman"/>
                <w:b/>
                <w:i w:val="0"/>
                <w:sz w:val="20"/>
              </w:rPr>
              <w:t>437-2700</w:t>
            </w:r>
          </w:p>
        </w:tc>
      </w:tr>
      <w:tr>
        <w:tblPrEx>
          <w:tblW w:w="11520" w:type="dxa"/>
          <w:tblLayout w:type="fixed"/>
        </w:tblPrEx>
        <w:trPr>
          <w:trHeight w:hRule="exact" w:val="315"/>
        </w:trPr>
        <w:tc>
          <w:tcPr>
            <w:tcW w:w="115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(Registrant’s Telephone Number, including Area Code)</w:t>
            </w:r>
          </w:p>
        </w:tc>
      </w:tr>
      <w:tr>
        <w:tblPrEx>
          <w:tblW w:w="11520" w:type="dxa"/>
          <w:tblLayout w:type="fixed"/>
        </w:tblPrEx>
        <w:trPr>
          <w:trHeight w:hRule="exact" w:val="465"/>
        </w:trPr>
        <w:tc>
          <w:tcPr>
            <w:tcW w:w="115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None</w:t>
            </w:r>
          </w:p>
        </w:tc>
      </w:tr>
      <w:tr>
        <w:tblPrEx>
          <w:tblW w:w="11520" w:type="dxa"/>
          <w:tblLayout w:type="fixed"/>
        </w:tblPrEx>
        <w:trPr>
          <w:trHeight w:hRule="exact" w:val="315"/>
        </w:trPr>
        <w:tc>
          <w:tcPr>
            <w:tcW w:w="115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val="0"/>
                <w:i w:val="0"/>
                <w:color w:val="000000"/>
                <w:sz w:val="20"/>
                <w:u w:val="none"/>
              </w:rPr>
              <w:t>(Former name, former address and former fiscal year, if changed since last report)</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Securities registered pursuant to Section 12(b) of the Act: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tbl>
      <w:tblPr>
        <w:tblStyle w:val="TableNormal0"/>
        <w:tblW w:w="11520" w:type="dxa"/>
        <w:jc w:val="left"/>
        <w:tblInd w:w="0" w:type="dxa"/>
        <w:tblLayout w:type="fixed"/>
      </w:tblPr>
      <w:tblGrid>
        <w:gridCol w:w="4485"/>
        <w:gridCol w:w="105"/>
        <w:gridCol w:w="2340"/>
        <w:gridCol w:w="105"/>
        <w:gridCol w:w="4485"/>
      </w:tblGrid>
      <w:tr>
        <w:tblPrEx>
          <w:tblW w:w="11520" w:type="dxa"/>
          <w:tblInd w:w="0" w:type="dxa"/>
          <w:tblLayout w:type="fixed"/>
        </w:tblPrEx>
        <w:trPr>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Title of each class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Trading Symbol(s)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Name of each exchange on which registered</w:t>
            </w:r>
          </w:p>
        </w:tc>
      </w:tr>
      <w:tr>
        <w:tblPrEx>
          <w:tblW w:w="11520" w:type="dxa"/>
          <w:tblInd w:w="0" w:type="dxa"/>
          <w:tblLayout w:type="fixed"/>
        </w:tblPrEx>
        <w:trPr>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Common Stock, $0.01 par value</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ASUR</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numPr>
                <w:ilvl w:val="0"/>
                <w:numId w:val="0"/>
              </w:numPr>
              <w:spacing w:before="3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The </w:t>
            </w:r>
            <w:r>
              <w:rPr>
                <w:rFonts w:ascii="Times New Roman" w:eastAsia="Times New Roman" w:hAnsi="Times New Roman" w:cs="Times New Roman"/>
                <w:b/>
                <w:i w:val="0"/>
                <w:sz w:val="20"/>
              </w:rPr>
              <w:t>Nasdaq</w:t>
            </w:r>
            <w:r>
              <w:rPr>
                <w:rFonts w:ascii="Times New Roman" w:eastAsia="Times New Roman" w:hAnsi="Times New Roman" w:cs="Times New Roman"/>
                <w:b/>
                <w:i w:val="0"/>
                <w:sz w:val="20"/>
              </w:rPr>
              <w:t xml:space="preserve"> Capital Market</w:t>
            </w:r>
          </w:p>
        </w:tc>
      </w:tr>
      <w:tr>
        <w:tblPrEx>
          <w:tblW w:w="11520" w:type="dxa"/>
          <w:tblInd w:w="0" w:type="dxa"/>
          <w:tblLayout w:type="fixed"/>
        </w:tblPrEx>
        <w:trPr>
          <w:trHeight w:hRule="exact" w:val="465"/>
        </w:trPr>
        <w:tc>
          <w:tcPr>
            <w:tcW w:w="448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i w:val="0"/>
                <w:color w:val="000000"/>
                <w:sz w:val="20"/>
                <w:u w:val="none"/>
              </w:rPr>
              <w:t>Series A Junior Participating Preferred Share Purchase Rights</w:t>
            </w: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34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48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i w:val="0"/>
                <w:color w:val="000000"/>
                <w:sz w:val="20"/>
                <w:u w:val="none"/>
              </w:rPr>
              <w:t>N/A</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Style w:val="TableNormal0"/>
        <w:tblW w:w="11520" w:type="dxa"/>
        <w:tblInd w:w="0" w:type="dxa"/>
        <w:tblLayout w:type="fixed"/>
      </w:tblPr>
      <w:tblGrid>
        <w:gridCol w:w="9360"/>
        <w:gridCol w:w="360"/>
        <w:gridCol w:w="720"/>
        <w:gridCol w:w="360"/>
        <w:gridCol w:w="720"/>
      </w:tblGrid>
      <w:tr>
        <w:tblPrEx>
          <w:tblW w:w="11520" w:type="dxa"/>
          <w:tblInd w:w="0" w:type="dxa"/>
          <w:tblLayout w:type="fixed"/>
        </w:tblPrEx>
        <w:trPr>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p>
        </w:tc>
      </w:tr>
      <w:tr>
        <w:tblPrEx>
          <w:tblW w:w="11520" w:type="dxa"/>
          <w:tblInd w:w="0" w:type="dxa"/>
          <w:tblLayout w:type="fixed"/>
        </w:tblPrEx>
        <w:trPr>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r>
        <w:tblPrEx>
          <w:tblW w:w="11520" w:type="dxa"/>
          <w:tblInd w:w="0" w:type="dxa"/>
          <w:tblLayout w:type="fixed"/>
        </w:tblPrEx>
        <w:trPr>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w:t>
            </w:r>
          </w:p>
        </w:tc>
      </w:tr>
      <w:tr>
        <w:tblPrEx>
          <w:tblW w:w="11520" w:type="dxa"/>
          <w:tblInd w:w="0" w:type="dxa"/>
          <w:tblLayout w:type="fixed"/>
        </w:tblPrEx>
        <w:trPr>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10"/>
        </w:rPr>
      </w:pPr>
    </w:p>
    <w:tbl>
      <w:tblPr>
        <w:tblStyle w:val="TableNormal0"/>
        <w:tblW w:w="11520" w:type="dxa"/>
        <w:tblInd w:w="0" w:type="dxa"/>
        <w:tblLayout w:type="fixed"/>
      </w:tblPr>
      <w:tblGrid>
        <w:gridCol w:w="2295"/>
        <w:gridCol w:w="360"/>
        <w:gridCol w:w="3105"/>
        <w:gridCol w:w="2295"/>
        <w:gridCol w:w="360"/>
        <w:gridCol w:w="3105"/>
      </w:tblGrid>
      <w:tr>
        <w:tblPrEx>
          <w:tblW w:w="11520" w:type="dxa"/>
          <w:tblInd w:w="0" w:type="dxa"/>
          <w:tblLayout w:type="fixed"/>
        </w:tblPrEx>
        <w:trPr>
          <w:trHeight w:hRule="exact" w:val="315"/>
        </w:trPr>
        <w:tc>
          <w:tcPr>
            <w:tcW w:w="11520" w:type="dxa"/>
            <w:gridSpan w:val="6"/>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
            </w:r>
          </w:p>
        </w:tc>
      </w:tr>
      <w:tr>
        <w:tblPrEx>
          <w:tblW w:w="11520" w:type="dxa"/>
          <w:tblInd w:w="0" w:type="dxa"/>
          <w:tblLayout w:type="fixed"/>
        </w:tblPrEx>
        <w:trPr>
          <w:trHeight w:hRule="exact" w:val="315"/>
        </w:trPr>
        <w:tc>
          <w:tcPr>
            <w:tcW w:w="11520" w:type="dxa"/>
            <w:gridSpan w:val="6"/>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Large 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Wingdings" w:eastAsia="Wingdings" w:hAnsi="Wingdings" w:cs="Wingdings"/>
              </w:rPr>
            </w:pPr>
          </w:p>
        </w:tc>
      </w:tr>
      <w:tr>
        <w:tblPrEx>
          <w:tblW w:w="11520" w:type="dxa"/>
          <w:tblInd w:w="0" w:type="dxa"/>
          <w:tblLayout w:type="fixed"/>
        </w:tblPrEx>
        <w:trPr>
          <w:trHeight w:hRule="exact" w:val="315"/>
        </w:trPr>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Smaller reporting company</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Wingdings" w:eastAsia="Wingdings" w:hAnsi="Wingdings" w:cs="Wingdings"/>
                <w:sz w:val="20"/>
              </w:rPr>
            </w:pPr>
          </w:p>
        </w:tc>
      </w:tr>
      <w:tr>
        <w:tblPrEx>
          <w:tblW w:w="11520" w:type="dxa"/>
          <w:tblInd w:w="0" w:type="dxa"/>
          <w:tblLayout w:type="fixed"/>
        </w:tblPrEx>
        <w:trPr>
          <w:trHeight w:hRule="exact" w:val="315"/>
        </w:trPr>
        <w:tc>
          <w:tcPr>
            <w:tcW w:w="22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Emerging growth company</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10"/>
        </w:rPr>
      </w:pPr>
    </w:p>
    <w:tbl>
      <w:tblPr>
        <w:tblStyle w:val="TableNormal0"/>
        <w:tblW w:w="11520" w:type="dxa"/>
        <w:tblInd w:w="0" w:type="dxa"/>
        <w:tblLayout w:type="fixed"/>
      </w:tblPr>
      <w:tblGrid>
        <w:gridCol w:w="9360"/>
        <w:gridCol w:w="360"/>
        <w:gridCol w:w="720"/>
        <w:gridCol w:w="360"/>
        <w:gridCol w:w="720"/>
      </w:tblGrid>
      <w:tr>
        <w:tblPrEx>
          <w:tblW w:w="11520" w:type="dxa"/>
          <w:tblInd w:w="0" w:type="dxa"/>
          <w:tblLayout w:type="fixed"/>
        </w:tblPrEx>
        <w:trPr>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If an emerging growth company, indicate by check mark if the registrant has elected not to use the extended transition period for complying with any new or revised financial accounting standards provided pursuant to Section 13(a) of the Exchange Act.</w:t>
            </w:r>
          </w:p>
        </w:tc>
      </w:tr>
      <w:tr>
        <w:tblPrEx>
          <w:tblW w:w="11520" w:type="dxa"/>
          <w:tblInd w:w="0" w:type="dxa"/>
          <w:tblLayout w:type="fixed"/>
        </w:tblPrEx>
        <w:trPr>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is a shell company (as defined in Rule 12b-2 of the Exchange Act).</w:t>
            </w: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trHeight w:hRule="exact" w:val="315"/>
        </w:trPr>
        <w:tc>
          <w:tcPr>
            <w:tcW w:w="9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As of July 29, 2026, </w:t>
      </w:r>
      <w:r>
        <w:rPr>
          <w:rFonts w:ascii="Times New Roman" w:eastAsia="Times New Roman" w:hAnsi="Times New Roman" w:cs="Times New Roman"/>
          <w:b w:val="0"/>
          <w:i w:val="0"/>
          <w:color w:val="000000"/>
          <w:sz w:val="20"/>
          <w:u w:val="none"/>
        </w:rPr>
        <w:t>28,879,328</w:t>
      </w:r>
      <w:r>
        <w:rPr>
          <w:rFonts w:ascii="Times New Roman" w:eastAsia="Times New Roman" w:hAnsi="Times New Roman" w:cs="Times New Roman"/>
          <w:b w:val="0"/>
          <w:i w:val="0"/>
          <w:sz w:val="20"/>
        </w:rPr>
        <w:t xml:space="preserve"> shares of the registrant’s Common Stock, $0.01 par value, were outstanding.</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sectPr>
          <w:headerReference w:type="default" r:id="rId5"/>
          <w:footerReference w:type="default" r:id="rId6"/>
          <w:headerReference w:type="first" r:id="rId7"/>
          <w:footerReference w:type="first" r:id="rId8"/>
          <w:type w:val="continuous"/>
          <w:pgSz w:w="12240" w:h="15840"/>
          <w:pgMar w:top="495" w:right="360" w:bottom="495" w:left="360" w:header="0" w:footer="0" w:gutter="0"/>
          <w:cols w:space="708"/>
          <w:titlePg/>
          <w:docGrid w:linePitch="360"/>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1" w:name="Section2"/>
      <w:bookmarkEnd w:id="1"/>
      <w:r>
        <w:rPr>
          <w:rFonts w:ascii="Times New Roman" w:eastAsia="Times New Roman" w:hAnsi="Times New Roman" w:cs="Times New Roman"/>
          <w:b/>
          <w:i w:val="0"/>
          <w:sz w:val="20"/>
        </w:rPr>
        <w:t>TABLE OF CONTENTS</w:t>
      </w:r>
    </w:p>
    <w:tbl>
      <w:tblPr>
        <w:tblStyle w:val="TableNormal0"/>
        <w:tblW w:w="10245" w:type="dxa"/>
        <w:jc w:val="left"/>
        <w:tblInd w:w="0" w:type="dxa"/>
        <w:tblLayout w:type="fixed"/>
      </w:tblPr>
      <w:tblGrid>
        <w:gridCol w:w="960"/>
        <w:gridCol w:w="8340"/>
        <w:gridCol w:w="945"/>
      </w:tblGrid>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Page</w:t>
            </w:r>
          </w:p>
        </w:tc>
      </w:tr>
      <w:tr>
        <w:tblPrEx>
          <w:tblW w:w="10245" w:type="dxa"/>
          <w:tblInd w:w="0" w:type="dxa"/>
          <w:tblLayout w:type="fixed"/>
        </w:tblPrEx>
        <w:trPr>
          <w:trHeight w:hRule="exact" w:val="285"/>
        </w:trPr>
        <w:tc>
          <w:tcPr>
            <w:tcW w:w="10245" w:type="dxa"/>
            <w:gridSpan w:val="3"/>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3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 w:history="1">
              <w:r>
                <w:rPr>
                  <w:rFonts w:ascii="Times New Roman" w:eastAsia="Times New Roman" w:hAnsi="Times New Roman" w:cs="Times New Roman"/>
                  <w:b/>
                  <w:i w:val="0"/>
                  <w:color w:val="000000"/>
                  <w:sz w:val="20"/>
                  <w:u w:val="none"/>
                  <w:shd w:val="clear" w:color="auto" w:fill="auto"/>
                </w:rPr>
                <w:t>PART I. FINANCIAL INFORMATION</w:t>
              </w:r>
            </w:hyperlink>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1.</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4" w:history="1">
              <w:r>
                <w:rPr>
                  <w:rFonts w:ascii="Times New Roman" w:eastAsia="Times New Roman" w:hAnsi="Times New Roman" w:cs="Times New Roman"/>
                  <w:b/>
                  <w:i w:val="0"/>
                  <w:color w:val="0000FF"/>
                  <w:sz w:val="20"/>
                  <w:u w:val="single"/>
                  <w:shd w:val="clear" w:color="auto" w:fill="auto"/>
                </w:rPr>
                <w:t>Financial Statements (Unaudited)</w:t>
              </w:r>
            </w:hyperlink>
          </w:p>
        </w:tc>
        <w:tc>
          <w:tcPr>
            <w:tcW w:w="945" w:type="dxa"/>
            <w:tcBorders>
              <w:top w:val="nil"/>
              <w:left w:val="nil"/>
              <w:bottom w:val="nil"/>
              <w:right w:val="nil"/>
            </w:tcBorders>
            <w:shd w:val="clear" w:color="auto" w:fill="FFFFFF"/>
            <w:tcMar>
              <w:top w:w="0" w:type="dxa"/>
              <w:left w:w="53" w:type="dxa"/>
              <w:bottom w:w="0" w:type="dxa"/>
              <w:right w:w="53" w:type="dxa"/>
            </w:tcMar>
            <w:vAlign w:val="bottom"/>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 w:history="1">
              <w:r>
                <w:rPr>
                  <w:rFonts w:ascii="Times New Roman" w:eastAsia="Times New Roman" w:hAnsi="Times New Roman" w:cs="Times New Roman"/>
                  <w:b w:val="0"/>
                  <w:i w:val="0"/>
                  <w:color w:val="0000FF"/>
                  <w:sz w:val="20"/>
                  <w:u w:val="single"/>
                  <w:shd w:val="clear" w:color="auto" w:fill="auto"/>
                </w:rPr>
                <w:t>Condensed Consolidated Balance Sheets as of June 30, 2026, and December 31, 2025</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6" w:history="1">
              <w:r>
                <w:rPr>
                  <w:rFonts w:ascii="Times New Roman" w:eastAsia="Times New Roman" w:hAnsi="Times New Roman" w:cs="Times New Roman"/>
                  <w:b w:val="0"/>
                  <w:i w:val="0"/>
                  <w:color w:val="0000FF"/>
                  <w:sz w:val="20"/>
                  <w:u w:val="single"/>
                  <w:shd w:val="clear" w:color="auto" w:fill="auto"/>
                </w:rPr>
                <w:t>Condensed Consolidated Statements of Comprehensive Loss for the Three and Six Months Ended June 30, 2026, and June 30, 2025</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7" w:history="1">
              <w:r>
                <w:rPr>
                  <w:rFonts w:ascii="Times New Roman" w:eastAsia="Times New Roman" w:hAnsi="Times New Roman" w:cs="Times New Roman"/>
                  <w:b w:val="0"/>
                  <w:i w:val="0"/>
                  <w:color w:val="0000FF"/>
                  <w:sz w:val="20"/>
                  <w:u w:val="single"/>
                  <w:shd w:val="clear" w:color="auto" w:fill="auto"/>
                </w:rPr>
                <w:t>Condensed Consolidated Statements of Changes in Stockholders’ Equity for the Three and Six Months Ended June 30, 2026, and June 30, 2025</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8" w:history="1">
              <w:r>
                <w:rPr>
                  <w:rFonts w:ascii="Times New Roman" w:eastAsia="Times New Roman" w:hAnsi="Times New Roman" w:cs="Times New Roman"/>
                  <w:b w:val="0"/>
                  <w:i w:val="0"/>
                  <w:color w:val="0000FF"/>
                  <w:sz w:val="20"/>
                  <w:u w:val="single"/>
                  <w:shd w:val="clear" w:color="auto" w:fill="auto"/>
                </w:rPr>
                <w:t xml:space="preserve">Condensed Consolidated Statements of Cash Flows for the Six Months Ended June 30, 2026, and June 30, 2025 </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5</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9" w:history="1">
              <w:r>
                <w:rPr>
                  <w:rFonts w:ascii="Times New Roman" w:eastAsia="Times New Roman" w:hAnsi="Times New Roman" w:cs="Times New Roman"/>
                  <w:b w:val="0"/>
                  <w:i w:val="0"/>
                  <w:color w:val="0000FF"/>
                  <w:sz w:val="20"/>
                  <w:u w:val="single"/>
                  <w:shd w:val="clear" w:color="auto" w:fill="auto"/>
                </w:rPr>
                <w:t>Notes to Condensed Consolidated Financial Statements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2.</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1" w:history="1">
              <w:r>
                <w:rPr>
                  <w:rFonts w:ascii="Times New Roman" w:eastAsia="Times New Roman" w:hAnsi="Times New Roman" w:cs="Times New Roman"/>
                  <w:b/>
                  <w:i w:val="0"/>
                  <w:color w:val="0000FF"/>
                  <w:sz w:val="20"/>
                  <w:u w:val="single"/>
                  <w:shd w:val="clear" w:color="auto" w:fill="auto"/>
                </w:rPr>
                <w:t>Management’s Discussion and Analysis of Financial Condition and Results of Operations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19</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 xml:space="preserve">Item 3. </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7" w:history="1">
              <w:r>
                <w:rPr>
                  <w:rFonts w:ascii="Times New Roman" w:eastAsia="Times New Roman" w:hAnsi="Times New Roman" w:cs="Times New Roman"/>
                  <w:b/>
                  <w:i w:val="0"/>
                  <w:color w:val="0000FF"/>
                  <w:sz w:val="20"/>
                  <w:u w:val="single"/>
                  <w:shd w:val="clear" w:color="auto" w:fill="auto"/>
                </w:rPr>
                <w:t>Quantitative and Qualitative Disclosures About Market Risk</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4.</w:t>
            </w:r>
          </w:p>
        </w:tc>
        <w:tc>
          <w:tcPr>
            <w:tcW w:w="834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8" w:history="1">
              <w:r>
                <w:rPr>
                  <w:rFonts w:ascii="Times New Roman" w:eastAsia="Times New Roman" w:hAnsi="Times New Roman" w:cs="Times New Roman"/>
                  <w:b/>
                  <w:i w:val="0"/>
                  <w:color w:val="0000FF"/>
                  <w:sz w:val="20"/>
                  <w:u w:val="single"/>
                  <w:shd w:val="clear" w:color="auto" w:fill="auto"/>
                </w:rPr>
                <w:t>Controls and Procedures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10245" w:type="dxa"/>
            <w:gridSpan w:val="3"/>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29" w:history="1">
              <w:r>
                <w:rPr>
                  <w:rFonts w:ascii="Times New Roman" w:eastAsia="Times New Roman" w:hAnsi="Times New Roman" w:cs="Times New Roman"/>
                  <w:b/>
                  <w:i w:val="0"/>
                  <w:color w:val="000000"/>
                  <w:sz w:val="20"/>
                  <w:u w:val="none"/>
                  <w:shd w:val="clear" w:color="auto" w:fill="auto"/>
                </w:rPr>
                <w:t>PART II - OTHER INFORMATION</w:t>
              </w:r>
            </w:hyperlink>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1.</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0" w:history="1">
              <w:r>
                <w:rPr>
                  <w:rFonts w:ascii="Times New Roman" w:eastAsia="Times New Roman" w:hAnsi="Times New Roman" w:cs="Times New Roman"/>
                  <w:b/>
                  <w:i w:val="0"/>
                  <w:color w:val="0000FF"/>
                  <w:sz w:val="20"/>
                  <w:u w:val="single"/>
                  <w:shd w:val="clear" w:color="auto" w:fill="auto"/>
                </w:rPr>
                <w:t>Legal Proceedings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Section30</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1A.</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1" w:history="1">
              <w:r>
                <w:rPr>
                  <w:rFonts w:ascii="Times New Roman" w:eastAsia="Times New Roman" w:hAnsi="Times New Roman" w:cs="Times New Roman"/>
                  <w:b/>
                  <w:i w:val="0"/>
                  <w:color w:val="0000FF"/>
                  <w:sz w:val="20"/>
                  <w:u w:val="single"/>
                  <w:shd w:val="clear" w:color="auto" w:fill="auto"/>
                </w:rPr>
                <w:t>Risk Factors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46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2.</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2" w:history="1">
              <w:r>
                <w:rPr>
                  <w:rFonts w:ascii="Times New Roman" w:eastAsia="Times New Roman" w:hAnsi="Times New Roman" w:cs="Times New Roman"/>
                  <w:b/>
                  <w:i w:val="0"/>
                  <w:color w:val="0000FF"/>
                  <w:sz w:val="20"/>
                  <w:u w:val="single"/>
                  <w:shd w:val="clear" w:color="auto" w:fill="auto"/>
                </w:rPr>
                <w:t>Unregistered Sales of Equity Securities and Use of Proceeds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Section32</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3.</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3" w:history="1">
              <w:r>
                <w:rPr>
                  <w:rFonts w:ascii="Times New Roman" w:eastAsia="Times New Roman" w:hAnsi="Times New Roman" w:cs="Times New Roman"/>
                  <w:b/>
                  <w:i w:val="0"/>
                  <w:color w:val="0000FF"/>
                  <w:sz w:val="20"/>
                  <w:u w:val="single"/>
                  <w:shd w:val="clear" w:color="auto" w:fill="auto"/>
                </w:rPr>
                <w:t>Defaults Upon Senior Securities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4.</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4" w:history="1">
              <w:r>
                <w:rPr>
                  <w:rFonts w:ascii="Times New Roman" w:eastAsia="Times New Roman" w:hAnsi="Times New Roman" w:cs="Times New Roman"/>
                  <w:b/>
                  <w:i w:val="0"/>
                  <w:color w:val="0000FF"/>
                  <w:sz w:val="20"/>
                  <w:u w:val="single"/>
                  <w:shd w:val="clear" w:color="auto" w:fill="auto"/>
                </w:rPr>
                <w:t>Mine Safety Disclosures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5.</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5" w:history="1">
              <w:r>
                <w:rPr>
                  <w:rFonts w:ascii="Times New Roman" w:eastAsia="Times New Roman" w:hAnsi="Times New Roman" w:cs="Times New Roman"/>
                  <w:b/>
                  <w:i w:val="0"/>
                  <w:color w:val="0000FF"/>
                  <w:sz w:val="20"/>
                  <w:u w:val="single"/>
                  <w:shd w:val="clear" w:color="auto" w:fill="auto"/>
                </w:rPr>
                <w:t>Other Information</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3" w:after="30" w:line="240" w:lineRule="auto"/>
              <w:jc w:val="both"/>
            </w:pPr>
            <w:r>
              <w:rPr>
                <w:rFonts w:ascii="Times New Roman" w:eastAsia="Times New Roman" w:hAnsi="Times New Roman" w:cs="Times New Roman"/>
                <w:b/>
                <w:i w:val="0"/>
                <w:color w:val="000000"/>
                <w:sz w:val="20"/>
                <w:u w:val="none"/>
              </w:rPr>
              <w:t>Item 6.</w:t>
            </w: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6" w:history="1">
              <w:r>
                <w:rPr>
                  <w:rFonts w:ascii="Times New Roman" w:eastAsia="Times New Roman" w:hAnsi="Times New Roman" w:cs="Times New Roman"/>
                  <w:b/>
                  <w:i w:val="0"/>
                  <w:color w:val="0000FF"/>
                  <w:sz w:val="20"/>
                  <w:u w:val="single"/>
                  <w:shd w:val="clear" w:color="auto" w:fill="auto"/>
                </w:rPr>
                <w:t>Exhibits, Financial Statement Schedules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29</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color w:val="000000"/>
                <w:sz w:val="20"/>
                <w:u w:val="single"/>
                <w:shd w:val="clear" w:color="auto" w:fill="auto"/>
              </w:rPr>
            </w:pPr>
            <w:hyperlink w:anchor="Section37" w:history="1">
              <w:r>
                <w:rPr>
                  <w:rFonts w:ascii="Times New Roman" w:eastAsia="Times New Roman" w:hAnsi="Times New Roman" w:cs="Times New Roman"/>
                  <w:b/>
                  <w:i w:val="0"/>
                  <w:color w:val="0000FF"/>
                  <w:sz w:val="20"/>
                  <w:u w:val="single"/>
                  <w:shd w:val="clear" w:color="auto" w:fill="auto"/>
                </w:rPr>
                <w:t>Signatures</w:t>
              </w:r>
            </w:hyperlink>
          </w:p>
        </w:tc>
        <w:tc>
          <w:tcPr>
            <w:tcW w:w="945" w:type="dxa"/>
            <w:tcBorders>
              <w:top w:val="nil"/>
              <w:left w:val="nil"/>
              <w:bottom w:val="nil"/>
              <w:right w:val="nil"/>
            </w:tcBorders>
            <w:shd w:val="clear" w:color="auto" w:fill="FFFFFF"/>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30</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9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sectPr>
          <w:headerReference w:type="default" r:id="rId9"/>
          <w:footerReference w:type="default" r:id="rId10"/>
          <w:pgSz w:w="12240" w:h="15840"/>
          <w:pgMar w:top="76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2" w:name="Section3"/>
      <w:bookmarkEnd w:id="2"/>
      <w:r>
        <w:rPr>
          <w:rFonts w:ascii="Times New Roman" w:eastAsia="Times New Roman" w:hAnsi="Times New Roman" w:cs="Times New Roman"/>
          <w:b/>
          <w:i w:val="0"/>
          <w:sz w:val="20"/>
        </w:rPr>
        <w:t>PART I</w:t>
      </w:r>
    </w:p>
    <w:p>
      <w:pPr>
        <w:keepNext w:val="0"/>
        <w:keepLines/>
        <w:pageBreakBefore w:val="0"/>
        <w:widowControl w:val="0"/>
        <w:numPr>
          <w:ilvl w:val="0"/>
          <w:numId w:val="0"/>
        </w:numPr>
        <w:spacing w:before="0" w:after="0" w:line="288" w:lineRule="auto"/>
        <w:ind w:left="0" w:right="0" w:firstLine="0"/>
        <w:jc w:val="center"/>
        <w:outlineLvl w:val="0"/>
        <w:sectPr>
          <w:headerReference w:type="default" r:id="rId11"/>
          <w:footerReference w:type="default" r:id="rId12"/>
          <w:pgSz w:w="12240" w:h="15840"/>
          <w:pgMar w:top="855" w:right="990" w:bottom="855" w:left="990" w:header="270" w:footer="270"/>
          <w:pgNumType w:start="1"/>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3" w:name="Section4"/>
      <w:bookmarkEnd w:id="3"/>
    </w:p>
    <w:p>
      <w:pPr>
        <w:keepNext w:val="0"/>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ITEM 1. FINANCIAL STATEMENTS </w:t>
      </w:r>
    </w:p>
    <w:p>
      <w:pPr>
        <w:keepNext w:val="0"/>
        <w:keepLines/>
        <w:pageBreakBefore w:val="0"/>
        <w:widowControl w:val="0"/>
        <w:numPr>
          <w:ilvl w:val="0"/>
          <w:numId w:val="0"/>
        </w:numPr>
        <w:spacing w:before="0" w:after="0" w:line="288" w:lineRule="auto"/>
        <w:ind w:left="0" w:right="0" w:firstLine="0"/>
        <w:jc w:val="left"/>
        <w:outlineLvl w:val="1"/>
        <w:sectPr>
          <w:footerReference w:type="default" r:id="rId13"/>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bookmarkStart w:id="4" w:name="Section5"/>
      <w:bookmarkEnd w:id="4"/>
    </w:p>
    <w:p>
      <w:pPr>
        <w:keepNext/>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BALANCE SHEETS</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 except per share amounts)</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45" w:type="dxa"/>
        <w:jc w:val="left"/>
        <w:tblInd w:w="0" w:type="dxa"/>
        <w:tblLayout w:type="fixed"/>
      </w:tblPr>
      <w:tblGrid>
        <w:gridCol w:w="7260"/>
        <w:gridCol w:w="1455"/>
        <w:gridCol w:w="75"/>
        <w:gridCol w:w="1455"/>
      </w:tblGrid>
      <w:tr>
        <w:tblPrEx>
          <w:tblW w:w="10245" w:type="dxa"/>
          <w:tblInd w:w="0" w:type="dxa"/>
          <w:tblLayout w:type="fixed"/>
        </w:tblPrEx>
        <w:trPr>
          <w:trHeight w:hRule="exact" w:val="495"/>
        </w:trPr>
        <w:tc>
          <w:tcPr>
            <w:tcW w:w="72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June 30,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December 31, 2025</w:t>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i w:val="0"/>
                <w:color w:val="000000"/>
                <w:sz w:val="16"/>
                <w:u w:val="none"/>
              </w:rPr>
              <w:t>ASSETS</w:t>
            </w: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Current assets:</w:t>
            </w: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Cash and cash equivalents</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19,679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25,244</w:t>
              <w:tab/>
            </w:r>
          </w:p>
        </w:tc>
      </w:tr>
      <w:tr>
        <w:tblPrEx>
          <w:tblW w:w="10245" w:type="dxa"/>
          <w:tblInd w:w="0" w:type="dxa"/>
          <w:tblLayout w:type="fixed"/>
        </w:tblPrEx>
        <w:trPr>
          <w:trHeight w:hRule="exact" w:val="435"/>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Accounts receivable, net of allowance for credit losses of </w:t>
            </w:r>
            <w:r>
              <w:rPr>
                <w:rFonts w:ascii="Times New Roman" w:eastAsia="Times New Roman" w:hAnsi="Times New Roman" w:cs="Times New Roman"/>
                <w:b w:val="0"/>
                <w:i w:val="0"/>
                <w:sz w:val="16"/>
              </w:rPr>
              <w:t>$9,717</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sz w:val="16"/>
              </w:rPr>
              <w:t>$7,206</w:t>
            </w:r>
            <w:r>
              <w:rPr>
                <w:rFonts w:ascii="Times New Roman" w:eastAsia="Times New Roman" w:hAnsi="Times New Roman" w:cs="Times New Roman"/>
                <w:b w:val="0"/>
                <w:i w:val="0"/>
                <w:sz w:val="16"/>
              </w:rPr>
              <w:t xml:space="preserve"> at </w:t>
            </w:r>
            <w:r>
              <w:rPr>
                <w:rFonts w:ascii="Times New Roman" w:eastAsia="Times New Roman" w:hAnsi="Times New Roman" w:cs="Times New Roman"/>
                <w:b w:val="0"/>
                <w:i w:val="0"/>
                <w:sz w:val="16"/>
              </w:rPr>
              <w:t>June 30, 2026</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sz w:val="16"/>
              </w:rPr>
              <w:t>December 31, 2025</w:t>
            </w:r>
            <w:r>
              <w:rPr>
                <w:rFonts w:ascii="Times New Roman" w:eastAsia="Times New Roman" w:hAnsi="Times New Roman" w:cs="Times New Roman"/>
                <w:b w:val="0"/>
                <w:i w:val="0"/>
                <w:sz w:val="16"/>
              </w:rPr>
              <w:t>, respectively</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13,120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15,859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Inventory</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2,048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2,826</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Prepaid expenses and other current assets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8,059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6,329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assets before funds held for clients</w:t>
            </w: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42,906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50,258</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Funds held for clients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178,915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228,111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assets</w:t>
            </w: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221,821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278,369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Property and equipment, net</w:t>
            </w: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31,515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27,810</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Goodwill</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115,759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115,759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Intangible assets, net</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83,526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87,911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Operating lease assets, net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5,164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6,028</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Other assets, net</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20,093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15,542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assets</w:t>
            </w:r>
          </w:p>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477,878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531,419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0" w:after="30" w:line="288" w:lineRule="auto"/>
              <w:ind w:left="0" w:right="0" w:firstLine="0"/>
              <w:jc w:val="left"/>
              <w:outlineLvl w:val="9"/>
              <w:rPr>
                <w:rFonts w:ascii="Times New Roman" w:eastAsia="Times New Roman" w:hAnsi="Times New Roman" w:cs="Times New Roman"/>
                <w:b/>
                <w:i w:val="0"/>
                <w:sz w:val="16"/>
              </w:rPr>
            </w:pPr>
            <w:r>
              <w:rPr>
                <w:rFonts w:ascii="Times New Roman" w:eastAsia="Times New Roman" w:hAnsi="Times New Roman" w:cs="Times New Roman"/>
                <w:b/>
                <w:i w:val="0"/>
                <w:sz w:val="16"/>
              </w:rPr>
              <w:t>LIABILITIES AND STOCKHOLDERS</w:t>
            </w:r>
            <w:r>
              <w:rPr>
                <w:rFonts w:ascii="Times New Roman" w:eastAsia="Times New Roman" w:hAnsi="Times New Roman" w:cs="Times New Roman"/>
                <w:b w:val="0"/>
                <w:i w:val="0"/>
                <w:sz w:val="16"/>
              </w:rPr>
              <w:t>’</w:t>
            </w:r>
            <w:r>
              <w:rPr>
                <w:rFonts w:ascii="Times New Roman" w:eastAsia="Times New Roman" w:hAnsi="Times New Roman" w:cs="Times New Roman"/>
                <w:b/>
                <w:i w:val="0"/>
                <w:sz w:val="16"/>
              </w:rPr>
              <w:t xml:space="preserve"> EQUITY</w:t>
            </w:r>
          </w:p>
        </w:tc>
        <w:tc>
          <w:tcPr>
            <w:tcW w:w="145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Current liabilities:</w:t>
            </w:r>
          </w:p>
        </w:tc>
        <w:tc>
          <w:tcPr>
            <w:tcW w:w="145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Current portion of notes payable</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6,665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w:t>
              <w:tab/>
              <w:t>4,344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Accounts payable</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2,035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2,174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Accrued compensation and benefits</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4,731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4,723</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Lease liabilities, current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1,909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1,956</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Other accrued liabilities</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6,481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6,422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Deferred revenue</w:t>
            </w: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6,730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11,622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liabilities before client fund obligations</w:t>
            </w: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28,551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31,241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Client fund obligations</w:t>
            </w: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179,836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228,482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liabilities</w:t>
            </w: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208,387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259,723</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Long-term liabilities:</w:t>
            </w: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Deferred revenue</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1,185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1,909</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Deferred tax liability</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3,869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3,264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Notes payable, net of current portion</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62,234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96"/>
                <w:tab w:val="left" w:pos="1387"/>
              </w:tabs>
              <w:spacing w:before="53" w:after="30" w:line="288" w:lineRule="auto"/>
              <w:jc w:val="right"/>
            </w:pPr>
            <w:r>
              <w:rPr>
                <w:rFonts w:ascii="Times New Roman" w:eastAsia="Times New Roman" w:hAnsi="Times New Roman" w:cs="Times New Roman"/>
                <w:b w:val="0"/>
                <w:i w:val="0"/>
                <w:color w:val="000000"/>
                <w:sz w:val="16"/>
                <w:u w:val="none"/>
              </w:rPr>
              <w:tab/>
              <w:t>63,282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Lease liabilities, noncurrent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4,070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6"/>
                <w:tab w:val="left" w:pos="1387"/>
              </w:tabs>
              <w:spacing w:before="53" w:after="30" w:line="288" w:lineRule="auto"/>
              <w:jc w:val="right"/>
            </w:pPr>
            <w:r>
              <w:rPr>
                <w:rFonts w:ascii="Times New Roman" w:eastAsia="Times New Roman" w:hAnsi="Times New Roman" w:cs="Times New Roman"/>
                <w:b w:val="0"/>
                <w:i w:val="0"/>
                <w:color w:val="000000"/>
                <w:sz w:val="16"/>
                <w:u w:val="none"/>
              </w:rPr>
              <w:tab/>
              <w:t>5,221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Other liabilities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370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224</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long-term liabilities</w:t>
            </w: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71,728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96"/>
                <w:tab w:val="left" w:pos="1387"/>
              </w:tabs>
              <w:spacing w:before="33" w:after="30" w:line="288" w:lineRule="auto"/>
              <w:jc w:val="right"/>
            </w:pPr>
            <w:r>
              <w:rPr>
                <w:rFonts w:ascii="Times New Roman" w:eastAsia="Times New Roman" w:hAnsi="Times New Roman" w:cs="Times New Roman"/>
                <w:b w:val="0"/>
                <w:i w:val="0"/>
                <w:color w:val="000000"/>
                <w:sz w:val="16"/>
                <w:u w:val="none"/>
              </w:rPr>
              <w:tab/>
              <w:t>73,900</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liabilities</w:t>
            </w: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280,115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333,623</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Commitments and contingencies - Note 8</w:t>
            </w: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Stockholders’ equity:</w:t>
            </w: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Preferred stock, </w:t>
            </w:r>
            <w:r>
              <w:rPr>
                <w:rFonts w:ascii="Times New Roman" w:eastAsia="Times New Roman" w:hAnsi="Times New Roman" w:cs="Times New Roman"/>
                <w:b w:val="0"/>
                <w:i w:val="0"/>
                <w:sz w:val="16"/>
              </w:rPr>
              <w:t>$0.01</w:t>
            </w:r>
            <w:r>
              <w:rPr>
                <w:rFonts w:ascii="Times New Roman" w:eastAsia="Times New Roman" w:hAnsi="Times New Roman" w:cs="Times New Roman"/>
                <w:b w:val="0"/>
                <w:i w:val="0"/>
                <w:sz w:val="16"/>
              </w:rPr>
              <w:t xml:space="preserve"> par value; </w:t>
            </w:r>
            <w:r>
              <w:rPr>
                <w:rFonts w:ascii="Times New Roman" w:eastAsia="Times New Roman" w:hAnsi="Times New Roman" w:cs="Times New Roman"/>
                <w:b w:val="0"/>
                <w:i w:val="0"/>
                <w:sz w:val="16"/>
              </w:rPr>
              <w:t>1,500</w:t>
            </w:r>
            <w:r>
              <w:rPr>
                <w:rFonts w:ascii="Times New Roman" w:eastAsia="Times New Roman" w:hAnsi="Times New Roman" w:cs="Times New Roman"/>
                <w:b w:val="0"/>
                <w:i w:val="0"/>
                <w:sz w:val="16"/>
              </w:rPr>
              <w:t xml:space="preserve"> shares authorized; </w:t>
            </w:r>
            <w:r>
              <w:rPr>
                <w:rFonts w:ascii="Times New Roman" w:eastAsia="Times New Roman" w:hAnsi="Times New Roman" w:cs="Times New Roman"/>
                <w:b w:val="0"/>
                <w:i w:val="0"/>
                <w:sz w:val="16"/>
              </w:rPr>
              <w:t>none</w:t>
            </w:r>
            <w:r>
              <w:rPr>
                <w:rFonts w:ascii="Times New Roman" w:eastAsia="Times New Roman" w:hAnsi="Times New Roman" w:cs="Times New Roman"/>
                <w:b w:val="0"/>
                <w:i w:val="0"/>
                <w:sz w:val="16"/>
              </w:rPr>
              <w:t xml:space="preserve"> issued or outstanding</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45" w:type="dxa"/>
          <w:tblInd w:w="0" w:type="dxa"/>
          <w:tblLayout w:type="fixed"/>
        </w:tblPrEx>
        <w:trPr>
          <w:trHeight w:hRule="exact" w:val="42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Common stock, </w:t>
            </w:r>
            <w:r>
              <w:rPr>
                <w:rFonts w:ascii="Times New Roman" w:eastAsia="Times New Roman" w:hAnsi="Times New Roman" w:cs="Times New Roman"/>
                <w:b w:val="0"/>
                <w:i w:val="0"/>
                <w:sz w:val="16"/>
              </w:rPr>
              <w:t>$0.01</w:t>
            </w:r>
            <w:r>
              <w:rPr>
                <w:rFonts w:ascii="Times New Roman" w:eastAsia="Times New Roman" w:hAnsi="Times New Roman" w:cs="Times New Roman"/>
                <w:b w:val="0"/>
                <w:i w:val="0"/>
                <w:sz w:val="16"/>
              </w:rPr>
              <w:t xml:space="preserve"> par value; </w:t>
            </w:r>
            <w:r>
              <w:rPr>
                <w:rFonts w:ascii="Times New Roman" w:eastAsia="Times New Roman" w:hAnsi="Times New Roman" w:cs="Times New Roman"/>
                <w:b w:val="0"/>
                <w:i w:val="0"/>
                <w:sz w:val="16"/>
              </w:rPr>
              <w:t>44,000</w:t>
            </w:r>
            <w:r>
              <w:rPr>
                <w:rFonts w:ascii="Times New Roman" w:eastAsia="Times New Roman" w:hAnsi="Times New Roman" w:cs="Times New Roman"/>
                <w:b w:val="0"/>
                <w:i w:val="0"/>
                <w:sz w:val="16"/>
              </w:rPr>
              <w:t xml:space="preserve"> shares authorized; </w:t>
            </w:r>
            <w:r>
              <w:rPr>
                <w:rFonts w:ascii="Times New Roman" w:eastAsia="Times New Roman" w:hAnsi="Times New Roman" w:cs="Times New Roman"/>
                <w:b w:val="0"/>
                <w:i w:val="0"/>
                <w:sz w:val="16"/>
              </w:rPr>
              <w:t>28,824</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sz w:val="16"/>
              </w:rPr>
              <w:t>28,076</w:t>
            </w:r>
            <w:r>
              <w:rPr>
                <w:rFonts w:ascii="Times New Roman" w:eastAsia="Times New Roman" w:hAnsi="Times New Roman" w:cs="Times New Roman"/>
                <w:b w:val="0"/>
                <w:i w:val="0"/>
                <w:sz w:val="16"/>
              </w:rPr>
              <w:t xml:space="preserve"> shares issued, </w:t>
            </w:r>
            <w:r>
              <w:rPr>
                <w:rFonts w:ascii="Times New Roman" w:eastAsia="Times New Roman" w:hAnsi="Times New Roman" w:cs="Times New Roman"/>
                <w:b w:val="0"/>
                <w:i w:val="0"/>
                <w:sz w:val="16"/>
              </w:rPr>
              <w:t>28,824</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sz w:val="16"/>
              </w:rPr>
              <w:t>28,076</w:t>
            </w:r>
            <w:r>
              <w:rPr>
                <w:rFonts w:ascii="Times New Roman" w:eastAsia="Times New Roman" w:hAnsi="Times New Roman" w:cs="Times New Roman"/>
                <w:b w:val="0"/>
                <w:i w:val="0"/>
                <w:sz w:val="16"/>
              </w:rPr>
              <w:t xml:space="preserve"> shares outstanding at </w:t>
            </w:r>
            <w:r>
              <w:rPr>
                <w:rFonts w:ascii="Times New Roman" w:eastAsia="Times New Roman" w:hAnsi="Times New Roman" w:cs="Times New Roman"/>
                <w:b w:val="0"/>
                <w:i w:val="0"/>
                <w:sz w:val="16"/>
              </w:rPr>
              <w:t>June 30, 2026</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sz w:val="16"/>
              </w:rPr>
              <w:t>December 31, 2025</w:t>
            </w:r>
            <w:r>
              <w:rPr>
                <w:rFonts w:ascii="Times New Roman" w:eastAsia="Times New Roman" w:hAnsi="Times New Roman" w:cs="Times New Roman"/>
                <w:b w:val="0"/>
                <w:i w:val="0"/>
                <w:sz w:val="16"/>
              </w:rPr>
              <w:t>, respectively</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288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281</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53" w:after="30" w:line="288" w:lineRule="auto"/>
              <w:ind w:left="630" w:right="0" w:hanging="18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Treasury stock at cost, </w:t>
            </w:r>
            <w:r>
              <w:rPr>
                <w:rFonts w:ascii="Times New Roman" w:eastAsia="Times New Roman" w:hAnsi="Times New Roman" w:cs="Times New Roman"/>
                <w:b w:val="0"/>
                <w:i w:val="0"/>
                <w:sz w:val="16"/>
              </w:rPr>
              <w:t>zero</w:t>
            </w:r>
            <w:r>
              <w:rPr>
                <w:rFonts w:ascii="Times New Roman" w:eastAsia="Times New Roman" w:hAnsi="Times New Roman" w:cs="Times New Roman"/>
                <w:b w:val="0"/>
                <w:i w:val="0"/>
                <w:sz w:val="16"/>
                <w:vertAlign w:val="superscript"/>
              </w:rPr>
              <w:t>(1)</w:t>
            </w:r>
            <w:r>
              <w:rPr>
                <w:rFonts w:ascii="Times New Roman" w:eastAsia="Times New Roman" w:hAnsi="Times New Roman" w:cs="Times New Roman"/>
                <w:b w:val="0"/>
                <w:i w:val="0"/>
                <w:sz w:val="16"/>
              </w:rPr>
              <w:t xml:space="preserve"> shares at </w:t>
            </w:r>
            <w:r>
              <w:rPr>
                <w:rFonts w:ascii="Times New Roman" w:eastAsia="Times New Roman" w:hAnsi="Times New Roman" w:cs="Times New Roman"/>
                <w:b w:val="0"/>
                <w:i w:val="0"/>
                <w:sz w:val="16"/>
              </w:rPr>
              <w:t>June 30, 2026</w:t>
            </w:r>
            <w:r>
              <w:rPr>
                <w:rFonts w:ascii="Times New Roman" w:eastAsia="Times New Roman" w:hAnsi="Times New Roman" w:cs="Times New Roman"/>
                <w:b w:val="0"/>
                <w:i w:val="0"/>
                <w:sz w:val="16"/>
              </w:rPr>
              <w:t xml:space="preserve">, and </w:t>
            </w:r>
            <w:r>
              <w:rPr>
                <w:rFonts w:ascii="Times New Roman" w:eastAsia="Times New Roman" w:hAnsi="Times New Roman" w:cs="Times New Roman"/>
                <w:b w:val="0"/>
                <w:i w:val="0"/>
                <w:sz w:val="16"/>
              </w:rPr>
              <w:t>December 31, 2025</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 w:val="left" w:pos="138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Additional paid-in capital</w:t>
            </w: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522,060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53" w:after="30" w:line="288" w:lineRule="auto"/>
              <w:jc w:val="right"/>
            </w:pPr>
            <w:r>
              <w:rPr>
                <w:rFonts w:ascii="Times New Roman" w:eastAsia="Times New Roman" w:hAnsi="Times New Roman" w:cs="Times New Roman"/>
                <w:b w:val="0"/>
                <w:i w:val="0"/>
                <w:color w:val="000000"/>
                <w:sz w:val="16"/>
                <w:u w:val="none"/>
              </w:rPr>
              <w:tab/>
              <w:t>517,432</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Accumulated deficit</w:t>
            </w: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2"/>
              </w:tabs>
              <w:spacing w:before="53" w:after="30" w:line="288" w:lineRule="auto"/>
              <w:jc w:val="right"/>
            </w:pPr>
            <w:r>
              <w:rPr>
                <w:rFonts w:ascii="Times New Roman" w:eastAsia="Times New Roman" w:hAnsi="Times New Roman" w:cs="Times New Roman"/>
                <w:b w:val="0"/>
                <w:i w:val="0"/>
                <w:color w:val="000000"/>
                <w:sz w:val="16"/>
                <w:u w:val="none"/>
              </w:rPr>
              <w:tab/>
              <w:t>(324,170)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2"/>
              </w:tabs>
              <w:spacing w:before="53" w:after="30" w:line="288" w:lineRule="auto"/>
              <w:jc w:val="right"/>
            </w:pPr>
            <w:r>
              <w:rPr>
                <w:rFonts w:ascii="Times New Roman" w:eastAsia="Times New Roman" w:hAnsi="Times New Roman" w:cs="Times New Roman"/>
                <w:b w:val="0"/>
                <w:i w:val="0"/>
                <w:color w:val="000000"/>
                <w:sz w:val="16"/>
                <w:u w:val="none"/>
              </w:rPr>
              <w:tab/>
              <w:t>(320,352)</w:t>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30" w:hanging="180"/>
              <w:jc w:val="left"/>
            </w:pPr>
            <w:r>
              <w:rPr>
                <w:rFonts w:ascii="Times New Roman" w:eastAsia="Times New Roman" w:hAnsi="Times New Roman" w:cs="Times New Roman"/>
                <w:b w:val="0"/>
                <w:i w:val="0"/>
                <w:color w:val="000000"/>
                <w:sz w:val="16"/>
                <w:u w:val="none"/>
              </w:rPr>
              <w:t>Accumulated other comprehensive income (loss)</w:t>
            </w: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22"/>
              </w:tabs>
              <w:spacing w:before="53" w:after="30" w:line="288" w:lineRule="auto"/>
              <w:jc w:val="right"/>
            </w:pPr>
            <w:r>
              <w:rPr>
                <w:rFonts w:ascii="Times New Roman" w:eastAsia="Times New Roman" w:hAnsi="Times New Roman" w:cs="Times New Roman"/>
                <w:b w:val="0"/>
                <w:i w:val="0"/>
                <w:color w:val="000000"/>
                <w:sz w:val="16"/>
                <w:u w:val="none"/>
              </w:rPr>
              <w:tab/>
              <w:t>(415)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96"/>
                <w:tab w:val="left" w:pos="1387"/>
              </w:tabs>
              <w:spacing w:before="53" w:after="30" w:line="288" w:lineRule="auto"/>
              <w:jc w:val="right"/>
            </w:pPr>
            <w:r>
              <w:rPr>
                <w:rFonts w:ascii="Times New Roman" w:eastAsia="Times New Roman" w:hAnsi="Times New Roman" w:cs="Times New Roman"/>
                <w:b w:val="0"/>
                <w:i w:val="0"/>
                <w:color w:val="000000"/>
                <w:sz w:val="16"/>
                <w:u w:val="none"/>
              </w:rPr>
              <w:tab/>
              <w:t>435</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stockholders’ equity</w:t>
            </w: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197,763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ab/>
              <w:t>197,796</w:t>
              <w:tab/>
            </w:r>
          </w:p>
        </w:tc>
      </w:tr>
      <w:tr>
        <w:tblPrEx>
          <w:tblW w:w="10245" w:type="dxa"/>
          <w:tblInd w:w="0" w:type="dxa"/>
          <w:tblLayout w:type="fixed"/>
        </w:tblPrEx>
        <w:trPr>
          <w:trHeight w:hRule="exact" w:val="240"/>
        </w:trPr>
        <w:tc>
          <w:tcPr>
            <w:tcW w:w="726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liabilities and stockholders’ equity</w:t>
            </w:r>
          </w:p>
        </w:tc>
        <w:tc>
          <w:tcPr>
            <w:tcW w:w="14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477,878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4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16"/>
                <w:tab w:val="left" w:pos="1387"/>
              </w:tabs>
              <w:spacing w:before="33" w:after="30" w:line="288" w:lineRule="auto"/>
              <w:jc w:val="right"/>
            </w:pPr>
            <w:r>
              <w:rPr>
                <w:rFonts w:ascii="Times New Roman" w:eastAsia="Times New Roman" w:hAnsi="Times New Roman" w:cs="Times New Roman"/>
                <w:b w:val="0"/>
                <w:i w:val="0"/>
                <w:color w:val="000000"/>
                <w:sz w:val="16"/>
                <w:u w:val="none"/>
              </w:rPr>
              <w:t>$</w:t>
              <w:tab/>
              <w:t>531,419</w:t>
              <w:tab/>
            </w:r>
          </w:p>
        </w:tc>
      </w:tr>
      <w:tr>
        <w:tblPrEx>
          <w:tblW w:w="10245" w:type="dxa"/>
          <w:tblInd w:w="0" w:type="dxa"/>
          <w:tblLayout w:type="fixed"/>
        </w:tblPrEx>
        <w:trPr>
          <w:trHeight w:hRule="exact" w:val="405"/>
        </w:trPr>
        <w:tc>
          <w:tcPr>
            <w:tcW w:w="10245" w:type="dxa"/>
            <w:gridSpan w:val="4"/>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0" w:line="288" w:lineRule="auto"/>
              <w:jc w:val="left"/>
            </w:pPr>
            <w:r>
              <w:rPr>
                <w:rFonts w:ascii="Times New Roman" w:eastAsia="Times New Roman" w:hAnsi="Times New Roman" w:cs="Times New Roman"/>
                <w:b w:val="0"/>
                <w:i w:val="0"/>
                <w:color w:val="000000"/>
                <w:sz w:val="14"/>
                <w:u w:val="none"/>
              </w:rPr>
              <w:t xml:space="preserve">  (1)    The aggregate Treasury stock of prior repurchases of our own common stock was retired and subsequently issued effective January 1, 2024. See the Condensed</w:t>
            </w:r>
          </w:p>
          <w:p>
            <w:pPr>
              <w:spacing w:after="30" w:line="288" w:lineRule="auto"/>
              <w:jc w:val="left"/>
            </w:pPr>
            <w:r>
              <w:rPr>
                <w:rFonts w:ascii="Times New Roman" w:eastAsia="Times New Roman" w:hAnsi="Times New Roman" w:cs="Times New Roman"/>
                <w:b w:val="0"/>
                <w:i w:val="0"/>
                <w:color w:val="000000"/>
                <w:sz w:val="14"/>
                <w:u w:val="none"/>
              </w:rPr>
              <w:t xml:space="preserve">           Consolidated Statement of Changes in Stockholders’ Equity for the impact of this transaction.</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footerReference w:type="default" r:id="rId14"/>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5" w:name="Section6"/>
      <w:bookmarkEnd w:id="5"/>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CONDENSED CONSOLIDATED STATEMENTS OF COMPREHENSIVE </w:t>
      </w:r>
      <w:r>
        <w:rPr>
          <w:rFonts w:ascii="Times New Roman" w:eastAsia="Times New Roman" w:hAnsi="Times New Roman" w:cs="Times New Roman"/>
          <w:b/>
          <w:i w:val="0"/>
          <w:sz w:val="20"/>
        </w:rPr>
        <w:t>LOSS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 except per share amounts)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45" w:type="dxa"/>
        <w:jc w:val="left"/>
        <w:tblInd w:w="0" w:type="dxa"/>
        <w:tblLayout w:type="fixed"/>
      </w:tblPr>
      <w:tblGrid>
        <w:gridCol w:w="4800"/>
        <w:gridCol w:w="1305"/>
        <w:gridCol w:w="75"/>
        <w:gridCol w:w="1305"/>
        <w:gridCol w:w="75"/>
        <w:gridCol w:w="1305"/>
        <w:gridCol w:w="75"/>
        <w:gridCol w:w="1305"/>
      </w:tblGrid>
      <w:tr>
        <w:tblPrEx>
          <w:tblW w:w="10245" w:type="dxa"/>
          <w:tblInd w:w="0" w:type="dxa"/>
          <w:tblLayout w:type="fixed"/>
        </w:tblPrEx>
        <w:trPr>
          <w:trHeight w:hRule="exact" w:val="480"/>
        </w:trPr>
        <w:tc>
          <w:tcPr>
            <w:tcW w:w="48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88" w:lineRule="auto"/>
              <w:jc w:val="center"/>
            </w:pPr>
            <w:r>
              <w:rPr>
                <w:rFonts w:ascii="Times New Roman" w:eastAsia="Times New Roman" w:hAnsi="Times New Roman" w:cs="Times New Roman"/>
                <w:b/>
                <w:i w:val="0"/>
                <w:color w:val="000000"/>
                <w:sz w:val="20"/>
                <w:u w:val="none"/>
              </w:rPr>
              <w:t>Three Months Ended</w:t>
            </w:r>
          </w:p>
          <w:p>
            <w:pPr>
              <w:spacing w:after="30" w:line="288" w:lineRule="auto"/>
              <w:jc w:val="center"/>
            </w:pPr>
            <w:r>
              <w:rPr>
                <w:rFonts w:ascii="Times New Roman" w:eastAsia="Times New Roman" w:hAnsi="Times New Roman" w:cs="Times New Roman"/>
                <w:b/>
                <w:i w:val="0"/>
                <w:color w:val="000000"/>
                <w:sz w:val="20"/>
                <w:u w:val="none"/>
              </w:rPr>
              <w:t>June 30,</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85"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53" w:line="288" w:lineRule="auto"/>
              <w:jc w:val="center"/>
            </w:pPr>
            <w:r>
              <w:rPr>
                <w:rFonts w:ascii="Times New Roman" w:eastAsia="Times New Roman" w:hAnsi="Times New Roman" w:cs="Times New Roman"/>
                <w:b/>
                <w:i w:val="0"/>
                <w:color w:val="000000"/>
                <w:sz w:val="20"/>
                <w:u w:val="none"/>
              </w:rPr>
              <w:t>Six Months Ended</w:t>
            </w:r>
          </w:p>
          <w:p>
            <w:pPr>
              <w:spacing w:after="30" w:line="288" w:lineRule="auto"/>
              <w:jc w:val="center"/>
            </w:pPr>
            <w:r>
              <w:rPr>
                <w:rFonts w:ascii="Times New Roman" w:eastAsia="Times New Roman" w:hAnsi="Times New Roman" w:cs="Times New Roman"/>
                <w:b/>
                <w:i w:val="0"/>
                <w:color w:val="000000"/>
                <w:sz w:val="20"/>
                <w:u w:val="none"/>
              </w:rPr>
              <w:t>June 30,</w:t>
            </w:r>
          </w:p>
        </w:tc>
      </w:tr>
      <w:tr>
        <w:tblPrEx>
          <w:tblW w:w="10245" w:type="dxa"/>
          <w:tblInd w:w="0" w:type="dxa"/>
          <w:tblLayout w:type="fixed"/>
        </w:tblPrEx>
        <w:trPr>
          <w:trHeight w:hRule="exact" w:val="300"/>
        </w:trPr>
        <w:tc>
          <w:tcPr>
            <w:tcW w:w="48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2025</w:t>
            </w:r>
          </w:p>
        </w:tc>
      </w:tr>
      <w:tr>
        <w:tblPrEx>
          <w:tblW w:w="10245" w:type="dxa"/>
          <w:tblInd w:w="0" w:type="dxa"/>
          <w:tblLayout w:type="fixed"/>
        </w:tblPrEx>
        <w:trPr>
          <w:trHeight w:hRule="exact" w:val="28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Revenue: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Recurring</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w:t>
              <w:tab/>
              <w:t>33,958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w:t>
              <w:tab/>
              <w:t>28,596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w:t>
              <w:tab/>
              <w:t>71,715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w:t>
              <w:tab/>
              <w:t>61,783</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Professional services, hardware and other</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3,155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1,528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8,155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3,195</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Total revenue</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37,113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30,124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79,870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64,978</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Cost of sales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12,058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10,213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24,345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20,459</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345"/>
              <w:jc w:val="left"/>
            </w:pPr>
            <w:r>
              <w:rPr>
                <w:rFonts w:ascii="Times New Roman" w:eastAsia="Times New Roman" w:hAnsi="Times New Roman" w:cs="Times New Roman"/>
                <w:b w:val="0"/>
                <w:i w:val="0"/>
                <w:color w:val="000000"/>
                <w:sz w:val="20"/>
                <w:u w:val="none"/>
              </w:rPr>
              <w:t>Gross profit</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25,055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19,911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55,525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44,519</w:t>
              <w:tab/>
            </w:r>
          </w:p>
        </w:tc>
      </w:tr>
      <w:tr>
        <w:tblPrEx>
          <w:tblW w:w="10245" w:type="dxa"/>
          <w:tblInd w:w="0" w:type="dxa"/>
          <w:tblLayout w:type="fixed"/>
        </w:tblPrEx>
        <w:trPr>
          <w:trHeight w:hRule="exact" w:val="28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Operating expenses: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Sales and marketing</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9,098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8,149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17,862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16,535</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General and administrative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12,099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10,968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24,847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22,868</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Research and development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1,565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1,273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3,222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3,302</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Amortization of intangible assets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4,689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4,173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9,661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8,481</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Total operating expenses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27,451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24,563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55,592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51,186</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Loss from operations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(2,396)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(4,652)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86"/>
              </w:tabs>
              <w:spacing w:before="33" w:after="30" w:line="288" w:lineRule="auto"/>
              <w:jc w:val="right"/>
            </w:pPr>
            <w:r>
              <w:rPr>
                <w:rFonts w:ascii="Times New Roman" w:eastAsia="Times New Roman" w:hAnsi="Times New Roman" w:cs="Times New Roman"/>
                <w:b w:val="0"/>
                <w:i w:val="0"/>
                <w:color w:val="000000"/>
                <w:sz w:val="20"/>
                <w:u w:val="none"/>
              </w:rPr>
              <w:tab/>
              <w:t>(67)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(6,667)</w:t>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Interest income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40" w:lineRule="auto"/>
              <w:jc w:val="right"/>
            </w:pPr>
            <w:r>
              <w:rPr>
                <w:rFonts w:ascii="Times New Roman" w:eastAsia="Times New Roman" w:hAnsi="Times New Roman" w:cs="Times New Roman"/>
                <w:b w:val="0"/>
                <w:i w:val="0"/>
                <w:color w:val="000000"/>
                <w:sz w:val="20"/>
                <w:u w:val="none"/>
              </w:rPr>
              <w:tab/>
              <w:t>168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40" w:lineRule="auto"/>
              <w:jc w:val="right"/>
            </w:pPr>
            <w:r>
              <w:rPr>
                <w:rFonts w:ascii="Times New Roman" w:eastAsia="Times New Roman" w:hAnsi="Times New Roman" w:cs="Times New Roman"/>
                <w:b w:val="0"/>
                <w:i w:val="0"/>
                <w:color w:val="000000"/>
                <w:sz w:val="20"/>
                <w:u w:val="none"/>
              </w:rPr>
              <w:tab/>
              <w:t>277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40" w:lineRule="auto"/>
              <w:jc w:val="right"/>
            </w:pPr>
            <w:r>
              <w:rPr>
                <w:rFonts w:ascii="Times New Roman" w:eastAsia="Times New Roman" w:hAnsi="Times New Roman" w:cs="Times New Roman"/>
                <w:b w:val="0"/>
                <w:i w:val="0"/>
                <w:color w:val="000000"/>
                <w:sz w:val="20"/>
                <w:u w:val="none"/>
              </w:rPr>
              <w:tab/>
              <w:t>354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40" w:lineRule="auto"/>
              <w:jc w:val="right"/>
            </w:pPr>
            <w:r>
              <w:rPr>
                <w:rFonts w:ascii="Times New Roman" w:eastAsia="Times New Roman" w:hAnsi="Times New Roman" w:cs="Times New Roman"/>
                <w:b w:val="0"/>
                <w:i w:val="0"/>
                <w:color w:val="000000"/>
                <w:sz w:val="20"/>
                <w:u w:val="none"/>
              </w:rPr>
              <w:tab/>
              <w:t>448</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Interest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53" w:after="30" w:line="288" w:lineRule="auto"/>
              <w:jc w:val="right"/>
            </w:pPr>
            <w:r>
              <w:rPr>
                <w:rFonts w:ascii="Times New Roman" w:eastAsia="Times New Roman" w:hAnsi="Times New Roman" w:cs="Times New Roman"/>
                <w:b w:val="0"/>
                <w:i w:val="0"/>
                <w:color w:val="000000"/>
                <w:sz w:val="20"/>
                <w:u w:val="none"/>
              </w:rPr>
              <w:tab/>
              <w:t>(1,753)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53" w:after="30" w:line="288" w:lineRule="auto"/>
              <w:jc w:val="right"/>
            </w:pPr>
            <w:r>
              <w:rPr>
                <w:rFonts w:ascii="Times New Roman" w:eastAsia="Times New Roman" w:hAnsi="Times New Roman" w:cs="Times New Roman"/>
                <w:b w:val="0"/>
                <w:i w:val="0"/>
                <w:color w:val="000000"/>
                <w:sz w:val="20"/>
                <w:u w:val="none"/>
              </w:rPr>
              <w:tab/>
              <w:t>(809)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53" w:after="30" w:line="288" w:lineRule="auto"/>
              <w:jc w:val="right"/>
            </w:pPr>
            <w:r>
              <w:rPr>
                <w:rFonts w:ascii="Times New Roman" w:eastAsia="Times New Roman" w:hAnsi="Times New Roman" w:cs="Times New Roman"/>
                <w:b w:val="0"/>
                <w:i w:val="0"/>
                <w:color w:val="000000"/>
                <w:sz w:val="20"/>
                <w:u w:val="none"/>
              </w:rPr>
              <w:tab/>
              <w:t>(3,499)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53" w:after="30" w:line="288" w:lineRule="auto"/>
              <w:jc w:val="right"/>
            </w:pPr>
            <w:r>
              <w:rPr>
                <w:rFonts w:ascii="Times New Roman" w:eastAsia="Times New Roman" w:hAnsi="Times New Roman" w:cs="Times New Roman"/>
                <w:b w:val="0"/>
                <w:i w:val="0"/>
                <w:color w:val="000000"/>
                <w:sz w:val="20"/>
                <w:u w:val="none"/>
              </w:rPr>
              <w:tab/>
              <w:t>(1,260)</w:t>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jc w:val="left"/>
            </w:pPr>
            <w:r>
              <w:rPr>
                <w:rFonts w:ascii="Times New Roman" w:eastAsia="Times New Roman" w:hAnsi="Times New Roman" w:cs="Times New Roman"/>
                <w:b w:val="0"/>
                <w:i w:val="0"/>
                <w:color w:val="000000"/>
                <w:sz w:val="20"/>
                <w:u w:val="none"/>
              </w:rPr>
              <w:t>Other income (expense), net</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2"/>
                <w:tab w:val="left" w:pos="123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86"/>
              </w:tabs>
              <w:spacing w:before="53" w:after="30" w:line="240" w:lineRule="auto"/>
              <w:jc w:val="right"/>
            </w:pPr>
            <w:r>
              <w:rPr>
                <w:rFonts w:ascii="Times New Roman" w:eastAsia="Times New Roman" w:hAnsi="Times New Roman" w:cs="Times New Roman"/>
                <w:b w:val="0"/>
                <w:i w:val="0"/>
                <w:color w:val="000000"/>
                <w:sz w:val="20"/>
                <w:u w:val="none"/>
              </w:rPr>
              <w:tab/>
              <w:t>(96)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2"/>
                <w:tab w:val="left" w:pos="123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2"/>
                <w:tab w:val="left" w:pos="1237"/>
              </w:tabs>
              <w:spacing w:before="53" w:after="30" w:line="240" w:lineRule="auto"/>
              <w:jc w:val="right"/>
            </w:pPr>
            <w:r>
              <w:rPr>
                <w:rFonts w:ascii="Times New Roman" w:eastAsia="Times New Roman" w:hAnsi="Times New Roman" w:cs="Times New Roman"/>
                <w:b w:val="0"/>
                <w:i w:val="0"/>
                <w:color w:val="000000"/>
                <w:sz w:val="20"/>
                <w:u w:val="none"/>
              </w:rPr>
              <w:tab/>
              <w:t>92</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Loss from operations before income taxes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(3,981)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(5,280)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(3,212)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(7,387)</w:t>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jc w:val="left"/>
            </w:pPr>
            <w:r>
              <w:rPr>
                <w:rFonts w:ascii="Times New Roman" w:eastAsia="Times New Roman" w:hAnsi="Times New Roman" w:cs="Times New Roman"/>
                <w:b w:val="0"/>
                <w:i w:val="0"/>
                <w:color w:val="000000"/>
                <w:sz w:val="20"/>
                <w:u w:val="none"/>
              </w:rPr>
              <w:t>Income tax expense</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462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843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606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1,134</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Net loss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(4,443)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(6,123)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(3,818)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(8,521)</w:t>
            </w:r>
          </w:p>
        </w:tc>
      </w:tr>
      <w:tr>
        <w:tblPrEx>
          <w:tblW w:w="10245" w:type="dxa"/>
          <w:tblInd w:w="0" w:type="dxa"/>
          <w:tblLayout w:type="fixed"/>
        </w:tblPrEx>
        <w:trPr>
          <w:trHeight w:hRule="exact" w:val="28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Other comprehensive loss: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jc w:val="left"/>
            </w:pPr>
            <w:r>
              <w:rPr>
                <w:rFonts w:ascii="Times New Roman" w:eastAsia="Times New Roman" w:hAnsi="Times New Roman" w:cs="Times New Roman"/>
                <w:b w:val="0"/>
                <w:i w:val="0"/>
                <w:color w:val="000000"/>
                <w:sz w:val="20"/>
                <w:u w:val="none"/>
              </w:rPr>
              <w:t>Unrealized gain (loss) on marketable securities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6"/>
              </w:tabs>
              <w:spacing w:before="53" w:after="30" w:line="288" w:lineRule="auto"/>
              <w:jc w:val="right"/>
            </w:pPr>
            <w:r>
              <w:rPr>
                <w:rFonts w:ascii="Times New Roman" w:eastAsia="Times New Roman" w:hAnsi="Times New Roman" w:cs="Times New Roman"/>
                <w:b w:val="0"/>
                <w:i w:val="0"/>
                <w:color w:val="000000"/>
                <w:sz w:val="20"/>
                <w:u w:val="none"/>
              </w:rPr>
              <w:tab/>
              <w:t>(262)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228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6"/>
              </w:tabs>
              <w:spacing w:before="53" w:after="30" w:line="288" w:lineRule="auto"/>
              <w:jc w:val="right"/>
            </w:pPr>
            <w:r>
              <w:rPr>
                <w:rFonts w:ascii="Times New Roman" w:eastAsia="Times New Roman" w:hAnsi="Times New Roman" w:cs="Times New Roman"/>
                <w:b w:val="0"/>
                <w:i w:val="0"/>
                <w:color w:val="000000"/>
                <w:sz w:val="20"/>
                <w:u w:val="none"/>
              </w:rPr>
              <w:tab/>
              <w:t>(850)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670</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Comprehensive loss</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w:t>
              <w:tab/>
              <w:t>(4,705)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w:t>
              <w:tab/>
              <w:t>(5,895)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w:t>
              <w:tab/>
              <w:t>(4,668)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w:t>
              <w:tab/>
              <w:t>(7,851)</w:t>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Basic and diluted loss per share</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Basic</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(0.15)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(0.22)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(0.31)</w:t>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Diluted</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(0.13)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(0.31)</w:t>
            </w:r>
          </w:p>
        </w:tc>
      </w:tr>
      <w:tr>
        <w:tblPrEx>
          <w:tblW w:w="10245" w:type="dxa"/>
          <w:tblInd w:w="0" w:type="dxa"/>
          <w:tblLayout w:type="fixed"/>
        </w:tblPrEx>
        <w:trPr>
          <w:trHeight w:hRule="exact" w:val="285"/>
        </w:trPr>
        <w:tc>
          <w:tcPr>
            <w:tcW w:w="48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8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Weighted average basic and diluted shares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Basic</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28,749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27,237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28,586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27,100</w:t>
              <w:tab/>
            </w:r>
          </w:p>
        </w:tc>
      </w:tr>
      <w:tr>
        <w:tblPrEx>
          <w:tblW w:w="10245" w:type="dxa"/>
          <w:tblInd w:w="0" w:type="dxa"/>
          <w:tblLayout w:type="fixed"/>
        </w:tblPrEx>
        <w:trPr>
          <w:trHeight w:hRule="exact" w:val="300"/>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88" w:lineRule="auto"/>
              <w:ind w:left="360"/>
              <w:jc w:val="left"/>
            </w:pPr>
            <w:r>
              <w:rPr>
                <w:rFonts w:ascii="Times New Roman" w:eastAsia="Times New Roman" w:hAnsi="Times New Roman" w:cs="Times New Roman"/>
                <w:b w:val="0"/>
                <w:i w:val="0"/>
                <w:color w:val="000000"/>
                <w:sz w:val="20"/>
                <w:u w:val="none"/>
              </w:rPr>
              <w:t>Diluted</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28,749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27,237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28,586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27,100</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6" w:name="Section7"/>
      <w:bookmarkEnd w:id="6"/>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STATEMENTS OF CHANGES IN STOCKHOLDERS’ EQUITY</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800" w:type="dxa"/>
        <w:jc w:val="left"/>
        <w:tblInd w:w="0" w:type="dxa"/>
        <w:tblLayout w:type="fixed"/>
      </w:tblPr>
      <w:tblGrid>
        <w:gridCol w:w="3300"/>
        <w:gridCol w:w="960"/>
        <w:gridCol w:w="75"/>
        <w:gridCol w:w="900"/>
        <w:gridCol w:w="75"/>
        <w:gridCol w:w="900"/>
        <w:gridCol w:w="75"/>
        <w:gridCol w:w="1005"/>
        <w:gridCol w:w="75"/>
        <w:gridCol w:w="1020"/>
        <w:gridCol w:w="75"/>
        <w:gridCol w:w="1200"/>
        <w:gridCol w:w="75"/>
        <w:gridCol w:w="1065"/>
      </w:tblGrid>
      <w:tr>
        <w:tblPrEx>
          <w:tblW w:w="10800" w:type="dxa"/>
          <w:tblInd w:w="0" w:type="dxa"/>
          <w:tblLayout w:type="fixed"/>
        </w:tblPrEx>
        <w:trPr>
          <w:trHeight w:hRule="exact" w:val="615"/>
        </w:trPr>
        <w:tc>
          <w:tcPr>
            <w:tcW w:w="330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9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Outstanding</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Amount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Treasury Stock</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0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Additional Paid-in Capital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Accumulated Deficit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Other Comprehensive Income (Loss)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Total Stockholders’ Equity</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16"/>
                <w:u w:val="none"/>
              </w:rPr>
              <w:t>Balance at December 31, 2025</w:t>
            </w:r>
          </w:p>
        </w:tc>
        <w:tc>
          <w:tcPr>
            <w:tcW w:w="9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28,076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281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517,432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(320,352)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41"/>
                <w:tab w:val="left" w:pos="1132"/>
              </w:tabs>
              <w:spacing w:before="33" w:after="30" w:line="240" w:lineRule="auto"/>
              <w:jc w:val="right"/>
            </w:pPr>
            <w:r>
              <w:rPr>
                <w:rFonts w:ascii="Times New Roman" w:eastAsia="Times New Roman" w:hAnsi="Times New Roman" w:cs="Times New Roman"/>
                <w:b w:val="0"/>
                <w:i w:val="0"/>
                <w:color w:val="000000"/>
                <w:sz w:val="16"/>
                <w:u w:val="none"/>
              </w:rPr>
              <w:t>$</w:t>
              <w:tab/>
              <w:t>435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197,796</w:t>
              <w:tab/>
            </w:r>
          </w:p>
        </w:tc>
      </w:tr>
      <w:tr>
        <w:tblPrEx>
          <w:tblW w:w="10800" w:type="dxa"/>
          <w:tblInd w:w="0" w:type="dxa"/>
          <w:tblLayout w:type="fixed"/>
        </w:tblPrEx>
        <w:trPr>
          <w:trHeight w:hRule="exact" w:val="405"/>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Stock issued upon option exercise and vesting of restricted and performance stock units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40" w:lineRule="auto"/>
              <w:jc w:val="right"/>
            </w:pPr>
            <w:r>
              <w:rPr>
                <w:rFonts w:ascii="Times New Roman" w:eastAsia="Times New Roman" w:hAnsi="Times New Roman" w:cs="Times New Roman"/>
                <w:b w:val="0"/>
                <w:i w:val="0"/>
                <w:color w:val="000000"/>
                <w:sz w:val="16"/>
                <w:u w:val="none"/>
              </w:rPr>
              <w:tab/>
              <w:t>512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2"/>
              </w:tabs>
              <w:spacing w:before="53" w:after="30" w:line="240" w:lineRule="auto"/>
              <w:jc w:val="right"/>
            </w:pPr>
            <w:r>
              <w:rPr>
                <w:rFonts w:ascii="Times New Roman" w:eastAsia="Times New Roman" w:hAnsi="Times New Roman" w:cs="Times New Roman"/>
                <w:b w:val="0"/>
                <w:i w:val="0"/>
                <w:color w:val="000000"/>
                <w:sz w:val="16"/>
                <w:u w:val="none"/>
              </w:rPr>
              <w:tab/>
              <w:t>(310)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2"/>
              </w:tabs>
              <w:spacing w:before="53" w:after="30" w:line="240" w:lineRule="auto"/>
              <w:jc w:val="right"/>
            </w:pPr>
            <w:r>
              <w:rPr>
                <w:rFonts w:ascii="Times New Roman" w:eastAsia="Times New Roman" w:hAnsi="Times New Roman" w:cs="Times New Roman"/>
                <w:b w:val="0"/>
                <w:i w:val="0"/>
                <w:color w:val="000000"/>
                <w:sz w:val="16"/>
                <w:u w:val="none"/>
              </w:rPr>
              <w:tab/>
              <w:t>(305)</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Stock issued for acquisitions</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6"/>
                <w:tab w:val="left" w:pos="937"/>
              </w:tabs>
              <w:spacing w:before="53" w:after="30" w:line="240" w:lineRule="auto"/>
              <w:jc w:val="right"/>
            </w:pPr>
            <w:r>
              <w:rPr>
                <w:rFonts w:ascii="Times New Roman" w:eastAsia="Times New Roman" w:hAnsi="Times New Roman" w:cs="Times New Roman"/>
                <w:b w:val="0"/>
                <w:i w:val="0"/>
                <w:color w:val="000000"/>
                <w:sz w:val="16"/>
                <w:u w:val="none"/>
              </w:rPr>
              <w:tab/>
              <w:t>445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445</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Share-based compensation</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6"/>
                <w:tab w:val="left" w:pos="937"/>
              </w:tabs>
              <w:spacing w:before="53" w:after="30" w:line="240" w:lineRule="auto"/>
              <w:jc w:val="right"/>
            </w:pPr>
            <w:r>
              <w:rPr>
                <w:rFonts w:ascii="Times New Roman" w:eastAsia="Times New Roman" w:hAnsi="Times New Roman" w:cs="Times New Roman"/>
                <w:b w:val="0"/>
                <w:i w:val="0"/>
                <w:color w:val="000000"/>
                <w:sz w:val="16"/>
                <w:u w:val="none"/>
              </w:rPr>
              <w:tab/>
              <w:t>2,150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86"/>
                <w:tab w:val="left" w:pos="997"/>
              </w:tabs>
              <w:spacing w:before="53" w:after="30" w:line="240" w:lineRule="auto"/>
              <w:jc w:val="right"/>
            </w:pPr>
            <w:r>
              <w:rPr>
                <w:rFonts w:ascii="Times New Roman" w:eastAsia="Times New Roman" w:hAnsi="Times New Roman" w:cs="Times New Roman"/>
                <w:b w:val="0"/>
                <w:i w:val="0"/>
                <w:color w:val="000000"/>
                <w:sz w:val="16"/>
                <w:u w:val="none"/>
              </w:rPr>
              <w:tab/>
              <w:t>2,150</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Net income</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61"/>
                <w:tab w:val="left" w:pos="952"/>
              </w:tabs>
              <w:spacing w:before="53" w:after="30" w:line="240" w:lineRule="auto"/>
              <w:jc w:val="right"/>
            </w:pPr>
            <w:r>
              <w:rPr>
                <w:rFonts w:ascii="Times New Roman" w:eastAsia="Times New Roman" w:hAnsi="Times New Roman" w:cs="Times New Roman"/>
                <w:b w:val="0"/>
                <w:i w:val="0"/>
                <w:color w:val="000000"/>
                <w:sz w:val="16"/>
                <w:u w:val="none"/>
              </w:rPr>
              <w:tab/>
              <w:t>625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625</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Other comprehensive loss</w:t>
            </w:r>
          </w:p>
        </w:tc>
        <w:tc>
          <w:tcPr>
            <w:tcW w:w="96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s>
              <w:spacing w:before="53" w:after="30" w:line="240" w:lineRule="auto"/>
              <w:jc w:val="right"/>
            </w:pPr>
            <w:r>
              <w:rPr>
                <w:rFonts w:ascii="Times New Roman" w:eastAsia="Times New Roman" w:hAnsi="Times New Roman" w:cs="Times New Roman"/>
                <w:b w:val="0"/>
                <w:i w:val="0"/>
                <w:color w:val="000000"/>
                <w:sz w:val="16"/>
                <w:u w:val="none"/>
              </w:rPr>
              <w:tab/>
              <w:t>(588)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2"/>
              </w:tabs>
              <w:spacing w:before="53" w:after="30" w:line="240" w:lineRule="auto"/>
              <w:jc w:val="right"/>
            </w:pPr>
            <w:r>
              <w:rPr>
                <w:rFonts w:ascii="Times New Roman" w:eastAsia="Times New Roman" w:hAnsi="Times New Roman" w:cs="Times New Roman"/>
                <w:b w:val="0"/>
                <w:i w:val="0"/>
                <w:color w:val="000000"/>
                <w:sz w:val="16"/>
                <w:u w:val="none"/>
              </w:rPr>
              <w:tab/>
              <w:t>(588)</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16"/>
                <w:u w:val="none"/>
              </w:rPr>
              <w:t>Balance at March 31, 2026</w:t>
            </w:r>
          </w:p>
        </w:tc>
        <w:tc>
          <w:tcPr>
            <w:tcW w:w="9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28,637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286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519,717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(319,727)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s>
              <w:spacing w:before="33" w:after="30" w:line="240" w:lineRule="auto"/>
              <w:jc w:val="right"/>
            </w:pPr>
            <w:r>
              <w:rPr>
                <w:rFonts w:ascii="Times New Roman" w:eastAsia="Times New Roman" w:hAnsi="Times New Roman" w:cs="Times New Roman"/>
                <w:b w:val="0"/>
                <w:i w:val="0"/>
                <w:color w:val="000000"/>
                <w:sz w:val="16"/>
                <w:u w:val="none"/>
              </w:rPr>
              <w:t>$</w:t>
              <w:tab/>
              <w:t>(153)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200,123</w:t>
              <w:tab/>
            </w:r>
          </w:p>
        </w:tc>
      </w:tr>
      <w:tr>
        <w:tblPrEx>
          <w:tblW w:w="10800" w:type="dxa"/>
          <w:tblInd w:w="0" w:type="dxa"/>
          <w:tblLayout w:type="fixed"/>
        </w:tblPrEx>
        <w:trPr>
          <w:trHeight w:hRule="exact" w:val="315"/>
        </w:trPr>
        <w:tc>
          <w:tcPr>
            <w:tcW w:w="33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6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0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r>
      <w:tr>
        <w:tblPrEx>
          <w:tblW w:w="10800" w:type="dxa"/>
          <w:tblInd w:w="0" w:type="dxa"/>
          <w:tblLayout w:type="fixed"/>
        </w:tblPrEx>
        <w:trPr>
          <w:trHeight w:hRule="exact" w:val="405"/>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Stock issued upon option exercise and vesting of restricted and performance stock units</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01"/>
                <w:tab w:val="left" w:pos="892"/>
              </w:tabs>
              <w:spacing w:before="53" w:after="30" w:line="240" w:lineRule="auto"/>
              <w:jc w:val="right"/>
            </w:pPr>
            <w:r>
              <w:rPr>
                <w:rFonts w:ascii="Times New Roman" w:eastAsia="Times New Roman" w:hAnsi="Times New Roman" w:cs="Times New Roman"/>
                <w:b w:val="0"/>
                <w:i w:val="0"/>
                <w:color w:val="000000"/>
                <w:sz w:val="16"/>
                <w:u w:val="none"/>
              </w:rPr>
              <w:tab/>
              <w:t>138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72"/>
              </w:tabs>
              <w:spacing w:before="53" w:after="30" w:line="240" w:lineRule="auto"/>
              <w:jc w:val="right"/>
            </w:pPr>
            <w:r>
              <w:rPr>
                <w:rFonts w:ascii="Times New Roman" w:eastAsia="Times New Roman" w:hAnsi="Times New Roman" w:cs="Times New Roman"/>
                <w:b w:val="0"/>
                <w:i w:val="0"/>
                <w:color w:val="000000"/>
                <w:sz w:val="16"/>
                <w:u w:val="none"/>
              </w:rPr>
              <w:tab/>
              <w:t>(112)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2"/>
              </w:tabs>
              <w:spacing w:before="53" w:after="30" w:line="240" w:lineRule="auto"/>
              <w:jc w:val="right"/>
            </w:pPr>
            <w:r>
              <w:rPr>
                <w:rFonts w:ascii="Times New Roman" w:eastAsia="Times New Roman" w:hAnsi="Times New Roman" w:cs="Times New Roman"/>
                <w:b w:val="0"/>
                <w:i w:val="0"/>
                <w:color w:val="000000"/>
                <w:sz w:val="16"/>
                <w:u w:val="none"/>
              </w:rPr>
              <w:tab/>
              <w:t>(111)</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Stock issued, ESPP</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46"/>
                <w:tab w:val="left" w:pos="937"/>
              </w:tabs>
              <w:spacing w:before="53" w:after="30" w:line="240" w:lineRule="auto"/>
              <w:jc w:val="right"/>
            </w:pPr>
            <w:r>
              <w:rPr>
                <w:rFonts w:ascii="Times New Roman" w:eastAsia="Times New Roman" w:hAnsi="Times New Roman" w:cs="Times New Roman"/>
                <w:b w:val="0"/>
                <w:i w:val="0"/>
                <w:color w:val="000000"/>
                <w:sz w:val="16"/>
                <w:u w:val="none"/>
              </w:rPr>
              <w:tab/>
              <w:t>324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325</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Share-based compensation</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6"/>
                <w:tab w:val="left" w:pos="937"/>
              </w:tabs>
              <w:spacing w:before="53" w:after="30" w:line="240" w:lineRule="auto"/>
              <w:jc w:val="right"/>
            </w:pPr>
            <w:r>
              <w:rPr>
                <w:rFonts w:ascii="Times New Roman" w:eastAsia="Times New Roman" w:hAnsi="Times New Roman" w:cs="Times New Roman"/>
                <w:b w:val="0"/>
                <w:i w:val="0"/>
                <w:color w:val="000000"/>
                <w:sz w:val="16"/>
                <w:u w:val="none"/>
              </w:rPr>
              <w:tab/>
              <w:t>2,131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86"/>
                <w:tab w:val="left" w:pos="997"/>
              </w:tabs>
              <w:spacing w:before="53" w:after="30" w:line="240" w:lineRule="auto"/>
              <w:jc w:val="right"/>
            </w:pPr>
            <w:r>
              <w:rPr>
                <w:rFonts w:ascii="Times New Roman" w:eastAsia="Times New Roman" w:hAnsi="Times New Roman" w:cs="Times New Roman"/>
                <w:b w:val="0"/>
                <w:i w:val="0"/>
                <w:color w:val="000000"/>
                <w:sz w:val="16"/>
                <w:u w:val="none"/>
              </w:rPr>
              <w:tab/>
              <w:t>2,131</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Net loss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7"/>
              </w:tabs>
              <w:spacing w:before="53" w:after="30" w:line="240" w:lineRule="auto"/>
              <w:jc w:val="right"/>
            </w:pPr>
            <w:r>
              <w:rPr>
                <w:rFonts w:ascii="Times New Roman" w:eastAsia="Times New Roman" w:hAnsi="Times New Roman" w:cs="Times New Roman"/>
                <w:b w:val="0"/>
                <w:i w:val="0"/>
                <w:color w:val="000000"/>
                <w:sz w:val="16"/>
                <w:u w:val="none"/>
              </w:rPr>
              <w:tab/>
              <w:t>(4,443)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2"/>
              </w:tabs>
              <w:spacing w:before="53" w:after="30" w:line="240" w:lineRule="auto"/>
              <w:jc w:val="right"/>
            </w:pPr>
            <w:r>
              <w:rPr>
                <w:rFonts w:ascii="Times New Roman" w:eastAsia="Times New Roman" w:hAnsi="Times New Roman" w:cs="Times New Roman"/>
                <w:b w:val="0"/>
                <w:i w:val="0"/>
                <w:color w:val="000000"/>
                <w:sz w:val="16"/>
                <w:u w:val="none"/>
              </w:rPr>
              <w:tab/>
              <w:t>(4,443)</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Other comprehensive loss</w:t>
            </w:r>
          </w:p>
        </w:tc>
        <w:tc>
          <w:tcPr>
            <w:tcW w:w="9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s>
              <w:spacing w:before="53" w:after="30" w:line="240" w:lineRule="auto"/>
              <w:jc w:val="right"/>
            </w:pPr>
            <w:r>
              <w:rPr>
                <w:rFonts w:ascii="Times New Roman" w:eastAsia="Times New Roman" w:hAnsi="Times New Roman" w:cs="Times New Roman"/>
                <w:b w:val="0"/>
                <w:i w:val="0"/>
                <w:color w:val="000000"/>
                <w:sz w:val="16"/>
                <w:u w:val="none"/>
              </w:rPr>
              <w:tab/>
              <w:t>(262)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32"/>
              </w:tabs>
              <w:spacing w:before="53" w:after="30" w:line="240" w:lineRule="auto"/>
              <w:jc w:val="right"/>
            </w:pPr>
            <w:r>
              <w:rPr>
                <w:rFonts w:ascii="Times New Roman" w:eastAsia="Times New Roman" w:hAnsi="Times New Roman" w:cs="Times New Roman"/>
                <w:b w:val="0"/>
                <w:i w:val="0"/>
                <w:color w:val="000000"/>
                <w:sz w:val="16"/>
                <w:u w:val="none"/>
              </w:rPr>
              <w:tab/>
              <w:t>(262)</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16"/>
                <w:u w:val="none"/>
              </w:rPr>
              <w:t>Balance at June 30, 2026</w:t>
            </w:r>
          </w:p>
        </w:tc>
        <w:tc>
          <w:tcPr>
            <w:tcW w:w="9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28,824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288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0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522,060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16"/>
              </w:rPr>
            </w:pPr>
          </w:p>
        </w:tc>
        <w:tc>
          <w:tcPr>
            <w:tcW w:w="102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(324,170)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67"/>
              </w:tabs>
              <w:spacing w:before="33" w:after="30" w:line="240" w:lineRule="auto"/>
              <w:jc w:val="right"/>
            </w:pPr>
            <w:r>
              <w:rPr>
                <w:rFonts w:ascii="Times New Roman" w:eastAsia="Times New Roman" w:hAnsi="Times New Roman" w:cs="Times New Roman"/>
                <w:b w:val="0"/>
                <w:i w:val="0"/>
                <w:color w:val="000000"/>
                <w:sz w:val="16"/>
                <w:u w:val="none"/>
              </w:rPr>
              <w:t>$</w:t>
              <w:tab/>
              <w:t>(415)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0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197,763</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20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STATEMENTS OF CHANGES IN STOCKHOLDERS’ EQUITY</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800" w:type="dxa"/>
        <w:jc w:val="left"/>
        <w:tblInd w:w="0" w:type="dxa"/>
        <w:tblLayout w:type="fixed"/>
      </w:tblPr>
      <w:tblGrid>
        <w:gridCol w:w="3300"/>
        <w:gridCol w:w="960"/>
        <w:gridCol w:w="75"/>
        <w:gridCol w:w="900"/>
        <w:gridCol w:w="75"/>
        <w:gridCol w:w="900"/>
        <w:gridCol w:w="75"/>
        <w:gridCol w:w="1005"/>
        <w:gridCol w:w="75"/>
        <w:gridCol w:w="1020"/>
        <w:gridCol w:w="75"/>
        <w:gridCol w:w="1200"/>
        <w:gridCol w:w="75"/>
        <w:gridCol w:w="1065"/>
      </w:tblGrid>
      <w:tr>
        <w:tblPrEx>
          <w:tblW w:w="10800" w:type="dxa"/>
          <w:tblInd w:w="0" w:type="dxa"/>
          <w:tblLayout w:type="fixed"/>
        </w:tblPrEx>
        <w:trPr>
          <w:trHeight w:hRule="exact" w:val="615"/>
        </w:trPr>
        <w:tc>
          <w:tcPr>
            <w:tcW w:w="330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9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Outstanding</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Amount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Treasury Stock</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0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Additional Paid-in Capital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Accumulated Deficit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Other Comprehensive Income (Loss)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Total Stockholders’ Equity</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16"/>
                <w:u w:val="none"/>
              </w:rPr>
              <w:t>Balance at December 31, 2024</w:t>
            </w:r>
          </w:p>
        </w:tc>
        <w:tc>
          <w:tcPr>
            <w:tcW w:w="9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26,671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504,849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(307,226)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s>
              <w:spacing w:before="33" w:after="30" w:line="240" w:lineRule="auto"/>
              <w:jc w:val="right"/>
            </w:pPr>
            <w:r>
              <w:rPr>
                <w:rFonts w:ascii="Times New Roman" w:eastAsia="Times New Roman" w:hAnsi="Times New Roman" w:cs="Times New Roman"/>
                <w:b w:val="0"/>
                <w:i w:val="0"/>
                <w:color w:val="000000"/>
                <w:sz w:val="16"/>
                <w:u w:val="none"/>
              </w:rPr>
              <w:t>$</w:t>
              <w:tab/>
              <w:t>(575)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197,315</w:t>
              <w:tab/>
            </w:r>
          </w:p>
        </w:tc>
      </w:tr>
      <w:tr>
        <w:tblPrEx>
          <w:tblW w:w="10800" w:type="dxa"/>
          <w:tblInd w:w="0" w:type="dxa"/>
          <w:tblLayout w:type="fixed"/>
        </w:tblPrEx>
        <w:trPr>
          <w:trHeight w:hRule="exact" w:val="405"/>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Stock issued upon option exercise and vesting of restricted stock units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40" w:lineRule="auto"/>
              <w:jc w:val="right"/>
            </w:pPr>
            <w:r>
              <w:rPr>
                <w:rFonts w:ascii="Times New Roman" w:eastAsia="Times New Roman" w:hAnsi="Times New Roman" w:cs="Times New Roman"/>
                <w:b w:val="0"/>
                <w:i w:val="0"/>
                <w:color w:val="000000"/>
                <w:sz w:val="16"/>
                <w:u w:val="none"/>
              </w:rPr>
              <w:tab/>
              <w:t>451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46"/>
                <w:tab w:val="left" w:pos="937"/>
              </w:tabs>
              <w:spacing w:before="53" w:after="30" w:line="240" w:lineRule="auto"/>
              <w:jc w:val="right"/>
            </w:pPr>
            <w:r>
              <w:rPr>
                <w:rFonts w:ascii="Times New Roman" w:eastAsia="Times New Roman" w:hAnsi="Times New Roman" w:cs="Times New Roman"/>
                <w:b w:val="0"/>
                <w:i w:val="0"/>
                <w:color w:val="000000"/>
                <w:sz w:val="16"/>
                <w:u w:val="none"/>
              </w:rPr>
              <w:tab/>
              <w:t>437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441</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Share-based compensation</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6"/>
                <w:tab w:val="left" w:pos="937"/>
              </w:tabs>
              <w:spacing w:before="53" w:after="30" w:line="240" w:lineRule="auto"/>
              <w:jc w:val="right"/>
            </w:pPr>
            <w:r>
              <w:rPr>
                <w:rFonts w:ascii="Times New Roman" w:eastAsia="Times New Roman" w:hAnsi="Times New Roman" w:cs="Times New Roman"/>
                <w:b w:val="0"/>
                <w:i w:val="0"/>
                <w:color w:val="000000"/>
                <w:sz w:val="16"/>
                <w:u w:val="none"/>
              </w:rPr>
              <w:tab/>
              <w:t>1,863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86"/>
                <w:tab w:val="left" w:pos="997"/>
              </w:tabs>
              <w:spacing w:before="53" w:after="30" w:line="240" w:lineRule="auto"/>
              <w:jc w:val="right"/>
            </w:pPr>
            <w:r>
              <w:rPr>
                <w:rFonts w:ascii="Times New Roman" w:eastAsia="Times New Roman" w:hAnsi="Times New Roman" w:cs="Times New Roman"/>
                <w:b w:val="0"/>
                <w:i w:val="0"/>
                <w:color w:val="000000"/>
                <w:sz w:val="16"/>
                <w:u w:val="none"/>
              </w:rPr>
              <w:tab/>
              <w:t>1,863</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Net loss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7"/>
              </w:tabs>
              <w:spacing w:before="53" w:after="30" w:line="240" w:lineRule="auto"/>
              <w:jc w:val="right"/>
            </w:pPr>
            <w:r>
              <w:rPr>
                <w:rFonts w:ascii="Times New Roman" w:eastAsia="Times New Roman" w:hAnsi="Times New Roman" w:cs="Times New Roman"/>
                <w:b w:val="0"/>
                <w:i w:val="0"/>
                <w:color w:val="000000"/>
                <w:sz w:val="16"/>
                <w:u w:val="none"/>
              </w:rPr>
              <w:tab/>
              <w:t>(2,398)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2"/>
              </w:tabs>
              <w:spacing w:before="53" w:after="30" w:line="240" w:lineRule="auto"/>
              <w:jc w:val="right"/>
            </w:pPr>
            <w:r>
              <w:rPr>
                <w:rFonts w:ascii="Times New Roman" w:eastAsia="Times New Roman" w:hAnsi="Times New Roman" w:cs="Times New Roman"/>
                <w:b w:val="0"/>
                <w:i w:val="0"/>
                <w:color w:val="000000"/>
                <w:sz w:val="16"/>
                <w:u w:val="none"/>
              </w:rPr>
              <w:tab/>
              <w:t>(2,398)</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Other comprehensive income</w:t>
            </w:r>
          </w:p>
        </w:tc>
        <w:tc>
          <w:tcPr>
            <w:tcW w:w="9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41"/>
                <w:tab w:val="left" w:pos="1132"/>
              </w:tabs>
              <w:spacing w:before="53" w:after="30" w:line="240" w:lineRule="auto"/>
              <w:jc w:val="right"/>
            </w:pPr>
            <w:r>
              <w:rPr>
                <w:rFonts w:ascii="Times New Roman" w:eastAsia="Times New Roman" w:hAnsi="Times New Roman" w:cs="Times New Roman"/>
                <w:b w:val="0"/>
                <w:i w:val="0"/>
                <w:color w:val="000000"/>
                <w:sz w:val="16"/>
                <w:u w:val="none"/>
              </w:rPr>
              <w:tab/>
              <w:t>442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442</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16"/>
                <w:u w:val="none"/>
              </w:rPr>
              <w:t>Balance at March 31, 2025</w:t>
            </w:r>
          </w:p>
        </w:tc>
        <w:tc>
          <w:tcPr>
            <w:tcW w:w="9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27,122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271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507,149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(309,624)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s>
              <w:spacing w:before="33" w:after="30" w:line="240" w:lineRule="auto"/>
              <w:jc w:val="right"/>
            </w:pPr>
            <w:r>
              <w:rPr>
                <w:rFonts w:ascii="Times New Roman" w:eastAsia="Times New Roman" w:hAnsi="Times New Roman" w:cs="Times New Roman"/>
                <w:b w:val="0"/>
                <w:i w:val="0"/>
                <w:color w:val="000000"/>
                <w:sz w:val="16"/>
                <w:u w:val="none"/>
              </w:rPr>
              <w:t>$</w:t>
              <w:tab/>
              <w:t>(133)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197,663</w:t>
              <w:tab/>
            </w:r>
          </w:p>
        </w:tc>
      </w:tr>
      <w:tr>
        <w:tblPrEx>
          <w:tblW w:w="10800" w:type="dxa"/>
          <w:tblInd w:w="0" w:type="dxa"/>
          <w:tblLayout w:type="fixed"/>
        </w:tblPrEx>
        <w:trPr>
          <w:trHeight w:hRule="exact" w:val="315"/>
        </w:trPr>
        <w:tc>
          <w:tcPr>
            <w:tcW w:w="33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6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6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r>
      <w:tr>
        <w:tblPrEx>
          <w:tblW w:w="10800" w:type="dxa"/>
          <w:tblInd w:w="0" w:type="dxa"/>
          <w:tblLayout w:type="fixed"/>
        </w:tblPrEx>
        <w:trPr>
          <w:trHeight w:hRule="exact" w:val="405"/>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Stock issued upon option exercise and vesting of restricted stock units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40" w:lineRule="auto"/>
              <w:jc w:val="right"/>
            </w:pPr>
            <w:r>
              <w:rPr>
                <w:rFonts w:ascii="Times New Roman" w:eastAsia="Times New Roman" w:hAnsi="Times New Roman" w:cs="Times New Roman"/>
                <w:b w:val="0"/>
                <w:i w:val="0"/>
                <w:color w:val="000000"/>
                <w:sz w:val="16"/>
                <w:u w:val="none"/>
              </w:rPr>
              <w:tab/>
              <w:t>189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46"/>
                <w:tab w:val="left" w:pos="937"/>
              </w:tabs>
              <w:spacing w:before="53" w:after="30" w:line="240" w:lineRule="auto"/>
              <w:jc w:val="right"/>
            </w:pPr>
            <w:r>
              <w:rPr>
                <w:rFonts w:ascii="Times New Roman" w:eastAsia="Times New Roman" w:hAnsi="Times New Roman" w:cs="Times New Roman"/>
                <w:b w:val="0"/>
                <w:i w:val="0"/>
                <w:color w:val="000000"/>
                <w:sz w:val="16"/>
                <w:u w:val="none"/>
              </w:rPr>
              <w:tab/>
              <w:t>239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241</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Stock issued, ESPP</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54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1"/>
                <w:tab w:val="left" w:pos="832"/>
              </w:tabs>
              <w:spacing w:before="53" w:after="30" w:line="240" w:lineRule="auto"/>
              <w:jc w:val="right"/>
            </w:pPr>
            <w:r>
              <w:rPr>
                <w:rFonts w:ascii="Times New Roman" w:eastAsia="Times New Roman" w:hAnsi="Times New Roman" w:cs="Times New Roman"/>
                <w:b w:val="0"/>
                <w:i w:val="0"/>
                <w:color w:val="000000"/>
                <w:sz w:val="16"/>
                <w:u w:val="none"/>
              </w:rPr>
              <w:tab/>
              <w:t>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6"/>
                <w:tab w:val="left" w:pos="937"/>
              </w:tabs>
              <w:spacing w:before="53" w:after="30" w:line="240" w:lineRule="auto"/>
              <w:jc w:val="right"/>
            </w:pPr>
            <w:r>
              <w:rPr>
                <w:rFonts w:ascii="Times New Roman" w:eastAsia="Times New Roman" w:hAnsi="Times New Roman" w:cs="Times New Roman"/>
                <w:b w:val="0"/>
                <w:i w:val="0"/>
                <w:color w:val="000000"/>
                <w:sz w:val="16"/>
                <w:u w:val="none"/>
              </w:rPr>
              <w:tab/>
              <w:t>351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352</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Share-based compensation</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6"/>
                <w:tab w:val="left" w:pos="937"/>
              </w:tabs>
              <w:spacing w:before="53" w:after="30" w:line="240" w:lineRule="auto"/>
              <w:jc w:val="right"/>
            </w:pPr>
            <w:r>
              <w:rPr>
                <w:rFonts w:ascii="Times New Roman" w:eastAsia="Times New Roman" w:hAnsi="Times New Roman" w:cs="Times New Roman"/>
                <w:b w:val="0"/>
                <w:i w:val="0"/>
                <w:color w:val="000000"/>
                <w:sz w:val="16"/>
                <w:u w:val="none"/>
              </w:rPr>
              <w:tab/>
              <w:t>1,891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86"/>
                <w:tab w:val="left" w:pos="997"/>
              </w:tabs>
              <w:spacing w:before="53" w:after="30" w:line="240" w:lineRule="auto"/>
              <w:jc w:val="right"/>
            </w:pPr>
            <w:r>
              <w:rPr>
                <w:rFonts w:ascii="Times New Roman" w:eastAsia="Times New Roman" w:hAnsi="Times New Roman" w:cs="Times New Roman"/>
                <w:b w:val="0"/>
                <w:i w:val="0"/>
                <w:color w:val="000000"/>
                <w:sz w:val="16"/>
                <w:u w:val="none"/>
              </w:rPr>
              <w:tab/>
              <w:t>1,891</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Net loss</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7"/>
              </w:tabs>
              <w:spacing w:before="53" w:after="30" w:line="240" w:lineRule="auto"/>
              <w:jc w:val="right"/>
            </w:pPr>
            <w:r>
              <w:rPr>
                <w:rFonts w:ascii="Times New Roman" w:eastAsia="Times New Roman" w:hAnsi="Times New Roman" w:cs="Times New Roman"/>
                <w:b w:val="0"/>
                <w:i w:val="0"/>
                <w:color w:val="000000"/>
                <w:sz w:val="16"/>
                <w:u w:val="none"/>
              </w:rPr>
              <w:tab/>
              <w:t>(6,123)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2"/>
              </w:tabs>
              <w:spacing w:before="53" w:after="30" w:line="240" w:lineRule="auto"/>
              <w:jc w:val="right"/>
            </w:pPr>
            <w:r>
              <w:rPr>
                <w:rFonts w:ascii="Times New Roman" w:eastAsia="Times New Roman" w:hAnsi="Times New Roman" w:cs="Times New Roman"/>
                <w:b w:val="0"/>
                <w:i w:val="0"/>
                <w:color w:val="000000"/>
                <w:sz w:val="16"/>
                <w:u w:val="none"/>
              </w:rPr>
              <w:tab/>
              <w:t>(6,123)</w:t>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360" w:hanging="180"/>
              <w:jc w:val="left"/>
            </w:pPr>
            <w:r>
              <w:rPr>
                <w:rFonts w:ascii="Times New Roman" w:eastAsia="Times New Roman" w:hAnsi="Times New Roman" w:cs="Times New Roman"/>
                <w:b w:val="0"/>
                <w:i w:val="0"/>
                <w:color w:val="000000"/>
                <w:sz w:val="16"/>
                <w:u w:val="none"/>
              </w:rPr>
              <w:t>Other comprehensive income</w:t>
            </w:r>
          </w:p>
        </w:tc>
        <w:tc>
          <w:tcPr>
            <w:tcW w:w="96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41"/>
                <w:tab w:val="left" w:pos="1132"/>
              </w:tabs>
              <w:spacing w:before="53" w:after="30" w:line="240" w:lineRule="auto"/>
              <w:jc w:val="right"/>
            </w:pPr>
            <w:r>
              <w:rPr>
                <w:rFonts w:ascii="Times New Roman" w:eastAsia="Times New Roman" w:hAnsi="Times New Roman" w:cs="Times New Roman"/>
                <w:b w:val="0"/>
                <w:i w:val="0"/>
                <w:color w:val="000000"/>
                <w:sz w:val="16"/>
                <w:u w:val="none"/>
              </w:rPr>
              <w:tab/>
              <w:t>228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40" w:lineRule="auto"/>
              <w:jc w:val="right"/>
            </w:pPr>
            <w:r>
              <w:rPr>
                <w:rFonts w:ascii="Times New Roman" w:eastAsia="Times New Roman" w:hAnsi="Times New Roman" w:cs="Times New Roman"/>
                <w:b w:val="0"/>
                <w:i w:val="0"/>
                <w:color w:val="000000"/>
                <w:sz w:val="16"/>
                <w:u w:val="none"/>
              </w:rPr>
              <w:tab/>
              <w:t>228</w:t>
              <w:tab/>
            </w:r>
          </w:p>
        </w:tc>
      </w:tr>
      <w:tr>
        <w:tblPrEx>
          <w:tblW w:w="10800" w:type="dxa"/>
          <w:tblInd w:w="0" w:type="dxa"/>
          <w:tblLayout w:type="fixed"/>
        </w:tblPrEx>
        <w:trPr>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16"/>
                <w:u w:val="none"/>
              </w:rPr>
              <w:t>Balance at June 30, 2025</w:t>
            </w:r>
          </w:p>
        </w:tc>
        <w:tc>
          <w:tcPr>
            <w:tcW w:w="9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401"/>
                <w:tab w:val="left" w:pos="892"/>
              </w:tabs>
              <w:spacing w:before="33" w:after="30" w:line="240" w:lineRule="auto"/>
              <w:jc w:val="right"/>
            </w:pPr>
            <w:r>
              <w:rPr>
                <w:rFonts w:ascii="Times New Roman" w:eastAsia="Times New Roman" w:hAnsi="Times New Roman" w:cs="Times New Roman"/>
                <w:b w:val="0"/>
                <w:i w:val="0"/>
                <w:color w:val="000000"/>
                <w:sz w:val="16"/>
                <w:u w:val="none"/>
              </w:rPr>
              <w:tab/>
              <w:t>27,365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16"/>
              </w:rPr>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4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274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1"/>
                <w:tab w:val="left" w:pos="832"/>
              </w:tabs>
              <w:spacing w:before="33" w:after="30" w:line="240"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0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366"/>
                <w:tab w:val="left" w:pos="937"/>
              </w:tabs>
              <w:spacing w:before="33" w:after="30" w:line="240" w:lineRule="auto"/>
              <w:jc w:val="right"/>
            </w:pPr>
            <w:r>
              <w:rPr>
                <w:rFonts w:ascii="Times New Roman" w:eastAsia="Times New Roman" w:hAnsi="Times New Roman" w:cs="Times New Roman"/>
                <w:b w:val="0"/>
                <w:i w:val="0"/>
                <w:color w:val="000000"/>
                <w:sz w:val="16"/>
                <w:u w:val="none"/>
              </w:rPr>
              <w:t>$</w:t>
              <w:tab/>
              <w:t>509,630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0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307"/>
              </w:tabs>
              <w:spacing w:before="33" w:after="30" w:line="240" w:lineRule="auto"/>
              <w:jc w:val="right"/>
            </w:pPr>
            <w:r>
              <w:rPr>
                <w:rFonts w:ascii="Times New Roman" w:eastAsia="Times New Roman" w:hAnsi="Times New Roman" w:cs="Times New Roman"/>
                <w:b w:val="0"/>
                <w:i w:val="0"/>
                <w:color w:val="000000"/>
                <w:sz w:val="16"/>
                <w:u w:val="none"/>
              </w:rPr>
              <w:t>$</w:t>
              <w:tab/>
              <w:t>(315,747)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16"/>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21"/>
                <w:tab w:val="left" w:pos="1132"/>
              </w:tabs>
              <w:spacing w:before="33" w:after="30" w:line="240" w:lineRule="auto"/>
              <w:jc w:val="right"/>
            </w:pPr>
            <w:r>
              <w:rPr>
                <w:rFonts w:ascii="Times New Roman" w:eastAsia="Times New Roman" w:hAnsi="Times New Roman" w:cs="Times New Roman"/>
                <w:b w:val="0"/>
                <w:i w:val="0"/>
                <w:color w:val="000000"/>
                <w:sz w:val="16"/>
                <w:u w:val="none"/>
              </w:rPr>
              <w:t>$</w:t>
              <w:tab/>
              <w:t>95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426"/>
                <w:tab w:val="left" w:pos="997"/>
              </w:tabs>
              <w:spacing w:before="33" w:after="30" w:line="240" w:lineRule="auto"/>
              <w:jc w:val="right"/>
            </w:pPr>
            <w:r>
              <w:rPr>
                <w:rFonts w:ascii="Times New Roman" w:eastAsia="Times New Roman" w:hAnsi="Times New Roman" w:cs="Times New Roman"/>
                <w:b w:val="0"/>
                <w:i w:val="0"/>
                <w:color w:val="000000"/>
                <w:sz w:val="16"/>
                <w:u w:val="none"/>
              </w:rPr>
              <w:t>$</w:t>
              <w:tab/>
              <w:t>194,252</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headerReference w:type="default" r:id="rId15"/>
          <w:pgSz w:w="12240" w:h="15840"/>
          <w:pgMar w:top="855" w:right="720" w:bottom="855" w:left="72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7" w:name="Section8"/>
      <w:bookmarkEnd w:id="7"/>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CONDENSED CONSOLIDATED STATEMENTS OF CASH FLOWS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45" w:type="dxa"/>
        <w:jc w:val="left"/>
        <w:tblInd w:w="0" w:type="dxa"/>
        <w:tblLayout w:type="fixed"/>
      </w:tblPr>
      <w:tblGrid>
        <w:gridCol w:w="7575"/>
        <w:gridCol w:w="1305"/>
        <w:gridCol w:w="60"/>
        <w:gridCol w:w="1305"/>
      </w:tblGrid>
      <w:tr>
        <w:tblPrEx>
          <w:tblW w:w="10245" w:type="dxa"/>
          <w:tblInd w:w="0"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70"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Six Months Ended June 30,</w:t>
            </w:r>
          </w:p>
        </w:tc>
      </w:tr>
      <w:tr>
        <w:tblPrEx>
          <w:tblW w:w="10245" w:type="dxa"/>
          <w:tblInd w:w="0"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16"/>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16"/>
                <w:u w:val="none"/>
              </w:rPr>
              <w:t>2025</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Cash flows from operating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Net loss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w:t>
              <w:tab/>
              <w:t>(3,818)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w:t>
              <w:tab/>
              <w:t>(8,521)</w:t>
            </w:r>
          </w:p>
        </w:tc>
      </w:tr>
      <w:tr>
        <w:tblPrEx>
          <w:tblW w:w="10245" w:type="dxa"/>
          <w:tblInd w:w="0" w:type="dxa"/>
          <w:tblLayout w:type="fixed"/>
        </w:tblPrEx>
        <w:trPr>
          <w:trHeight w:hRule="exact" w:val="24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Adjustments to reconcile loss to net cash provided by operations: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14,072</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12,155</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Amortization of operating lease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899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740</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Amortization of debt financing costs and discount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653</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537</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Non-cash interest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158</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309</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accretion of discounts on available-for-sale securities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(116)</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(236)</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Provision for expected losses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14</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20</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Provision for deferred income taxes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606</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1,134</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Loss on extinguishment of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103</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realized gains on sales of available-for-sale securities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(1,803)</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(1,310)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Share-based compensation</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4,281</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3,754</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Gain on disposals of long-term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32"/>
              </w:tabs>
              <w:spacing w:before="53" w:after="30" w:line="288" w:lineRule="auto"/>
              <w:jc w:val="right"/>
            </w:pPr>
            <w:r>
              <w:rPr>
                <w:rFonts w:ascii="Times New Roman" w:eastAsia="Times New Roman" w:hAnsi="Times New Roman" w:cs="Times New Roman"/>
                <w:b w:val="0"/>
                <w:i w:val="0"/>
                <w:color w:val="000000"/>
                <w:sz w:val="16"/>
                <w:u w:val="none"/>
              </w:rPr>
              <w:tab/>
              <w:t>(7)</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Changes in operating assets and liabilities: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Accounts receivable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2,726</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4,512</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Inventory</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778</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53</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Prepaid expenses and other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(4,443)</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(1,462)</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Operating lease right-of-use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21</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Accounts payable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(138)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232</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Accrued expenses and other long-term obligations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(104)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(624)</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Lease liabilities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(968)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(825)</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Deferred revenue</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(5,617)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(5,434)</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firstLine="180"/>
              <w:jc w:val="left"/>
            </w:pPr>
            <w:r>
              <w:rPr>
                <w:rFonts w:ascii="Times New Roman" w:eastAsia="Times New Roman" w:hAnsi="Times New Roman" w:cs="Times New Roman"/>
                <w:b w:val="0"/>
                <w:i w:val="0"/>
                <w:color w:val="000000"/>
                <w:sz w:val="16"/>
                <w:u w:val="none"/>
              </w:rPr>
              <w:t>Net cash provided by operating activities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33" w:after="30" w:line="288" w:lineRule="auto"/>
              <w:jc w:val="right"/>
            </w:pPr>
            <w:r>
              <w:rPr>
                <w:rFonts w:ascii="Times New Roman" w:eastAsia="Times New Roman" w:hAnsi="Times New Roman" w:cs="Times New Roman"/>
                <w:b w:val="0"/>
                <w:i w:val="0"/>
                <w:color w:val="000000"/>
                <w:sz w:val="16"/>
                <w:u w:val="none"/>
              </w:rPr>
              <w:tab/>
              <w:t>7,180</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33" w:after="30" w:line="288" w:lineRule="auto"/>
              <w:jc w:val="right"/>
            </w:pPr>
            <w:r>
              <w:rPr>
                <w:rFonts w:ascii="Times New Roman" w:eastAsia="Times New Roman" w:hAnsi="Times New Roman" w:cs="Times New Roman"/>
                <w:b w:val="0"/>
                <w:i w:val="0"/>
                <w:color w:val="000000"/>
                <w:sz w:val="16"/>
                <w:u w:val="none"/>
              </w:rPr>
              <w:tab/>
              <w:t>5,151</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flows from investing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Acquisition of intangible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(4,721)</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(6,346)</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Purchases of property and equipment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(472)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(393)</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Software capitalization costs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(6,789)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(6,470)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Purchases of available-for-sale securities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(23,752)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(12,304)</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Proceeds from sales and maturities of available-for-sale securities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12,529</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7,699</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firstLine="180"/>
              <w:jc w:val="left"/>
            </w:pPr>
            <w:r>
              <w:rPr>
                <w:rFonts w:ascii="Times New Roman" w:eastAsia="Times New Roman" w:hAnsi="Times New Roman" w:cs="Times New Roman"/>
                <w:b w:val="0"/>
                <w:i w:val="0"/>
                <w:color w:val="000000"/>
                <w:sz w:val="16"/>
                <w:u w:val="none"/>
              </w:rPr>
              <w:t>Net cash used in investing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(23,205)</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(17,814)</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flows from financing activities: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Proceeds from notes payable, net of issuance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57,982</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Payments of notes payable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(5,000)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Debt extinguishment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(100)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Payments made on amounts due for the acquisition of intangible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(449)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(1,280)</w:t>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proceeds from (settlements for) common stock transactions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52"/>
              </w:tabs>
              <w:spacing w:before="53" w:after="30" w:line="288" w:lineRule="auto"/>
              <w:jc w:val="right"/>
            </w:pPr>
            <w:r>
              <w:rPr>
                <w:rFonts w:ascii="Times New Roman" w:eastAsia="Times New Roman" w:hAnsi="Times New Roman" w:cs="Times New Roman"/>
                <w:b w:val="0"/>
                <w:i w:val="0"/>
                <w:color w:val="000000"/>
                <w:sz w:val="16"/>
                <w:u w:val="none"/>
              </w:rPr>
              <w:tab/>
              <w:t>(91)</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1,034</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change in client fund obligations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(48,647)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20,461</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firstLine="180"/>
              <w:jc w:val="left"/>
            </w:pPr>
            <w:r>
              <w:rPr>
                <w:rFonts w:ascii="Times New Roman" w:eastAsia="Times New Roman" w:hAnsi="Times New Roman" w:cs="Times New Roman"/>
                <w:b w:val="0"/>
                <w:i w:val="0"/>
                <w:color w:val="000000"/>
                <w:sz w:val="16"/>
                <w:u w:val="none"/>
              </w:rPr>
              <w:t>Net cash provided by (used in) financing activities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(49,187)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33" w:after="30" w:line="288" w:lineRule="auto"/>
              <w:jc w:val="right"/>
            </w:pPr>
            <w:r>
              <w:rPr>
                <w:rFonts w:ascii="Times New Roman" w:eastAsia="Times New Roman" w:hAnsi="Times New Roman" w:cs="Times New Roman"/>
                <w:b w:val="0"/>
                <w:i w:val="0"/>
                <w:color w:val="000000"/>
                <w:sz w:val="16"/>
                <w:u w:val="none"/>
              </w:rPr>
              <w:tab/>
              <w:t>73,097</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Net increase (decrease) in cash, cash equivalents, restricted cash, and restricted cash equivalents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(65,212)</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60,434</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cash equivalents, restricted cash and restricted cash equivalents, beginning of period</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66"/>
                <w:tab w:val="left" w:pos="1237"/>
              </w:tabs>
              <w:spacing w:before="53" w:after="30" w:line="288" w:lineRule="auto"/>
              <w:jc w:val="right"/>
            </w:pPr>
            <w:r>
              <w:rPr>
                <w:rFonts w:ascii="Times New Roman" w:eastAsia="Times New Roman" w:hAnsi="Times New Roman" w:cs="Times New Roman"/>
                <w:b w:val="0"/>
                <w:i w:val="0"/>
                <w:color w:val="000000"/>
                <w:sz w:val="16"/>
                <w:u w:val="none"/>
              </w:rPr>
              <w:tab/>
              <w:t>164,703</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66"/>
                <w:tab w:val="left" w:pos="1237"/>
              </w:tabs>
              <w:spacing w:before="53" w:after="30" w:line="288" w:lineRule="auto"/>
              <w:jc w:val="right"/>
            </w:pPr>
            <w:r>
              <w:rPr>
                <w:rFonts w:ascii="Times New Roman" w:eastAsia="Times New Roman" w:hAnsi="Times New Roman" w:cs="Times New Roman"/>
                <w:b w:val="0"/>
                <w:i w:val="0"/>
                <w:color w:val="000000"/>
                <w:sz w:val="16"/>
                <w:u w:val="none"/>
              </w:rPr>
              <w:tab/>
              <w:t>145,712</w:t>
              <w:tab/>
            </w:r>
          </w:p>
        </w:tc>
      </w:tr>
      <w:tr>
        <w:tblPrEx>
          <w:tblW w:w="10245" w:type="dxa"/>
          <w:tblInd w:w="0"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88" w:lineRule="auto"/>
              <w:jc w:val="left"/>
            </w:pPr>
            <w:r>
              <w:rPr>
                <w:rFonts w:ascii="Times New Roman" w:eastAsia="Times New Roman" w:hAnsi="Times New Roman" w:cs="Times New Roman"/>
                <w:b w:val="0"/>
                <w:i w:val="0"/>
                <w:color w:val="000000"/>
                <w:sz w:val="16"/>
                <w:u w:val="none"/>
              </w:rPr>
              <w:t>Cash, cash equivalents, restricted cash and restricted cash equivalents, end of period</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46"/>
                <w:tab w:val="left" w:pos="1237"/>
              </w:tabs>
              <w:spacing w:before="33" w:after="30" w:line="288" w:lineRule="auto"/>
              <w:jc w:val="right"/>
            </w:pPr>
            <w:r>
              <w:rPr>
                <w:rFonts w:ascii="Times New Roman" w:eastAsia="Times New Roman" w:hAnsi="Times New Roman" w:cs="Times New Roman"/>
                <w:b w:val="0"/>
                <w:i w:val="0"/>
                <w:color w:val="000000"/>
                <w:sz w:val="16"/>
                <w:u w:val="none"/>
              </w:rPr>
              <w:t>$</w:t>
              <w:tab/>
              <w:t>99,491</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16"/>
              </w:rPr>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66"/>
                <w:tab w:val="left" w:pos="1237"/>
              </w:tabs>
              <w:spacing w:before="33" w:after="30" w:line="288" w:lineRule="auto"/>
              <w:jc w:val="right"/>
            </w:pPr>
            <w:r>
              <w:rPr>
                <w:rFonts w:ascii="Times New Roman" w:eastAsia="Times New Roman" w:hAnsi="Times New Roman" w:cs="Times New Roman"/>
                <w:b w:val="0"/>
                <w:i w:val="0"/>
                <w:color w:val="000000"/>
                <w:sz w:val="16"/>
                <w:u w:val="none"/>
              </w:rPr>
              <w:t>$</w:t>
              <w:tab/>
              <w:t>206,146</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CONDENSED CONSOLIDATED STATEMENTS OF CASH FLOWS (continued)</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(Unaudited)</w:t>
      </w:r>
    </w:p>
    <w:tbl>
      <w:tblPr>
        <w:tblStyle w:val="TableNormal0"/>
        <w:tblW w:w="10245" w:type="dxa"/>
        <w:jc w:val="center"/>
        <w:tblLayout w:type="fixed"/>
      </w:tblPr>
      <w:tblGrid>
        <w:gridCol w:w="7575"/>
        <w:gridCol w:w="1305"/>
        <w:gridCol w:w="60"/>
        <w:gridCol w:w="1305"/>
      </w:tblGrid>
      <w:tr>
        <w:tblPrEx>
          <w:tblW w:w="10245"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16"/>
                <w:u w:val="none"/>
              </w:rPr>
              <w:t>Six Months Ended June 30,</w:t>
            </w:r>
          </w:p>
        </w:tc>
      </w:tr>
      <w:tr>
        <w:tblPrEx>
          <w:tblW w:w="10245" w:type="dxa"/>
          <w:tblLayout w:type="fixed"/>
        </w:tblPrEx>
        <w:trPr>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16"/>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16"/>
                <w:u w:val="none"/>
              </w:rPr>
              <w:t>2025</w:t>
            </w:r>
          </w:p>
        </w:tc>
      </w:tr>
      <w:tr>
        <w:tblPrEx>
          <w:tblW w:w="10245" w:type="dxa"/>
          <w:tblLayout w:type="fixed"/>
        </w:tblPrEx>
        <w:trPr>
          <w:trHeight w:hRule="exact" w:val="255"/>
        </w:trPr>
        <w:tc>
          <w:tcPr>
            <w:tcW w:w="10245" w:type="dxa"/>
            <w:gridSpan w:val="4"/>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Reconciliation of cash, cash equivalents, restricted cash, and restricted cash equivalents to the Condensed Consolidated Balance Sheets</w:t>
            </w: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Cash and cash equivalents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19,679</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66,000</w:t>
              <w:tab/>
            </w: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Restricted cash and restricted cash equivalents included in funds held for clients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40" w:lineRule="auto"/>
              <w:jc w:val="right"/>
            </w:pPr>
            <w:r>
              <w:rPr>
                <w:rFonts w:ascii="Times New Roman" w:eastAsia="Times New Roman" w:hAnsi="Times New Roman" w:cs="Times New Roman"/>
                <w:b w:val="0"/>
                <w:i w:val="0"/>
                <w:color w:val="000000"/>
                <w:sz w:val="16"/>
                <w:u w:val="none"/>
              </w:rPr>
              <w:tab/>
              <w:t>79,812</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66"/>
                <w:tab w:val="left" w:pos="1237"/>
              </w:tabs>
              <w:spacing w:before="53" w:after="30" w:line="240" w:lineRule="auto"/>
              <w:jc w:val="right"/>
            </w:pPr>
            <w:r>
              <w:rPr>
                <w:rFonts w:ascii="Times New Roman" w:eastAsia="Times New Roman" w:hAnsi="Times New Roman" w:cs="Times New Roman"/>
                <w:b w:val="0"/>
                <w:i w:val="0"/>
                <w:color w:val="000000"/>
                <w:sz w:val="16"/>
                <w:u w:val="none"/>
              </w:rPr>
              <w:tab/>
              <w:t>140,146</w:t>
              <w:tab/>
            </w: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cash, cash equivalents, restricted cash, and restricted cash equivalents</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33" w:after="30" w:line="240" w:lineRule="auto"/>
              <w:jc w:val="right"/>
            </w:pPr>
            <w:r>
              <w:rPr>
                <w:rFonts w:ascii="Times New Roman" w:eastAsia="Times New Roman" w:hAnsi="Times New Roman" w:cs="Times New Roman"/>
                <w:b w:val="0"/>
                <w:i w:val="0"/>
                <w:color w:val="000000"/>
                <w:sz w:val="16"/>
                <w:u w:val="none"/>
              </w:rPr>
              <w:t>$</w:t>
              <w:tab/>
              <w:t>99,491</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33" w:after="30" w:line="240" w:lineRule="auto"/>
              <w:jc w:val="right"/>
            </w:pPr>
            <w:r>
              <w:rPr>
                <w:rFonts w:ascii="Times New Roman" w:eastAsia="Times New Roman" w:hAnsi="Times New Roman" w:cs="Times New Roman"/>
                <w:b w:val="0"/>
                <w:i w:val="0"/>
                <w:color w:val="000000"/>
                <w:sz w:val="16"/>
                <w:u w:val="none"/>
              </w:rPr>
              <w:t>$</w:t>
              <w:tab/>
              <w:t>206,146</w:t>
              <w:tab/>
            </w: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Supplemental information:</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Cash paid for interest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3,160</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498</w:t>
              <w:tab/>
            </w:r>
          </w:p>
        </w:tc>
      </w:tr>
      <w:tr>
        <w:tblPrEx>
          <w:tblW w:w="10245" w:type="dxa"/>
          <w:tblLayout w:type="fixed"/>
        </w:tblPrEx>
        <w:trPr>
          <w:trHeight w:hRule="exact" w:val="285"/>
        </w:trPr>
        <w:tc>
          <w:tcPr>
            <w:tcW w:w="75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Non-cash investing and financing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Acquisition of intangible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167</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1,884</w:t>
              <w:tab/>
            </w:r>
          </w:p>
        </w:tc>
      </w:tr>
      <w:tr>
        <w:tblPrEx>
          <w:tblW w:w="10245"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Notes payable issued for acquisitions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622</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1,150</w:t>
              <w:tab/>
            </w:r>
          </w:p>
        </w:tc>
      </w:tr>
      <w:tr>
        <w:tblPrEx>
          <w:tblW w:w="10245" w:type="dxa"/>
          <w:tblLayout w:type="fixed"/>
        </w:tblPrEx>
        <w:trPr>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88" w:lineRule="auto"/>
              <w:ind w:left="225"/>
              <w:jc w:val="left"/>
            </w:pPr>
            <w:r>
              <w:rPr>
                <w:rFonts w:ascii="Times New Roman" w:eastAsia="Times New Roman" w:hAnsi="Times New Roman" w:cs="Times New Roman"/>
                <w:b w:val="0"/>
                <w:i w:val="0"/>
                <w:color w:val="000000"/>
                <w:sz w:val="16"/>
                <w:u w:val="none"/>
              </w:rPr>
              <w:t>Shares issued for acquisitions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445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headerReference w:type="default" r:id="rId16"/>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8" w:name="Section9"/>
      <w:bookmarkEnd w:id="8"/>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NOTES TO THE CONDENSED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(Amounts in thousands, except per share data unless otherwise noted)</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(Unaudited)</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sectPr>
          <w:headerReference w:type="default" r:id="rId17"/>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1080" w:right="0" w:hanging="1080"/>
        <w:jc w:val="both"/>
        <w:outlineLvl w:val="3"/>
        <w:rPr>
          <w:rFonts w:ascii="Times New Roman" w:eastAsia="Times New Roman" w:hAnsi="Times New Roman" w:cs="Times New Roman"/>
          <w:b/>
          <w:i w:val="0"/>
          <w:sz w:val="20"/>
        </w:rPr>
      </w:pPr>
      <w:bookmarkStart w:id="9" w:name="Section10"/>
      <w:bookmarkEnd w:id="9"/>
      <w:r>
        <w:rPr>
          <w:rFonts w:ascii="Times New Roman" w:eastAsia="Times New Roman" w:hAnsi="Times New Roman" w:cs="Times New Roman"/>
          <w:b/>
          <w:i w:val="0"/>
          <w:color w:val="000000"/>
          <w:sz w:val="20"/>
          <w:u w:val="none"/>
        </w:rPr>
        <w:t xml:space="preserve">NOTE 1 - </w:t>
      </w:r>
      <w:r>
        <w:rPr>
          <w:rFonts w:ascii="Times New Roman" w:eastAsia="Times New Roman" w:hAnsi="Times New Roman" w:cs="Times New Roman"/>
          <w:b/>
          <w:i w:val="0"/>
          <w:color w:val="000000"/>
          <w:sz w:val="20"/>
          <w:u w:val="none"/>
        </w:rPr>
        <w:t>THE COMPANY AND BASIS OF PRESENTATION</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Asure Software, Inc. (“Asure”, the “Company”, “we” and “our”), a Delaware corporation, is a provider of cloud-based Human Capital Management (“HCM”) software solutions delivered as Software-as-a-Service (“SaaS”) to businesses of all sizes.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businesses rather than administrative overhead that can impede growth. Our solutions also provide new ways for employers to connect with their employees and strengthen relationships with their talent. At the core of our offering is the Asure HCM platform—a SaaS-based system that includes Payroll &amp; Tax filing, HR management tools, Time &amp; Attendance software, Recruiting, and Insurance and Benefits Administration. This platform serves as the foundation for delivering both our core software and a range of complementary, technology-enabled services. These include AsureMarketplace™, which automates data exchange between our HCM system and third-party providers to increase efficiency, accuracy, and breadth of services. Our HR Compliance services combine expert guidance with scalable digital delivery. AsurePay™, our payroll card, which we provide in association with our partners, offers employees fast, secure access to earned wages. Additionally, through our licensed brokerage, we offer Insurance Services that help employers manage benefits and reduce administrative costs. We deliver our solutions directly and through a national network of Reseller Partners.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strive to be the most trusted HCM resource. Our solutions solve three primary challenges that prevent businesses from growing: HR complexity, allocation of human and financial capital, and the ability to build great teams. We sell our solutions through both direct and partner channels. We supplement our direct sales efforts with partner programs that afford us access to opportunities in various geographic and industry niches. Asure has two types of partners: Reseller Partners that white label our products while providing value-added services to their clients (our indirect clients) and Referral Partners that provide us with client leads but do not resell our solutions. We have and will continue to invest in research and development to expand our solutions. Our solutions reduce the administrative burden on employers and increase employee productivity while managing the employment lifecycle. The Asure HCM suite includes eight product lines: Asure Payroll &amp; Tax, Asure HR Compliance, Asure Time &amp; Attendance, AsureRecruiting™, Asure Insurance and Benefits Administration, AsurePay™, Asure Tax Management Solutions,  and AsureMarketplace™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develop, market, sell and support our offerings nationwide through our principal office in Austin, Texas, and from our processing hubs in</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Alabama, California, Florida, Georgia, New Jersey, New York, North Carolina, Ohio, South Dakota, Tennessee, Texas, Virginia, and Vermont.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have prepared the accompanying unaudited Condensed Consolidated Financial Statements in accordance with the rules and regulations of the Securities and Exchange Commission (the “SEC”) and accordingly, they do not include all information and footnotes required under U.S. generally accepted accounting principles (“U.S. GAAP”) for complete financial statements.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In the opinion of management, these interim financial statements contain all adjustments, consisting of normal, recurring adjustments, necessary for a fair presentation of our financial position as of June 30, 2026, comprehensive loss and</w:t>
      </w:r>
      <w:r>
        <w:rPr>
          <w:rFonts w:ascii="Times New Roman" w:eastAsia="Times New Roman" w:hAnsi="Times New Roman" w:cs="Times New Roman"/>
          <w:b w:val="0"/>
          <w:i w:val="0"/>
          <w:color w:val="000000"/>
          <w:sz w:val="20"/>
          <w:highlight w:val="white"/>
          <w:u w:val="none"/>
        </w:rPr>
        <w:t xml:space="preserve"> changes in stockholders’ equity for the three and six months ended June 30, 2026,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highlight w:val="white"/>
          <w:u w:val="none"/>
        </w:rPr>
        <w:t xml:space="preserve">, and cash flows for the six months ended June 30, 2026,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highlight w:val="white"/>
          <w:u w:val="none"/>
        </w:rPr>
        <w:t>. Certain amounts in the prior period financial statements have been reclassified to conform to the presentation of the current period financial statements. These reclassifications had no effect on the consolidated financial position or consolidated results of operations of the Company.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These unaudited Condensed Consolidated Financial Statements should be read in conjunction with our audited Consolidated Financial Statements and notes thereto filed with the SEC in our annual report on Form 10-K for the fiscal year ended December 31, 2025 (our “2025 Annual Report on Form 10-K”). Our results for any interim period are not necessarily indicative of results for a full fiscal year.</w:t>
      </w:r>
      <w:r>
        <w:rPr>
          <w:rFonts w:ascii="Times New Roman" w:eastAsia="Times New Roman" w:hAnsi="Times New Roman" w:cs="Times New Roman"/>
          <w:b w:val="0"/>
          <w:i w:val="0"/>
          <w:sz w:val="20"/>
        </w:rPr>
        <w:t xml:space="preserv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0" w:name="Section11"/>
      <w:bookmarkEnd w:id="10"/>
      <w:r>
        <w:rPr>
          <w:rFonts w:ascii="Times New Roman" w:eastAsia="Times New Roman" w:hAnsi="Times New Roman" w:cs="Times New Roman"/>
          <w:b/>
          <w:i w:val="0"/>
          <w:sz w:val="20"/>
        </w:rPr>
        <w:t xml:space="preserve">NOTE 2 - </w:t>
      </w:r>
      <w:r>
        <w:rPr>
          <w:rFonts w:ascii="Times New Roman" w:eastAsia="Times New Roman" w:hAnsi="Times New Roman" w:cs="Times New Roman"/>
          <w:b/>
          <w:i w:val="0"/>
          <w:color w:val="000000"/>
          <w:sz w:val="20"/>
          <w:u w:val="none"/>
        </w:rPr>
        <w:t>SIGNIFICANT ACCOUNTING POLICIES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REPORTABLE SEGMENTS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chief operating decision maker is our Chairman and Chief Executive Officer, Patrick Goepel, who reviews financial information presented on a company-wide basis. Thus, in accordance with Financial Accounting Standards Board (“FASB”) Accounting Standards Codification (“ASC”) 280, we determined that we have a single reportable segment that primarily derives our revenue in the United States by providing payroll services to customers.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USE OF ESTIMATES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Preparation of the Condensed Consolidated Financial Statements in conformity with U.S. GAAP requires management to make estimates and assumptions that affect the reported amounts of the assets and liabilities, the disclosure of contingent assets and liabilities at the date of the Condensed Consolidated Financial Statements and the reported amounts of revenues and expenses during the reporting period. These estimates are subjective in nature and involve judgments. The more significant estimates made by management include the valuation allowance for the gross deferred tax assets, the determination of the fair value of our long-lived assets, and the fair value of assets acquired, and liabilities assumed during acquisitions. We base our estimates on historical experience and on various other assumptions management believes reasonable under the given circumstances. These estimates could be materially different under different conditions and assumptions.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CASH AND CASH EQUIVALENTS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consider all highly liquid investments with maturity of 90 days or less to be cash equivalents. Cash equivalents include investments in an institutional money market fund, which invests in U.S. Treasury bills, notes and bonds, and/or repurchase agreements, backed by such obligations. Carrying value approximates fair value.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INVENTORIES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Our inventories consist primarily of finished goods and are stated at the lower of cost or net realizable value with cost determined on an average cost basis. Items included in costs of inventory consist of labor, material, overhead costs, freight in, and additional transactions costs such as taxes and tariffs.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Provisions are made if the cost of inventories exceeds their net realizable value and is charged to cost of sales. We did not recognize any provision for the three and six months ended June 30, 2026 and 2025.</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RECENT ACCOUNTING PRONOUNCEMENTS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In July 2025, the FASB issued ASU No. 2025-05, Measurement of Credit Losses for Accounts Receivable and Contract Assets, which provides a practical expedient to assume that, for estimating expected credit losses, current conditions as of the balance sheet date will remain constant through the remaining life of the assets. The practical expedient is available to all entities. The standard becomes effective for all entities for annual periods beginning after December 15, 2025. We adopted this standard prospectively for the annual period ending December 31, 2026. This guidance did not have an impact on our financial position, results of operations, or cash flows.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ACCUMULATED OTHER COMPREHENSIVE INCOME (LOSS)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val="0"/>
          <w:color w:val="000000"/>
          <w:sz w:val="20"/>
          <w:u w:val="none"/>
        </w:rPr>
        <w:t>As of June 30, 2026, and December 31, 2025, accumulated other comprehensive income (loss) consisted of net unrealized gains and losses on available-for-sale securities.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val="0"/>
          <w:i w:val="0"/>
          <w:sz w:val="20"/>
        </w:rPr>
      </w:pPr>
      <w:bookmarkStart w:id="11" w:name="Section12"/>
      <w:bookmarkEnd w:id="11"/>
      <w:r>
        <w:rPr>
          <w:rFonts w:ascii="Times New Roman" w:eastAsia="Times New Roman" w:hAnsi="Times New Roman" w:cs="Times New Roman"/>
          <w:b/>
          <w:i w:val="0"/>
          <w:color w:val="000000"/>
          <w:sz w:val="20"/>
          <w:highlight w:val="white"/>
          <w:u w:val="none"/>
        </w:rPr>
        <w:t xml:space="preserve">NOTE 3 - </w:t>
      </w:r>
      <w:r>
        <w:rPr>
          <w:rFonts w:ascii="Times New Roman" w:eastAsia="Times New Roman" w:hAnsi="Times New Roman" w:cs="Times New Roman"/>
          <w:b/>
          <w:i w:val="0"/>
          <w:color w:val="000000"/>
          <w:sz w:val="20"/>
          <w:highlight w:val="white"/>
          <w:u w:val="none"/>
        </w:rPr>
        <w:t>BUSINESS COMBINATIONS AND ASSET ACQUISITIONS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2026</w:t>
      </w:r>
    </w:p>
    <w:p>
      <w:pPr>
        <w:keepNext/>
        <w:keepLines/>
        <w:pageBreakBefore w:val="0"/>
        <w:widowControl w:val="0"/>
        <w:numPr>
          <w:ilvl w:val="0"/>
          <w:numId w:val="0"/>
        </w:numPr>
        <w:spacing w:before="0" w:after="0" w:line="288" w:lineRule="auto"/>
        <w:ind w:left="0" w:right="0" w:firstLine="0"/>
        <w:jc w:val="both"/>
        <w:outlineLvl w:val="9"/>
        <w:rPr>
          <w:rFonts w:ascii="Arial" w:eastAsia="Arial" w:hAnsi="Arial" w:cs="Arial"/>
          <w:b/>
          <w:i/>
          <w:color w:val="000000"/>
          <w:sz w:val="24"/>
          <w:u w:val="singl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Asset Acquisitions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During the</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six months ended June 30, 2026, we completed one customer relationship asset acquisition. The total purchase price of this acquisition was $6,175, which consisted of $4,730 of cash paid during the six months ended June 30, 2026</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 xml:space="preserve">$121 of cash to be paid over the next 12 months, the delivery of promissory notes in the amount of $879, net of discounts, and the delivery of 49 shares of Asure common stock, which had an aggregate fair value of $445 at the acquisition dates. The acquired customer relationships are recorded as intangible assets and are being amortized on a straight-line basis over </w:t>
      </w:r>
      <w:r>
        <w:rPr>
          <w:rFonts w:ascii="Times New Roman" w:eastAsia="Times New Roman" w:hAnsi="Times New Roman" w:cs="Times New Roman"/>
          <w:b w:val="0"/>
          <w:i w:val="0"/>
          <w:color w:val="000000"/>
          <w:sz w:val="20"/>
          <w:u w:val="none"/>
        </w:rPr>
        <w:t>eight years</w:t>
      </w:r>
      <w:r>
        <w:rPr>
          <w:rFonts w:ascii="Times New Roman" w:eastAsia="Times New Roman" w:hAnsi="Times New Roman" w:cs="Times New Roman"/>
          <w:b w:val="0"/>
          <w:i w:val="0"/>
          <w:color w:val="000000"/>
          <w:sz w:val="20"/>
          <w:u w:val="none"/>
        </w:rPr>
        <w: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2025</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color w:val="000000"/>
          <w:sz w:val="20"/>
          <w:u w:val="none"/>
        </w:rPr>
        <w:t>Business Combinations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Effective July 1, 2025, we acquired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of the membership interests of Lathem Time 2025 LLC (f/k/a Lathem Time Corporation, “Lathem”), whose technology will be used to expand the capabilities of our broader suite of HR solutions, specifically in time and attendance systems. The aggregate purchase price that we paid for the membership interests was $39,497, consisting of $37,500 paid in cash on hand and the remaining $2,221 in the form of a promissory note ($1,997 net of discount).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amounts of assets acquired and liabilities assumed at the acquisition date, valued at their estimated acquisition-date fair value:</w:t>
      </w:r>
    </w:p>
    <w:tbl>
      <w:tblPr>
        <w:tblStyle w:val="TableNormal0"/>
        <w:tblW w:w="6540" w:type="dxa"/>
        <w:jc w:val="center"/>
        <w:tblLayout w:type="fixed"/>
      </w:tblPr>
      <w:tblGrid>
        <w:gridCol w:w="4800"/>
        <w:gridCol w:w="1740"/>
      </w:tblGrid>
      <w:tr>
        <w:tblPrEx>
          <w:tblW w:w="6540" w:type="dxa"/>
          <w:tblLayout w:type="fixed"/>
        </w:tblPrEx>
        <w:trPr>
          <w:trHeight w:hRule="exact" w:val="465"/>
        </w:trPr>
        <w:tc>
          <w:tcPr>
            <w:tcW w:w="48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 Date Fair Value</w:t>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ind w:left="120"/>
              <w:jc w:val="left"/>
            </w:pPr>
            <w:r>
              <w:rPr>
                <w:rFonts w:ascii="Times New Roman" w:eastAsia="Times New Roman" w:hAnsi="Times New Roman" w:cs="Times New Roman"/>
                <w:b w:val="0"/>
                <w:i w:val="0"/>
                <w:color w:val="000000"/>
                <w:sz w:val="20"/>
                <w:u w:val="none"/>
              </w:rPr>
              <w:t>Accounts receivable</w:t>
            </w:r>
          </w:p>
        </w:tc>
        <w:tc>
          <w:tcPr>
            <w:tcW w:w="17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7"/>
                <w:tab w:val="left" w:pos="1672"/>
              </w:tabs>
              <w:spacing w:before="33" w:after="30" w:line="240" w:lineRule="auto"/>
              <w:jc w:val="right"/>
            </w:pPr>
            <w:r>
              <w:rPr>
                <w:rFonts w:ascii="Times New Roman" w:eastAsia="Times New Roman" w:hAnsi="Times New Roman" w:cs="Times New Roman"/>
                <w:b w:val="0"/>
                <w:i w:val="0"/>
                <w:color w:val="000000"/>
                <w:sz w:val="20"/>
                <w:u w:val="none"/>
              </w:rPr>
              <w:t>$</w:t>
              <w:tab/>
              <w:t>2,020</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Inventory</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7"/>
                <w:tab w:val="left" w:pos="1672"/>
              </w:tabs>
              <w:spacing w:before="53" w:after="30" w:line="240" w:lineRule="auto"/>
              <w:jc w:val="right"/>
            </w:pPr>
            <w:r>
              <w:rPr>
                <w:rFonts w:ascii="Times New Roman" w:eastAsia="Times New Roman" w:hAnsi="Times New Roman" w:cs="Times New Roman"/>
                <w:b w:val="0"/>
                <w:i w:val="0"/>
                <w:color w:val="000000"/>
                <w:sz w:val="20"/>
                <w:u w:val="none"/>
              </w:rPr>
              <w:tab/>
              <w:t>3,380</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Prepaid expenses and other current assets</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177</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Property and equipment, net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185</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Intangible assets, net</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7"/>
                <w:tab w:val="left" w:pos="1672"/>
              </w:tabs>
              <w:spacing w:before="53" w:after="30" w:line="240" w:lineRule="auto"/>
              <w:jc w:val="right"/>
            </w:pPr>
            <w:r>
              <w:rPr>
                <w:rFonts w:ascii="Times New Roman" w:eastAsia="Times New Roman" w:hAnsi="Times New Roman" w:cs="Times New Roman"/>
                <w:b w:val="0"/>
                <w:i w:val="0"/>
                <w:color w:val="000000"/>
                <w:sz w:val="20"/>
                <w:u w:val="none"/>
              </w:rPr>
              <w:tab/>
              <w:t>16,500</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Operating lease assets, net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826</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Other assets, net</w:t>
            </w:r>
          </w:p>
        </w:tc>
        <w:tc>
          <w:tcPr>
            <w:tcW w:w="17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777</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assets acquired</w:t>
            </w:r>
          </w:p>
        </w:tc>
        <w:tc>
          <w:tcPr>
            <w:tcW w:w="17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ab/>
              <w:t>23,865</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Accounts payable</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474</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Operating lease liabilities, current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826</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Other accrued liabilities</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615</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revenue</w:t>
            </w:r>
          </w:p>
        </w:tc>
        <w:tc>
          <w:tcPr>
            <w:tcW w:w="17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7"/>
                <w:tab w:val="left" w:pos="1672"/>
              </w:tabs>
              <w:spacing w:before="53" w:after="30" w:line="240" w:lineRule="auto"/>
              <w:jc w:val="right"/>
            </w:pPr>
            <w:r>
              <w:rPr>
                <w:rFonts w:ascii="Times New Roman" w:eastAsia="Times New Roman" w:hAnsi="Times New Roman" w:cs="Times New Roman"/>
                <w:b w:val="0"/>
                <w:i w:val="0"/>
                <w:color w:val="000000"/>
                <w:sz w:val="20"/>
                <w:u w:val="none"/>
              </w:rPr>
              <w:tab/>
              <w:t>3,488</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liabilities assumed</w:t>
            </w:r>
          </w:p>
        </w:tc>
        <w:tc>
          <w:tcPr>
            <w:tcW w:w="17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7"/>
                <w:tab w:val="left" w:pos="1672"/>
              </w:tabs>
              <w:spacing w:before="33" w:after="30" w:line="240" w:lineRule="auto"/>
              <w:jc w:val="right"/>
            </w:pPr>
            <w:r>
              <w:rPr>
                <w:rFonts w:ascii="Times New Roman" w:eastAsia="Times New Roman" w:hAnsi="Times New Roman" w:cs="Times New Roman"/>
                <w:b w:val="0"/>
                <w:i w:val="0"/>
                <w:color w:val="000000"/>
                <w:sz w:val="20"/>
                <w:u w:val="none"/>
              </w:rPr>
              <w:tab/>
              <w:t>5,403</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net assets acquired</w:t>
            </w:r>
          </w:p>
        </w:tc>
        <w:tc>
          <w:tcPr>
            <w:tcW w:w="17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ab/>
              <w:t>18,462</w:t>
              <w:tab/>
            </w:r>
          </w:p>
        </w:tc>
      </w:tr>
      <w:tr>
        <w:tblPrEx>
          <w:tblW w:w="6540" w:type="dxa"/>
          <w:tblLayout w:type="fixed"/>
        </w:tblPrEx>
        <w:trPr>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Goodwill</w:t>
            </w:r>
          </w:p>
        </w:tc>
        <w:tc>
          <w:tcPr>
            <w:tcW w:w="17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57"/>
                <w:tab w:val="left" w:pos="1672"/>
              </w:tabs>
              <w:spacing w:before="53" w:after="30" w:line="240" w:lineRule="auto"/>
              <w:jc w:val="right"/>
            </w:pPr>
            <w:r>
              <w:rPr>
                <w:rFonts w:ascii="Times New Roman" w:eastAsia="Times New Roman" w:hAnsi="Times New Roman" w:cs="Times New Roman"/>
                <w:b w:val="0"/>
                <w:i w:val="0"/>
                <w:color w:val="000000"/>
                <w:sz w:val="20"/>
                <w:u w:val="none"/>
              </w:rPr>
              <w:tab/>
              <w:t>21,035</w:t>
              <w:tab/>
            </w:r>
          </w:p>
        </w:tc>
      </w:tr>
      <w:tr>
        <w:tblPrEx>
          <w:tblW w:w="6540" w:type="dxa"/>
          <w:tblLayout w:type="fixed"/>
        </w:tblPrEx>
        <w:trPr>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purchase price</w:t>
            </w:r>
          </w:p>
        </w:tc>
        <w:tc>
          <w:tcPr>
            <w:tcW w:w="17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w:t>
              <w:tab/>
              <w:t>39,497</w:t>
              <w:tab/>
            </w:r>
          </w:p>
        </w:tc>
      </w:tr>
    </w:tbl>
    <w:p>
      <w:pPr>
        <w:keepNext w:val="0"/>
        <w:keepLines/>
        <w:pageBreakBefore w:val="0"/>
        <w:widowControl w:val="0"/>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goodwill of $21,035 arising from the acquisition consists largely of the synergies and economies of scale expected from combining our operations with Lathem and is expected to be deductible for tax purposes.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Asset Acquisitions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During the year ended December 31, 2025, we completed seven customer relationship asset acquisitions. The total purchase price of these acquisitions was $20,523, which consisted of $16,019 of cash paid during the year ended December 31, 2025, $56 of cash paid during the six months ended June 30, 2026</w:t>
      </w:r>
      <w:r>
        <w:rPr>
          <w:rFonts w:ascii="Times New Roman" w:eastAsia="Times New Roman" w:hAnsi="Times New Roman" w:cs="Times New Roman"/>
          <w:b w:val="0"/>
          <w:i w:val="0"/>
          <w:color w:val="000000"/>
          <w:sz w:val="20"/>
          <w:highlight w:val="white"/>
          <w:u w:val="none"/>
        </w:rPr>
        <w:t>,</w:t>
      </w:r>
      <w:r>
        <w:rPr>
          <w:rFonts w:ascii="Times New Roman" w:eastAsia="Times New Roman" w:hAnsi="Times New Roman" w:cs="Times New Roman"/>
          <w:b w:val="0"/>
          <w:i w:val="0"/>
          <w:color w:val="000000"/>
          <w:sz w:val="20"/>
          <w:u w:val="none"/>
        </w:rPr>
        <w:t xml:space="preserve"> the delivery of promissory notes in the amount of $3,492, net of discounts, and the delivery of 124 shares of Asure common stock, which had an aggregate fair value of $956 at the acquisition dates. The purchase prices for certain of these acquisitions are subject to adjustments for contingent events which are generally expected to occur over the next twelve months following June 30, 2026, including revenue generated from the acquired assets. The acquired customer relationships are recorded as intangible assets and are being amortized on a straight-line basis over </w:t>
      </w:r>
      <w:r>
        <w:rPr>
          <w:rFonts w:ascii="Times New Roman" w:eastAsia="Times New Roman" w:hAnsi="Times New Roman" w:cs="Times New Roman"/>
          <w:b w:val="0"/>
          <w:i w:val="0"/>
          <w:color w:val="000000"/>
          <w:sz w:val="20"/>
          <w:u w:val="none"/>
        </w:rPr>
        <w:t>eight years</w:t>
      </w:r>
      <w:r>
        <w:rPr>
          <w:rFonts w:ascii="Times New Roman" w:eastAsia="Times New Roman" w:hAnsi="Times New Roman" w:cs="Times New Roman"/>
          <w:b w:val="0"/>
          <w:i w:val="0"/>
          <w:color w:val="000000"/>
          <w:sz w:val="20"/>
          <w:u w:val="none"/>
        </w:rPr>
        <w:t>.</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Arial" w:eastAsia="Arial" w:hAnsi="Arial" w:cs="Arial"/>
          <w:b w:val="0"/>
          <w:i w:val="0"/>
          <w:color w:val="000000"/>
          <w:sz w:val="24"/>
          <w:u w:val="none"/>
        </w:rPr>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bookmarkStart w:id="12" w:name="Section13"/>
      <w:bookmarkEnd w:id="12"/>
      <w:r>
        <w:rPr>
          <w:rFonts w:ascii="Times New Roman" w:eastAsia="Times New Roman" w:hAnsi="Times New Roman" w:cs="Times New Roman"/>
          <w:b/>
          <w:i w:val="0"/>
          <w:sz w:val="20"/>
        </w:rPr>
        <w:t xml:space="preserve">NOTE 4 - </w:t>
      </w:r>
      <w:r>
        <w:rPr>
          <w:rFonts w:ascii="Times New Roman" w:eastAsia="Times New Roman" w:hAnsi="Times New Roman" w:cs="Times New Roman"/>
          <w:b/>
          <w:i w:val="0"/>
          <w:color w:val="000000"/>
          <w:sz w:val="20"/>
          <w:u w:val="none"/>
        </w:rPr>
        <w:t>INVESTMENTS AND FAIR VALUE MEASUREMENTS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Accounting Standards Codification (ASC) 820 “Fair Value Measurement” (“ASC 820”) defines fair value, establishes a framework for measuring fair value under U.S. GAAP and enhances disclosures about fair value measurements. Fair value is defined as the exchange price that would be received for an asset or paid to transfer a liability (an exit price) in the principal or most advantageous market for the asset or liability in an orderly transaction between market participants on the measurement date. Valuation techniques used to measure fair value must maximize the use of observable inputs and minimize the use of unobservable inputs. ASC 820 describes a fair value hierarchy based on the following three levels of inputs that may be used to measure fair value, of which the first two are considered observable and the last unobservable: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tbl>
      <w:tblPr>
        <w:tblStyle w:val="TableNormal0"/>
        <w:tblW w:w="9570" w:type="dxa"/>
        <w:tblInd w:w="720" w:type="dxa"/>
        <w:tblLayout w:type="fixed"/>
      </w:tblPr>
      <w:tblGrid>
        <w:gridCol w:w="780"/>
        <w:gridCol w:w="195"/>
        <w:gridCol w:w="8595"/>
      </w:tblGrid>
      <w:tr>
        <w:tblPrEx>
          <w:tblW w:w="9570" w:type="dxa"/>
          <w:tblInd w:w="720" w:type="dxa"/>
          <w:tblLayout w:type="fixed"/>
        </w:tblPrEx>
        <w:trPr>
          <w:trHeight w:hRule="exact" w:val="315"/>
        </w:trPr>
        <w:tc>
          <w:tcPr>
            <w:tcW w:w="78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Level 1:</w:t>
            </w: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Quoted prices in active markets for </w:t>
            </w:r>
            <w:r>
              <w:rPr>
                <w:rFonts w:ascii="Times New Roman" w:eastAsia="Times New Roman" w:hAnsi="Times New Roman" w:cs="Times New Roman"/>
                <w:b w:val="0"/>
                <w:i/>
                <w:sz w:val="20"/>
              </w:rPr>
              <w:t>identical</w:t>
            </w:r>
            <w:r>
              <w:rPr>
                <w:rFonts w:ascii="Times New Roman" w:eastAsia="Times New Roman" w:hAnsi="Times New Roman" w:cs="Times New Roman"/>
                <w:b w:val="0"/>
                <w:i w:val="0"/>
                <w:sz w:val="20"/>
              </w:rPr>
              <w:t xml:space="preserve"> assets or liabilities;</w:t>
            </w:r>
          </w:p>
        </w:tc>
      </w:tr>
      <w:tr>
        <w:tblPrEx>
          <w:tblW w:w="9570" w:type="dxa"/>
          <w:tblInd w:w="720" w:type="dxa"/>
          <w:tblLayout w:type="fixed"/>
        </w:tblPrEx>
        <w:trPr>
          <w:trHeight w:hRule="exact" w:val="315"/>
        </w:trPr>
        <w:tc>
          <w:tcPr>
            <w:tcW w:w="7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9570" w:type="dxa"/>
          <w:tblInd w:w="720" w:type="dxa"/>
          <w:tblLayout w:type="fixed"/>
        </w:tblPrEx>
        <w:trPr>
          <w:trHeight w:hRule="exact" w:val="675"/>
        </w:trPr>
        <w:tc>
          <w:tcPr>
            <w:tcW w:w="78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Level 2:</w:t>
            </w: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Quoted prices in active markets for </w:t>
            </w:r>
            <w:r>
              <w:rPr>
                <w:rFonts w:ascii="Times New Roman" w:eastAsia="Times New Roman" w:hAnsi="Times New Roman" w:cs="Times New Roman"/>
                <w:b w:val="0"/>
                <w:i/>
                <w:sz w:val="20"/>
              </w:rPr>
              <w:t>similar</w:t>
            </w:r>
            <w:r>
              <w:rPr>
                <w:rFonts w:ascii="Times New Roman" w:eastAsia="Times New Roman" w:hAnsi="Times New Roman" w:cs="Times New Roman"/>
                <w:b w:val="0"/>
                <w:i w:val="0"/>
                <w:sz w:val="20"/>
              </w:rPr>
              <w:t xml:space="preserve"> assets or liabilities; quoted prices in markets that are not active for identical or similar assets or liabilities; and model-driven valuations whose significant inputs are observable; and</w:t>
            </w:r>
          </w:p>
        </w:tc>
      </w:tr>
      <w:tr>
        <w:tblPrEx>
          <w:tblW w:w="9570" w:type="dxa"/>
          <w:tblInd w:w="720" w:type="dxa"/>
          <w:tblLayout w:type="fixed"/>
        </w:tblPrEx>
        <w:trPr>
          <w:trHeight w:hRule="exact" w:val="315"/>
        </w:trPr>
        <w:tc>
          <w:tcPr>
            <w:tcW w:w="7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9570" w:type="dxa"/>
          <w:tblInd w:w="720" w:type="dxa"/>
          <w:tblLayout w:type="fixed"/>
        </w:tblPrEx>
        <w:trPr>
          <w:trHeight w:hRule="exact" w:val="465"/>
        </w:trPr>
        <w:tc>
          <w:tcPr>
            <w:tcW w:w="78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Level 3:</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both"/>
            </w:pPr>
            <w:r>
              <w:rPr>
                <w:rFonts w:ascii="Times New Roman" w:eastAsia="Times New Roman" w:hAnsi="Times New Roman" w:cs="Times New Roman"/>
                <w:b w:val="0"/>
                <w:i w:val="0"/>
                <w:color w:val="000000"/>
                <w:sz w:val="20"/>
                <w:u w:val="none"/>
              </w:rPr>
              <w:t>Unobservable inputs that are supported by little or no market activity and that are significant to the fair value of the assets or liabilities.</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presents the fair value hierarchy for our financial assets and liabilities measured at fair value on a recurring basis for the periods presented below (in thousands):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tbl>
      <w:tblPr>
        <w:tblStyle w:val="TableNormal0"/>
        <w:tblW w:w="10260" w:type="dxa"/>
        <w:jc w:val="center"/>
        <w:tblLayout w:type="fixed"/>
      </w:tblPr>
      <w:tblGrid>
        <w:gridCol w:w="4095"/>
        <w:gridCol w:w="1485"/>
        <w:gridCol w:w="75"/>
        <w:gridCol w:w="1485"/>
        <w:gridCol w:w="75"/>
        <w:gridCol w:w="1485"/>
        <w:gridCol w:w="75"/>
        <w:gridCol w:w="1485"/>
      </w:tblGrid>
      <w:tr>
        <w:tblPrEx>
          <w:tblW w:w="10260" w:type="dxa"/>
          <w:tblLayout w:type="fixed"/>
        </w:tblPrEx>
        <w:trPr>
          <w:trHeight w:hRule="exact" w:val="465"/>
        </w:trPr>
        <w:tc>
          <w:tcPr>
            <w:tcW w:w="40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Total Carrying Value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3</w:t>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June 30, 2026</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Assets:</w:t>
            </w: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Funds held for clients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Money market funds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5,503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5,503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99,103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99,103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104,606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5,503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99,103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Layout w:type="fixed"/>
        </w:tblPrEx>
        <w:trPr>
          <w:trHeight w:hRule="exact" w:val="255"/>
        </w:trPr>
        <w:tc>
          <w:tcPr>
            <w:tcW w:w="40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Assets: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Funds held for clients</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Money market funds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88,652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88,652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90,436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88,652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bl>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Cash equivalents and investments classified as available-for-sale within funds held for clients consisted of the following for the periods presented below (in thousands):</w:t>
      </w:r>
    </w:p>
    <w:tbl>
      <w:tblPr>
        <w:tblStyle w:val="TableNormal0"/>
        <w:tblW w:w="10260" w:type="dxa"/>
        <w:jc w:val="center"/>
        <w:tblLayout w:type="fixed"/>
      </w:tblPr>
      <w:tblGrid>
        <w:gridCol w:w="4095"/>
        <w:gridCol w:w="1485"/>
        <w:gridCol w:w="75"/>
        <w:gridCol w:w="1485"/>
        <w:gridCol w:w="75"/>
        <w:gridCol w:w="1485"/>
        <w:gridCol w:w="75"/>
        <w:gridCol w:w="1485"/>
      </w:tblGrid>
      <w:tr>
        <w:tblPrEx>
          <w:tblW w:w="10260" w:type="dxa"/>
          <w:tblLayout w:type="fixed"/>
        </w:tblPrEx>
        <w:trPr>
          <w:trHeight w:hRule="exact" w:val="705"/>
        </w:trPr>
        <w:tc>
          <w:tcPr>
            <w:tcW w:w="40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Amortized</w:t>
            </w:r>
          </w:p>
          <w:p>
            <w:pPr>
              <w:spacing w:after="30" w:line="240" w:lineRule="auto"/>
              <w:jc w:val="center"/>
            </w:pPr>
            <w:r>
              <w:rPr>
                <w:rFonts w:ascii="Times New Roman" w:eastAsia="Times New Roman" w:hAnsi="Times New Roman" w:cs="Times New Roman"/>
                <w:b/>
                <w:i w:val="0"/>
                <w:color w:val="000000"/>
                <w:sz w:val="20"/>
                <w:u w:val="none"/>
              </w:rPr>
              <w:t>Cost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53"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Gross</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Unrealized</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Gains </w:t>
            </w:r>
            <w:r>
              <w:rPr>
                <w:rFonts w:ascii="Times New Roman" w:eastAsia="Times New Roman" w:hAnsi="Times New Roman" w:cs="Times New Roman"/>
                <w:b/>
                <w:i w:val="0"/>
                <w:sz w:val="20"/>
                <w:vertAlign w:val="superscript"/>
              </w:rPr>
              <w:t>(1)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53"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Gross</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Unrealized</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Losses </w:t>
            </w:r>
            <w:r>
              <w:rPr>
                <w:rFonts w:ascii="Times New Roman" w:eastAsia="Times New Roman" w:hAnsi="Times New Roman" w:cs="Times New Roman"/>
                <w:b/>
                <w:i w:val="0"/>
                <w:sz w:val="20"/>
                <w:vertAlign w:val="superscript"/>
              </w:rPr>
              <w:t>(1)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Aggregate</w:t>
            </w:r>
          </w:p>
          <w:p>
            <w:pPr>
              <w:spacing w:line="240" w:lineRule="auto"/>
              <w:jc w:val="center"/>
            </w:pPr>
            <w:r>
              <w:rPr>
                <w:rFonts w:ascii="Times New Roman" w:eastAsia="Times New Roman" w:hAnsi="Times New Roman" w:cs="Times New Roman"/>
                <w:b/>
                <w:i w:val="0"/>
                <w:color w:val="000000"/>
                <w:sz w:val="20"/>
                <w:u w:val="none"/>
              </w:rPr>
              <w:t>Estimated</w:t>
            </w:r>
          </w:p>
          <w:p>
            <w:pPr>
              <w:spacing w:after="30" w:line="240" w:lineRule="auto"/>
              <w:jc w:val="center"/>
            </w:pPr>
            <w:r>
              <w:rPr>
                <w:rFonts w:ascii="Times New Roman" w:eastAsia="Times New Roman" w:hAnsi="Times New Roman" w:cs="Times New Roman"/>
                <w:b/>
                <w:i w:val="0"/>
                <w:color w:val="000000"/>
                <w:sz w:val="20"/>
                <w:u w:val="none"/>
              </w:rPr>
              <w:t>Fair Value</w:t>
            </w:r>
          </w:p>
        </w:tc>
      </w:tr>
      <w:tr>
        <w:tblPrEx>
          <w:tblW w:w="10260" w:type="dxa"/>
          <w:tblLayout w:type="fixed"/>
        </w:tblPrEx>
        <w:trPr>
          <w:trHeight w:hRule="exact" w:val="300"/>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June 30, 2026</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Cash equivalents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5,505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w:t>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5,505</w:t>
              <w:tab/>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Corporate debt securities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95,967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95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(494)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95,568</w:t>
              <w:tab/>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U.S. Government agency securities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3,551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52"/>
                <w:tab w:val="left" w:pos="1417"/>
              </w:tabs>
              <w:spacing w:before="53" w:after="30" w:line="240" w:lineRule="auto"/>
              <w:jc w:val="right"/>
            </w:pPr>
            <w:r>
              <w:rPr>
                <w:rFonts w:ascii="Times New Roman" w:eastAsia="Times New Roman" w:hAnsi="Times New Roman" w:cs="Times New Roman"/>
                <w:b w:val="0"/>
                <w:i w:val="0"/>
                <w:color w:val="000000"/>
                <w:sz w:val="20"/>
                <w:u w:val="none"/>
              </w:rPr>
              <w:tab/>
              <w:t>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3,535</w:t>
              <w:tab/>
            </w: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available-for-sale securities</w:t>
            </w: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99,518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ab/>
              <w:t>97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33" w:after="30" w:line="240" w:lineRule="auto"/>
              <w:jc w:val="right"/>
            </w:pPr>
            <w:r>
              <w:rPr>
                <w:rFonts w:ascii="Times New Roman" w:eastAsia="Times New Roman" w:hAnsi="Times New Roman" w:cs="Times New Roman"/>
                <w:b w:val="0"/>
                <w:i w:val="0"/>
                <w:color w:val="000000"/>
                <w:sz w:val="20"/>
                <w:u w:val="none"/>
              </w:rPr>
              <w:tab/>
              <w:t>(512)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99,103</w:t>
              <w:tab/>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Total</w:t>
            </w:r>
            <w:r>
              <w:rPr>
                <w:rFonts w:ascii="Times New Roman" w:eastAsia="Times New Roman" w:hAnsi="Times New Roman" w:cs="Times New Roman"/>
                <w:b w:val="0"/>
                <w:i w:val="0"/>
                <w:sz w:val="20"/>
                <w:vertAlign w:val="superscript"/>
              </w:rPr>
              <w:t>(2)</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105,023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66"/>
              </w:tabs>
              <w:spacing w:before="33" w:after="30" w:line="240" w:lineRule="auto"/>
              <w:jc w:val="right"/>
            </w:pPr>
            <w:r>
              <w:rPr>
                <w:rFonts w:ascii="Times New Roman" w:eastAsia="Times New Roman" w:hAnsi="Times New Roman" w:cs="Times New Roman"/>
                <w:b w:val="0"/>
                <w:i w:val="0"/>
                <w:color w:val="000000"/>
                <w:sz w:val="20"/>
                <w:u w:val="none"/>
              </w:rPr>
              <w:t>$</w:t>
              <w:tab/>
              <w:t>(513)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104,608</w:t>
              <w:tab/>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Cash equivalents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w:t>
              <w:tab/>
              <w:t>(3)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Corporate debt securities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83,160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501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(77)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83,584</w:t>
              <w:tab/>
            </w:r>
          </w:p>
        </w:tc>
      </w:tr>
      <w:tr>
        <w:tblPrEx>
          <w:tblW w:w="10260" w:type="dxa"/>
          <w:tblLayout w:type="fixed"/>
        </w:tblPrEx>
        <w:trPr>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Municipal bonds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1,542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(17)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1,525</w:t>
              <w:tab/>
            </w:r>
          </w:p>
        </w:tc>
      </w:tr>
      <w:tr>
        <w:tblPrEx>
          <w:tblW w:w="10260" w:type="dxa"/>
          <w:tblLayout w:type="fixed"/>
        </w:tblPrEx>
        <w:trPr>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U.S. Government agency securities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3,515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3,543</w:t>
              <w:tab/>
            </w:r>
          </w:p>
        </w:tc>
      </w:tr>
      <w:tr>
        <w:tblPrEx>
          <w:tblW w:w="10260" w:type="dxa"/>
          <w:tblLayout w:type="fixed"/>
        </w:tblPrEx>
        <w:trPr>
          <w:trHeight w:hRule="exact" w:val="31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available-for-sale securities</w:t>
            </w: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88,217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529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6"/>
              </w:tabs>
              <w:spacing w:before="33" w:after="30" w:line="240" w:lineRule="auto"/>
              <w:jc w:val="right"/>
            </w:pPr>
            <w:r>
              <w:rPr>
                <w:rFonts w:ascii="Times New Roman" w:eastAsia="Times New Roman" w:hAnsi="Times New Roman" w:cs="Times New Roman"/>
                <w:b w:val="0"/>
                <w:i w:val="0"/>
                <w:color w:val="000000"/>
                <w:sz w:val="20"/>
                <w:u w:val="none"/>
              </w:rPr>
              <w:tab/>
              <w:t>(94)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88,652</w:t>
              <w:tab/>
            </w:r>
          </w:p>
        </w:tc>
      </w:tr>
      <w:tr>
        <w:tblPrEx>
          <w:tblW w:w="10260" w:type="dxa"/>
          <w:tblLayout w:type="fixed"/>
        </w:tblPrEx>
        <w:trPr>
          <w:trHeight w:hRule="exact" w:val="315"/>
        </w:trPr>
        <w:tc>
          <w:tcPr>
            <w:tcW w:w="40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31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Total</w:t>
            </w:r>
            <w:r>
              <w:rPr>
                <w:rFonts w:ascii="Times New Roman" w:eastAsia="Times New Roman" w:hAnsi="Times New Roman" w:cs="Times New Roman"/>
                <w:b w:val="0"/>
                <w:i w:val="0"/>
                <w:sz w:val="20"/>
                <w:vertAlign w:val="superscript"/>
              </w:rPr>
              <w:t>(2)</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90,004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529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66"/>
              </w:tabs>
              <w:spacing w:before="33" w:after="30" w:line="240" w:lineRule="auto"/>
              <w:jc w:val="right"/>
            </w:pPr>
            <w:r>
              <w:rPr>
                <w:rFonts w:ascii="Times New Roman" w:eastAsia="Times New Roman" w:hAnsi="Times New Roman" w:cs="Times New Roman"/>
                <w:b w:val="0"/>
                <w:i w:val="0"/>
                <w:color w:val="000000"/>
                <w:sz w:val="20"/>
                <w:u w:val="none"/>
              </w:rPr>
              <w:t>$</w:t>
              <w:tab/>
              <w:t>(97)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90,436</w:t>
              <w:tab/>
            </w:r>
          </w:p>
        </w:tc>
      </w:tr>
    </w:tbl>
    <w:p>
      <w:pPr>
        <w:keepNext w:val="0"/>
        <w:keepLines/>
        <w:pageBreakBefore w:val="0"/>
        <w:widowControl w:val="0"/>
        <w:numPr>
          <w:ilvl w:val="0"/>
          <w:numId w:val="14"/>
        </w:numPr>
        <w:spacing w:before="0" w:after="0" w:line="288" w:lineRule="auto"/>
        <w:ind w:left="720" w:right="0" w:hanging="720"/>
        <w:jc w:val="both"/>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Unrealized gains and losses on available-for-sale securities are included as a component of comprehensive income (loss). As of June 30, 2026, and December 31, 2025, there were 46 and 127 securities, respectively, in an unrealized gain position and there were 131 and 27 securities in an unrealized loss position, respectively. As of June 30, 2026, these unrealized losses were less than $18 individually and $512 in the aggregate. As of December 31, 2025, these unrealized losses were less than $13 individually and $94 in the aggregate. We invest in high quality securities with roughly 68% of our portfolio made up of A ratings and above with unrealized losses primarily attributable to macroeconomic factors rather than credit related. We have no material individual securities that have been in a continuous unrealized loss position greater than twelve months. We do not intend to sell these investments and we do not expect to sell these investments before recovery of their amortized cost basis, which may be at maturity. We review our investments to identify and evaluate investments that indicate possible credit losses. Factors considered in determining whether a loss is a credit loss include the length of time and extent to which fair value has been less than the cost basis, the financial condition and near-term prospects of the investee, and our intent and ability to hold the investment for a period of time sufficient to allow for any anticipated recovery in market value.</w:t>
      </w:r>
    </w:p>
    <w:p>
      <w:pPr>
        <w:keepNext w:val="0"/>
        <w:keepLines/>
        <w:pageBreakBefore w:val="0"/>
        <w:widowControl w:val="0"/>
        <w:numPr>
          <w:ilvl w:val="0"/>
          <w:numId w:val="14"/>
        </w:numPr>
        <w:spacing w:before="0" w:after="0" w:line="288" w:lineRule="auto"/>
        <w:ind w:left="720" w:right="0" w:hanging="720"/>
        <w:jc w:val="both"/>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At June 30, 2026 and December 31, 2025, none of these securities were classified as cash and cash equivalents on the accompanying Condensed Consolidated Balance Sheets.</w:t>
      </w:r>
    </w:p>
    <w:p>
      <w:pPr>
        <w:keepNext w:val="0"/>
        <w:keepLines/>
        <w:pageBreakBefore w:val="0"/>
        <w:widowControl w:val="0"/>
        <w:numPr>
          <w:ilvl w:val="0"/>
          <w:numId w:val="0"/>
        </w:numPr>
        <w:spacing w:before="0" w:after="0" w:line="288" w:lineRule="auto"/>
        <w:ind w:left="0" w:right="0" w:hanging="36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Funds held for clients represent assets that we have classified for use solely for the purposes of satisfying the obligations to remit funds relating to our payroll and payroll tax filing services, which are classified as client funds obligations on our Condensed Consolidated Balance Sheets.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Funds held for clients have been invested in the following categories for the periods presented below (in thousands):</w:t>
      </w:r>
    </w:p>
    <w:tbl>
      <w:tblPr>
        <w:tblStyle w:val="TableNormal0"/>
        <w:tblW w:w="9990" w:type="dxa"/>
        <w:jc w:val="center"/>
        <w:tblLayout w:type="fixed"/>
      </w:tblPr>
      <w:tblGrid>
        <w:gridCol w:w="6195"/>
        <w:gridCol w:w="1860"/>
        <w:gridCol w:w="75"/>
        <w:gridCol w:w="1860"/>
      </w:tblGrid>
      <w:tr>
        <w:tblPrEx>
          <w:tblW w:w="9990" w:type="dxa"/>
          <w:tblLayout w:type="fixed"/>
        </w:tblPrEx>
        <w:trPr>
          <w:trHeight w:hRule="exact" w:val="285"/>
        </w:trPr>
        <w:tc>
          <w:tcPr>
            <w:tcW w:w="6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June 30,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r>
      <w:tr>
        <w:tblPrEx>
          <w:tblW w:w="999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18"/>
                <w:u w:val="none"/>
              </w:rPr>
              <w:t>Restricted cash and cash equivalents held to satisfy client funds obligations</w:t>
            </w: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79,812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139,459</w:t>
              <w:tab/>
            </w:r>
          </w:p>
        </w:tc>
      </w:tr>
      <w:tr>
        <w:tblPrEx>
          <w:tblW w:w="9990" w:type="dxa"/>
          <w:tblLayout w:type="fixed"/>
        </w:tblPrEx>
        <w:trPr>
          <w:trHeight w:hRule="exact" w:val="285"/>
        </w:trPr>
        <w:tc>
          <w:tcPr>
            <w:tcW w:w="61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18"/>
                <w:u w:val="none"/>
              </w:rPr>
              <w:t>Restricted short-term marketable securities held to satisfy client funds obligations</w:t>
            </w:r>
          </w:p>
        </w:tc>
        <w:tc>
          <w:tcPr>
            <w:tcW w:w="18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77"/>
                <w:tab w:val="left" w:pos="1792"/>
              </w:tabs>
              <w:spacing w:before="53" w:after="30" w:line="240" w:lineRule="auto"/>
              <w:jc w:val="right"/>
            </w:pPr>
            <w:r>
              <w:rPr>
                <w:rFonts w:ascii="Times New Roman" w:eastAsia="Times New Roman" w:hAnsi="Times New Roman" w:cs="Times New Roman"/>
                <w:b w:val="0"/>
                <w:i w:val="0"/>
                <w:color w:val="000000"/>
                <w:sz w:val="20"/>
                <w:u w:val="none"/>
              </w:rPr>
              <w:tab/>
              <w:t>20,840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77"/>
                <w:tab w:val="left" w:pos="1792"/>
              </w:tabs>
              <w:spacing w:before="53" w:after="30" w:line="240" w:lineRule="auto"/>
              <w:jc w:val="right"/>
            </w:pPr>
            <w:r>
              <w:rPr>
                <w:rFonts w:ascii="Times New Roman" w:eastAsia="Times New Roman" w:hAnsi="Times New Roman" w:cs="Times New Roman"/>
                <w:b w:val="0"/>
                <w:i w:val="0"/>
                <w:color w:val="000000"/>
                <w:sz w:val="20"/>
                <w:u w:val="none"/>
              </w:rPr>
              <w:tab/>
              <w:t>12,781</w:t>
              <w:tab/>
            </w:r>
          </w:p>
        </w:tc>
      </w:tr>
      <w:tr>
        <w:tblPrEx>
          <w:tblW w:w="999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18"/>
                <w:u w:val="none"/>
              </w:rPr>
              <w:t>Restricted long-term marketable securities held to satisfy client funds obligations</w:t>
            </w:r>
          </w:p>
        </w:tc>
        <w:tc>
          <w:tcPr>
            <w:tcW w:w="18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77"/>
                <w:tab w:val="left" w:pos="1792"/>
              </w:tabs>
              <w:spacing w:before="53" w:after="30" w:line="240" w:lineRule="auto"/>
              <w:jc w:val="right"/>
            </w:pPr>
            <w:r>
              <w:rPr>
                <w:rFonts w:ascii="Times New Roman" w:eastAsia="Times New Roman" w:hAnsi="Times New Roman" w:cs="Times New Roman"/>
                <w:b w:val="0"/>
                <w:i w:val="0"/>
                <w:color w:val="000000"/>
                <w:sz w:val="20"/>
                <w:u w:val="none"/>
              </w:rPr>
              <w:tab/>
              <w:t>78,263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77"/>
                <w:tab w:val="left" w:pos="1792"/>
              </w:tabs>
              <w:spacing w:before="53" w:after="30" w:line="240" w:lineRule="auto"/>
              <w:jc w:val="right"/>
            </w:pPr>
            <w:r>
              <w:rPr>
                <w:rFonts w:ascii="Times New Roman" w:eastAsia="Times New Roman" w:hAnsi="Times New Roman" w:cs="Times New Roman"/>
                <w:b w:val="0"/>
                <w:i w:val="0"/>
                <w:color w:val="000000"/>
                <w:sz w:val="20"/>
                <w:u w:val="none"/>
              </w:rPr>
              <w:tab/>
              <w:t>75,871</w:t>
              <w:tab/>
            </w:r>
          </w:p>
        </w:tc>
      </w:tr>
      <w:tr>
        <w:tblPrEx>
          <w:tblW w:w="9990" w:type="dxa"/>
          <w:tblLayout w:type="fixed"/>
        </w:tblPrEx>
        <w:trPr>
          <w:trHeight w:hRule="exact" w:val="285"/>
        </w:trPr>
        <w:tc>
          <w:tcPr>
            <w:tcW w:w="61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18"/>
                <w:u w:val="none"/>
              </w:rPr>
              <w:t>Total funds held for clients</w:t>
            </w:r>
          </w:p>
        </w:tc>
        <w:tc>
          <w:tcPr>
            <w:tcW w:w="18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178,915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8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228,111</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val="0"/>
          <w:color w:val="000000"/>
          <w:sz w:val="20"/>
          <w:u w:val="none"/>
        </w:rPr>
        <w:t xml:space="preserve">Expected maturities of available-for-sale securities are as of </w:t>
      </w:r>
      <w:r>
        <w:rPr>
          <w:rFonts w:ascii="Times New Roman" w:eastAsia="Times New Roman" w:hAnsi="Times New Roman" w:cs="Times New Roman"/>
          <w:b w:val="0"/>
          <w:i w:val="0"/>
          <w:color w:val="000000"/>
          <w:sz w:val="18"/>
          <w:u w:val="none"/>
        </w:rPr>
        <w:t>June 30, 2026, are as</w:t>
      </w:r>
      <w:r>
        <w:rPr>
          <w:rFonts w:ascii="Times New Roman" w:eastAsia="Times New Roman" w:hAnsi="Times New Roman" w:cs="Times New Roman"/>
          <w:b w:val="0"/>
          <w:i w:val="0"/>
          <w:color w:val="000000"/>
          <w:sz w:val="20"/>
          <w:u w:val="none"/>
        </w:rPr>
        <w:t xml:space="preserve"> follows (in thousands):</w:t>
      </w:r>
    </w:p>
    <w:tbl>
      <w:tblPr>
        <w:tblStyle w:val="TableNormal0"/>
        <w:tblW w:w="6270" w:type="dxa"/>
        <w:jc w:val="center"/>
        <w:tblLayout w:type="fixed"/>
      </w:tblPr>
      <w:tblGrid>
        <w:gridCol w:w="4785"/>
        <w:gridCol w:w="1485"/>
      </w:tblGrid>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One year or less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20,840</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After one year through five years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78,263</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99,103</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3" w:name="Section14"/>
      <w:bookmarkEnd w:id="13"/>
      <w:r>
        <w:rPr>
          <w:rFonts w:ascii="Times New Roman" w:eastAsia="Times New Roman" w:hAnsi="Times New Roman" w:cs="Times New Roman"/>
          <w:b/>
          <w:i w:val="0"/>
          <w:sz w:val="20"/>
        </w:rPr>
        <w:t>NOTE 5</w:t>
      </w:r>
      <w:r>
        <w:rPr>
          <w:rFonts w:ascii="Times New Roman" w:eastAsia="Times New Roman" w:hAnsi="Times New Roman" w:cs="Times New Roman"/>
          <w:b w:val="0"/>
          <w:i w:val="0"/>
          <w:sz w:val="20"/>
        </w:rPr>
        <w:t xml:space="preserve"> - </w:t>
      </w:r>
      <w:r>
        <w:rPr>
          <w:rFonts w:ascii="Times New Roman" w:eastAsia="Times New Roman" w:hAnsi="Times New Roman" w:cs="Times New Roman"/>
          <w:b/>
          <w:i w:val="0"/>
          <w:color w:val="000000"/>
          <w:sz w:val="20"/>
          <w:u w:val="none"/>
        </w:rPr>
        <w:t>GOODWILL AND OTHER INTANGIBLE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tbl>
      <w:tblPr>
        <w:tblStyle w:val="TableNormal0"/>
        <w:tblW w:w="10155" w:type="dxa"/>
        <w:jc w:val="center"/>
        <w:tblLayout w:type="fixed"/>
      </w:tblPr>
      <w:tblGrid>
        <w:gridCol w:w="4425"/>
        <w:gridCol w:w="1860"/>
        <w:gridCol w:w="75"/>
        <w:gridCol w:w="1860"/>
        <w:gridCol w:w="75"/>
        <w:gridCol w:w="1860"/>
      </w:tblGrid>
      <w:tr>
        <w:tblPrEx>
          <w:tblW w:w="10155" w:type="dxa"/>
          <w:tblLayout w:type="fixed"/>
        </w:tblPrEx>
        <w:trPr>
          <w:trHeight w:hRule="exact" w:val="285"/>
        </w:trPr>
        <w:tc>
          <w:tcPr>
            <w:tcW w:w="44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June 30, 2026</w:t>
            </w:r>
          </w:p>
        </w:tc>
      </w:tr>
      <w:tr>
        <w:tblPrEx>
          <w:tblW w:w="10155" w:type="dxa"/>
          <w:tblLayout w:type="fixed"/>
        </w:tblPrEx>
        <w:trPr>
          <w:trHeight w:hRule="exact" w:val="315"/>
        </w:trPr>
        <w:tc>
          <w:tcPr>
            <w:tcW w:w="442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Goodwill</w:t>
            </w: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115,759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52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115,759</w:t>
              <w:tab/>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believe significant synergies are expected to arise from our strategic acquisitions and their assembled work forces. This factor contributed to a purchase price that was in excess of the fair value of the net assets acquired and, as a result, we recorded goodwill for each acquisition. A portion of acquired goodwill will be amortizable for tax purposes. As of June 30, 2026, there has been </w:t>
      </w:r>
      <w:r>
        <w:rPr>
          <w:rFonts w:ascii="Times New Roman" w:eastAsia="Times New Roman" w:hAnsi="Times New Roman" w:cs="Times New Roman"/>
          <w:b w:val="0"/>
          <w:i w:val="0"/>
          <w:color w:val="000000"/>
          <w:sz w:val="20"/>
          <w:u w:val="none"/>
        </w:rPr>
        <w:t>no</w:t>
      </w:r>
      <w:r>
        <w:rPr>
          <w:rFonts w:ascii="Times New Roman" w:eastAsia="Times New Roman" w:hAnsi="Times New Roman" w:cs="Times New Roman"/>
          <w:b w:val="0"/>
          <w:i w:val="0"/>
          <w:color w:val="000000"/>
          <w:sz w:val="20"/>
          <w:u w:val="none"/>
        </w:rPr>
        <w:t xml:space="preserve"> impairment of goodwill based on the qualitative assessments we have performed.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tbl>
      <w:tblPr>
        <w:tblStyle w:val="TableNormal0"/>
        <w:tblW w:w="10215" w:type="dxa"/>
        <w:jc w:val="center"/>
        <w:tblLayout w:type="fixed"/>
      </w:tblPr>
      <w:tblGrid>
        <w:gridCol w:w="4425"/>
        <w:gridCol w:w="1860"/>
        <w:gridCol w:w="105"/>
        <w:gridCol w:w="1860"/>
        <w:gridCol w:w="105"/>
        <w:gridCol w:w="1860"/>
      </w:tblGrid>
      <w:tr>
        <w:tblPrEx>
          <w:tblW w:w="10215" w:type="dxa"/>
          <w:tblLayout w:type="fixed"/>
        </w:tblPrEx>
        <w:trPr>
          <w:trHeight w:hRule="exact" w:val="285"/>
        </w:trPr>
        <w:tc>
          <w:tcPr>
            <w:tcW w:w="442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Gross Intangible Assets</w:t>
            </w: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June 30, 2026</w:t>
            </w:r>
          </w:p>
        </w:tc>
      </w:tr>
      <w:tr>
        <w:tblPrEx>
          <w:tblW w:w="10215" w:type="dxa"/>
          <w:tblLayout w:type="fixed"/>
        </w:tblPrEx>
        <w:trPr>
          <w:trHeight w:hRule="exact" w:val="315"/>
        </w:trPr>
        <w:tc>
          <w:tcPr>
            <w:tcW w:w="442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Customer relationships</w:t>
            </w: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182,024</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6,003</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8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188,027</w:t>
              <w:tab/>
            </w:r>
          </w:p>
        </w:tc>
      </w:tr>
      <w:tr>
        <w:tblPrEx>
          <w:tblW w:w="10215" w:type="dxa"/>
          <w:tblLayout w:type="fixed"/>
        </w:tblPrEx>
        <w:trPr>
          <w:trHeight w:hRule="exact" w:val="315"/>
        </w:trPr>
        <w:tc>
          <w:tcPr>
            <w:tcW w:w="442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1860"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19,501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527"/>
                <w:tab w:val="left" w:pos="1792"/>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19,501</w:t>
            </w:r>
          </w:p>
        </w:tc>
      </w:tr>
      <w:tr>
        <w:tblPrEx>
          <w:tblW w:w="10215" w:type="dxa"/>
          <w:tblLayout w:type="fixed"/>
        </w:tblPrEx>
        <w:trPr>
          <w:trHeight w:hRule="exact" w:val="315"/>
        </w:trPr>
        <w:tc>
          <w:tcPr>
            <w:tcW w:w="442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1860"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880</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527"/>
                <w:tab w:val="left" w:pos="1792"/>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880</w:t>
            </w:r>
          </w:p>
        </w:tc>
      </w:tr>
      <w:tr>
        <w:tblPrEx>
          <w:tblW w:w="10215" w:type="dxa"/>
          <w:tblLayout w:type="fixed"/>
        </w:tblPrEx>
        <w:trPr>
          <w:trHeight w:hRule="exact" w:val="315"/>
        </w:trPr>
        <w:tc>
          <w:tcPr>
            <w:tcW w:w="442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1860" w:type="dxa"/>
            <w:tcBorders>
              <w:top w:val="nil"/>
              <w:left w:val="nil"/>
              <w:bottom w:val="single" w:sz="8" w:space="0" w:color="000000"/>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1,032</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527"/>
                <w:tab w:val="left" w:pos="1792"/>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860" w:type="dxa"/>
            <w:tcBorders>
              <w:top w:val="nil"/>
              <w:left w:val="nil"/>
              <w:bottom w:val="single" w:sz="8" w:space="0" w:color="000000"/>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1,032</w:t>
            </w:r>
          </w:p>
        </w:tc>
      </w:tr>
      <w:tr>
        <w:tblPrEx>
          <w:tblW w:w="10215" w:type="dxa"/>
          <w:tblLayout w:type="fixed"/>
        </w:tblPrEx>
        <w:trPr>
          <w:trHeight w:hRule="exact" w:val="315"/>
        </w:trPr>
        <w:tc>
          <w:tcPr>
            <w:tcW w:w="442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8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203,437</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8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2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6,003</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8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209,440</w:t>
              <w:tab/>
            </w:r>
          </w:p>
        </w:tc>
      </w:tr>
    </w:tbl>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gross carrying amount and accumulated amortization of our intangible assets are as follows for the periods presented below (in thousands, except weighted average periods):</w:t>
      </w:r>
    </w:p>
    <w:tbl>
      <w:tblPr>
        <w:tblStyle w:val="TableNormal0"/>
        <w:tblW w:w="10245" w:type="dxa"/>
        <w:jc w:val="center"/>
        <w:tblLayout w:type="fixed"/>
      </w:tblPr>
      <w:tblGrid>
        <w:gridCol w:w="3165"/>
        <w:gridCol w:w="75"/>
        <w:gridCol w:w="1695"/>
        <w:gridCol w:w="75"/>
        <w:gridCol w:w="1695"/>
        <w:gridCol w:w="75"/>
        <w:gridCol w:w="1695"/>
        <w:gridCol w:w="75"/>
        <w:gridCol w:w="1695"/>
      </w:tblGrid>
      <w:tr>
        <w:tblPrEx>
          <w:tblW w:w="10245" w:type="dxa"/>
          <w:tblLayout w:type="fixed"/>
        </w:tblPrEx>
        <w:trPr>
          <w:trHeight w:hRule="exact" w:val="885"/>
        </w:trPr>
        <w:tc>
          <w:tcPr>
            <w:tcW w:w="31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Weighted Average</w:t>
            </w:r>
          </w:p>
          <w:p>
            <w:pPr>
              <w:spacing w:line="240" w:lineRule="auto"/>
              <w:jc w:val="center"/>
            </w:pPr>
            <w:r>
              <w:rPr>
                <w:rFonts w:ascii="Times New Roman" w:eastAsia="Times New Roman" w:hAnsi="Times New Roman" w:cs="Times New Roman"/>
                <w:b/>
                <w:i w:val="0"/>
                <w:color w:val="000000"/>
                <w:sz w:val="20"/>
                <w:u w:val="none"/>
              </w:rPr>
              <w:t>Amortization</w:t>
            </w:r>
          </w:p>
          <w:p>
            <w:pPr>
              <w:spacing w:line="240" w:lineRule="auto"/>
              <w:jc w:val="center"/>
            </w:pPr>
            <w:r>
              <w:rPr>
                <w:rFonts w:ascii="Times New Roman" w:eastAsia="Times New Roman" w:hAnsi="Times New Roman" w:cs="Times New Roman"/>
                <w:b/>
                <w:i w:val="0"/>
                <w:color w:val="000000"/>
                <w:sz w:val="20"/>
                <w:u w:val="none"/>
              </w:rPr>
              <w:t xml:space="preserve">Period </w:t>
            </w:r>
          </w:p>
          <w:p>
            <w:pPr>
              <w:spacing w:after="30" w:line="240" w:lineRule="auto"/>
              <w:jc w:val="center"/>
            </w:pPr>
            <w:r>
              <w:rPr>
                <w:rFonts w:ascii="Times New Roman" w:eastAsia="Times New Roman" w:hAnsi="Times New Roman" w:cs="Times New Roman"/>
                <w:b/>
                <w:i w:val="0"/>
                <w:color w:val="000000"/>
                <w:sz w:val="20"/>
                <w:u w:val="none"/>
              </w:rPr>
              <w:t>(in Years)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Gross Intangible Assets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Accumulated</w:t>
            </w:r>
          </w:p>
          <w:p>
            <w:pPr>
              <w:spacing w:after="30" w:line="240" w:lineRule="auto"/>
              <w:jc w:val="center"/>
            </w:pPr>
            <w:r>
              <w:rPr>
                <w:rFonts w:ascii="Times New Roman" w:eastAsia="Times New Roman" w:hAnsi="Times New Roman" w:cs="Times New Roman"/>
                <w:b/>
                <w:i w:val="0"/>
                <w:color w:val="000000"/>
                <w:sz w:val="20"/>
                <w:u w:val="none"/>
              </w:rPr>
              <w:t>Amortization</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Net Intangible Assets</w:t>
            </w:r>
          </w:p>
        </w:tc>
      </w:tr>
      <w:tr>
        <w:tblPrEx>
          <w:tblW w:w="10245" w:type="dxa"/>
          <w:tblLayout w:type="fixed"/>
        </w:tblPrEx>
        <w:trPr>
          <w:trHeight w:hRule="exact" w:val="285"/>
        </w:trPr>
        <w:tc>
          <w:tcPr>
            <w:tcW w:w="31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June 30, 2026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31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Customer relationships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8.4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2"/>
                <w:tab w:val="left" w:pos="1627"/>
              </w:tabs>
              <w:spacing w:before="53" w:after="30" w:line="240" w:lineRule="auto"/>
              <w:jc w:val="right"/>
            </w:pPr>
            <w:r>
              <w:rPr>
                <w:rFonts w:ascii="Times New Roman" w:eastAsia="Times New Roman" w:hAnsi="Times New Roman" w:cs="Times New Roman"/>
                <w:b w:val="0"/>
                <w:i w:val="0"/>
                <w:color w:val="000000"/>
                <w:sz w:val="20"/>
                <w:u w:val="none"/>
              </w:rPr>
              <w:t>$</w:t>
              <w:tab/>
              <w:t>188,027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s>
              <w:spacing w:before="53" w:after="30" w:line="240" w:lineRule="auto"/>
              <w:jc w:val="right"/>
            </w:pPr>
            <w:r>
              <w:rPr>
                <w:rFonts w:ascii="Times New Roman" w:eastAsia="Times New Roman" w:hAnsi="Times New Roman" w:cs="Times New Roman"/>
                <w:b w:val="0"/>
                <w:i w:val="0"/>
                <w:color w:val="000000"/>
                <w:sz w:val="20"/>
                <w:u w:val="none"/>
              </w:rPr>
              <w:t>$</w:t>
              <w:tab/>
              <w:t>(110,998)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12"/>
                <w:tab w:val="left" w:pos="1627"/>
              </w:tabs>
              <w:spacing w:before="53" w:after="30" w:line="240" w:lineRule="auto"/>
              <w:jc w:val="right"/>
            </w:pPr>
            <w:r>
              <w:rPr>
                <w:rFonts w:ascii="Times New Roman" w:eastAsia="Times New Roman" w:hAnsi="Times New Roman" w:cs="Times New Roman"/>
                <w:b w:val="0"/>
                <w:i w:val="0"/>
                <w:color w:val="000000"/>
                <w:sz w:val="20"/>
                <w:u w:val="none"/>
              </w:rPr>
              <w:t>$</w:t>
              <w:tab/>
              <w:t>77,029</w:t>
              <w:tab/>
            </w:r>
          </w:p>
        </w:tc>
      </w:tr>
      <w:tr>
        <w:tblPrEx>
          <w:tblW w:w="10245" w:type="dxa"/>
          <w:tblLayout w:type="fixed"/>
        </w:tblPrEx>
        <w:trPr>
          <w:trHeight w:hRule="exact" w:val="285"/>
        </w:trPr>
        <w:tc>
          <w:tcPr>
            <w:tcW w:w="31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6.6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12"/>
                <w:tab w:val="left" w:pos="1627"/>
              </w:tabs>
              <w:spacing w:before="53" w:after="30" w:line="240" w:lineRule="auto"/>
              <w:jc w:val="right"/>
            </w:pPr>
            <w:r>
              <w:rPr>
                <w:rFonts w:ascii="Times New Roman" w:eastAsia="Times New Roman" w:hAnsi="Times New Roman" w:cs="Times New Roman"/>
                <w:b w:val="0"/>
                <w:i w:val="0"/>
                <w:color w:val="000000"/>
                <w:sz w:val="20"/>
                <w:u w:val="none"/>
              </w:rPr>
              <w:tab/>
              <w:t>19,501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6"/>
              </w:tabs>
              <w:spacing w:before="53" w:after="30" w:line="240" w:lineRule="auto"/>
              <w:jc w:val="right"/>
            </w:pPr>
            <w:r>
              <w:rPr>
                <w:rFonts w:ascii="Times New Roman" w:eastAsia="Times New Roman" w:hAnsi="Times New Roman" w:cs="Times New Roman"/>
                <w:b w:val="0"/>
                <w:i w:val="0"/>
                <w:color w:val="000000"/>
                <w:sz w:val="20"/>
                <w:u w:val="none"/>
              </w:rPr>
              <w:tab/>
              <w:t>(13,075)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12"/>
                <w:tab w:val="left" w:pos="1627"/>
              </w:tabs>
              <w:spacing w:before="53" w:after="30" w:line="240" w:lineRule="auto"/>
              <w:jc w:val="right"/>
            </w:pPr>
            <w:r>
              <w:rPr>
                <w:rFonts w:ascii="Times New Roman" w:eastAsia="Times New Roman" w:hAnsi="Times New Roman" w:cs="Times New Roman"/>
                <w:b w:val="0"/>
                <w:i w:val="0"/>
                <w:color w:val="000000"/>
                <w:sz w:val="20"/>
                <w:u w:val="none"/>
              </w:rPr>
              <w:tab/>
              <w:t>6,426</w:t>
              <w:tab/>
            </w:r>
          </w:p>
        </w:tc>
      </w:tr>
      <w:tr>
        <w:tblPrEx>
          <w:tblW w:w="10245" w:type="dxa"/>
          <w:tblLayout w:type="fixed"/>
        </w:tblPrEx>
        <w:trPr>
          <w:trHeight w:hRule="exact" w:val="285"/>
        </w:trPr>
        <w:tc>
          <w:tcPr>
            <w:tcW w:w="31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4.3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62"/>
                <w:tab w:val="left" w:pos="1627"/>
              </w:tabs>
              <w:spacing w:before="53" w:after="30" w:line="240" w:lineRule="auto"/>
              <w:jc w:val="right"/>
            </w:pPr>
            <w:r>
              <w:rPr>
                <w:rFonts w:ascii="Times New Roman" w:eastAsia="Times New Roman" w:hAnsi="Times New Roman" w:cs="Times New Roman"/>
                <w:b w:val="0"/>
                <w:i w:val="0"/>
                <w:color w:val="000000"/>
                <w:sz w:val="20"/>
                <w:u w:val="none"/>
              </w:rPr>
              <w:tab/>
              <w:t>880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76"/>
              </w:tabs>
              <w:spacing w:before="53" w:after="30" w:line="240" w:lineRule="auto"/>
              <w:jc w:val="right"/>
            </w:pPr>
            <w:r>
              <w:rPr>
                <w:rFonts w:ascii="Times New Roman" w:eastAsia="Times New Roman" w:hAnsi="Times New Roman" w:cs="Times New Roman"/>
                <w:b w:val="0"/>
                <w:i w:val="0"/>
                <w:color w:val="000000"/>
                <w:sz w:val="20"/>
                <w:u w:val="none"/>
              </w:rPr>
              <w:tab/>
              <w:t>(880)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62"/>
                <w:tab w:val="left" w:pos="162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45" w:type="dxa"/>
          <w:tblLayout w:type="fixed"/>
        </w:tblPrEx>
        <w:trPr>
          <w:trHeight w:hRule="exact" w:val="285"/>
        </w:trPr>
        <w:tc>
          <w:tcPr>
            <w:tcW w:w="31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12"/>
                <w:tab w:val="left" w:pos="1627"/>
              </w:tabs>
              <w:spacing w:before="53" w:after="30" w:line="240" w:lineRule="auto"/>
              <w:jc w:val="right"/>
            </w:pPr>
            <w:r>
              <w:rPr>
                <w:rFonts w:ascii="Times New Roman" w:eastAsia="Times New Roman" w:hAnsi="Times New Roman" w:cs="Times New Roman"/>
                <w:b w:val="0"/>
                <w:i w:val="0"/>
                <w:color w:val="000000"/>
                <w:sz w:val="20"/>
                <w:u w:val="none"/>
              </w:rPr>
              <w:tab/>
              <w:t>1,032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76"/>
              </w:tabs>
              <w:spacing w:before="53" w:after="30" w:line="240" w:lineRule="auto"/>
              <w:jc w:val="right"/>
            </w:pPr>
            <w:r>
              <w:rPr>
                <w:rFonts w:ascii="Times New Roman" w:eastAsia="Times New Roman" w:hAnsi="Times New Roman" w:cs="Times New Roman"/>
                <w:b w:val="0"/>
                <w:i w:val="0"/>
                <w:color w:val="000000"/>
                <w:sz w:val="20"/>
                <w:u w:val="none"/>
              </w:rPr>
              <w:tab/>
              <w:t>(961)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362"/>
                <w:tab w:val="left" w:pos="1627"/>
              </w:tabs>
              <w:spacing w:before="53" w:after="30" w:line="240" w:lineRule="auto"/>
              <w:jc w:val="right"/>
            </w:pPr>
            <w:r>
              <w:rPr>
                <w:rFonts w:ascii="Times New Roman" w:eastAsia="Times New Roman" w:hAnsi="Times New Roman" w:cs="Times New Roman"/>
                <w:b w:val="0"/>
                <w:i w:val="0"/>
                <w:color w:val="000000"/>
                <w:sz w:val="20"/>
                <w:u w:val="none"/>
              </w:rPr>
              <w:tab/>
              <w:t>71</w:t>
              <w:tab/>
            </w:r>
          </w:p>
        </w:tc>
      </w:tr>
      <w:tr>
        <w:tblPrEx>
          <w:tblW w:w="10245" w:type="dxa"/>
          <w:tblLayout w:type="fixed"/>
        </w:tblPrEx>
        <w:trPr>
          <w:trHeight w:hRule="exact" w:val="285"/>
        </w:trPr>
        <w:tc>
          <w:tcPr>
            <w:tcW w:w="31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8.2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12"/>
                <w:tab w:val="left" w:pos="1627"/>
              </w:tabs>
              <w:spacing w:before="33" w:after="30" w:line="240" w:lineRule="auto"/>
              <w:jc w:val="right"/>
            </w:pPr>
            <w:r>
              <w:rPr>
                <w:rFonts w:ascii="Times New Roman" w:eastAsia="Times New Roman" w:hAnsi="Times New Roman" w:cs="Times New Roman"/>
                <w:b w:val="0"/>
                <w:i w:val="0"/>
                <w:color w:val="000000"/>
                <w:sz w:val="20"/>
                <w:u w:val="none"/>
              </w:rPr>
              <w:t>$</w:t>
              <w:tab/>
              <w:t>209,440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26"/>
              </w:tabs>
              <w:spacing w:before="33" w:after="30" w:line="240" w:lineRule="auto"/>
              <w:jc w:val="right"/>
            </w:pPr>
            <w:r>
              <w:rPr>
                <w:rFonts w:ascii="Times New Roman" w:eastAsia="Times New Roman" w:hAnsi="Times New Roman" w:cs="Times New Roman"/>
                <w:b w:val="0"/>
                <w:i w:val="0"/>
                <w:color w:val="000000"/>
                <w:sz w:val="20"/>
                <w:u w:val="none"/>
              </w:rPr>
              <w:t>$</w:t>
              <w:tab/>
              <w:t>(125,914)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012"/>
                <w:tab w:val="left" w:pos="1627"/>
              </w:tabs>
              <w:spacing w:before="33" w:after="30" w:line="240" w:lineRule="auto"/>
              <w:jc w:val="right"/>
            </w:pPr>
            <w:r>
              <w:rPr>
                <w:rFonts w:ascii="Times New Roman" w:eastAsia="Times New Roman" w:hAnsi="Times New Roman" w:cs="Times New Roman"/>
                <w:b w:val="0"/>
                <w:i w:val="0"/>
                <w:color w:val="000000"/>
                <w:sz w:val="20"/>
                <w:u w:val="none"/>
              </w:rPr>
              <w:t>$</w:t>
              <w:tab/>
              <w:t>83,526</w:t>
              <w:tab/>
            </w:r>
          </w:p>
        </w:tc>
      </w:tr>
      <w:tr>
        <w:tblPrEx>
          <w:tblW w:w="10245" w:type="dxa"/>
          <w:tblLayout w:type="fixed"/>
        </w:tblPrEx>
        <w:trPr>
          <w:trHeight w:hRule="exact" w:val="285"/>
        </w:trPr>
        <w:tc>
          <w:tcPr>
            <w:tcW w:w="316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31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31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Customer relationships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8.5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2"/>
                <w:tab w:val="left" w:pos="1627"/>
              </w:tabs>
              <w:spacing w:before="53" w:after="30" w:line="240" w:lineRule="auto"/>
              <w:jc w:val="right"/>
            </w:pPr>
            <w:r>
              <w:rPr>
                <w:rFonts w:ascii="Times New Roman" w:eastAsia="Times New Roman" w:hAnsi="Times New Roman" w:cs="Times New Roman"/>
                <w:b w:val="0"/>
                <w:i w:val="0"/>
                <w:color w:val="000000"/>
                <w:sz w:val="20"/>
                <w:u w:val="none"/>
              </w:rPr>
              <w:t>$</w:t>
              <w:tab/>
              <w:t>182,024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s>
              <w:spacing w:before="53" w:after="30" w:line="240" w:lineRule="auto"/>
              <w:jc w:val="right"/>
            </w:pPr>
            <w:r>
              <w:rPr>
                <w:rFonts w:ascii="Times New Roman" w:eastAsia="Times New Roman" w:hAnsi="Times New Roman" w:cs="Times New Roman"/>
                <w:b w:val="0"/>
                <w:i w:val="0"/>
                <w:color w:val="000000"/>
                <w:sz w:val="20"/>
                <w:u w:val="none"/>
              </w:rPr>
              <w:t>$</w:t>
              <w:tab/>
              <w:t>(101,343)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12"/>
                <w:tab w:val="left" w:pos="1627"/>
              </w:tabs>
              <w:spacing w:before="53" w:after="30" w:line="240" w:lineRule="auto"/>
              <w:jc w:val="right"/>
            </w:pPr>
            <w:r>
              <w:rPr>
                <w:rFonts w:ascii="Times New Roman" w:eastAsia="Times New Roman" w:hAnsi="Times New Roman" w:cs="Times New Roman"/>
                <w:b w:val="0"/>
                <w:i w:val="0"/>
                <w:color w:val="000000"/>
                <w:sz w:val="20"/>
                <w:u w:val="none"/>
              </w:rPr>
              <w:t>$</w:t>
              <w:tab/>
              <w:t>80,681</w:t>
              <w:tab/>
            </w:r>
          </w:p>
        </w:tc>
      </w:tr>
      <w:tr>
        <w:tblPrEx>
          <w:tblW w:w="10245" w:type="dxa"/>
          <w:tblLayout w:type="fixed"/>
        </w:tblPrEx>
        <w:trPr>
          <w:trHeight w:hRule="exact" w:val="285"/>
        </w:trPr>
        <w:tc>
          <w:tcPr>
            <w:tcW w:w="31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6.6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12"/>
                <w:tab w:val="left" w:pos="1627"/>
              </w:tabs>
              <w:spacing w:before="53" w:after="30" w:line="240" w:lineRule="auto"/>
              <w:jc w:val="right"/>
            </w:pPr>
            <w:r>
              <w:rPr>
                <w:rFonts w:ascii="Times New Roman" w:eastAsia="Times New Roman" w:hAnsi="Times New Roman" w:cs="Times New Roman"/>
                <w:b w:val="0"/>
                <w:i w:val="0"/>
                <w:color w:val="000000"/>
                <w:sz w:val="20"/>
                <w:u w:val="none"/>
              </w:rPr>
              <w:tab/>
              <w:t>19,501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6"/>
              </w:tabs>
              <w:spacing w:before="53" w:after="30" w:line="240" w:lineRule="auto"/>
              <w:jc w:val="right"/>
            </w:pPr>
            <w:r>
              <w:rPr>
                <w:rFonts w:ascii="Times New Roman" w:eastAsia="Times New Roman" w:hAnsi="Times New Roman" w:cs="Times New Roman"/>
                <w:b w:val="0"/>
                <w:i w:val="0"/>
                <w:color w:val="000000"/>
                <w:sz w:val="20"/>
                <w:u w:val="none"/>
              </w:rPr>
              <w:tab/>
              <w:t>(12,348)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12"/>
                <w:tab w:val="left" w:pos="1627"/>
              </w:tabs>
              <w:spacing w:before="53" w:after="30" w:line="240" w:lineRule="auto"/>
              <w:jc w:val="right"/>
            </w:pPr>
            <w:r>
              <w:rPr>
                <w:rFonts w:ascii="Times New Roman" w:eastAsia="Times New Roman" w:hAnsi="Times New Roman" w:cs="Times New Roman"/>
                <w:b w:val="0"/>
                <w:i w:val="0"/>
                <w:color w:val="000000"/>
                <w:sz w:val="20"/>
                <w:u w:val="none"/>
              </w:rPr>
              <w:tab/>
              <w:t>7,153</w:t>
              <w:tab/>
            </w:r>
          </w:p>
        </w:tc>
      </w:tr>
      <w:tr>
        <w:tblPrEx>
          <w:tblW w:w="10245" w:type="dxa"/>
          <w:tblLayout w:type="fixed"/>
        </w:tblPrEx>
        <w:trPr>
          <w:trHeight w:hRule="exact" w:val="285"/>
        </w:trPr>
        <w:tc>
          <w:tcPr>
            <w:tcW w:w="31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4.3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62"/>
                <w:tab w:val="left" w:pos="1627"/>
              </w:tabs>
              <w:spacing w:before="53" w:after="30" w:line="240" w:lineRule="auto"/>
              <w:jc w:val="right"/>
            </w:pPr>
            <w:r>
              <w:rPr>
                <w:rFonts w:ascii="Times New Roman" w:eastAsia="Times New Roman" w:hAnsi="Times New Roman" w:cs="Times New Roman"/>
                <w:b w:val="0"/>
                <w:i w:val="0"/>
                <w:color w:val="000000"/>
                <w:sz w:val="20"/>
                <w:u w:val="none"/>
              </w:rPr>
              <w:tab/>
              <w:t>880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6"/>
              </w:tabs>
              <w:spacing w:before="53" w:after="30" w:line="240" w:lineRule="auto"/>
              <w:jc w:val="right"/>
            </w:pPr>
            <w:r>
              <w:rPr>
                <w:rFonts w:ascii="Times New Roman" w:eastAsia="Times New Roman" w:hAnsi="Times New Roman" w:cs="Times New Roman"/>
                <w:b w:val="0"/>
                <w:i w:val="0"/>
                <w:color w:val="000000"/>
                <w:sz w:val="20"/>
                <w:u w:val="none"/>
              </w:rPr>
              <w:tab/>
              <w:t>(880)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62"/>
                <w:tab w:val="left" w:pos="162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45" w:type="dxa"/>
          <w:tblLayout w:type="fixed"/>
        </w:tblPrEx>
        <w:trPr>
          <w:trHeight w:hRule="exact" w:val="285"/>
        </w:trPr>
        <w:tc>
          <w:tcPr>
            <w:tcW w:w="31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5.2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12"/>
                <w:tab w:val="left" w:pos="1627"/>
              </w:tabs>
              <w:spacing w:before="53" w:after="30" w:line="240" w:lineRule="auto"/>
              <w:jc w:val="right"/>
            </w:pPr>
            <w:r>
              <w:rPr>
                <w:rFonts w:ascii="Times New Roman" w:eastAsia="Times New Roman" w:hAnsi="Times New Roman" w:cs="Times New Roman"/>
                <w:b w:val="0"/>
                <w:i w:val="0"/>
                <w:color w:val="000000"/>
                <w:sz w:val="20"/>
                <w:u w:val="none"/>
              </w:rPr>
              <w:tab/>
              <w:t>1,032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76"/>
              </w:tabs>
              <w:spacing w:before="53" w:after="30" w:line="240" w:lineRule="auto"/>
              <w:jc w:val="right"/>
            </w:pPr>
            <w:r>
              <w:rPr>
                <w:rFonts w:ascii="Times New Roman" w:eastAsia="Times New Roman" w:hAnsi="Times New Roman" w:cs="Times New Roman"/>
                <w:b w:val="0"/>
                <w:i w:val="0"/>
                <w:color w:val="000000"/>
                <w:sz w:val="20"/>
                <w:u w:val="none"/>
              </w:rPr>
              <w:tab/>
              <w:t>(955)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362"/>
                <w:tab w:val="left" w:pos="1627"/>
              </w:tabs>
              <w:spacing w:before="53" w:after="30" w:line="240" w:lineRule="auto"/>
              <w:jc w:val="right"/>
            </w:pPr>
            <w:r>
              <w:rPr>
                <w:rFonts w:ascii="Times New Roman" w:eastAsia="Times New Roman" w:hAnsi="Times New Roman" w:cs="Times New Roman"/>
                <w:b w:val="0"/>
                <w:i w:val="0"/>
                <w:color w:val="000000"/>
                <w:sz w:val="20"/>
                <w:u w:val="none"/>
              </w:rPr>
              <w:tab/>
              <w:t>77</w:t>
              <w:tab/>
            </w:r>
          </w:p>
        </w:tc>
      </w:tr>
      <w:tr>
        <w:tblPrEx>
          <w:tblW w:w="10245" w:type="dxa"/>
          <w:tblLayout w:type="fixed"/>
        </w:tblPrEx>
        <w:trPr>
          <w:trHeight w:hRule="exact" w:val="285"/>
        </w:trPr>
        <w:tc>
          <w:tcPr>
            <w:tcW w:w="316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center"/>
            </w:pPr>
            <w:r>
              <w:rPr>
                <w:rFonts w:ascii="Times New Roman" w:eastAsia="Times New Roman" w:hAnsi="Times New Roman" w:cs="Times New Roman"/>
                <w:b w:val="0"/>
                <w:i w:val="0"/>
                <w:color w:val="000000"/>
                <w:sz w:val="20"/>
                <w:u w:val="none"/>
              </w:rPr>
              <w:t>8.3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12"/>
                <w:tab w:val="left" w:pos="1627"/>
              </w:tabs>
              <w:spacing w:before="33" w:after="30" w:line="240" w:lineRule="auto"/>
              <w:jc w:val="right"/>
            </w:pPr>
            <w:r>
              <w:rPr>
                <w:rFonts w:ascii="Times New Roman" w:eastAsia="Times New Roman" w:hAnsi="Times New Roman" w:cs="Times New Roman"/>
                <w:b w:val="0"/>
                <w:i w:val="0"/>
                <w:color w:val="000000"/>
                <w:sz w:val="20"/>
                <w:u w:val="none"/>
              </w:rPr>
              <w:t>$</w:t>
              <w:tab/>
              <w:t>203,437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26"/>
              </w:tabs>
              <w:spacing w:before="33" w:after="30" w:line="240" w:lineRule="auto"/>
              <w:jc w:val="right"/>
            </w:pPr>
            <w:r>
              <w:rPr>
                <w:rFonts w:ascii="Times New Roman" w:eastAsia="Times New Roman" w:hAnsi="Times New Roman" w:cs="Times New Roman"/>
                <w:b w:val="0"/>
                <w:i w:val="0"/>
                <w:color w:val="000000"/>
                <w:sz w:val="20"/>
                <w:u w:val="none"/>
              </w:rPr>
              <w:t>$</w:t>
              <w:tab/>
              <w:t>(115,526)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12"/>
                <w:tab w:val="left" w:pos="1627"/>
              </w:tabs>
              <w:spacing w:before="33" w:after="30" w:line="240" w:lineRule="auto"/>
              <w:jc w:val="right"/>
            </w:pPr>
            <w:r>
              <w:rPr>
                <w:rFonts w:ascii="Times New Roman" w:eastAsia="Times New Roman" w:hAnsi="Times New Roman" w:cs="Times New Roman"/>
                <w:b w:val="0"/>
                <w:i w:val="0"/>
                <w:color w:val="000000"/>
                <w:sz w:val="20"/>
                <w:u w:val="none"/>
              </w:rPr>
              <w:t>$</w:t>
              <w:tab/>
              <w:t>87,911</w:t>
              <w:tab/>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record amortization expenses using the </w:t>
      </w:r>
      <w:r>
        <w:rPr>
          <w:rFonts w:ascii="Times New Roman" w:eastAsia="Times New Roman" w:hAnsi="Times New Roman" w:cs="Times New Roman"/>
          <w:b w:val="0"/>
          <w:i w:val="0"/>
          <w:color w:val="000000"/>
          <w:sz w:val="20"/>
          <w:u w:val="none"/>
        </w:rPr>
        <w:t>straight-line method</w:t>
      </w:r>
      <w:r>
        <w:rPr>
          <w:rFonts w:ascii="Times New Roman" w:eastAsia="Times New Roman" w:hAnsi="Times New Roman" w:cs="Times New Roman"/>
          <w:b w:val="0"/>
          <w:i w:val="0"/>
          <w:color w:val="000000"/>
          <w:sz w:val="20"/>
          <w:u w:val="none"/>
        </w:rPr>
        <w:t xml:space="preserve"> over the estimated useful lives of the intangible assets, as noted above. Amortization expenses recorded in operating expenses were $9,661 and $8,481 for the six months ended June 30, 2026 and 2025, respectively. Amortization expenses recorded in cost of sales were $728 and $420 for the six months ended June 30, 2026 and 2025, respectively. There was </w:t>
      </w:r>
      <w:r>
        <w:rPr>
          <w:rFonts w:ascii="Times New Roman" w:eastAsia="Times New Roman" w:hAnsi="Times New Roman" w:cs="Times New Roman"/>
          <w:b w:val="0"/>
          <w:i w:val="0"/>
          <w:color w:val="000000"/>
          <w:sz w:val="20"/>
          <w:u w:val="none"/>
        </w:rPr>
        <w:t>no</w:t>
      </w:r>
      <w:r>
        <w:rPr>
          <w:rFonts w:ascii="Times New Roman" w:eastAsia="Times New Roman" w:hAnsi="Times New Roman" w:cs="Times New Roman"/>
          <w:b w:val="0"/>
          <w:i w:val="0"/>
          <w:color w:val="000000"/>
          <w:sz w:val="20"/>
          <w:u w:val="none"/>
        </w:rPr>
        <w:t xml:space="preserve"> impairment of intangibles during the six months ended June 30, 2026, based on the qualitative assessment we performed. However, if market, political and other conditions over which we have no control continue to affect the capital markets and our stock price declines, we may experience an impairment of our intangibles in future quarters.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future estimated amortization expense relating to our intangible assets as of June 30, 2026 (in thousands):</w:t>
      </w:r>
    </w:p>
    <w:tbl>
      <w:tblPr>
        <w:tblStyle w:val="TableNormal0"/>
        <w:tblW w:w="6645" w:type="dxa"/>
        <w:jc w:val="center"/>
        <w:tblLayout w:type="fixed"/>
      </w:tblPr>
      <w:tblGrid>
        <w:gridCol w:w="4785"/>
        <w:gridCol w:w="1860"/>
      </w:tblGrid>
      <w:tr>
        <w:tblPrEx>
          <w:tblW w:w="6645"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2026 (Remaining)</w:t>
            </w:r>
          </w:p>
        </w:tc>
        <w:tc>
          <w:tcPr>
            <w:tcW w:w="18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77"/>
                <w:tab w:val="left" w:pos="1792"/>
              </w:tabs>
              <w:spacing w:before="53" w:after="30" w:line="240" w:lineRule="auto"/>
              <w:jc w:val="right"/>
            </w:pPr>
            <w:r>
              <w:rPr>
                <w:rFonts w:ascii="Times New Roman" w:eastAsia="Times New Roman" w:hAnsi="Times New Roman" w:cs="Times New Roman"/>
                <w:b w:val="0"/>
                <w:i w:val="0"/>
                <w:color w:val="000000"/>
                <w:sz w:val="20"/>
                <w:u w:val="none"/>
              </w:rPr>
              <w:t>$</w:t>
              <w:tab/>
              <w:t>8,951</w:t>
              <w:tab/>
            </w:r>
          </w:p>
        </w:tc>
      </w:tr>
      <w:tr>
        <w:tblPrEx>
          <w:tblW w:w="6645"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8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77"/>
                <w:tab w:val="left" w:pos="1792"/>
              </w:tabs>
              <w:spacing w:before="53" w:after="30" w:line="240" w:lineRule="auto"/>
              <w:jc w:val="right"/>
            </w:pPr>
            <w:r>
              <w:rPr>
                <w:rFonts w:ascii="Times New Roman" w:eastAsia="Times New Roman" w:hAnsi="Times New Roman" w:cs="Times New Roman"/>
                <w:b w:val="0"/>
                <w:i w:val="0"/>
                <w:color w:val="000000"/>
                <w:sz w:val="20"/>
                <w:u w:val="none"/>
              </w:rPr>
              <w:tab/>
              <w:t>17,213</w:t>
              <w:tab/>
            </w:r>
          </w:p>
        </w:tc>
      </w:tr>
      <w:tr>
        <w:tblPrEx>
          <w:tblW w:w="6645"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8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7"/>
                <w:tab w:val="left" w:pos="1792"/>
              </w:tabs>
              <w:spacing w:before="53" w:after="30" w:line="240" w:lineRule="auto"/>
              <w:jc w:val="right"/>
            </w:pPr>
            <w:r>
              <w:rPr>
                <w:rFonts w:ascii="Times New Roman" w:eastAsia="Times New Roman" w:hAnsi="Times New Roman" w:cs="Times New Roman"/>
                <w:b w:val="0"/>
                <w:i w:val="0"/>
                <w:color w:val="000000"/>
                <w:sz w:val="20"/>
                <w:u w:val="none"/>
              </w:rPr>
              <w:tab/>
              <w:t>15,768</w:t>
              <w:tab/>
            </w:r>
          </w:p>
        </w:tc>
      </w:tr>
      <w:tr>
        <w:tblPrEx>
          <w:tblW w:w="6645"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8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77"/>
                <w:tab w:val="left" w:pos="1792"/>
              </w:tabs>
              <w:spacing w:before="53" w:after="30" w:line="240" w:lineRule="auto"/>
              <w:jc w:val="right"/>
            </w:pPr>
            <w:r>
              <w:rPr>
                <w:rFonts w:ascii="Times New Roman" w:eastAsia="Times New Roman" w:hAnsi="Times New Roman" w:cs="Times New Roman"/>
                <w:b w:val="0"/>
                <w:i w:val="0"/>
                <w:color w:val="000000"/>
                <w:sz w:val="20"/>
                <w:u w:val="none"/>
              </w:rPr>
              <w:tab/>
              <w:t>13,604</w:t>
              <w:tab/>
            </w:r>
          </w:p>
        </w:tc>
      </w:tr>
      <w:tr>
        <w:tblPrEx>
          <w:tblW w:w="6645"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8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77"/>
                <w:tab w:val="left" w:pos="1792"/>
              </w:tabs>
              <w:spacing w:before="53" w:after="30" w:line="240" w:lineRule="auto"/>
              <w:jc w:val="right"/>
            </w:pPr>
            <w:r>
              <w:rPr>
                <w:rFonts w:ascii="Times New Roman" w:eastAsia="Times New Roman" w:hAnsi="Times New Roman" w:cs="Times New Roman"/>
                <w:b w:val="0"/>
                <w:i w:val="0"/>
                <w:color w:val="000000"/>
                <w:sz w:val="20"/>
                <w:u w:val="none"/>
              </w:rPr>
              <w:tab/>
              <w:t>9,974</w:t>
              <w:tab/>
            </w:r>
          </w:p>
        </w:tc>
      </w:tr>
      <w:tr>
        <w:tblPrEx>
          <w:tblW w:w="6645"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2031</w:t>
            </w:r>
          </w:p>
        </w:tc>
        <w:tc>
          <w:tcPr>
            <w:tcW w:w="18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77"/>
                <w:tab w:val="left" w:pos="1792"/>
              </w:tabs>
              <w:spacing w:before="53" w:after="30" w:line="240" w:lineRule="auto"/>
              <w:jc w:val="right"/>
            </w:pPr>
            <w:r>
              <w:rPr>
                <w:rFonts w:ascii="Times New Roman" w:eastAsia="Times New Roman" w:hAnsi="Times New Roman" w:cs="Times New Roman"/>
                <w:b w:val="0"/>
                <w:i w:val="0"/>
                <w:color w:val="000000"/>
                <w:sz w:val="20"/>
                <w:u w:val="none"/>
              </w:rPr>
              <w:tab/>
              <w:t>8,993</w:t>
              <w:tab/>
            </w:r>
          </w:p>
        </w:tc>
      </w:tr>
      <w:tr>
        <w:tblPrEx>
          <w:tblW w:w="6645"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Thereafter</w:t>
            </w:r>
          </w:p>
        </w:tc>
        <w:tc>
          <w:tcPr>
            <w:tcW w:w="18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77"/>
                <w:tab w:val="left" w:pos="1792"/>
              </w:tabs>
              <w:spacing w:before="53" w:after="30" w:line="240" w:lineRule="auto"/>
              <w:jc w:val="right"/>
            </w:pPr>
            <w:r>
              <w:rPr>
                <w:rFonts w:ascii="Times New Roman" w:eastAsia="Times New Roman" w:hAnsi="Times New Roman" w:cs="Times New Roman"/>
                <w:b w:val="0"/>
                <w:i w:val="0"/>
                <w:color w:val="000000"/>
                <w:sz w:val="20"/>
                <w:u w:val="none"/>
              </w:rPr>
              <w:tab/>
              <w:t>9,023</w:t>
              <w:tab/>
            </w:r>
          </w:p>
        </w:tc>
      </w:tr>
      <w:tr>
        <w:tblPrEx>
          <w:tblW w:w="6645"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8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177"/>
                <w:tab w:val="left" w:pos="1792"/>
              </w:tabs>
              <w:spacing w:before="33" w:after="30" w:line="240" w:lineRule="auto"/>
              <w:jc w:val="right"/>
            </w:pPr>
            <w:r>
              <w:rPr>
                <w:rFonts w:ascii="Times New Roman" w:eastAsia="Times New Roman" w:hAnsi="Times New Roman" w:cs="Times New Roman"/>
                <w:b w:val="0"/>
                <w:i w:val="0"/>
                <w:color w:val="000000"/>
                <w:sz w:val="20"/>
                <w:u w:val="none"/>
              </w:rPr>
              <w:t>$</w:t>
              <w:tab/>
              <w:t>83,526</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color w:val="000000"/>
          <w:sz w:val="20"/>
          <w:highlight w:val="white"/>
          <w:u w:val="none"/>
        </w:rPr>
      </w:pPr>
      <w:bookmarkStart w:id="14" w:name="Section15"/>
      <w:bookmarkEnd w:id="14"/>
      <w:r>
        <w:rPr>
          <w:rFonts w:ascii="Times New Roman" w:eastAsia="Times New Roman" w:hAnsi="Times New Roman" w:cs="Times New Roman"/>
          <w:b/>
          <w:i w:val="0"/>
          <w:color w:val="000000"/>
          <w:sz w:val="20"/>
          <w:highlight w:val="white"/>
          <w:u w:val="none"/>
        </w:rPr>
        <w:t xml:space="preserve">NOTE 6 - </w:t>
      </w:r>
      <w:r>
        <w:rPr>
          <w:rFonts w:ascii="Times New Roman" w:eastAsia="Times New Roman" w:hAnsi="Times New Roman" w:cs="Times New Roman"/>
          <w:b/>
          <w:i w:val="0"/>
          <w:color w:val="000000"/>
          <w:sz w:val="20"/>
          <w:highlight w:val="white"/>
          <w:u w:val="none"/>
        </w:rPr>
        <w:t>NOTES PAYABLE</w:t>
      </w:r>
    </w:p>
    <w:p>
      <w:pPr>
        <w:keepNext/>
        <w:keepLines/>
        <w:pageBreakBefore w:val="0"/>
        <w:widowControl w:val="0"/>
        <w:numPr>
          <w:ilvl w:val="0"/>
          <w:numId w:val="0"/>
        </w:numPr>
        <w:spacing w:before="0" w:after="0" w:line="288" w:lineRule="auto"/>
        <w:ind w:left="0" w:right="0" w:firstLine="135"/>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our outstanding debt as of the dates indicated</w:t>
      </w:r>
      <w:r>
        <w:rPr>
          <w:rFonts w:ascii="Times New Roman" w:eastAsia="Times New Roman" w:hAnsi="Times New Roman" w:cs="Times New Roman"/>
          <w:b w:val="0"/>
          <w:i w:val="0"/>
          <w:color w:val="000000"/>
          <w:sz w:val="20"/>
          <w:u w:val="none"/>
          <w:vertAlign w:val="superscript"/>
        </w:rPr>
        <w:t xml:space="preserve"> </w:t>
      </w:r>
      <w:r>
        <w:rPr>
          <w:rFonts w:ascii="Times New Roman" w:eastAsia="Times New Roman" w:hAnsi="Times New Roman" w:cs="Times New Roman"/>
          <w:b w:val="0"/>
          <w:i w:val="0"/>
          <w:color w:val="000000"/>
          <w:sz w:val="20"/>
          <w:u w:val="none"/>
        </w:rPr>
        <w:t>(in thousands)</w:t>
      </w:r>
      <w:r>
        <w:rPr>
          <w:rFonts w:ascii="Times New Roman" w:eastAsia="Times New Roman" w:hAnsi="Times New Roman" w:cs="Times New Roman"/>
          <w:b w:val="0"/>
          <w:i w:val="0"/>
          <w:color w:val="000000"/>
          <w:sz w:val="20"/>
          <w:u w:val="none"/>
        </w:rPr>
        <w:t>:</w:t>
      </w:r>
    </w:p>
    <w:tbl>
      <w:tblPr>
        <w:tblStyle w:val="TableNormal0"/>
        <w:tblW w:w="10260" w:type="dxa"/>
        <w:jc w:val="center"/>
        <w:tblLayout w:type="fixed"/>
      </w:tblPr>
      <w:tblGrid>
        <w:gridCol w:w="3195"/>
        <w:gridCol w:w="1695"/>
        <w:gridCol w:w="75"/>
        <w:gridCol w:w="1725"/>
        <w:gridCol w:w="75"/>
        <w:gridCol w:w="1695"/>
        <w:gridCol w:w="75"/>
        <w:gridCol w:w="1725"/>
      </w:tblGrid>
      <w:tr>
        <w:tblPrEx>
          <w:tblW w:w="10260" w:type="dxa"/>
          <w:tblLayout w:type="fixed"/>
        </w:tblPrEx>
        <w:trPr>
          <w:trHeight w:hRule="exact" w:val="285"/>
        </w:trPr>
        <w:tc>
          <w:tcPr>
            <w:tcW w:w="319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6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Maturity</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Cash Interest Rate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June 30,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r>
      <w:tr>
        <w:tblPrEx>
          <w:tblW w:w="10260" w:type="dxa"/>
          <w:tblLayout w:type="fixed"/>
        </w:tblPrEx>
        <w:trPr>
          <w:trHeight w:hRule="exact" w:val="285"/>
        </w:trPr>
        <w:tc>
          <w:tcPr>
            <w:tcW w:w="31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Notes Payable – Acquisitions</w:t>
            </w:r>
            <w:r>
              <w:rPr>
                <w:rFonts w:ascii="Times New Roman" w:eastAsia="Times New Roman" w:hAnsi="Times New Roman" w:cs="Times New Roman"/>
                <w:b w:val="0"/>
                <w:i w:val="0"/>
                <w:sz w:val="20"/>
                <w:vertAlign w:val="superscript"/>
              </w:rPr>
              <w:t>(1)</w:t>
            </w:r>
          </w:p>
        </w:tc>
        <w:tc>
          <w:tcPr>
            <w:tcW w:w="16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08/01/26 - 07/01/29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2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2.00% - 4.00%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6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12"/>
                <w:tab w:val="left" w:pos="1627"/>
              </w:tabs>
              <w:spacing w:before="33" w:after="30" w:line="240" w:lineRule="auto"/>
              <w:jc w:val="right"/>
            </w:pPr>
            <w:r>
              <w:rPr>
                <w:rFonts w:ascii="Times New Roman" w:eastAsia="Times New Roman" w:hAnsi="Times New Roman" w:cs="Times New Roman"/>
                <w:b w:val="0"/>
                <w:i w:val="0"/>
                <w:color w:val="000000"/>
                <w:sz w:val="20"/>
                <w:u w:val="none"/>
              </w:rPr>
              <w:t>$</w:t>
              <w:tab/>
              <w:t>11,395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42"/>
                <w:tab w:val="left" w:pos="1657"/>
              </w:tabs>
              <w:spacing w:before="33" w:after="30" w:line="240" w:lineRule="auto"/>
              <w:jc w:val="right"/>
            </w:pPr>
            <w:r>
              <w:rPr>
                <w:rFonts w:ascii="Times New Roman" w:eastAsia="Times New Roman" w:hAnsi="Times New Roman" w:cs="Times New Roman"/>
                <w:b w:val="0"/>
                <w:i w:val="0"/>
                <w:color w:val="000000"/>
                <w:sz w:val="20"/>
                <w:u w:val="none"/>
              </w:rPr>
              <w:t>$</w:t>
              <w:tab/>
              <w:t>10,775</w:t>
              <w:tab/>
            </w:r>
          </w:p>
        </w:tc>
      </w:tr>
      <w:tr>
        <w:tblPrEx>
          <w:tblW w:w="10260" w:type="dxa"/>
          <w:tblLayout w:type="fixed"/>
        </w:tblPrEx>
        <w:trPr>
          <w:trHeight w:hRule="exact" w:val="285"/>
        </w:trPr>
        <w:tc>
          <w:tcPr>
            <w:tcW w:w="31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 Senior Credit Facility</w:t>
            </w:r>
          </w:p>
        </w:tc>
        <w:tc>
          <w:tcPr>
            <w:tcW w:w="16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04/30/30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725" w:type="dxa"/>
            <w:tcBorders>
              <w:top w:val="nil"/>
              <w:left w:val="nil"/>
              <w:bottom w:val="nil"/>
              <w:right w:val="nil"/>
            </w:tcBorders>
            <w:shd w:val="clear" w:color="auto" w:fill="FFFFFF"/>
            <w:tcMar>
              <w:top w:w="0" w:type="dxa"/>
              <w:left w:w="53" w:type="dxa"/>
              <w:bottom w:w="0" w:type="dxa"/>
              <w:right w:w="15"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8.99%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6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12"/>
                <w:tab w:val="left" w:pos="1627"/>
              </w:tabs>
              <w:spacing w:before="53" w:after="30" w:line="240" w:lineRule="auto"/>
              <w:jc w:val="right"/>
            </w:pPr>
            <w:r>
              <w:rPr>
                <w:rFonts w:ascii="Times New Roman" w:eastAsia="Times New Roman" w:hAnsi="Times New Roman" w:cs="Times New Roman"/>
                <w:b w:val="0"/>
                <w:i w:val="0"/>
                <w:color w:val="000000"/>
                <w:sz w:val="20"/>
                <w:u w:val="none"/>
              </w:rPr>
              <w:tab/>
              <w:t>60,000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72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42"/>
                <w:tab w:val="left" w:pos="1657"/>
              </w:tabs>
              <w:spacing w:before="53" w:after="30" w:line="240" w:lineRule="auto"/>
              <w:jc w:val="right"/>
            </w:pPr>
            <w:r>
              <w:rPr>
                <w:rFonts w:ascii="Times New Roman" w:eastAsia="Times New Roman" w:hAnsi="Times New Roman" w:cs="Times New Roman"/>
                <w:b w:val="0"/>
                <w:i w:val="0"/>
                <w:color w:val="000000"/>
                <w:sz w:val="20"/>
                <w:u w:val="none"/>
              </w:rPr>
              <w:tab/>
              <w:t>60,000</w:t>
              <w:tab/>
            </w:r>
          </w:p>
        </w:tc>
      </w:tr>
      <w:tr>
        <w:tblPrEx>
          <w:tblW w:w="10260" w:type="dxa"/>
          <w:tblLayout w:type="fixed"/>
        </w:tblPrEx>
        <w:trPr>
          <w:trHeight w:hRule="exact" w:val="285"/>
        </w:trPr>
        <w:tc>
          <w:tcPr>
            <w:tcW w:w="31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Gross Notes Payable</w:t>
            </w:r>
          </w:p>
        </w:tc>
        <w:tc>
          <w:tcPr>
            <w:tcW w:w="169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72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12"/>
                <w:tab w:val="left" w:pos="1627"/>
              </w:tabs>
              <w:spacing w:before="33" w:after="30" w:line="240" w:lineRule="auto"/>
              <w:jc w:val="right"/>
            </w:pPr>
            <w:r>
              <w:rPr>
                <w:rFonts w:ascii="Times New Roman" w:eastAsia="Times New Roman" w:hAnsi="Times New Roman" w:cs="Times New Roman"/>
                <w:b w:val="0"/>
                <w:i w:val="0"/>
                <w:color w:val="000000"/>
                <w:sz w:val="20"/>
                <w:u w:val="none"/>
              </w:rPr>
              <w:t>$</w:t>
              <w:tab/>
              <w:t>71,395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72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42"/>
                <w:tab w:val="left" w:pos="1657"/>
              </w:tabs>
              <w:spacing w:before="33" w:after="30" w:line="240" w:lineRule="auto"/>
              <w:jc w:val="right"/>
            </w:pPr>
            <w:r>
              <w:rPr>
                <w:rFonts w:ascii="Times New Roman" w:eastAsia="Times New Roman" w:hAnsi="Times New Roman" w:cs="Times New Roman"/>
                <w:b w:val="0"/>
                <w:i w:val="0"/>
                <w:color w:val="000000"/>
                <w:sz w:val="20"/>
                <w:u w:val="none"/>
              </w:rPr>
              <w:t>$</w:t>
              <w:tab/>
              <w:t>70,775</w:t>
              <w:tab/>
            </w:r>
          </w:p>
        </w:tc>
      </w:tr>
    </w:tbl>
    <w:p>
      <w:pPr>
        <w:keepNext w:val="0"/>
        <w:keepLines/>
        <w:pageBreakBefore w:val="0"/>
        <w:widowControl w:val="0"/>
        <w:numPr>
          <w:ilvl w:val="0"/>
          <w:numId w:val="15"/>
        </w:numPr>
        <w:spacing w:before="0" w:after="0" w:line="288" w:lineRule="auto"/>
        <w:ind w:left="720" w:right="0" w:hanging="72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See Note 3 — Business Combinations and Asset Acquisitions and Notes Payable - Acquisitions section below for further discussion regarding the notes payable related to acquisitions.</w:t>
      </w:r>
    </w:p>
    <w:p>
      <w:pPr>
        <w:keepNext w:val="0"/>
        <w:keepLines/>
        <w:pageBreakBefore w:val="0"/>
        <w:widowControl w:val="0"/>
        <w:numPr>
          <w:ilvl w:val="0"/>
          <w:numId w:val="0"/>
        </w:numPr>
        <w:spacing w:before="0" w:after="0" w:line="288" w:lineRule="auto"/>
        <w:ind w:left="0" w:right="0" w:hanging="36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debt issuance costs as of the dates indicated (in thousands):</w:t>
      </w:r>
    </w:p>
    <w:tbl>
      <w:tblPr>
        <w:tblStyle w:val="TableNormal0"/>
        <w:tblW w:w="10065" w:type="dxa"/>
        <w:jc w:val="center"/>
        <w:tblLayout w:type="fixed"/>
      </w:tblPr>
      <w:tblGrid>
        <w:gridCol w:w="4200"/>
        <w:gridCol w:w="1905"/>
        <w:gridCol w:w="75"/>
        <w:gridCol w:w="1905"/>
        <w:gridCol w:w="75"/>
        <w:gridCol w:w="1905"/>
      </w:tblGrid>
      <w:tr>
        <w:tblPrEx>
          <w:tblW w:w="10065" w:type="dxa"/>
          <w:tblLayout w:type="fixed"/>
        </w:tblPrEx>
        <w:trPr>
          <w:trHeight w:hRule="exact" w:val="465"/>
        </w:trPr>
        <w:tc>
          <w:tcPr>
            <w:tcW w:w="4200"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9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Gross Notes Payable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Debt Issuance Costs and Debt Discount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Net Notes Payable</w:t>
            </w:r>
          </w:p>
        </w:tc>
      </w:tr>
      <w:tr>
        <w:tblPrEx>
          <w:tblW w:w="10065" w:type="dxa"/>
          <w:tblLayout w:type="fixed"/>
        </w:tblPrEx>
        <w:trPr>
          <w:trHeight w:hRule="exact" w:val="300"/>
        </w:trPr>
        <w:tc>
          <w:tcPr>
            <w:tcW w:w="42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June 30, 2026</w:t>
            </w:r>
          </w:p>
        </w:tc>
        <w:tc>
          <w:tcPr>
            <w:tcW w:w="19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065" w:type="dxa"/>
          <w:tblLayout w:type="fixed"/>
        </w:tblPrEx>
        <w:trPr>
          <w:trHeight w:hRule="exact" w:val="300"/>
        </w:trPr>
        <w:tc>
          <w:tcPr>
            <w:tcW w:w="42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Current portion of notes payable</w:t>
            </w: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6,980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86"/>
              </w:tabs>
              <w:spacing w:before="53" w:after="30" w:line="240" w:lineRule="auto"/>
              <w:jc w:val="right"/>
            </w:pPr>
            <w:r>
              <w:rPr>
                <w:rFonts w:ascii="Times New Roman" w:eastAsia="Times New Roman" w:hAnsi="Times New Roman" w:cs="Times New Roman"/>
                <w:b w:val="0"/>
                <w:i w:val="0"/>
                <w:color w:val="000000"/>
                <w:sz w:val="20"/>
                <w:u w:val="none"/>
              </w:rPr>
              <w:t>$</w:t>
              <w:tab/>
              <w:t>(315)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6,665</w:t>
              <w:tab/>
            </w:r>
          </w:p>
        </w:tc>
      </w:tr>
      <w:tr>
        <w:tblPrEx>
          <w:tblW w:w="10065" w:type="dxa"/>
          <w:tblLayout w:type="fixed"/>
        </w:tblPrEx>
        <w:trPr>
          <w:trHeight w:hRule="exact" w:val="300"/>
        </w:trPr>
        <w:tc>
          <w:tcPr>
            <w:tcW w:w="42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net of current portion</w:t>
            </w:r>
          </w:p>
        </w:tc>
        <w:tc>
          <w:tcPr>
            <w:tcW w:w="19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22"/>
                <w:tab w:val="left" w:pos="1837"/>
              </w:tabs>
              <w:spacing w:before="53" w:after="30" w:line="240" w:lineRule="auto"/>
              <w:jc w:val="right"/>
            </w:pPr>
            <w:r>
              <w:rPr>
                <w:rFonts w:ascii="Times New Roman" w:eastAsia="Times New Roman" w:hAnsi="Times New Roman" w:cs="Times New Roman"/>
                <w:b w:val="0"/>
                <w:i w:val="0"/>
                <w:color w:val="000000"/>
                <w:sz w:val="20"/>
                <w:u w:val="none"/>
              </w:rPr>
              <w:tab/>
              <w:t>64,415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36"/>
              </w:tabs>
              <w:spacing w:before="53" w:after="30" w:line="240" w:lineRule="auto"/>
              <w:jc w:val="right"/>
            </w:pPr>
            <w:r>
              <w:rPr>
                <w:rFonts w:ascii="Times New Roman" w:eastAsia="Times New Roman" w:hAnsi="Times New Roman" w:cs="Times New Roman"/>
                <w:b w:val="0"/>
                <w:i w:val="0"/>
                <w:color w:val="000000"/>
                <w:sz w:val="20"/>
                <w:u w:val="none"/>
              </w:rPr>
              <w:tab/>
              <w:t>(2,181)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22"/>
                <w:tab w:val="left" w:pos="1837"/>
              </w:tabs>
              <w:spacing w:before="53" w:after="30" w:line="240" w:lineRule="auto"/>
              <w:jc w:val="right"/>
            </w:pPr>
            <w:r>
              <w:rPr>
                <w:rFonts w:ascii="Times New Roman" w:eastAsia="Times New Roman" w:hAnsi="Times New Roman" w:cs="Times New Roman"/>
                <w:b w:val="0"/>
                <w:i w:val="0"/>
                <w:color w:val="000000"/>
                <w:sz w:val="20"/>
                <w:u w:val="none"/>
              </w:rPr>
              <w:tab/>
              <w:t>62,234</w:t>
              <w:tab/>
            </w:r>
          </w:p>
        </w:tc>
      </w:tr>
      <w:tr>
        <w:tblPrEx>
          <w:tblW w:w="10065" w:type="dxa"/>
          <w:tblLayout w:type="fixed"/>
        </w:tblPrEx>
        <w:trPr>
          <w:trHeight w:hRule="exact" w:val="285"/>
        </w:trPr>
        <w:tc>
          <w:tcPr>
            <w:tcW w:w="42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9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71,395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236"/>
              </w:tabs>
              <w:spacing w:before="33" w:after="30" w:line="240" w:lineRule="auto"/>
              <w:jc w:val="right"/>
            </w:pPr>
            <w:r>
              <w:rPr>
                <w:rFonts w:ascii="Times New Roman" w:eastAsia="Times New Roman" w:hAnsi="Times New Roman" w:cs="Times New Roman"/>
                <w:b w:val="0"/>
                <w:i w:val="0"/>
                <w:color w:val="000000"/>
                <w:sz w:val="20"/>
                <w:u w:val="none"/>
              </w:rPr>
              <w:t>$</w:t>
              <w:tab/>
              <w:t>(2,496)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68,899</w:t>
              <w:tab/>
            </w:r>
          </w:p>
        </w:tc>
      </w:tr>
      <w:tr>
        <w:tblPrEx>
          <w:tblW w:w="10065" w:type="dxa"/>
          <w:tblLayout w:type="fixed"/>
        </w:tblPrEx>
        <w:trPr>
          <w:trHeight w:hRule="exact" w:val="285"/>
        </w:trPr>
        <w:tc>
          <w:tcPr>
            <w:tcW w:w="42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065" w:type="dxa"/>
          <w:tblLayout w:type="fixed"/>
        </w:tblPrEx>
        <w:trPr>
          <w:trHeight w:hRule="exact" w:val="285"/>
        </w:trPr>
        <w:tc>
          <w:tcPr>
            <w:tcW w:w="42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2025</w:t>
            </w:r>
          </w:p>
        </w:tc>
        <w:tc>
          <w:tcPr>
            <w:tcW w:w="19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065" w:type="dxa"/>
          <w:tblLayout w:type="fixed"/>
        </w:tblPrEx>
        <w:trPr>
          <w:trHeight w:hRule="exact" w:val="285"/>
        </w:trPr>
        <w:tc>
          <w:tcPr>
            <w:tcW w:w="42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Current portion of notes payable</w:t>
            </w:r>
          </w:p>
        </w:tc>
        <w:tc>
          <w:tcPr>
            <w:tcW w:w="19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4,834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86"/>
              </w:tabs>
              <w:spacing w:before="53" w:after="30" w:line="240" w:lineRule="auto"/>
              <w:jc w:val="right"/>
            </w:pPr>
            <w:r>
              <w:rPr>
                <w:rFonts w:ascii="Times New Roman" w:eastAsia="Times New Roman" w:hAnsi="Times New Roman" w:cs="Times New Roman"/>
                <w:b w:val="0"/>
                <w:i w:val="0"/>
                <w:color w:val="000000"/>
                <w:sz w:val="20"/>
                <w:u w:val="none"/>
              </w:rPr>
              <w:t>$</w:t>
              <w:tab/>
              <w:t>(490)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4,344</w:t>
              <w:tab/>
            </w:r>
          </w:p>
        </w:tc>
      </w:tr>
      <w:tr>
        <w:tblPrEx>
          <w:tblW w:w="10065" w:type="dxa"/>
          <w:tblLayout w:type="fixed"/>
        </w:tblPrEx>
        <w:trPr>
          <w:trHeight w:hRule="exact" w:val="285"/>
        </w:trPr>
        <w:tc>
          <w:tcPr>
            <w:tcW w:w="42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net of current portion</w:t>
            </w:r>
          </w:p>
        </w:tc>
        <w:tc>
          <w:tcPr>
            <w:tcW w:w="19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22"/>
                <w:tab w:val="left" w:pos="1837"/>
              </w:tabs>
              <w:spacing w:before="53" w:after="30" w:line="240" w:lineRule="auto"/>
              <w:jc w:val="right"/>
            </w:pPr>
            <w:r>
              <w:rPr>
                <w:rFonts w:ascii="Times New Roman" w:eastAsia="Times New Roman" w:hAnsi="Times New Roman" w:cs="Times New Roman"/>
                <w:b w:val="0"/>
                <w:i w:val="0"/>
                <w:color w:val="000000"/>
                <w:sz w:val="20"/>
                <w:u w:val="none"/>
              </w:rPr>
              <w:tab/>
              <w:t>65,941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36"/>
              </w:tabs>
              <w:spacing w:before="53" w:after="30" w:line="240" w:lineRule="auto"/>
              <w:jc w:val="right"/>
            </w:pPr>
            <w:r>
              <w:rPr>
                <w:rFonts w:ascii="Times New Roman" w:eastAsia="Times New Roman" w:hAnsi="Times New Roman" w:cs="Times New Roman"/>
                <w:b w:val="0"/>
                <w:i w:val="0"/>
                <w:color w:val="000000"/>
                <w:sz w:val="20"/>
                <w:u w:val="none"/>
              </w:rPr>
              <w:tab/>
              <w:t>(2,659)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22"/>
                <w:tab w:val="left" w:pos="1837"/>
              </w:tabs>
              <w:spacing w:before="53" w:after="30" w:line="240" w:lineRule="auto"/>
              <w:jc w:val="right"/>
            </w:pPr>
            <w:r>
              <w:rPr>
                <w:rFonts w:ascii="Times New Roman" w:eastAsia="Times New Roman" w:hAnsi="Times New Roman" w:cs="Times New Roman"/>
                <w:b w:val="0"/>
                <w:i w:val="0"/>
                <w:color w:val="000000"/>
                <w:sz w:val="20"/>
                <w:u w:val="none"/>
              </w:rPr>
              <w:tab/>
              <w:t>63,282</w:t>
              <w:tab/>
            </w:r>
          </w:p>
        </w:tc>
      </w:tr>
      <w:tr>
        <w:tblPrEx>
          <w:tblW w:w="10065" w:type="dxa"/>
          <w:tblLayout w:type="fixed"/>
        </w:tblPrEx>
        <w:trPr>
          <w:trHeight w:hRule="exact" w:val="285"/>
        </w:trPr>
        <w:tc>
          <w:tcPr>
            <w:tcW w:w="420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9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70,775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9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236"/>
              </w:tabs>
              <w:spacing w:before="33" w:after="30" w:line="240" w:lineRule="auto"/>
              <w:jc w:val="right"/>
            </w:pPr>
            <w:r>
              <w:rPr>
                <w:rFonts w:ascii="Times New Roman" w:eastAsia="Times New Roman" w:hAnsi="Times New Roman" w:cs="Times New Roman"/>
                <w:b w:val="0"/>
                <w:i w:val="0"/>
                <w:color w:val="000000"/>
                <w:sz w:val="20"/>
                <w:u w:val="none"/>
              </w:rPr>
              <w:t>$</w:t>
              <w:tab/>
              <w:t>(3,149)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9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67,626</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The following table summarizes the future principal payments related to our outstanding debt </w:t>
      </w:r>
      <w:r>
        <w:rPr>
          <w:rFonts w:ascii="Times New Roman" w:eastAsia="Times New Roman" w:hAnsi="Times New Roman" w:cs="Times New Roman"/>
          <w:b w:val="0"/>
          <w:i w:val="0"/>
          <w:color w:val="000000"/>
          <w:sz w:val="20"/>
          <w:u w:val="none"/>
        </w:rPr>
        <w:t>as of June 30, 2026</w:t>
      </w:r>
      <w:r>
        <w:rPr>
          <w:rFonts w:ascii="Times New Roman" w:eastAsia="Times New Roman" w:hAnsi="Times New Roman" w:cs="Times New Roman"/>
          <w:b w:val="0"/>
          <w:i w:val="0"/>
          <w:color w:val="000000"/>
          <w:sz w:val="20"/>
          <w:highlight w:val="white"/>
          <w:u w:val="none"/>
        </w:rPr>
        <w:t xml:space="preserve"> (in thousands):</w:t>
      </w:r>
    </w:p>
    <w:tbl>
      <w:tblPr>
        <w:tblStyle w:val="TableNormal0"/>
        <w:tblW w:w="6270" w:type="dxa"/>
        <w:jc w:val="center"/>
        <w:tblLayout w:type="fixed"/>
      </w:tblPr>
      <w:tblGrid>
        <w:gridCol w:w="4785"/>
        <w:gridCol w:w="1485"/>
      </w:tblGrid>
      <w:tr>
        <w:tblPrEx>
          <w:tblW w:w="6270" w:type="dxa"/>
          <w:tblLayout w:type="fixed"/>
        </w:tblPrEx>
        <w:trPr>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2026 (Remaining)</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5,760</w:t>
              <w:tab/>
            </w:r>
          </w:p>
        </w:tc>
      </w:tr>
      <w:tr>
        <w:tblPrEx>
          <w:tblW w:w="6270" w:type="dxa"/>
          <w:tblLayout w:type="fixed"/>
        </w:tblPrEx>
        <w:trPr>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4,635</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46,000</w:t>
              <w:tab/>
            </w:r>
          </w:p>
        </w:tc>
      </w:tr>
      <w:tr>
        <w:tblPrEx>
          <w:tblW w:w="627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15,000</w:t>
              <w:tab/>
            </w:r>
          </w:p>
        </w:tc>
      </w:tr>
      <w:tr>
        <w:tblPrEx>
          <w:tblW w:w="627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71,395</w:t>
              <w:tab/>
            </w:r>
          </w:p>
        </w:tc>
      </w:tr>
    </w:tbl>
    <w:p>
      <w:pPr>
        <w:keepNext w:val="0"/>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highlight w:val="white"/>
          <w:u w:val="none"/>
        </w:rPr>
        <w:t>Notes Payable - Acquisitions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highlight w:val="white"/>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color w:val="000000"/>
          <w:sz w:val="20"/>
          <w:u w:val="none"/>
        </w:rPr>
        <w:t xml:space="preserve">June 30, 2026, we have nine promissory notes related to acquisitions that occurred during the six months ended June 30, 2026, and prior years with a combined outstanding principal balance of $11,395 and maturity dates ranging from August 1, 2026, to July 1, 2029. All of these promissory notes are subordinated to our Loan Agreement with MidCap (defined below). See Note 3 — </w:t>
      </w:r>
      <w:r>
        <w:rPr>
          <w:rFonts w:ascii="Times New Roman" w:eastAsia="Times New Roman" w:hAnsi="Times New Roman" w:cs="Times New Roman"/>
          <w:b w:val="0"/>
          <w:i/>
          <w:color w:val="000000"/>
          <w:sz w:val="20"/>
          <w:u w:val="none"/>
        </w:rPr>
        <w:t>Business Combinations and Asset Acquisitions</w:t>
      </w:r>
      <w:r>
        <w:rPr>
          <w:rFonts w:ascii="Times New Roman" w:eastAsia="Times New Roman" w:hAnsi="Times New Roman" w:cs="Times New Roman"/>
          <w:b w:val="0"/>
          <w:i w:val="0"/>
          <w:color w:val="000000"/>
          <w:sz w:val="20"/>
          <w:u w:val="none"/>
        </w:rPr>
        <w:t xml:space="preserve"> for further discussion regarding the issuance of notes payable related to acquisitions.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On May 15, 2026, we came to an agreement with the seller of a prior asset acquisition to terminate the contingent consideration agreement associated with the transaction, determining the final purchase price of the acquisition as of that date. As a result of the termination, we determined that we were owed $306 from the seller, and the principal amount of the promissory note associated with the acquisition was reduced in accordance with the terms of the acquisition agreement.</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On October 30, 2025, we partially repaid the outstanding balance on one of our acquisition-related promissory notes through the issuance of shares of our common stock and cash payment of accrued interest. Prior to the transaction, the promissory note had an outstanding principal balance of $3,000 and would mature on July 1, 2029. In connection with the partial extinguishment, the holders of the promissory note agreed to reduce the principal balance of the portion of the note by $300 in consideration of the early repayment. The remaining $1,700 of principal was repaid with 201 shares of common stock, having an estimated fair value of $1,511, and $20 of accrued interest was paid with cash. After the partial extinguishment, the outstanding principal balance of the note is $1,000.</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On August 13, 2025, we prepaid the outstanding balance on one of our acquisition-related promissory notes through the issuance of shares of our common stock. Prior to extinguishment, the promissory note had an outstanding principal balance of $1,000 and would mature on February 22, 2026. In connection with the extinguishment, the principal balance of the note was reduced by $118 for indemnifiable claims related to the acquisition. The remaining $956 of principal and accrued interest was repaid with 91 shares of common stock, having a fair value of $701.</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Senior Credit Facility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u w:val="none"/>
        </w:rPr>
        <w:t xml:space="preserve">On April 10, 2025, we entered into a Loan Agreement with MidCap and the lenders from time to time party thereto (such lenders collectively with MidCap, the “Lenders”). Under the Loan Agreement, we may borrow up to </w:t>
      </w:r>
      <w:r>
        <w:rPr>
          <w:rFonts w:ascii="Times New Roman" w:eastAsia="Times New Roman" w:hAnsi="Times New Roman" w:cs="Times New Roman"/>
          <w:b w:val="0"/>
          <w:i w:val="0"/>
          <w:color w:val="000000"/>
          <w:sz w:val="20"/>
          <w:u w:val="none"/>
        </w:rPr>
        <w:t>$60,000</w:t>
      </w:r>
      <w:r>
        <w:rPr>
          <w:rFonts w:ascii="Times New Roman" w:eastAsia="Times New Roman" w:hAnsi="Times New Roman" w:cs="Times New Roman"/>
          <w:b w:val="0"/>
          <w:i w:val="0"/>
          <w:color w:val="000000"/>
          <w:sz w:val="20"/>
          <w:u w:val="none"/>
        </w:rPr>
        <w:t xml:space="preserve"> from the Lenders, all of which has been funded as of June 30, 2026. The maturity date of the loan as provided under the Loan Agreement is April 1, 2030 (the “Maturity Date”).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Interest on the outstanding loan balance is payable monthly in arrears at an annual rate of Term Secured Overnight Financing Rate (“SOFR”) plus </w:t>
      </w:r>
      <w:r>
        <w:rPr>
          <w:rFonts w:ascii="Times New Roman" w:eastAsia="Times New Roman" w:hAnsi="Times New Roman" w:cs="Times New Roman"/>
          <w:b w:val="0"/>
          <w:i w:val="0"/>
          <w:color w:val="000000"/>
          <w:sz w:val="20"/>
          <w:u w:val="none"/>
        </w:rPr>
        <w:t>5.00%</w:t>
      </w:r>
      <w:r>
        <w:rPr>
          <w:rFonts w:ascii="Times New Roman" w:eastAsia="Times New Roman" w:hAnsi="Times New Roman" w:cs="Times New Roman"/>
          <w:b w:val="0"/>
          <w:i w:val="0"/>
          <w:color w:val="000000"/>
          <w:sz w:val="20"/>
          <w:u w:val="none"/>
        </w:rPr>
        <w:t xml:space="preserve">, subject to a SOFR floor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This rate was 8.74% as of June 30, 2026. Prior to April 1, 2029 (the “Amortization Start Date”), we must make interest-only payments on the outstanding loan balance. Commencing on the Amortization Start Date and continuing on the first day of each calendar month thereafter, we will pay an amount equal to the total principal of the outstanding loan balance divided by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color w:val="000000"/>
          <w:sz w:val="20"/>
          <w:u w:val="none"/>
        </w:rPr>
        <w:t>), for a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color w:val="000000"/>
          <w:sz w:val="20"/>
          <w:u w:val="none"/>
        </w:rPr>
        <w:t xml:space="preserve">) month straight-line amortization of equal monthly principal payments. Also on a monthly basis, we must pay an administrative agency fee to MidCap equal to </w:t>
      </w:r>
      <w:r>
        <w:rPr>
          <w:rFonts w:ascii="Times New Roman" w:eastAsia="Times New Roman" w:hAnsi="Times New Roman" w:cs="Times New Roman"/>
          <w:b w:val="0"/>
          <w:i w:val="0"/>
          <w:color w:val="000000"/>
          <w:sz w:val="20"/>
          <w:u w:val="none"/>
        </w:rPr>
        <w:t>0.25%</w:t>
      </w:r>
      <w:r>
        <w:rPr>
          <w:rFonts w:ascii="Times New Roman" w:eastAsia="Times New Roman" w:hAnsi="Times New Roman" w:cs="Times New Roman"/>
          <w:b w:val="0"/>
          <w:i w:val="0"/>
          <w:color w:val="000000"/>
          <w:sz w:val="20"/>
          <w:u w:val="none"/>
        </w:rPr>
        <w:t xml:space="preserve"> of the average end-of-day principal balance outstanding during the immediately preceding month. At the time of final payment under the loan, we will provide a final payment fee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of the amount advanced thereunder except in the case of a refinance of the loan with MidCap and the Lenders.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are subject to customary events of default as described in the Loan Agreement. In such event, and for so long as it continues, the outstanding loan balance will bear interest at </w:t>
      </w:r>
      <w:r>
        <w:rPr>
          <w:rFonts w:ascii="Times New Roman" w:eastAsia="Times New Roman" w:hAnsi="Times New Roman" w:cs="Times New Roman"/>
          <w:b w:val="0"/>
          <w:i w:val="0"/>
          <w:color w:val="000000"/>
          <w:sz w:val="20"/>
          <w:u w:val="none"/>
        </w:rPr>
        <w:t>2.0%</w:t>
      </w:r>
      <w:r>
        <w:rPr>
          <w:rFonts w:ascii="Times New Roman" w:eastAsia="Times New Roman" w:hAnsi="Times New Roman" w:cs="Times New Roman"/>
          <w:b w:val="0"/>
          <w:i w:val="0"/>
          <w:color w:val="000000"/>
          <w:sz w:val="20"/>
          <w:u w:val="none"/>
        </w:rPr>
        <w:t xml:space="preserve"> per annum in excess of the rate otherwise payable. Under the Loan Agreement, we covenant to maintain a (1) Total Leverage Ratio (as defined in the Loan Agreement), as tested quarterly, no greater than </w:t>
      </w:r>
      <w:r>
        <w:rPr>
          <w:rFonts w:ascii="Times New Roman" w:eastAsia="Times New Roman" w:hAnsi="Times New Roman" w:cs="Times New Roman"/>
          <w:b w:val="0"/>
          <w:i w:val="0"/>
          <w:color w:val="000000"/>
          <w:sz w:val="20"/>
          <w:u w:val="none"/>
        </w:rPr>
        <w:t>5.50</w:t>
      </w:r>
      <w:r>
        <w:rPr>
          <w:rFonts w:ascii="Times New Roman" w:eastAsia="Times New Roman" w:hAnsi="Times New Roman" w:cs="Times New Roman"/>
          <w:b w:val="0"/>
          <w:i w:val="0"/>
          <w:color w:val="000000"/>
          <w:sz w:val="20"/>
          <w:u w:val="none"/>
        </w:rPr>
        <w:t xml:space="preserve"> to 1.00, and (2) minimum liquidity threshold of </w:t>
      </w:r>
      <w:r>
        <w:rPr>
          <w:rFonts w:ascii="Times New Roman" w:eastAsia="Times New Roman" w:hAnsi="Times New Roman" w:cs="Times New Roman"/>
          <w:b w:val="0"/>
          <w:i w:val="0"/>
          <w:color w:val="000000"/>
          <w:sz w:val="20"/>
          <w:u w:val="none"/>
        </w:rPr>
        <w:t>$10,000</w:t>
      </w:r>
      <w:r>
        <w:rPr>
          <w:rFonts w:ascii="Times New Roman" w:eastAsia="Times New Roman" w:hAnsi="Times New Roman" w:cs="Times New Roman"/>
          <w:b w:val="0"/>
          <w:i w:val="0"/>
          <w:color w:val="000000"/>
          <w:sz w:val="20"/>
          <w:u w:val="none"/>
        </w:rPr>
        <w:t xml:space="preserve">. As of June 30, 2026, we are in compliance with all covenants under the Loan Agreement.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connection with the Loan Agreement and subsequent draw, we incurred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of origination, legal, and other fees that represent debt financing costs to be deferred and amortized over the duration of the Loan Agreement. As a result, net proceeds of all borrowings under the Loan Agreement were </w:t>
      </w:r>
      <w:r>
        <w:rPr>
          <w:rFonts w:ascii="Times New Roman" w:eastAsia="Times New Roman" w:hAnsi="Times New Roman" w:cs="Times New Roman"/>
          <w:b w:val="0"/>
          <w:i w:val="0"/>
          <w:color w:val="000000"/>
          <w:sz w:val="20"/>
          <w:u w:val="none"/>
        </w:rPr>
        <w:t>$57,975</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5" w:name="Section16"/>
      <w:bookmarkEnd w:id="15"/>
      <w:r>
        <w:rPr>
          <w:rFonts w:ascii="Times New Roman" w:eastAsia="Times New Roman" w:hAnsi="Times New Roman" w:cs="Times New Roman"/>
          <w:b/>
          <w:i w:val="0"/>
          <w:color w:val="000000"/>
          <w:sz w:val="20"/>
          <w:highlight w:val="white"/>
          <w:u w:val="none"/>
        </w:rPr>
        <w:t xml:space="preserve">NOTE 7 </w:t>
      </w:r>
      <w:r>
        <w:rPr>
          <w:rFonts w:ascii="Times New Roman" w:eastAsia="Times New Roman" w:hAnsi="Times New Roman" w:cs="Times New Roman"/>
          <w:b w:val="0"/>
          <w:i w:val="0"/>
          <w:color w:val="000000"/>
          <w:sz w:val="20"/>
          <w:highlight w:val="white"/>
          <w:u w:val="none"/>
        </w:rPr>
        <w:t>–</w:t>
      </w:r>
      <w:r>
        <w:rPr>
          <w:rFonts w:ascii="Times New Roman" w:eastAsia="Times New Roman" w:hAnsi="Times New Roman" w:cs="Times New Roman"/>
          <w:b/>
          <w:i w:val="0"/>
          <w:color w:val="000000"/>
          <w:sz w:val="20"/>
          <w:highlight w:val="white"/>
          <w:u w:val="none"/>
        </w:rPr>
        <w:t xml:space="preserve"> </w:t>
      </w:r>
      <w:r>
        <w:rPr>
          <w:rFonts w:ascii="Times New Roman" w:eastAsia="Times New Roman" w:hAnsi="Times New Roman" w:cs="Times New Roman"/>
          <w:b/>
          <w:i w:val="0"/>
          <w:color w:val="000000"/>
          <w:sz w:val="20"/>
          <w:highlight w:val="white"/>
          <w:u w:val="none"/>
        </w:rPr>
        <w:t>CONTRACTS WITH CUSTOMERS AND REVENUE CONCENTRATION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Receivables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Receivables from contracts with customers, net of allowance for credit losses of $9,717, were $13,120 at June 30, 2026. Receivables from contracts with customers, net of allowance for credit losses of $7,206, were $15,859 at December 31, 2025. We had a provision for expected losses of $14, write-offs charged against the allowance for credit losses of $37, and recoveries on previously written off receivables of $2,540 during the six months ended June 30, 2026. We had a provision for expected losses of $20, write-offs charges against the allowance for credit losses of $69, and recoveries on previously written off receivables of $1,000 during the six months ended June 30, 2025. As of June 30, 2026, we had one customer that accounted for $2,158 or </w:t>
      </w:r>
      <w:r>
        <w:rPr>
          <w:rFonts w:ascii="Times New Roman" w:eastAsia="Times New Roman" w:hAnsi="Times New Roman" w:cs="Times New Roman"/>
          <w:b w:val="0"/>
          <w:i w:val="0"/>
          <w:color w:val="000000"/>
          <w:sz w:val="20"/>
          <w:u w:val="none"/>
        </w:rPr>
        <w:t>15%</w:t>
      </w:r>
      <w:r>
        <w:rPr>
          <w:rFonts w:ascii="Times New Roman" w:eastAsia="Times New Roman" w:hAnsi="Times New Roman" w:cs="Times New Roman"/>
          <w:b w:val="0"/>
          <w:i w:val="0"/>
          <w:color w:val="000000"/>
          <w:sz w:val="20"/>
          <w:u w:val="none"/>
        </w:rPr>
        <w:t>, of our net accounts receivable balance. The receivable balance is not collateralized, and thus the entire $2,158 is at risk of loss. As of December 31, 2025, we had one customer that accounted for $1,879 or 13% of our net accounts receivable balance.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white"/>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Contract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u w:val="none"/>
        </w:rPr>
        <w:t>Costs to Fulfill Contracts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Contract assets from contracts with customers were $6,487 and $3,747 at June 30, 2026 and December 31, 2025</w:t>
      </w:r>
      <w:r>
        <w:rPr>
          <w:rFonts w:ascii="Times New Roman" w:eastAsia="Times New Roman" w:hAnsi="Times New Roman" w:cs="Times New Roman"/>
          <w:b w:val="0"/>
          <w:i w:val="0"/>
          <w:color w:val="000000"/>
          <w:sz w:val="20"/>
          <w:highlight w:val="white"/>
          <w:u w:val="none"/>
        </w:rPr>
        <w:t>, respectively</w:t>
      </w:r>
      <w:r>
        <w:rPr>
          <w:rFonts w:ascii="Times New Roman" w:eastAsia="Times New Roman" w:hAnsi="Times New Roman" w:cs="Times New Roman"/>
          <w:b w:val="0"/>
          <w:i w:val="0"/>
          <w:color w:val="000000"/>
          <w:sz w:val="20"/>
          <w:u w:val="none"/>
        </w:rPr>
        <w:t xml:space="preserve">. </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Costs to Obtain Contracts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Deferred commission costs from contracts with customers w</w:t>
      </w:r>
      <w:r>
        <w:rPr>
          <w:rFonts w:ascii="Times New Roman" w:eastAsia="Times New Roman" w:hAnsi="Times New Roman" w:cs="Times New Roman"/>
          <w:b w:val="0"/>
          <w:i w:val="0"/>
          <w:color w:val="000000"/>
          <w:sz w:val="20"/>
          <w:highlight w:val="white"/>
          <w:u w:val="none"/>
        </w:rPr>
        <w:t xml:space="preserve">ere $15,590 </w:t>
      </w:r>
      <w:r>
        <w:rPr>
          <w:rFonts w:ascii="Times New Roman" w:eastAsia="Times New Roman" w:hAnsi="Times New Roman" w:cs="Times New Roman"/>
          <w:b w:val="0"/>
          <w:i w:val="0"/>
          <w:color w:val="000000"/>
          <w:sz w:val="20"/>
          <w:u w:val="none"/>
        </w:rPr>
        <w:t>and $14,721 at June 30, 2026 and December 31, 2025</w:t>
      </w:r>
      <w:r>
        <w:rPr>
          <w:rFonts w:ascii="Times New Roman" w:eastAsia="Times New Roman" w:hAnsi="Times New Roman" w:cs="Times New Roman"/>
          <w:b w:val="0"/>
          <w:i w:val="0"/>
          <w:color w:val="000000"/>
          <w:sz w:val="20"/>
          <w:highlight w:val="white"/>
          <w:u w:val="none"/>
        </w:rPr>
        <w:t xml:space="preserve">, respectively. The amount of amortization recognized for the </w:t>
      </w:r>
      <w:r>
        <w:rPr>
          <w:rFonts w:ascii="Times New Roman" w:eastAsia="Times New Roman" w:hAnsi="Times New Roman" w:cs="Times New Roman"/>
          <w:b w:val="0"/>
          <w:i w:val="0"/>
          <w:color w:val="000000"/>
          <w:sz w:val="20"/>
          <w:u w:val="none"/>
        </w:rPr>
        <w:t>three and six</w:t>
      </w:r>
      <w:r>
        <w:rPr>
          <w:rFonts w:ascii="Times New Roman" w:eastAsia="Times New Roman" w:hAnsi="Times New Roman" w:cs="Times New Roman"/>
          <w:b w:val="0"/>
          <w:i w:val="0"/>
          <w:color w:val="000000"/>
          <w:sz w:val="20"/>
          <w:highlight w:val="white"/>
          <w:u w:val="none"/>
        </w:rPr>
        <w:t xml:space="preserv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highlight w:val="white"/>
          <w:u w:val="none"/>
        </w:rPr>
        <w:t xml:space="preserve"> was </w:t>
      </w:r>
      <w:r>
        <w:rPr>
          <w:rFonts w:ascii="Times New Roman" w:eastAsia="Times New Roman" w:hAnsi="Times New Roman" w:cs="Times New Roman"/>
          <w:b w:val="0"/>
          <w:i w:val="0"/>
          <w:color w:val="000000"/>
          <w:sz w:val="20"/>
          <w:u w:val="none"/>
        </w:rPr>
        <w:t>$1,006</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u w:val="none"/>
        </w:rPr>
        <w:t>$1,814</w:t>
      </w:r>
      <w:r>
        <w:rPr>
          <w:rFonts w:ascii="Times New Roman" w:eastAsia="Times New Roman" w:hAnsi="Times New Roman" w:cs="Times New Roman"/>
          <w:b w:val="0"/>
          <w:i w:val="0"/>
          <w:color w:val="000000"/>
          <w:sz w:val="20"/>
          <w:highlight w:val="white"/>
          <w:u w:val="none"/>
        </w:rPr>
        <w:t xml:space="preserve">, respectively, and for the </w:t>
      </w:r>
      <w:r>
        <w:rPr>
          <w:rFonts w:ascii="Times New Roman" w:eastAsia="Times New Roman" w:hAnsi="Times New Roman" w:cs="Times New Roman"/>
          <w:b w:val="0"/>
          <w:i w:val="0"/>
          <w:color w:val="000000"/>
          <w:sz w:val="20"/>
          <w:u w:val="none"/>
        </w:rPr>
        <w:t>three and six</w:t>
      </w:r>
      <w:r>
        <w:rPr>
          <w:rFonts w:ascii="Times New Roman" w:eastAsia="Times New Roman" w:hAnsi="Times New Roman" w:cs="Times New Roman"/>
          <w:b w:val="0"/>
          <w:i w:val="0"/>
          <w:color w:val="000000"/>
          <w:sz w:val="20"/>
          <w:highlight w:val="white"/>
          <w:u w:val="none"/>
        </w:rPr>
        <w:t xml:space="preserv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color w:val="000000"/>
          <w:sz w:val="20"/>
          <w:highlight w:val="white"/>
          <w:u w:val="none"/>
        </w:rPr>
        <w:t xml:space="preserve"> was </w:t>
      </w:r>
      <w:r>
        <w:rPr>
          <w:rFonts w:ascii="Times New Roman" w:eastAsia="Times New Roman" w:hAnsi="Times New Roman" w:cs="Times New Roman"/>
          <w:b w:val="0"/>
          <w:i w:val="0"/>
          <w:color w:val="000000"/>
          <w:sz w:val="20"/>
          <w:u w:val="none"/>
        </w:rPr>
        <w:t>$878</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u w:val="none"/>
        </w:rPr>
        <w:t>$1,615</w:t>
      </w:r>
      <w:r>
        <w:rPr>
          <w:rFonts w:ascii="Times New Roman" w:eastAsia="Times New Roman" w:hAnsi="Times New Roman" w:cs="Times New Roman"/>
          <w:b w:val="0"/>
          <w:i w:val="0"/>
          <w:color w:val="000000"/>
          <w:sz w:val="20"/>
          <w:highlight w:val="white"/>
          <w:u w:val="none"/>
        </w:rPr>
        <w:t>, respectively.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highlight w:val="white"/>
          <w:u w:val="none"/>
        </w:rPr>
      </w:pPr>
      <w:r>
        <w:rPr>
          <w:rFonts w:ascii="Times New Roman" w:eastAsia="Times New Roman" w:hAnsi="Times New Roman" w:cs="Times New Roman"/>
          <w:b/>
          <w:i/>
          <w:color w:val="000000"/>
          <w:sz w:val="20"/>
          <w:highlight w:val="white"/>
          <w:u w:val="none"/>
        </w:rPr>
        <w:t>Deferred Revenue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During the three and six months ended June 30, 2026, revenue of $2,682 and $11,556, respectively, and during the three and six months ended June 30, 2025, revenue of $2,567 and $8,557, respectively, was recognized from the deferred revenue balance at the beginning of each period.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yellow"/>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highlight w:val="white"/>
          <w:u w:val="none"/>
        </w:rPr>
      </w:pPr>
      <w:r>
        <w:rPr>
          <w:rFonts w:ascii="Times New Roman" w:eastAsia="Times New Roman" w:hAnsi="Times New Roman" w:cs="Times New Roman"/>
          <w:b/>
          <w:i/>
          <w:color w:val="000000"/>
          <w:sz w:val="20"/>
          <w:highlight w:val="white"/>
          <w:u w:val="none"/>
        </w:rPr>
        <w:t>Transaction Price Allocated to the Remaining Performance Obligations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As of June 30, 2026, approximately $80,032 of revenue is expected to be recognized from remaining performance obligations. We expect to recognize revenue on approximately 41% of these remaining performance obligations over the next </w:t>
      </w:r>
      <w:r>
        <w:rPr>
          <w:rFonts w:ascii="Times New Roman" w:eastAsia="Times New Roman" w:hAnsi="Times New Roman" w:cs="Times New Roman"/>
          <w:b w:val="0"/>
          <w:i w:val="0"/>
          <w:color w:val="000000"/>
          <w:sz w:val="20"/>
          <w:u w:val="none"/>
        </w:rPr>
        <w:t>twelve months</w:t>
      </w:r>
      <w:r>
        <w:rPr>
          <w:rFonts w:ascii="Times New Roman" w:eastAsia="Times New Roman" w:hAnsi="Times New Roman" w:cs="Times New Roman"/>
          <w:b w:val="0"/>
          <w:i w:val="0"/>
          <w:color w:val="000000"/>
          <w:sz w:val="20"/>
          <w:u w:val="none"/>
        </w:rPr>
        <w:t>, with the balance recognized thereafter. These amounts e</w:t>
      </w:r>
      <w:r>
        <w:rPr>
          <w:rFonts w:ascii="Times New Roman" w:eastAsia="Times New Roman" w:hAnsi="Times New Roman" w:cs="Times New Roman"/>
          <w:b w:val="0"/>
          <w:i w:val="0"/>
          <w:color w:val="000000"/>
          <w:sz w:val="20"/>
          <w:highlight w:val="white"/>
          <w:u w:val="none"/>
        </w:rPr>
        <w:t xml:space="preserve">xclude remaining performance obligations related to contracts for professional services for tax and payroll offerings whose remaining contractual term is less than one year as of June 30, 2026.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yellow"/>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highlight w:val="white"/>
          <w:u w:val="none"/>
        </w:rPr>
      </w:pPr>
      <w:r>
        <w:rPr>
          <w:rFonts w:ascii="Times New Roman" w:eastAsia="Times New Roman" w:hAnsi="Times New Roman" w:cs="Times New Roman"/>
          <w:b/>
          <w:i/>
          <w:color w:val="000000"/>
          <w:sz w:val="20"/>
          <w:highlight w:val="white"/>
          <w:u w:val="none"/>
        </w:rPr>
        <w:t>Revenue Concentration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During the six months ended June 30, 2026 and 2025, there were no customers that individually represented 10% or more of consolidated revenue.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6" w:name="Section17"/>
      <w:bookmarkEnd w:id="16"/>
      <w:r>
        <w:rPr>
          <w:rFonts w:ascii="Times New Roman" w:eastAsia="Times New Roman" w:hAnsi="Times New Roman" w:cs="Times New Roman"/>
          <w:b/>
          <w:i w:val="0"/>
          <w:sz w:val="20"/>
        </w:rPr>
        <w:t xml:space="preserve">NOTE 8 - </w:t>
      </w:r>
      <w:r>
        <w:rPr>
          <w:rFonts w:ascii="Times New Roman" w:eastAsia="Times New Roman" w:hAnsi="Times New Roman" w:cs="Times New Roman"/>
          <w:b/>
          <w:i w:val="0"/>
          <w:color w:val="000000"/>
          <w:sz w:val="20"/>
          <w:u w:val="none"/>
        </w:rPr>
        <w:t>COMMITMENTS AND CONTINGENCIES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color w:val="000000"/>
          <w:sz w:val="20"/>
          <w:u w:val="none"/>
        </w:rPr>
        <w:t>Lease Commitments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have entered into office space lease agreements, which qualify as operating leases under ASC 842 (“Leases”). Under such leases, we have commitments to pay annual minimum (base) rent. The leases have original terms (excluding extension options) ranging from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to </w:t>
      </w:r>
      <w:r>
        <w:rPr>
          <w:rFonts w:ascii="Times New Roman" w:eastAsia="Times New Roman" w:hAnsi="Times New Roman" w:cs="Times New Roman"/>
          <w:b w:val="0"/>
          <w:i w:val="0"/>
          <w:color w:val="000000"/>
          <w:sz w:val="20"/>
          <w:u w:val="none"/>
        </w:rPr>
        <w:t>ten years</w:t>
      </w:r>
      <w:r>
        <w:rPr>
          <w:rFonts w:ascii="Times New Roman" w:eastAsia="Times New Roman" w:hAnsi="Times New Roman" w:cs="Times New Roman"/>
          <w:b w:val="0"/>
          <w:i w:val="0"/>
          <w:color w:val="000000"/>
          <w:sz w:val="20"/>
          <w:u w:val="none"/>
        </w:rPr>
        <w:t xml:space="preserve">. Our lease agreements do not contain any material residual value guarantees or material restrictive covenants. </w:t>
      </w:r>
    </w:p>
    <w:p>
      <w:pPr>
        <w:keepNext w:val="0"/>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record base rent expense under the straight-line method over the term of the lease. In the accompanying Condensed Consolidated Statements of Comprehensive </w:t>
      </w:r>
      <w:r>
        <w:rPr>
          <w:rFonts w:ascii="Times New Roman" w:eastAsia="Times New Roman" w:hAnsi="Times New Roman" w:cs="Times New Roman"/>
          <w:b w:val="0"/>
          <w:i w:val="0"/>
          <w:color w:val="000000"/>
          <w:sz w:val="20"/>
          <w:u w:val="none"/>
        </w:rPr>
        <w:t>Loss</w:t>
      </w:r>
      <w:r>
        <w:rPr>
          <w:rFonts w:ascii="Times New Roman" w:eastAsia="Times New Roman" w:hAnsi="Times New Roman" w:cs="Times New Roman"/>
          <w:b w:val="0"/>
          <w:i w:val="0"/>
          <w:color w:val="000000"/>
          <w:sz w:val="20"/>
          <w:u w:val="none"/>
        </w:rPr>
        <w:t>, rent expense is included in operating expenses under general and administrative expenses. Rent expense was as follows for the periods presented below (in thousands):</w:t>
      </w:r>
    </w:p>
    <w:tbl>
      <w:tblPr>
        <w:tblStyle w:val="TableNormal0"/>
        <w:tblW w:w="10155" w:type="dxa"/>
        <w:jc w:val="center"/>
        <w:tblLayout w:type="fixed"/>
      </w:tblPr>
      <w:tblGrid>
        <w:gridCol w:w="3600"/>
        <w:gridCol w:w="1575"/>
        <w:gridCol w:w="75"/>
        <w:gridCol w:w="1575"/>
        <w:gridCol w:w="105"/>
        <w:gridCol w:w="1575"/>
        <w:gridCol w:w="75"/>
        <w:gridCol w:w="1575"/>
      </w:tblGrid>
      <w:tr>
        <w:tblPrEx>
          <w:tblW w:w="10155" w:type="dxa"/>
          <w:tblLayout w:type="fixed"/>
        </w:tblPrEx>
        <w:trPr>
          <w:trHeight w:hRule="exact" w:val="285"/>
        </w:trPr>
        <w:tc>
          <w:tcPr>
            <w:tcW w:w="36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22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June 30,</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322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Six Months Ended June 30,</w:t>
            </w:r>
          </w:p>
        </w:tc>
      </w:tr>
      <w:tr>
        <w:tblPrEx>
          <w:tblW w:w="10155" w:type="dxa"/>
          <w:tblLayout w:type="fixed"/>
        </w:tblPrEx>
        <w:trPr>
          <w:trHeight w:hRule="exact" w:val="285"/>
        </w:trPr>
        <w:tc>
          <w:tcPr>
            <w:tcW w:w="36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single" w:sz="8" w:space="0" w:color="000000"/>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single" w:sz="8" w:space="0" w:color="000000"/>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single" w:sz="8" w:space="0" w:color="000000"/>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single" w:sz="8" w:space="0" w:color="000000"/>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155" w:type="dxa"/>
          <w:tblLayout w:type="fixed"/>
        </w:tblPrEx>
        <w:trPr>
          <w:trHeight w:hRule="exact" w:val="285"/>
        </w:trPr>
        <w:tc>
          <w:tcPr>
            <w:tcW w:w="36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Rent expense</w:t>
            </w:r>
          </w:p>
        </w:tc>
        <w:tc>
          <w:tcPr>
            <w:tcW w:w="15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643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520</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5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pageBreakBefore w:val="0"/>
              <w:tabs>
                <w:tab w:val="left" w:pos="99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1,290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pageBreakBefore w:val="0"/>
              <w:tabs>
                <w:tab w:val="left" w:pos="99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1,054</w:t>
              <w:tab/>
            </w:r>
          </w:p>
        </w:tc>
      </w:tr>
    </w:tbl>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For purposes of calculating the lease assets and lease liabilities, extension options are not included</w:t>
      </w:r>
      <w:r>
        <w:rPr>
          <w:rFonts w:ascii="Times New Roman" w:eastAsia="Times New Roman" w:hAnsi="Times New Roman" w:cs="Times New Roman"/>
          <w:b w:val="0"/>
          <w:i w:val="0"/>
          <w:color w:val="000000"/>
          <w:sz w:val="20"/>
          <w:highlight w:val="white"/>
          <w:u w:val="none"/>
        </w:rPr>
        <w:t xml:space="preserve"> in the lease term unless it is reasonably certain we will exercise the option, or the lessor has the sole ability to exercise the option. The weighted average discount rate of our operating leases is 10% as of June 30, 2026, and December 31, 2025. The weighted average remaining lease term for our operating leases </w:t>
      </w:r>
      <w:r>
        <w:rPr>
          <w:rFonts w:ascii="Times New Roman" w:eastAsia="Times New Roman" w:hAnsi="Times New Roman" w:cs="Times New Roman"/>
          <w:b w:val="0"/>
          <w:i w:val="0"/>
          <w:color w:val="000000"/>
          <w:sz w:val="20"/>
          <w:u w:val="none"/>
        </w:rPr>
        <w:t xml:space="preserve">is three years </w:t>
      </w:r>
      <w:r>
        <w:rPr>
          <w:rFonts w:ascii="Times New Roman" w:eastAsia="Times New Roman" w:hAnsi="Times New Roman" w:cs="Times New Roman"/>
          <w:b w:val="0"/>
          <w:i w:val="0"/>
          <w:color w:val="000000"/>
          <w:sz w:val="20"/>
          <w:highlight w:val="white"/>
          <w:u w:val="none"/>
        </w:rPr>
        <w:t xml:space="preserve">as of June 30, 2026 and December 31, 2025.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Supplemental cash flow information related to leases are as follows for the periods presented below (in thousands):</w:t>
      </w:r>
    </w:p>
    <w:tbl>
      <w:tblPr>
        <w:tblStyle w:val="TableNormal0"/>
        <w:tblW w:w="10260" w:type="dxa"/>
        <w:jc w:val="center"/>
        <w:tblLayout w:type="fixed"/>
      </w:tblPr>
      <w:tblGrid>
        <w:gridCol w:w="7035"/>
        <w:gridCol w:w="1575"/>
        <w:gridCol w:w="75"/>
        <w:gridCol w:w="1575"/>
      </w:tblGrid>
      <w:tr>
        <w:tblPrEx>
          <w:tblW w:w="10260" w:type="dxa"/>
          <w:tblLayout w:type="fixed"/>
        </w:tblPrEx>
        <w:trPr>
          <w:trHeight w:hRule="exact" w:val="285"/>
        </w:trPr>
        <w:tc>
          <w:tcPr>
            <w:tcW w:w="70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22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Six Months Ended June 30,</w:t>
            </w:r>
          </w:p>
        </w:tc>
      </w:tr>
      <w:tr>
        <w:tblPrEx>
          <w:tblW w:w="10260" w:type="dxa"/>
          <w:tblLayout w:type="fixed"/>
        </w:tblPrEx>
        <w:trPr>
          <w:trHeight w:hRule="exact" w:val="285"/>
        </w:trPr>
        <w:tc>
          <w:tcPr>
            <w:tcW w:w="703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5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260"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Cash paid for amounts included in the measurement of operating lease liabilities:</w:t>
            </w:r>
          </w:p>
        </w:tc>
        <w:tc>
          <w:tcPr>
            <w:tcW w:w="15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r>
      <w:tr>
        <w:tblPrEx>
          <w:tblW w:w="10260" w:type="dxa"/>
          <w:tblLayout w:type="fixed"/>
        </w:tblPrEx>
        <w:trPr>
          <w:trHeight w:hRule="exact" w:val="28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Operating cash outflows from operating leases</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1,304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1,075</w:t>
              <w:tab/>
            </w:r>
          </w:p>
        </w:tc>
      </w:tr>
      <w:tr>
        <w:tblPrEx>
          <w:tblW w:w="10260" w:type="dxa"/>
          <w:tblLayout w:type="fixed"/>
        </w:tblPrEx>
        <w:trPr>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Non-cash activities:</w:t>
            </w:r>
          </w:p>
        </w:tc>
        <w:tc>
          <w:tcPr>
            <w:tcW w:w="1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exact" w:val="46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ind w:left="135"/>
              <w:jc w:val="left"/>
            </w:pPr>
            <w:r>
              <w:rPr>
                <w:rFonts w:ascii="Times New Roman" w:eastAsia="Times New Roman" w:hAnsi="Times New Roman" w:cs="Times New Roman"/>
                <w:b w:val="0"/>
                <w:i w:val="0"/>
                <w:color w:val="000000"/>
                <w:sz w:val="20"/>
                <w:u w:val="none"/>
              </w:rPr>
              <w:t>Operating lease assets obtained or removed in exchange for new, modified or terminated operating lease liabilities</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36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1,447</w:t>
              <w:tab/>
            </w:r>
          </w:p>
        </w:tc>
      </w:tr>
    </w:tbl>
    <w:p>
      <w:pPr>
        <w:keepNext/>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Future minimum commitments over the life of all operating leases, which exclude variable rent payments, are as follows for the period presented below (in thousands):</w:t>
      </w:r>
    </w:p>
    <w:tbl>
      <w:tblPr>
        <w:tblStyle w:val="TableNormal0"/>
        <w:tblW w:w="6360" w:type="dxa"/>
        <w:jc w:val="center"/>
        <w:tblLayout w:type="fixed"/>
      </w:tblPr>
      <w:tblGrid>
        <w:gridCol w:w="4785"/>
        <w:gridCol w:w="1575"/>
      </w:tblGrid>
      <w:tr>
        <w:tblPrEx>
          <w:tblW w:w="636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2026 (Remaining)</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1,247</w:t>
              <w:tab/>
            </w:r>
          </w:p>
        </w:tc>
      </w:tr>
      <w:tr>
        <w:tblPrEx>
          <w:tblW w:w="636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ab/>
              <w:t>2,376</w:t>
              <w:tab/>
            </w:r>
          </w:p>
        </w:tc>
      </w:tr>
      <w:tr>
        <w:tblPrEx>
          <w:tblW w:w="636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ab/>
              <w:t>2,110</w:t>
              <w:tab/>
            </w:r>
          </w:p>
        </w:tc>
      </w:tr>
      <w:tr>
        <w:tblPrEx>
          <w:tblW w:w="636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ab/>
              <w:t>1,035</w:t>
              <w:tab/>
            </w:r>
          </w:p>
        </w:tc>
      </w:tr>
      <w:tr>
        <w:tblPrEx>
          <w:tblW w:w="636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ab/>
              <w:t>208</w:t>
              <w:tab/>
            </w:r>
          </w:p>
        </w:tc>
      </w:tr>
      <w:tr>
        <w:tblPrEx>
          <w:tblW w:w="636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2031</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27</w:t>
              <w:tab/>
            </w:r>
          </w:p>
        </w:tc>
      </w:tr>
      <w:tr>
        <w:tblPrEx>
          <w:tblW w:w="636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Thereafter</w:t>
            </w:r>
          </w:p>
        </w:tc>
        <w:tc>
          <w:tcPr>
            <w:tcW w:w="15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636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minimum lease payments</w:t>
            </w:r>
          </w:p>
        </w:tc>
        <w:tc>
          <w:tcPr>
            <w:tcW w:w="15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33" w:after="30" w:line="240" w:lineRule="auto"/>
              <w:jc w:val="right"/>
            </w:pPr>
            <w:r>
              <w:rPr>
                <w:rFonts w:ascii="Times New Roman" w:eastAsia="Times New Roman" w:hAnsi="Times New Roman" w:cs="Times New Roman"/>
                <w:b w:val="0"/>
                <w:i w:val="0"/>
                <w:color w:val="000000"/>
                <w:sz w:val="20"/>
                <w:u w:val="none"/>
              </w:rPr>
              <w:tab/>
              <w:t>7,003</w:t>
              <w:tab/>
            </w:r>
          </w:p>
        </w:tc>
      </w:tr>
      <w:tr>
        <w:tblPrEx>
          <w:tblW w:w="6360" w:type="dxa"/>
          <w:tblLayout w:type="fixed"/>
        </w:tblPrEx>
        <w:trPr>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Less: imputed interest</w:t>
            </w:r>
          </w:p>
        </w:tc>
        <w:tc>
          <w:tcPr>
            <w:tcW w:w="15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6"/>
              </w:tabs>
              <w:spacing w:before="53" w:after="30" w:line="240" w:lineRule="auto"/>
              <w:jc w:val="right"/>
            </w:pPr>
            <w:r>
              <w:rPr>
                <w:rFonts w:ascii="Times New Roman" w:eastAsia="Times New Roman" w:hAnsi="Times New Roman" w:cs="Times New Roman"/>
                <w:b w:val="0"/>
                <w:i w:val="0"/>
                <w:color w:val="000000"/>
                <w:sz w:val="20"/>
                <w:u w:val="none"/>
              </w:rPr>
              <w:tab/>
              <w:t>(1,024)</w:t>
            </w:r>
          </w:p>
        </w:tc>
      </w:tr>
      <w:tr>
        <w:tblPrEx>
          <w:tblW w:w="6360" w:type="dxa"/>
          <w:tblLayout w:type="fixed"/>
        </w:tblPrEx>
        <w:trPr>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lease liabilities</w:t>
            </w:r>
          </w:p>
        </w:tc>
        <w:tc>
          <w:tcPr>
            <w:tcW w:w="15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99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5,979</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Contingencies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Although we have been, are, and in the future may be, the defendant or plaintiff in various actions arising in the normal course of business, as of </w:t>
      </w:r>
      <w:r>
        <w:rPr>
          <w:rFonts w:ascii="Times New Roman" w:eastAsia="Times New Roman" w:hAnsi="Times New Roman" w:cs="Times New Roman"/>
          <w:b w:val="0"/>
          <w:i w:val="0"/>
          <w:color w:val="000000"/>
          <w:sz w:val="20"/>
          <w:highlight w:val="white"/>
          <w:u w:val="none"/>
        </w:rPr>
        <w:t>June 30, 2026</w:t>
      </w:r>
      <w:r>
        <w:rPr>
          <w:rFonts w:ascii="Times New Roman" w:eastAsia="Times New Roman" w:hAnsi="Times New Roman" w:cs="Times New Roman"/>
          <w:b w:val="0"/>
          <w:i w:val="0"/>
          <w:color w:val="000000"/>
          <w:sz w:val="20"/>
          <w:u w:val="none"/>
        </w:rPr>
        <w:t>, we were not currently a party to any material legal proceedings.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bookmarkStart w:id="17" w:name="Section18"/>
      <w:bookmarkEnd w:id="17"/>
      <w:r>
        <w:rPr>
          <w:rFonts w:ascii="Times New Roman" w:eastAsia="Times New Roman" w:hAnsi="Times New Roman" w:cs="Times New Roman"/>
          <w:b/>
          <w:i w:val="0"/>
          <w:color w:val="000000"/>
          <w:sz w:val="20"/>
          <w:highlight w:val="white"/>
          <w:u w:val="none"/>
        </w:rPr>
        <w:t xml:space="preserve">NOTE 9 - </w:t>
      </w:r>
      <w:r>
        <w:rPr>
          <w:rFonts w:ascii="Times New Roman" w:eastAsia="Times New Roman" w:hAnsi="Times New Roman" w:cs="Times New Roman"/>
          <w:b/>
          <w:i w:val="0"/>
          <w:color w:val="000000"/>
          <w:sz w:val="20"/>
          <w:highlight w:val="white"/>
          <w:u w:val="none"/>
        </w:rPr>
        <w:t>SHARE-BASED COMPENSATION</w:t>
      </w:r>
    </w:p>
    <w:p>
      <w:pPr>
        <w:keepNext/>
        <w:keepLines/>
        <w:pageBreakBefore w:val="0"/>
        <w:widowControl w:val="0"/>
        <w:numPr>
          <w:ilvl w:val="0"/>
          <w:numId w:val="0"/>
        </w:numPr>
        <w:spacing w:before="0" w:after="0" w:line="288" w:lineRule="auto"/>
        <w:ind w:left="900" w:right="0" w:hanging="90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have one active equity plan, the 2018 Incentive Award Plan (the “2018 Plan”). The 2018 Plan, approved by our stockholders, replaced our 2009 Equity Incentive Plan, as amended (the “2009 Plan”); however, the terms and conditions of the 2009 Plan will continue to govern any outstanding awards granted thereunder. </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number of shares reserved for issuance under the 2018 Plan is 6,998 shares. We have an aggregate of 2,175 options, restricted stock units (“RSUs”) and performance stock units (“PSUs”) granted and outstanding pursuant to the 2018 Plan as of June 30, 2026. As of June 30, 2026, the number of shares available for future grant under the 2018 Plan</w:t>
      </w:r>
      <w:r>
        <w:rPr>
          <w:rFonts w:ascii="Times New Roman" w:eastAsia="Times New Roman" w:hAnsi="Times New Roman" w:cs="Times New Roman"/>
          <w:b w:val="0"/>
          <w:i w:val="0"/>
          <w:color w:val="000000"/>
          <w:sz w:val="20"/>
          <w:highlight w:val="white"/>
          <w:u w:val="none"/>
        </w:rPr>
        <w:t xml:space="preserve"> is</w:t>
      </w:r>
      <w:r>
        <w:rPr>
          <w:rFonts w:ascii="Times New Roman" w:eastAsia="Times New Roman" w:hAnsi="Times New Roman" w:cs="Times New Roman"/>
          <w:b w:val="0"/>
          <w:i w:val="0"/>
          <w:color w:val="000000"/>
          <w:sz w:val="20"/>
          <w:u w:val="none"/>
        </w:rPr>
        <w:t xml:space="preserve"> 2,067. </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Share-based compensation for our stock option plans for the three and six</w:t>
      </w:r>
      <w:r>
        <w:rPr>
          <w:rFonts w:ascii="Times New Roman" w:eastAsia="Times New Roman" w:hAnsi="Times New Roman" w:cs="Times New Roman"/>
          <w:b w:val="0"/>
          <w:i w:val="0"/>
          <w:color w:val="000000"/>
          <w:sz w:val="20"/>
          <w:highlight w:val="white"/>
          <w:u w:val="none"/>
        </w:rPr>
        <w:t xml:space="preserv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highlight w:val="white"/>
          <w:u w:val="none"/>
        </w:rPr>
        <w:t xml:space="preserve"> was </w:t>
      </w:r>
      <w:r>
        <w:rPr>
          <w:rFonts w:ascii="Times New Roman" w:eastAsia="Times New Roman" w:hAnsi="Times New Roman" w:cs="Times New Roman"/>
          <w:b w:val="0"/>
          <w:i w:val="0"/>
          <w:color w:val="000000"/>
          <w:sz w:val="20"/>
          <w:u w:val="none"/>
        </w:rPr>
        <w:t>$2,131</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u w:val="none"/>
        </w:rPr>
        <w:t>$4,281</w:t>
      </w:r>
      <w:r>
        <w:rPr>
          <w:rFonts w:ascii="Times New Roman" w:eastAsia="Times New Roman" w:hAnsi="Times New Roman" w:cs="Times New Roman"/>
          <w:b w:val="0"/>
          <w:i w:val="0"/>
          <w:color w:val="000000"/>
          <w:sz w:val="20"/>
          <w:highlight w:val="white"/>
          <w:u w:val="none"/>
        </w:rPr>
        <w:t xml:space="preserve">, respectively, and for the </w:t>
      </w:r>
      <w:r>
        <w:rPr>
          <w:rFonts w:ascii="Times New Roman" w:eastAsia="Times New Roman" w:hAnsi="Times New Roman" w:cs="Times New Roman"/>
          <w:b w:val="0"/>
          <w:i w:val="0"/>
          <w:color w:val="000000"/>
          <w:sz w:val="20"/>
          <w:u w:val="none"/>
        </w:rPr>
        <w:t>three and six</w:t>
      </w:r>
      <w:r>
        <w:rPr>
          <w:rFonts w:ascii="Times New Roman" w:eastAsia="Times New Roman" w:hAnsi="Times New Roman" w:cs="Times New Roman"/>
          <w:b w:val="0"/>
          <w:i w:val="0"/>
          <w:color w:val="000000"/>
          <w:sz w:val="20"/>
          <w:highlight w:val="white"/>
          <w:u w:val="none"/>
        </w:rPr>
        <w:t xml:space="preserv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color w:val="000000"/>
          <w:sz w:val="20"/>
          <w:highlight w:val="white"/>
          <w:u w:val="none"/>
        </w:rPr>
        <w:t xml:space="preserve"> was </w:t>
      </w:r>
      <w:r>
        <w:rPr>
          <w:rFonts w:ascii="Times New Roman" w:eastAsia="Times New Roman" w:hAnsi="Times New Roman" w:cs="Times New Roman"/>
          <w:b w:val="0"/>
          <w:i w:val="0"/>
          <w:color w:val="000000"/>
          <w:sz w:val="20"/>
          <w:u w:val="none"/>
        </w:rPr>
        <w:t>$1,891</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u w:val="none"/>
        </w:rPr>
        <w:t>$3,754</w:t>
      </w:r>
      <w:r>
        <w:rPr>
          <w:rFonts w:ascii="Times New Roman" w:eastAsia="Times New Roman" w:hAnsi="Times New Roman" w:cs="Times New Roman"/>
          <w:b w:val="0"/>
          <w:i w:val="0"/>
          <w:color w:val="000000"/>
          <w:sz w:val="20"/>
          <w:highlight w:val="white"/>
          <w:u w:val="none"/>
        </w:rPr>
        <w:t>, respectively</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Issuance of common stock related to the exercise of stock options and the vesting of restricted stock units (including restricted stock units that converted from performance stock units) are as follows for the period presented below (in thousands):</w:t>
      </w:r>
    </w:p>
    <w:tbl>
      <w:tblPr>
        <w:tblStyle w:val="TableNormal0"/>
        <w:tblW w:w="10185" w:type="dxa"/>
        <w:jc w:val="center"/>
        <w:tblLayout w:type="fixed"/>
      </w:tblPr>
      <w:tblGrid>
        <w:gridCol w:w="3705"/>
        <w:gridCol w:w="1575"/>
        <w:gridCol w:w="60"/>
        <w:gridCol w:w="1575"/>
        <w:gridCol w:w="60"/>
        <w:gridCol w:w="1575"/>
        <w:gridCol w:w="60"/>
        <w:gridCol w:w="1575"/>
      </w:tblGrid>
      <w:tr>
        <w:tblPrEx>
          <w:tblW w:w="10185" w:type="dxa"/>
          <w:tblLayout w:type="fixed"/>
        </w:tblPrEx>
        <w:trPr>
          <w:trHeight w:hRule="exact" w:val="285"/>
        </w:trPr>
        <w:tc>
          <w:tcPr>
            <w:tcW w:w="370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321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 June 30,</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21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Six Months Ended June 30,</w:t>
            </w:r>
          </w:p>
        </w:tc>
      </w:tr>
      <w:tr>
        <w:tblPrEx>
          <w:tblW w:w="10185" w:type="dxa"/>
          <w:tblLayout w:type="fixed"/>
        </w:tblPrEx>
        <w:trPr>
          <w:trHeight w:hRule="exact" w:val="315"/>
        </w:trPr>
        <w:tc>
          <w:tcPr>
            <w:tcW w:w="370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5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57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5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57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185" w:type="dxa"/>
          <w:tblLayout w:type="fixed"/>
        </w:tblPrEx>
        <w:trPr>
          <w:trHeight w:hRule="exact" w:val="315"/>
        </w:trPr>
        <w:tc>
          <w:tcPr>
            <w:tcW w:w="37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Common stock issued - options</w:t>
            </w:r>
            <w:r>
              <w:rPr>
                <w:rFonts w:ascii="Times New Roman" w:eastAsia="Times New Roman" w:hAnsi="Times New Roman" w:cs="Times New Roman"/>
                <w:b w:val="0"/>
                <w:i w:val="0"/>
                <w:sz w:val="20"/>
                <w:vertAlign w:val="superscript"/>
              </w:rPr>
              <w:t>(1)</w:t>
            </w: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ab/>
              <w:t>317</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ab/>
              <w:t>296</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ab/>
              <w:t>348</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ab/>
              <w:t>365</w:t>
              <w:tab/>
            </w:r>
          </w:p>
        </w:tc>
      </w:tr>
      <w:tr>
        <w:tblPrEx>
          <w:tblW w:w="10185" w:type="dxa"/>
          <w:tblLayout w:type="fixed"/>
        </w:tblPrEx>
        <w:trPr>
          <w:trHeight w:hRule="exact" w:val="315"/>
        </w:trPr>
        <w:tc>
          <w:tcPr>
            <w:tcW w:w="370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Common stock issued - RSU</w:t>
            </w:r>
            <w:r>
              <w:rPr>
                <w:rFonts w:ascii="Times New Roman" w:eastAsia="Times New Roman" w:hAnsi="Times New Roman" w:cs="Times New Roman"/>
                <w:b w:val="0"/>
                <w:i w:val="0"/>
                <w:sz w:val="20"/>
                <w:vertAlign w:val="superscript"/>
              </w:rPr>
              <w:t>(1)(2)</w:t>
            </w:r>
          </w:p>
        </w:tc>
        <w:tc>
          <w:tcPr>
            <w:tcW w:w="1575" w:type="dxa"/>
            <w:tcBorders>
              <w:top w:val="nil"/>
              <w:left w:val="nil"/>
              <w:bottom w:val="nil"/>
              <w:right w:val="nil"/>
            </w:tcBorders>
            <w:tcMar>
              <w:top w:w="0" w:type="dxa"/>
              <w:left w:w="0" w:type="dxa"/>
              <w:bottom w:w="0" w:type="dxa"/>
              <w:right w:w="15" w:type="dxa"/>
            </w:tcMar>
            <w:vAlign w:val="bottom"/>
          </w:tcPr>
          <w:p>
            <w:pPr>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97</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73</w:t>
              <w:tab/>
            </w:r>
          </w:p>
        </w:tc>
        <w:tc>
          <w:tcPr>
            <w:tcW w:w="6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575" w:type="dxa"/>
            <w:tcBorders>
              <w:top w:val="nil"/>
              <w:left w:val="nil"/>
              <w:bottom w:val="nil"/>
              <w:right w:val="nil"/>
            </w:tcBorders>
            <w:tcMar>
              <w:top w:w="0" w:type="dxa"/>
              <w:left w:w="0" w:type="dxa"/>
              <w:bottom w:w="0" w:type="dxa"/>
              <w:right w:w="15" w:type="dxa"/>
            </w:tcMar>
            <w:vAlign w:val="bottom"/>
          </w:tcPr>
          <w:p>
            <w:pPr>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ab/>
              <w:t>638</w:t>
              <w:tab/>
            </w:r>
          </w:p>
        </w:tc>
        <w:tc>
          <w:tcPr>
            <w:tcW w:w="6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rPr>
            </w:pPr>
          </w:p>
        </w:tc>
        <w:tc>
          <w:tcPr>
            <w:tcW w:w="1575" w:type="dxa"/>
            <w:tcBorders>
              <w:top w:val="nil"/>
              <w:left w:val="nil"/>
              <w:bottom w:val="nil"/>
              <w:right w:val="nil"/>
            </w:tcBorders>
            <w:tcMar>
              <w:top w:w="0" w:type="dxa"/>
              <w:left w:w="0" w:type="dxa"/>
              <w:bottom w:w="0" w:type="dxa"/>
              <w:right w:w="15" w:type="dxa"/>
            </w:tcMar>
            <w:vAlign w:val="bottom"/>
          </w:tcPr>
          <w:p>
            <w:pPr>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ab/>
              <w:t>455</w:t>
              <w:tab/>
            </w:r>
          </w:p>
        </w:tc>
      </w:tr>
    </w:tbl>
    <w:p>
      <w:pPr>
        <w:keepNext w:val="0"/>
        <w:keepLines/>
        <w:pageBreakBefore w:val="0"/>
        <w:widowControl w:val="0"/>
        <w:numPr>
          <w:ilvl w:val="0"/>
          <w:numId w:val="16"/>
        </w:numPr>
        <w:spacing w:before="0" w:after="0" w:line="288" w:lineRule="auto"/>
        <w:ind w:left="720" w:right="0" w:hanging="72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Included in these amounts are 276 and 336 shares withheld for taxes or in connection with a cashless exercise of options during the three and six months ended June 30, 2026, respectively, and 180 shares withheld for taxes or in connection with a cashless exercise of options during the three and six months ended June 30, 2025.</w:t>
      </w:r>
    </w:p>
    <w:p>
      <w:pPr>
        <w:keepNext w:val="0"/>
        <w:keepLines/>
        <w:pageBreakBefore w:val="0"/>
        <w:widowControl w:val="0"/>
        <w:numPr>
          <w:ilvl w:val="0"/>
          <w:numId w:val="16"/>
        </w:numPr>
        <w:spacing w:before="0" w:after="0" w:line="288" w:lineRule="auto"/>
        <w:ind w:left="720" w:right="0" w:hanging="72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Included in these amounts are 21 and 318 restricted stock units during the three and six months ended June 30, 2026, respectively, and 159 restricted stock units during the six months ended June 30, 2025, that were converted from performance stock units which vested during those periods.</w:t>
      </w:r>
    </w:p>
    <w:p>
      <w:pPr>
        <w:keepNext w:val="0"/>
        <w:keepLines/>
        <w:pageBreakBefore w:val="0"/>
        <w:widowControl w:val="0"/>
        <w:numPr>
          <w:ilvl w:val="0"/>
          <w:numId w:val="0"/>
        </w:numPr>
        <w:spacing w:before="0" w:after="0" w:line="288" w:lineRule="auto"/>
        <w:ind w:left="0" w:right="0" w:hanging="36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hanging="360"/>
        <w:jc w:val="left"/>
        <w:outlineLvl w:val="9"/>
        <w:rPr>
          <w:rFonts w:ascii="Times New Roman" w:eastAsia="Times New Roman" w:hAnsi="Times New Roman" w:cs="Times New Roman"/>
          <w:b w:val="0"/>
          <w:i w:val="0"/>
          <w:color w:val="000000"/>
          <w:sz w:val="16"/>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18" w:name="Section19"/>
      <w:bookmarkEnd w:id="18"/>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NOTE 10 - </w:t>
      </w:r>
      <w:r>
        <w:rPr>
          <w:rFonts w:ascii="Times New Roman" w:eastAsia="Times New Roman" w:hAnsi="Times New Roman" w:cs="Times New Roman"/>
          <w:b/>
          <w:i w:val="0"/>
          <w:color w:val="000000"/>
          <w:sz w:val="20"/>
          <w:u w:val="none"/>
        </w:rPr>
        <w:t>NET LOSS PER SHARE</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compute net loss per share based on the weighted average number of common shares outstanding for the period. Diluted net loss per share reflects the maximum dilution that would have resulted from incremental common shares issuable upon the exercise of stock options or vesting of RSUs and in some cases PSUs. In periods of net income, we compute the adjustment to the denominator of our dilutive net earnings per share calculation to include these stock options, RSUs, and PSUs, as applicable, using the treasury stock method. Regardless of the period resulting in net income or net loss, we exclude the adjustment to the denominator of our dilutive net loss per share calculation to the extent that they are anti-dilutive.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sets forth the computation of basic and diluted net loss per common share for the periods presented below (in thousands, except per share amounts):</w:t>
      </w:r>
    </w:p>
    <w:tbl>
      <w:tblPr>
        <w:tblStyle w:val="TableNormal0"/>
        <w:tblW w:w="10245" w:type="dxa"/>
        <w:jc w:val="center"/>
        <w:tblLayout w:type="fixed"/>
      </w:tblPr>
      <w:tblGrid>
        <w:gridCol w:w="5040"/>
        <w:gridCol w:w="1245"/>
        <w:gridCol w:w="75"/>
        <w:gridCol w:w="1245"/>
        <w:gridCol w:w="75"/>
        <w:gridCol w:w="1245"/>
        <w:gridCol w:w="75"/>
        <w:gridCol w:w="1245"/>
      </w:tblGrid>
      <w:tr>
        <w:tblPrEx>
          <w:tblW w:w="10245" w:type="dxa"/>
          <w:tblLayout w:type="fixed"/>
        </w:tblPrEx>
        <w:trPr>
          <w:trHeight w:hRule="exact" w:val="465"/>
        </w:trPr>
        <w:tc>
          <w:tcPr>
            <w:tcW w:w="50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565"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w:t>
            </w:r>
            <w:r>
              <w:br/>
            </w:r>
            <w:r>
              <w:rPr>
                <w:rFonts w:ascii="Times New Roman" w:eastAsia="Times New Roman" w:hAnsi="Times New Roman" w:cs="Times New Roman"/>
                <w:b/>
                <w:i w:val="0"/>
                <w:color w:val="000000"/>
                <w:sz w:val="20"/>
                <w:u w:val="none"/>
              </w:rPr>
              <w:t>June 30,</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256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Six Months Ended</w:t>
            </w:r>
            <w:r>
              <w:br/>
            </w:r>
            <w:r>
              <w:rPr>
                <w:rFonts w:ascii="Times New Roman" w:eastAsia="Times New Roman" w:hAnsi="Times New Roman" w:cs="Times New Roman"/>
                <w:b/>
                <w:i w:val="0"/>
                <w:color w:val="000000"/>
                <w:sz w:val="20"/>
                <w:u w:val="none"/>
              </w:rPr>
              <w:t>June 30,</w:t>
            </w:r>
          </w:p>
        </w:tc>
      </w:tr>
      <w:tr>
        <w:tblPrEx>
          <w:tblW w:w="10245" w:type="dxa"/>
          <w:tblLayout w:type="fixed"/>
        </w:tblPrEx>
        <w:trPr>
          <w:trHeight w:hRule="exact" w:val="345"/>
        </w:trPr>
        <w:tc>
          <w:tcPr>
            <w:tcW w:w="50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4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124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124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124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Basic:</w:t>
            </w:r>
          </w:p>
        </w:tc>
        <w:tc>
          <w:tcPr>
            <w:tcW w:w="124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4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4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4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xml:space="preserve">Net loss </w:t>
            </w: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(4,443)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(6,123)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(3,818)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(8,521)</w:t>
            </w: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Weighted-average shares of common stock outstanding</w:t>
            </w:r>
          </w:p>
        </w:tc>
        <w:tc>
          <w:tcPr>
            <w:tcW w:w="124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28,749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27,237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28,586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27,100</w:t>
              <w:tab/>
            </w: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Basic loss per share</w:t>
            </w: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(0.13)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(0.31)</w:t>
            </w:r>
          </w:p>
        </w:tc>
      </w:tr>
      <w:tr>
        <w:tblPrEx>
          <w:tblW w:w="10245" w:type="dxa"/>
          <w:tblLayout w:type="fixed"/>
        </w:tblPrEx>
        <w:trPr>
          <w:trHeight w:hRule="exact" w:val="345"/>
        </w:trPr>
        <w:tc>
          <w:tcPr>
            <w:tcW w:w="50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4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4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4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4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Diluted:</w:t>
            </w: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Net loss</w:t>
            </w: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(4,443)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(6,123)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(3,818)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w:t>
              <w:tab/>
              <w:t>(8,521)</w:t>
            </w: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Weighted-average shares of common stock outstanding</w:t>
            </w: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28,749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27,237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28,586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27,100</w:t>
              <w:tab/>
            </w: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Diluted loss per share</w:t>
            </w:r>
          </w:p>
        </w:tc>
        <w:tc>
          <w:tcPr>
            <w:tcW w:w="124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(0.15)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124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(0.22)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124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124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76"/>
              </w:tabs>
              <w:spacing w:before="33" w:after="30" w:line="240" w:lineRule="auto"/>
              <w:jc w:val="right"/>
            </w:pPr>
            <w:r>
              <w:rPr>
                <w:rFonts w:ascii="Times New Roman" w:eastAsia="Times New Roman" w:hAnsi="Times New Roman" w:cs="Times New Roman"/>
                <w:b w:val="0"/>
                <w:i w:val="0"/>
                <w:color w:val="000000"/>
                <w:sz w:val="20"/>
                <w:u w:val="none"/>
              </w:rPr>
              <w:t>$</w:t>
              <w:tab/>
              <w:t>(0.31)</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color w:val="000000"/>
          <w:sz w:val="20"/>
          <w:highlight w:val="white"/>
          <w:u w:val="none"/>
        </w:rPr>
      </w:pPr>
      <w:bookmarkStart w:id="19" w:name="Section20"/>
      <w:bookmarkEnd w:id="19"/>
      <w:r>
        <w:rPr>
          <w:rFonts w:ascii="Times New Roman" w:eastAsia="Times New Roman" w:hAnsi="Times New Roman" w:cs="Times New Roman"/>
          <w:b/>
          <w:i w:val="0"/>
          <w:color w:val="000000"/>
          <w:sz w:val="20"/>
          <w:highlight w:val="white"/>
          <w:u w:val="none"/>
        </w:rPr>
        <w:t xml:space="preserve">NOTE 11 - </w:t>
      </w:r>
      <w:r>
        <w:rPr>
          <w:rFonts w:ascii="Times New Roman" w:eastAsia="Times New Roman" w:hAnsi="Times New Roman" w:cs="Times New Roman"/>
          <w:b/>
          <w:i w:val="0"/>
          <w:color w:val="000000"/>
          <w:sz w:val="20"/>
          <w:highlight w:val="white"/>
          <w:u w:val="none"/>
        </w:rPr>
        <w:t>SEGMENT INFORMATION</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manage our business activities on a consolidated basis and operate as one reportable segment. Our chief operating decision maker (“CODM”) is the Chairman and Chief Executive Officer, who reviews financial information presented on a consolidated basis. The CODM uses consolidated net loss, as reported on our Consolidated Statements of Comprehensive Loss, to assess financial performance and allocate resources. These financial metrics are used by the CODM to make key operating decisions, such as the allocation of budget between cost of sales, sales and marketing, general and administrative, and research and development expenses. The CODM does not review assets in evaluating the results of the segment, and therefore, such information is not presented.</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operating financial results of our single reportable segment for three and six</w:t>
      </w:r>
      <w:r>
        <w:rPr>
          <w:rFonts w:ascii="Times New Roman" w:eastAsia="Times New Roman" w:hAnsi="Times New Roman" w:cs="Times New Roman"/>
          <w:b w:val="0"/>
          <w:i w:val="0"/>
          <w:color w:val="000000"/>
          <w:sz w:val="20"/>
          <w:highlight w:val="white"/>
          <w:u w:val="none"/>
        </w:rPr>
        <w:t xml:space="preserve"> months ended </w:t>
      </w:r>
      <w:r>
        <w:rPr>
          <w:rFonts w:ascii="Times New Roman" w:eastAsia="Times New Roman" w:hAnsi="Times New Roman" w:cs="Times New Roman"/>
          <w:b w:val="0"/>
          <w:i w:val="0"/>
          <w:color w:val="000000"/>
          <w:sz w:val="20"/>
          <w:u w:val="none"/>
        </w:rPr>
        <w:t>June 30, 2026 and 2025, are as follows (in thousands):</w:t>
      </w:r>
    </w:p>
    <w:tbl>
      <w:tblPr>
        <w:tblStyle w:val="TableNormal0"/>
        <w:tblW w:w="10245" w:type="dxa"/>
        <w:jc w:val="center"/>
        <w:tblLayout w:type="fixed"/>
      </w:tblPr>
      <w:tblGrid>
        <w:gridCol w:w="5040"/>
        <w:gridCol w:w="1245"/>
        <w:gridCol w:w="75"/>
        <w:gridCol w:w="1245"/>
        <w:gridCol w:w="75"/>
        <w:gridCol w:w="1245"/>
        <w:gridCol w:w="75"/>
        <w:gridCol w:w="1245"/>
      </w:tblGrid>
      <w:tr>
        <w:tblPrEx>
          <w:tblW w:w="10245" w:type="dxa"/>
          <w:tblLayout w:type="fixed"/>
        </w:tblPrEx>
        <w:trPr>
          <w:trHeight w:hRule="exact" w:val="465"/>
        </w:trPr>
        <w:tc>
          <w:tcPr>
            <w:tcW w:w="50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56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Three Months Ended</w:t>
            </w:r>
            <w:r>
              <w:br/>
            </w:r>
            <w:r>
              <w:rPr>
                <w:rFonts w:ascii="Times New Roman" w:eastAsia="Times New Roman" w:hAnsi="Times New Roman" w:cs="Times New Roman"/>
                <w:b/>
                <w:i w:val="0"/>
                <w:color w:val="000000"/>
                <w:sz w:val="20"/>
                <w:u w:val="none"/>
              </w:rPr>
              <w:t>June 30,</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256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Six Months Ended</w:t>
            </w:r>
            <w:r>
              <w:br/>
            </w:r>
            <w:r>
              <w:rPr>
                <w:rFonts w:ascii="Times New Roman" w:eastAsia="Times New Roman" w:hAnsi="Times New Roman" w:cs="Times New Roman"/>
                <w:b/>
                <w:i w:val="0"/>
                <w:color w:val="000000"/>
                <w:sz w:val="20"/>
                <w:u w:val="none"/>
              </w:rPr>
              <w:t>June 30,</w:t>
            </w:r>
          </w:p>
        </w:tc>
      </w:tr>
      <w:tr>
        <w:tblPrEx>
          <w:tblW w:w="10245" w:type="dxa"/>
          <w:tblLayout w:type="fixed"/>
        </w:tblPrEx>
        <w:trPr>
          <w:trHeight w:hRule="exact" w:val="285"/>
        </w:trPr>
        <w:tc>
          <w:tcPr>
            <w:tcW w:w="5040"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 </w:t>
            </w:r>
          </w:p>
        </w:tc>
        <w:tc>
          <w:tcPr>
            <w:tcW w:w="124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4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4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rPr>
            </w:pPr>
          </w:p>
        </w:tc>
        <w:tc>
          <w:tcPr>
            <w:tcW w:w="124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revenues</w:t>
            </w:r>
          </w:p>
        </w:tc>
        <w:tc>
          <w:tcPr>
            <w:tcW w:w="124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w:t>
              <w:tab/>
              <w:t>37,113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w:t>
              <w:tab/>
              <w:t>30,124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w:t>
              <w:tab/>
              <w:t>79,870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w:t>
              <w:tab/>
              <w:t>64,978</w:t>
              <w:tab/>
            </w: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Significant segment expenses</w:t>
            </w:r>
          </w:p>
        </w:tc>
        <w:tc>
          <w:tcPr>
            <w:tcW w:w="124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4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Compensation</w:t>
            </w: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23,536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22,180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47,453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44,968</w:t>
              <w:tab/>
            </w: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Non-compensation</w:t>
            </w: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10,635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62"/>
                <w:tab w:val="left" w:pos="1177"/>
              </w:tabs>
              <w:spacing w:before="53" w:after="30" w:line="240" w:lineRule="auto"/>
              <w:jc w:val="right"/>
            </w:pPr>
            <w:r>
              <w:rPr>
                <w:rFonts w:ascii="Times New Roman" w:eastAsia="Times New Roman" w:hAnsi="Times New Roman" w:cs="Times New Roman"/>
                <w:b w:val="0"/>
                <w:i w:val="0"/>
                <w:color w:val="000000"/>
                <w:sz w:val="20"/>
                <w:u w:val="none"/>
              </w:rPr>
              <w:tab/>
              <w:t>8,560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21,675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18,172</w:t>
              <w:tab/>
            </w: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software and commission costs</w:t>
            </w: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ab/>
              <w:t>(3,789)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ab/>
              <w:t>(4,044)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ab/>
              <w:t>(7,544)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76"/>
              </w:tabs>
              <w:spacing w:before="53" w:after="30" w:line="240" w:lineRule="auto"/>
              <w:jc w:val="right"/>
            </w:pPr>
            <w:r>
              <w:rPr>
                <w:rFonts w:ascii="Times New Roman" w:eastAsia="Times New Roman" w:hAnsi="Times New Roman" w:cs="Times New Roman"/>
                <w:b w:val="0"/>
                <w:i w:val="0"/>
                <w:color w:val="000000"/>
                <w:sz w:val="20"/>
                <w:u w:val="none"/>
              </w:rPr>
              <w:tab/>
              <w:t>(7,416)</w:t>
            </w: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Amortization, depreciation, and other noncash expenses</w:t>
            </w: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62"/>
                <w:tab w:val="left" w:pos="1177"/>
              </w:tabs>
              <w:spacing w:before="53" w:after="30" w:line="240" w:lineRule="auto"/>
              <w:jc w:val="right"/>
            </w:pPr>
            <w:r>
              <w:rPr>
                <w:rFonts w:ascii="Times New Roman" w:eastAsia="Times New Roman" w:hAnsi="Times New Roman" w:cs="Times New Roman"/>
                <w:b w:val="0"/>
                <w:i w:val="0"/>
                <w:color w:val="000000"/>
                <w:sz w:val="20"/>
                <w:u w:val="none"/>
              </w:rPr>
              <w:tab/>
              <w:t>9,589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62"/>
                <w:tab w:val="left" w:pos="1177"/>
              </w:tabs>
              <w:spacing w:before="53" w:after="30" w:line="240" w:lineRule="auto"/>
              <w:jc w:val="right"/>
            </w:pPr>
            <w:r>
              <w:rPr>
                <w:rFonts w:ascii="Times New Roman" w:eastAsia="Times New Roman" w:hAnsi="Times New Roman" w:cs="Times New Roman"/>
                <w:b w:val="0"/>
                <w:i w:val="0"/>
                <w:color w:val="000000"/>
                <w:sz w:val="20"/>
                <w:u w:val="none"/>
              </w:rPr>
              <w:tab/>
              <w:t>8,920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18,957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53" w:after="30" w:line="240" w:lineRule="auto"/>
              <w:jc w:val="right"/>
            </w:pPr>
            <w:r>
              <w:rPr>
                <w:rFonts w:ascii="Times New Roman" w:eastAsia="Times New Roman" w:hAnsi="Times New Roman" w:cs="Times New Roman"/>
                <w:b w:val="0"/>
                <w:i w:val="0"/>
                <w:color w:val="000000"/>
                <w:sz w:val="20"/>
                <w:u w:val="none"/>
              </w:rPr>
              <w:tab/>
              <w:t>17,048</w:t>
              <w:tab/>
            </w: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40" w:lineRule="auto"/>
              <w:ind w:left="12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Other segment expenses (income)</w:t>
            </w:r>
            <w:r>
              <w:rPr>
                <w:rFonts w:ascii="Times New Roman" w:eastAsia="Times New Roman" w:hAnsi="Times New Roman" w:cs="Times New Roman"/>
                <w:b w:val="0"/>
                <w:i w:val="0"/>
                <w:sz w:val="20"/>
                <w:vertAlign w:val="superscript"/>
              </w:rPr>
              <w:t>(1)</w:t>
            </w: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62"/>
                <w:tab w:val="left" w:pos="1177"/>
              </w:tabs>
              <w:spacing w:before="53" w:after="30" w:line="240" w:lineRule="auto"/>
              <w:jc w:val="right"/>
            </w:pPr>
            <w:r>
              <w:rPr>
                <w:rFonts w:ascii="Times New Roman" w:eastAsia="Times New Roman" w:hAnsi="Times New Roman" w:cs="Times New Roman"/>
                <w:b w:val="0"/>
                <w:i w:val="0"/>
                <w:color w:val="000000"/>
                <w:sz w:val="20"/>
                <w:u w:val="none"/>
              </w:rPr>
              <w:tab/>
              <w:t>1,585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2"/>
                <w:tab w:val="left" w:pos="1177"/>
              </w:tabs>
              <w:spacing w:before="53" w:after="30" w:line="240" w:lineRule="auto"/>
              <w:jc w:val="right"/>
            </w:pPr>
            <w:r>
              <w:rPr>
                <w:rFonts w:ascii="Times New Roman" w:eastAsia="Times New Roman" w:hAnsi="Times New Roman" w:cs="Times New Roman"/>
                <w:b w:val="0"/>
                <w:i w:val="0"/>
                <w:color w:val="000000"/>
                <w:sz w:val="20"/>
                <w:u w:val="none"/>
              </w:rPr>
              <w:tab/>
              <w:t>631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62"/>
                <w:tab w:val="left" w:pos="1177"/>
              </w:tabs>
              <w:spacing w:before="53" w:after="30" w:line="240" w:lineRule="auto"/>
              <w:jc w:val="right"/>
            </w:pPr>
            <w:r>
              <w:rPr>
                <w:rFonts w:ascii="Times New Roman" w:eastAsia="Times New Roman" w:hAnsi="Times New Roman" w:cs="Times New Roman"/>
                <w:b w:val="0"/>
                <w:i w:val="0"/>
                <w:color w:val="000000"/>
                <w:sz w:val="20"/>
                <w:u w:val="none"/>
              </w:rPr>
              <w:tab/>
              <w:t>3,147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12"/>
                <w:tab w:val="left" w:pos="1177"/>
              </w:tabs>
              <w:spacing w:before="53" w:after="30" w:line="240" w:lineRule="auto"/>
              <w:jc w:val="right"/>
            </w:pPr>
            <w:r>
              <w:rPr>
                <w:rFonts w:ascii="Times New Roman" w:eastAsia="Times New Roman" w:hAnsi="Times New Roman" w:cs="Times New Roman"/>
                <w:b w:val="0"/>
                <w:i w:val="0"/>
                <w:color w:val="000000"/>
                <w:sz w:val="20"/>
                <w:u w:val="none"/>
              </w:rPr>
              <w:tab/>
              <w:t>727</w:t>
              <w:tab/>
            </w:r>
          </w:p>
        </w:tc>
      </w:tr>
      <w:tr>
        <w:tblPrEx>
          <w:tblW w:w="10245" w:type="dxa"/>
          <w:tblLayout w:type="fixed"/>
        </w:tblPrEx>
        <w:trPr>
          <w:trHeight w:hRule="exact" w:val="285"/>
        </w:trPr>
        <w:tc>
          <w:tcPr>
            <w:tcW w:w="504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expenses</w:t>
            </w:r>
          </w:p>
        </w:tc>
        <w:tc>
          <w:tcPr>
            <w:tcW w:w="124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ab/>
              <w:t>41,556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ab/>
              <w:t>36,247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ab/>
              <w:t>83,688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2"/>
                <w:tab w:val="left" w:pos="1177"/>
              </w:tabs>
              <w:spacing w:before="33" w:after="30" w:line="240" w:lineRule="auto"/>
              <w:jc w:val="right"/>
            </w:pPr>
            <w:r>
              <w:rPr>
                <w:rFonts w:ascii="Times New Roman" w:eastAsia="Times New Roman" w:hAnsi="Times New Roman" w:cs="Times New Roman"/>
                <w:b w:val="0"/>
                <w:i w:val="0"/>
                <w:color w:val="000000"/>
                <w:sz w:val="20"/>
                <w:u w:val="none"/>
              </w:rPr>
              <w:tab/>
              <w:t>73,499</w:t>
              <w:tab/>
            </w:r>
          </w:p>
        </w:tc>
      </w:tr>
      <w:tr>
        <w:tblPrEx>
          <w:tblW w:w="10245" w:type="dxa"/>
          <w:tblLayout w:type="fixed"/>
        </w:tblPrEx>
        <w:trPr>
          <w:trHeight w:hRule="exact" w:val="285"/>
        </w:trPr>
        <w:tc>
          <w:tcPr>
            <w:tcW w:w="50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Net loss</w:t>
            </w: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76"/>
              </w:tabs>
              <w:spacing w:before="33" w:after="30" w:line="240" w:lineRule="auto"/>
              <w:jc w:val="right"/>
            </w:pPr>
            <w:r>
              <w:rPr>
                <w:rFonts w:ascii="Times New Roman" w:eastAsia="Times New Roman" w:hAnsi="Times New Roman" w:cs="Times New Roman"/>
                <w:b w:val="0"/>
                <w:i w:val="0"/>
                <w:color w:val="000000"/>
                <w:sz w:val="20"/>
                <w:u w:val="none"/>
              </w:rPr>
              <w:t>$</w:t>
              <w:tab/>
              <w:t>(4,443)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76"/>
              </w:tabs>
              <w:spacing w:before="33" w:after="30" w:line="240" w:lineRule="auto"/>
              <w:jc w:val="right"/>
            </w:pPr>
            <w:r>
              <w:rPr>
                <w:rFonts w:ascii="Times New Roman" w:eastAsia="Times New Roman" w:hAnsi="Times New Roman" w:cs="Times New Roman"/>
                <w:b w:val="0"/>
                <w:i w:val="0"/>
                <w:color w:val="000000"/>
                <w:sz w:val="20"/>
                <w:u w:val="none"/>
              </w:rPr>
              <w:t>$</w:t>
              <w:tab/>
              <w:t>(6,123)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76"/>
              </w:tabs>
              <w:spacing w:before="33" w:after="30" w:line="240" w:lineRule="auto"/>
              <w:jc w:val="right"/>
            </w:pPr>
            <w:r>
              <w:rPr>
                <w:rFonts w:ascii="Times New Roman" w:eastAsia="Times New Roman" w:hAnsi="Times New Roman" w:cs="Times New Roman"/>
                <w:b w:val="0"/>
                <w:i w:val="0"/>
                <w:color w:val="000000"/>
                <w:sz w:val="20"/>
                <w:u w:val="none"/>
              </w:rPr>
              <w:t>$</w:t>
              <w:tab/>
              <w:t>(3,818)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76"/>
              </w:tabs>
              <w:spacing w:before="33" w:after="30" w:line="240" w:lineRule="auto"/>
              <w:jc w:val="right"/>
            </w:pPr>
            <w:r>
              <w:rPr>
                <w:rFonts w:ascii="Times New Roman" w:eastAsia="Times New Roman" w:hAnsi="Times New Roman" w:cs="Times New Roman"/>
                <w:b w:val="0"/>
                <w:i w:val="0"/>
                <w:color w:val="000000"/>
                <w:sz w:val="20"/>
                <w:u w:val="none"/>
              </w:rPr>
              <w:t>$</w:t>
              <w:tab/>
              <w:t>(8,521)</w:t>
            </w:r>
          </w:p>
        </w:tc>
      </w:tr>
    </w:tbl>
    <w:p>
      <w:pPr>
        <w:keepNext w:val="0"/>
        <w:keepLines/>
        <w:pageBreakBefore w:val="0"/>
        <w:widowControl w:val="0"/>
        <w:numPr>
          <w:ilvl w:val="0"/>
          <w:numId w:val="17"/>
        </w:numPr>
        <w:spacing w:before="0" w:after="0" w:line="288" w:lineRule="auto"/>
        <w:ind w:left="720" w:right="0" w:hanging="72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Other segment expenses include interest expense (income) and other business expense (income)</w:t>
      </w:r>
    </w:p>
    <w:p>
      <w:pPr>
        <w:keepNext w:val="0"/>
        <w:keepLines/>
        <w:pageBreakBefore w:val="0"/>
        <w:widowControl w:val="0"/>
        <w:numPr>
          <w:ilvl w:val="0"/>
          <w:numId w:val="17"/>
        </w:numPr>
        <w:spacing w:before="0" w:after="0" w:line="288" w:lineRule="auto"/>
        <w:ind w:left="720" w:right="0" w:hanging="720"/>
        <w:jc w:val="left"/>
        <w:outlineLvl w:val="9"/>
        <w:rPr>
          <w:rFonts w:ascii="Times New Roman" w:eastAsia="Times New Roman" w:hAnsi="Times New Roman" w:cs="Times New Roman"/>
          <w:b w:val="0"/>
          <w:i w:val="0"/>
          <w:color w:val="000000"/>
          <w:sz w:val="16"/>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bookmarkStart w:id="20" w:name="Section21"/>
      <w:bookmarkEnd w:id="20"/>
      <w:r>
        <w:rPr>
          <w:rFonts w:ascii="Times New Roman" w:eastAsia="Times New Roman" w:hAnsi="Times New Roman" w:cs="Times New Roman"/>
          <w:b/>
          <w:i w:val="0"/>
          <w:sz w:val="20"/>
        </w:rPr>
        <w:t>ITEM 2. MANAGEMENT’S DISCUSSION AND ANALYSIS OF FINANCIAL CONDITION AND RESULTS OF OPERATIONS</w:t>
      </w:r>
    </w:p>
    <w:p>
      <w:pPr>
        <w:keepNext/>
        <w:keepLines/>
        <w:pageBreakBefore w:val="0"/>
        <w:widowControl w:val="0"/>
        <w:numPr>
          <w:ilvl w:val="0"/>
          <w:numId w:val="0"/>
        </w:numPr>
        <w:spacing w:before="0" w:after="0" w:line="288" w:lineRule="auto"/>
        <w:ind w:left="0" w:right="0" w:firstLine="0"/>
        <w:jc w:val="left"/>
        <w:outlineLvl w:val="1"/>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21" w:name="Section22"/>
      <w:bookmarkEnd w:id="21"/>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sz w:val="20"/>
        </w:rPr>
      </w:pPr>
      <w:r>
        <w:rPr>
          <w:rFonts w:ascii="Times New Roman" w:eastAsia="Times New Roman" w:hAnsi="Times New Roman" w:cs="Times New Roman"/>
          <w:b/>
          <w:i w:val="0"/>
          <w:sz w:val="20"/>
        </w:rPr>
        <w:t>CAUTIONARY STATEMENT REGARDING FORWARD-LOOKING STATEMENTS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This Quarterly Report on Form 10-Q contains certain statements made by management that may constitute “forward-looking” statements within the meaning of the safe harbor provisions of the U.S. Private Securities Litigation Reform Act of 1995. These forward-looking statements about our financial results may include expected or projected U.S GAAP and other operating and non-operating results. The words “believe,” “may,” “will,” “estimate,” “projects,” “anticipate,” “intend,” “expect,” “should,” “plan,” and similar expressions are intended to identify forward-looking statements. Examples of forward-looking statements include statements we make regarding our operating performance, future results of operations and financial position, revenue growth, earnings or other projections. We have based these forward-looking statements largely on our current expectations and projections about future events and trends that we believe may affect our financial condition, results of operations, business strategy, short-term and long-term business operations and objectives, and financial needs. The achievement or success of the matters covered by such forward-looking statements involves risks, uncertainties and assumptions, over many of which we have no control. If any such risks or uncertainties materialize or if any of the assumptions prove incorrect, our results could differ materially from the results expressed or implied by the forward-looking statements we make. The risks and uncertainties referred to above include—but are not limited to—risks associated with breaches of our security measures; possible fluctuations in our financial and operating results; potential financing needed to meet future capital requirements; access to additional capital; volatility and weakness in bank and capital markets; the financial and other impact of any previous and future acquisitions; privacy concerns and laws and other regulations that may limit the effectiveness of our applications; inability to adopt new or correctly interpret existing money service and money transmitter business status;  risk of our software and solutions not functioning adequately; interruptions, delays or changes in our services or our Web hosting; significant costs as a result of operating as a public company; economic and governmental interruptions to supply chains; risks related to weaknesses in internal control; the inability to continue to release timely updates for changes in laws; the inability to develop new and improved versions of our services and technological developments; customer’s nonrenewal of their agreements and other similar changes; the exposure of market, interest, credit and liquidity risk on client funds held in trust; our operations in highly competitive markets; risks that our clients could have insufficient funds, limitations in the ability to transmit ACH transactions; the nature of our business model; impairment of intangible assets; litigation and any related claims, negotiations and settlements, including with respect to intellectual property matters or industry-specific regulations; market demand of our Software-as-a-Service offerings; adverse effects to our business a result of claims, lawsuits, and other proceedings; adverse material effects caused by advancements and adoption of artificial intelligence; issues in the use of artificial intelligence in our HCM products and services; adverse changes to financial accounting standards to us; intellectual property risks associated with the use of open source software; failures of our service providers; factors affecting our deferred tax assets and ability to value and utilize them; inability to maintain third-party licensed software; evolving regulation of the Internet, changes in the infrastructure underlying the Internet or interruptions in Internet services; the expiration of Employee Retention Tax Credits (“ERTC”) and the impact of recent regulatory and other measures by governmental authorities-regarding ERTC claims and the corresponding cash collections of existing receivables; our ability to hire, retain and motivate employees and manage our growth; potential enactment of adverse tax laws, regulation, political, economic and social factors; potential sales of a substantial number of shares of our common stock along with its volatility; and risks associated with potential equity-related transactions including dividends, rights under the stockholder plan to discourage certain actions and other impacts as a result of actions of our stockholders.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Further information on these and other factors that could affect our financial results is included in the reports on Forms 10-K, 10-Q and 8-K, and in other filings we make with the Securities and Exchange Commission (the “SEC”) from time to time. These documents are available on the SEC Filings section of the Investor Information section of our website at investor.asuresoftware.com. Asure assumes no obligation and does not intend to update these forward-looking statements, except as required by law.</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2" w:name="Section23"/>
      <w:bookmarkEnd w:id="22"/>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OVERVIEW</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following review of Asure’s financial position as of June 30, 2026, and December 31, 2025, and results of operations for the three and six months ended June 30, 2026 and 2025, should be read in conjunction with our 2025 Annual Report on Form 10-K filed with the SEC on February 26, 2026 and our quarterly report filed with the SEC on April 30, 2026. Our annual reports on Form 10-K, quarterly reports on Form 10-Q, current reports on Form 8-K and amendments to those reports filed or furnished pursuant to Section 13(a) or 15(d) of the Securities Exchange Act of 1934, as amended (the “Exchange Act”) are available through the investor relations page of our internet website free of charge as soon as reasonably practicable after they are electronically filed, or furnished to, the SEC. Asure’s internet website and the information contained in our website or connected to our website are not incorporated into this Quarterly Report on Form 10-Q. However, we do post information on the investor relations page of our website that we believe may be of interest to our investors. Asure’s internet website address is www.asuresoftware.com.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Our Business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are a provider of cloud-based Human Capital Management (“HCM”) software solutions delivered as Software-as-a-Service (“SaaS”) to businesses of all sizes.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businesses rather than administrative overhead that can impede growth. Our solutions also provide new ways for employers to connect with their employees and strengthen relationships with their talent. At the core of our offering is the Asure HCM platform—a SaaS-based system that includes Payroll &amp; Tax filing, HR management tools, Time &amp; Attendance software, Recruiting, and Insurance and Benefits Administration. This platform serves as the foundation for delivering both our core software and a range of complementary, technology-enabled services. These include AsureMarketplace™, which automates data exchange between our HCM system and third-party providers to increase efficiency, accuracy, and breadth of services. Our HR Compliance services combine expert guidance with scalable digital delivery. AsurePay™, our payroll card, which we provide in association with our partners, offers employees fast, secure access to earned wages. Additionally, through our licensed brokerage, we offer Insurance Services that help employers manage benefits and reduce administrative costs. We deliver our solutions directly and through a national network of Reseller Partners.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We strive to be the most trusted HCM resource. Our solutions solve three primary challenges that prevent businesses from growing: HR complexity, allocation of human and financial capital, and the ability to build great teams. We sell our solutions through both direct and partner channels. We supplement our direct sales efforts with partner programs that afford us access to opportunities in various geographic and industry niches. Asure has two types of partners: Reseller Partners that white label our products while providing value-added services to their clients (our indirect clients) and Referral Partners that provide us with client leads but do not resell our solutions. We have and will continue to invest in research and development to expand our solutions. Our solutions reduce the administrative burden on employers and increase employee productivity while managing the employment lifecycle. The Asure HCM suite includes eight product lines: Asure Payroll &amp; Tax, Asure HR Compliance, Asure Time &amp; Attendance, AsureRecruiting™, Asure Insurance and Benefits Administration, AsurePay™, Asure Tax Management Solutions,  and AsureMarketplace™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From recruitment to retirement, our solutions help more than </w:t>
      </w:r>
      <w:r>
        <w:rPr>
          <w:rFonts w:ascii="Times New Roman" w:eastAsia="Times New Roman" w:hAnsi="Times New Roman" w:cs="Times New Roman"/>
          <w:b w:val="0"/>
          <w:i w:val="0"/>
          <w:sz w:val="20"/>
        </w:rPr>
        <w:t>100,000</w:t>
      </w:r>
      <w:r>
        <w:rPr>
          <w:rFonts w:ascii="Times New Roman" w:eastAsia="Times New Roman" w:hAnsi="Times New Roman" w:cs="Times New Roman"/>
          <w:b w:val="0"/>
          <w:i w:val="0"/>
          <w:color w:val="000000"/>
          <w:sz w:val="20"/>
          <w:highlight w:val="white"/>
          <w:u w:val="none"/>
        </w:rPr>
        <w:t xml:space="preserve"> clients across the United States. Approximately </w:t>
      </w:r>
      <w:r>
        <w:rPr>
          <w:rFonts w:ascii="Times New Roman" w:eastAsia="Times New Roman" w:hAnsi="Times New Roman" w:cs="Times New Roman"/>
          <w:b w:val="0"/>
          <w:i w:val="0"/>
          <w:sz w:val="20"/>
        </w:rPr>
        <w:t>35%</w:t>
      </w:r>
      <w:r>
        <w:rPr>
          <w:rFonts w:ascii="Times New Roman" w:eastAsia="Times New Roman" w:hAnsi="Times New Roman" w:cs="Times New Roman"/>
          <w:b w:val="0"/>
          <w:i w:val="0"/>
          <w:color w:val="000000"/>
          <w:sz w:val="20"/>
          <w:highlight w:val="white"/>
          <w:u w:val="none"/>
        </w:rPr>
        <w:t xml:space="preserve"> of our clients are direct and the remaining clients are indirect, as they have contracts with reseller partners who white label our solutions.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2"/>
        <w:rPr>
          <w:rFonts w:ascii="Times New Roman" w:eastAsia="Times New Roman" w:hAnsi="Times New Roman" w:cs="Times New Roman"/>
          <w:b/>
          <w:i w:val="0"/>
          <w:sz w:val="20"/>
        </w:rPr>
      </w:pPr>
      <w:bookmarkStart w:id="23" w:name="Section24"/>
      <w:bookmarkEnd w:id="23"/>
      <w:r>
        <w:rPr>
          <w:rFonts w:ascii="Times New Roman" w:eastAsia="Times New Roman" w:hAnsi="Times New Roman" w:cs="Times New Roman"/>
          <w:b/>
          <w:i w:val="0"/>
          <w:sz w:val="20"/>
        </w:rPr>
        <w:t xml:space="preserve">RESULTS OF OPERATIONS </w:t>
      </w:r>
      <w:r>
        <w:rPr>
          <w:rFonts w:ascii="Times New Roman" w:eastAsia="Times New Roman" w:hAnsi="Times New Roman" w:cs="Times New Roman"/>
          <w:b w:val="0"/>
          <w:i w:val="0"/>
          <w:sz w:val="20"/>
        </w:rPr>
        <w:t>(in thousands)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val="0"/>
          <w:i w:val="0"/>
          <w:sz w:val="20"/>
        </w:rPr>
        <w:t xml:space="preserve">The following table sets forth, for the fiscal periods indicated, the percentage of total revenue represented by certain items in our Condensed Consolidated Statements of Comprehensive </w:t>
      </w:r>
      <w:r>
        <w:rPr>
          <w:rFonts w:ascii="Times New Roman" w:eastAsia="Times New Roman" w:hAnsi="Times New Roman" w:cs="Times New Roman"/>
          <w:b w:val="0"/>
          <w:i w:val="0"/>
          <w:sz w:val="20"/>
        </w:rPr>
        <w:t>Loss</w:t>
      </w:r>
      <w:r>
        <w:rPr>
          <w:rFonts w:ascii="Times New Roman" w:eastAsia="Times New Roman" w:hAnsi="Times New Roman" w:cs="Times New Roman"/>
          <w:b w:val="0"/>
          <w:i w:val="0"/>
          <w:sz w:val="20"/>
        </w:rPr>
        <w:t>:</w:t>
      </w:r>
    </w:p>
    <w:tbl>
      <w:tblPr>
        <w:tblStyle w:val="TableNormal0"/>
        <w:tblW w:w="8415" w:type="dxa"/>
        <w:jc w:val="center"/>
        <w:tblLayout w:type="fixed"/>
      </w:tblPr>
      <w:tblGrid>
        <w:gridCol w:w="5205"/>
        <w:gridCol w:w="105"/>
        <w:gridCol w:w="1515"/>
        <w:gridCol w:w="75"/>
        <w:gridCol w:w="1515"/>
      </w:tblGrid>
      <w:tr>
        <w:tblPrEx>
          <w:tblW w:w="8415" w:type="dxa"/>
          <w:tblLayout w:type="fixed"/>
        </w:tblPrEx>
        <w:trPr>
          <w:trHeight w:hRule="exact" w:val="285"/>
        </w:trPr>
        <w:tc>
          <w:tcPr>
            <w:tcW w:w="520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10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Six Months Ended June 30,</w:t>
            </w:r>
          </w:p>
        </w:tc>
      </w:tr>
      <w:tr>
        <w:tblPrEx>
          <w:tblW w:w="8415" w:type="dxa"/>
          <w:tblLayout w:type="fixed"/>
        </w:tblPrEx>
        <w:trPr>
          <w:trHeight w:hRule="exact" w:val="285"/>
        </w:trPr>
        <w:tc>
          <w:tcPr>
            <w:tcW w:w="520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1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51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r>
      <w:tr>
        <w:tblPrEx>
          <w:tblW w:w="8415" w:type="dxa"/>
          <w:tblLayout w:type="fixed"/>
        </w:tblPrEx>
        <w:trPr>
          <w:trHeight w:hRule="exact" w:val="28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Revenue</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69"/>
              </w:tabs>
              <w:spacing w:before="33" w:after="30" w:line="240" w:lineRule="auto"/>
              <w:jc w:val="right"/>
            </w:pPr>
            <w:r>
              <w:rPr>
                <w:rFonts w:ascii="Times New Roman" w:eastAsia="Times New Roman" w:hAnsi="Times New Roman" w:cs="Times New Roman"/>
                <w:b w:val="0"/>
                <w:i w:val="0"/>
                <w:color w:val="000000"/>
                <w:sz w:val="20"/>
                <w:u w:val="none"/>
              </w:rPr>
              <w:tab/>
              <w:t>100</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69"/>
              </w:tabs>
              <w:spacing w:before="33" w:after="30" w:line="240" w:lineRule="auto"/>
              <w:jc w:val="right"/>
            </w:pPr>
            <w:r>
              <w:rPr>
                <w:rFonts w:ascii="Times New Roman" w:eastAsia="Times New Roman" w:hAnsi="Times New Roman" w:cs="Times New Roman"/>
                <w:b w:val="0"/>
                <w:i w:val="0"/>
                <w:color w:val="000000"/>
                <w:sz w:val="20"/>
                <w:u w:val="none"/>
              </w:rPr>
              <w:tab/>
              <w:t>100</w:t>
              <w:tab/>
              <w:t>%</w:t>
            </w:r>
          </w:p>
        </w:tc>
      </w:tr>
      <w:tr>
        <w:tblPrEx>
          <w:tblW w:w="8415" w:type="dxa"/>
          <w:tblLayout w:type="fixed"/>
        </w:tblPrEx>
        <w:trPr>
          <w:trHeight w:hRule="exact" w:val="28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Gross profit</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70</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69</w:t>
              <w:tab/>
              <w:t>%</w:t>
            </w:r>
          </w:p>
        </w:tc>
      </w:tr>
      <w:tr>
        <w:tblPrEx>
          <w:tblW w:w="8415" w:type="dxa"/>
          <w:tblLayout w:type="fixed"/>
        </w:tblPrEx>
        <w:trPr>
          <w:trHeight w:hRule="exact" w:val="28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Sales and marketing</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22</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25</w:t>
              <w:tab/>
              <w:t>%</w:t>
            </w:r>
          </w:p>
        </w:tc>
      </w:tr>
      <w:tr>
        <w:tblPrEx>
          <w:tblW w:w="8415" w:type="dxa"/>
          <w:tblLayout w:type="fixed"/>
        </w:tblPrEx>
        <w:trPr>
          <w:trHeight w:hRule="exact" w:val="28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General and administrative</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31</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35</w:t>
              <w:tab/>
              <w:t>%</w:t>
            </w:r>
          </w:p>
        </w:tc>
      </w:tr>
      <w:tr>
        <w:tblPrEx>
          <w:tblW w:w="8415" w:type="dxa"/>
          <w:tblLayout w:type="fixed"/>
        </w:tblPrEx>
        <w:trPr>
          <w:trHeight w:hRule="exact" w:val="28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Research and development</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5</w:t>
              <w:tab/>
              <w:t>%</w:t>
            </w:r>
          </w:p>
        </w:tc>
      </w:tr>
      <w:tr>
        <w:tblPrEx>
          <w:tblW w:w="8415" w:type="dxa"/>
          <w:tblLayout w:type="fixed"/>
        </w:tblPrEx>
        <w:trPr>
          <w:trHeight w:hRule="exact" w:val="28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Amortization of intangible assets</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12</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13</w:t>
              <w:tab/>
              <w:t>%</w:t>
            </w:r>
          </w:p>
        </w:tc>
      </w:tr>
      <w:tr>
        <w:tblPrEx>
          <w:tblW w:w="8415" w:type="dxa"/>
          <w:tblLayout w:type="fixed"/>
        </w:tblPrEx>
        <w:trPr>
          <w:trHeight w:hRule="exact" w:val="28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Total operating expenses</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70</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79</w:t>
              <w:tab/>
              <w:t>%</w:t>
            </w:r>
          </w:p>
        </w:tc>
      </w:tr>
      <w:tr>
        <w:tblPrEx>
          <w:tblW w:w="8415" w:type="dxa"/>
          <w:tblLayout w:type="fixed"/>
        </w:tblPrEx>
        <w:trPr>
          <w:trHeight w:hRule="exact" w:val="28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Interest income</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1</w:t>
              <w:tab/>
              <w:t>%</w:t>
            </w:r>
          </w:p>
        </w:tc>
      </w:tr>
      <w:tr>
        <w:tblPrEx>
          <w:tblW w:w="8415" w:type="dxa"/>
          <w:tblLayout w:type="fixed"/>
        </w:tblPrEx>
        <w:trPr>
          <w:trHeight w:hRule="exact" w:val="28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Interest expense</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(2)</w:t>
              <w:tab/>
              <w:t>%</w:t>
            </w:r>
          </w:p>
        </w:tc>
      </w:tr>
      <w:tr>
        <w:tblPrEx>
          <w:tblW w:w="8415" w:type="dxa"/>
          <w:tblLayout w:type="fixed"/>
        </w:tblPrEx>
        <w:trPr>
          <w:trHeight w:hRule="exact" w:val="28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Other income (expense), net</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r>
      <w:tr>
        <w:tblPrEx>
          <w:tblW w:w="8415" w:type="dxa"/>
          <w:tblLayout w:type="fixed"/>
        </w:tblPrEx>
        <w:trPr>
          <w:trHeight w:hRule="exact" w:val="28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Loss from operations before income taxes</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36"/>
              </w:tabs>
              <w:spacing w:before="53" w:after="30" w:line="240" w:lineRule="auto"/>
              <w:jc w:val="right"/>
            </w:pPr>
            <w:r>
              <w:rPr>
                <w:rFonts w:ascii="Times New Roman" w:eastAsia="Times New Roman" w:hAnsi="Times New Roman" w:cs="Times New Roman"/>
                <w:b w:val="0"/>
                <w:i w:val="0"/>
                <w:color w:val="000000"/>
                <w:sz w:val="20"/>
                <w:u w:val="none"/>
              </w:rPr>
              <w:tab/>
              <w:t>(11)</w:t>
              <w:tab/>
              <w:t>%</w:t>
            </w:r>
          </w:p>
        </w:tc>
      </w:tr>
      <w:tr>
        <w:tblPrEx>
          <w:tblW w:w="8415" w:type="dxa"/>
          <w:tblLayout w:type="fixed"/>
        </w:tblPrEx>
        <w:trPr>
          <w:trHeight w:hRule="exact" w:val="28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Net loss</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(5)</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1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
                <w:tab w:val="left" w:pos="336"/>
              </w:tabs>
              <w:spacing w:before="53" w:after="30" w:line="240" w:lineRule="auto"/>
              <w:jc w:val="right"/>
            </w:pPr>
            <w:r>
              <w:rPr>
                <w:rFonts w:ascii="Times New Roman" w:eastAsia="Times New Roman" w:hAnsi="Times New Roman" w:cs="Times New Roman"/>
                <w:b w:val="0"/>
                <w:i w:val="0"/>
                <w:color w:val="000000"/>
                <w:sz w:val="20"/>
                <w:u w:val="none"/>
              </w:rPr>
              <w:tab/>
              <w:t>(13)</w:t>
              <w:tab/>
              <w:t>%</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Revenue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Revenue is comprised of recurring revenue, professional services, hardware, and other revenue. We expect our revenue to increase as we introduce new applications, expand our client base and renew and expand relationships with existing clients. As a percentage of total revenue, we expect our mix of recurring revenue, and professional services, hardware and other revenue to remain relatively constant. While revenue mix varies by product, recurring revenue represented over 91% and 90% of total revenue in the three and six months ended June 30, 2026, respectively, compared to 95% in the three and six months ended June 30, 2025. This decrease was due to the increase in hardware sales as a result of time and attendance business growth.</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revenue was derived from the following sources (in thousands):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tbl>
      <w:tblPr>
        <w:tblStyle w:val="TableNormal0"/>
        <w:tblW w:w="10245" w:type="dxa"/>
        <w:tblInd w:w="0" w:type="dxa"/>
        <w:tblLayout w:type="fixed"/>
      </w:tblPr>
      <w:tblGrid>
        <w:gridCol w:w="4845"/>
        <w:gridCol w:w="1305"/>
        <w:gridCol w:w="60"/>
        <w:gridCol w:w="1305"/>
        <w:gridCol w:w="60"/>
        <w:gridCol w:w="1305"/>
        <w:gridCol w:w="60"/>
        <w:gridCol w:w="1305"/>
      </w:tblGrid>
      <w:tr>
        <w:tblPrEx>
          <w:tblW w:w="10245" w:type="dxa"/>
          <w:tblInd w:w="0" w:type="dxa"/>
          <w:tblLayout w:type="fixed"/>
        </w:tblPrEx>
        <w:trPr>
          <w:trHeight w:hRule="exact" w:val="465"/>
        </w:trPr>
        <w:tc>
          <w:tcPr>
            <w:tcW w:w="48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Three Months Ended</w:t>
            </w:r>
          </w:p>
          <w:p>
            <w:pPr>
              <w:spacing w:after="30" w:line="240" w:lineRule="auto"/>
              <w:jc w:val="center"/>
            </w:pPr>
            <w:r>
              <w:rPr>
                <w:rFonts w:ascii="Times New Roman" w:eastAsia="Times New Roman" w:hAnsi="Times New Roman" w:cs="Times New Roman"/>
                <w:b/>
                <w:i w:val="0"/>
                <w:color w:val="000000"/>
                <w:sz w:val="20"/>
                <w:u w:val="none"/>
              </w:rPr>
              <w:t>June 30,</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Variance</w:t>
            </w:r>
          </w:p>
        </w:tc>
      </w:tr>
      <w:tr>
        <w:tblPrEx>
          <w:tblW w:w="10245" w:type="dxa"/>
          <w:tblInd w:w="0" w:type="dxa"/>
          <w:tblLayout w:type="fixed"/>
        </w:tblPrEx>
        <w:trPr>
          <w:trHeight w:hRule="exact" w:val="285"/>
        </w:trPr>
        <w:tc>
          <w:tcPr>
            <w:tcW w:w="48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r>
      <w:tr>
        <w:tblPrEx>
          <w:tblW w:w="10245" w:type="dxa"/>
          <w:tblInd w:w="0" w:type="dxa"/>
          <w:tblLayout w:type="fixed"/>
        </w:tblPrEx>
        <w:trPr>
          <w:trHeight w:hRule="exact" w:val="285"/>
        </w:trPr>
        <w:tc>
          <w:tcPr>
            <w:tcW w:w="48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Recurring</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33,958</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28,596</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5,362</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19</w:t>
              <w:tab/>
              <w:t>%</w:t>
            </w:r>
          </w:p>
        </w:tc>
      </w:tr>
      <w:tr>
        <w:tblPrEx>
          <w:tblW w:w="10245" w:type="dxa"/>
          <w:tblInd w:w="0" w:type="dxa"/>
          <w:tblLayout w:type="fixed"/>
        </w:tblPrEx>
        <w:trPr>
          <w:trHeight w:hRule="exact" w:val="285"/>
        </w:trPr>
        <w:tc>
          <w:tcPr>
            <w:tcW w:w="484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Professional services, hardware and other</w:t>
            </w:r>
          </w:p>
        </w:tc>
        <w:tc>
          <w:tcPr>
            <w:tcW w:w="130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722"/>
                <w:tab w:val="left" w:pos="1237"/>
              </w:tabs>
              <w:spacing w:before="53" w:after="30" w:line="240" w:lineRule="auto"/>
              <w:jc w:val="right"/>
            </w:pPr>
            <w:r>
              <w:rPr>
                <w:rFonts w:ascii="Times New Roman" w:eastAsia="Times New Roman" w:hAnsi="Times New Roman" w:cs="Times New Roman"/>
                <w:b w:val="0"/>
                <w:i w:val="0"/>
                <w:color w:val="000000"/>
                <w:sz w:val="20"/>
                <w:u w:val="none"/>
              </w:rPr>
              <w:tab/>
              <w:t>3,155</w:t>
              <w:tab/>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722"/>
                <w:tab w:val="left" w:pos="1237"/>
              </w:tabs>
              <w:spacing w:before="53" w:after="30" w:line="240" w:lineRule="auto"/>
              <w:jc w:val="right"/>
            </w:pPr>
            <w:r>
              <w:rPr>
                <w:rFonts w:ascii="Times New Roman" w:eastAsia="Times New Roman" w:hAnsi="Times New Roman" w:cs="Times New Roman"/>
                <w:b w:val="0"/>
                <w:i w:val="0"/>
                <w:color w:val="000000"/>
                <w:sz w:val="20"/>
                <w:u w:val="none"/>
              </w:rPr>
              <w:tab/>
              <w:t>1,528</w:t>
              <w:tab/>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722"/>
                <w:tab w:val="left" w:pos="1237"/>
              </w:tabs>
              <w:spacing w:before="53" w:after="30" w:line="240" w:lineRule="auto"/>
              <w:jc w:val="right"/>
            </w:pPr>
            <w:r>
              <w:rPr>
                <w:rFonts w:ascii="Times New Roman" w:eastAsia="Times New Roman" w:hAnsi="Times New Roman" w:cs="Times New Roman"/>
                <w:b w:val="0"/>
                <w:i w:val="0"/>
                <w:color w:val="000000"/>
                <w:sz w:val="20"/>
                <w:u w:val="none"/>
              </w:rPr>
              <w:tab/>
              <w:t>1,627</w:t>
              <w:tab/>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1"/>
                <w:tab w:val="left" w:pos="369"/>
              </w:tabs>
              <w:spacing w:before="53" w:after="30" w:line="240" w:lineRule="auto"/>
              <w:jc w:val="right"/>
            </w:pPr>
            <w:r>
              <w:rPr>
                <w:rFonts w:ascii="Times New Roman" w:eastAsia="Times New Roman" w:hAnsi="Times New Roman" w:cs="Times New Roman"/>
                <w:b w:val="0"/>
                <w:i w:val="0"/>
                <w:color w:val="000000"/>
                <w:sz w:val="20"/>
                <w:u w:val="none"/>
              </w:rPr>
              <w:tab/>
              <w:t>106</w:t>
              <w:tab/>
              <w:t>%</w:t>
            </w:r>
          </w:p>
        </w:tc>
      </w:tr>
      <w:tr>
        <w:tblPrEx>
          <w:tblW w:w="10245" w:type="dxa"/>
          <w:tblInd w:w="0" w:type="dxa"/>
          <w:tblLayout w:type="fixed"/>
        </w:tblPrEx>
        <w:trPr>
          <w:trHeight w:hRule="exact" w:val="285"/>
        </w:trPr>
        <w:tc>
          <w:tcPr>
            <w:tcW w:w="484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37,113</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30,124</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6,989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23</w:t>
              <w:tab/>
              <w:t>%</w:t>
            </w:r>
          </w:p>
        </w:tc>
      </w:tr>
    </w:tbl>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tbl>
      <w:tblPr>
        <w:tblStyle w:val="TableNormal0"/>
        <w:tblW w:w="10245" w:type="dxa"/>
        <w:jc w:val="left"/>
        <w:tblInd w:w="0" w:type="dxa"/>
        <w:tblLayout w:type="fixed"/>
      </w:tblPr>
      <w:tblGrid>
        <w:gridCol w:w="4845"/>
        <w:gridCol w:w="1305"/>
        <w:gridCol w:w="60"/>
        <w:gridCol w:w="1305"/>
        <w:gridCol w:w="60"/>
        <w:gridCol w:w="1305"/>
        <w:gridCol w:w="60"/>
        <w:gridCol w:w="1305"/>
      </w:tblGrid>
      <w:tr>
        <w:tblPrEx>
          <w:tblW w:w="10245" w:type="dxa"/>
          <w:tblInd w:w="0" w:type="dxa"/>
          <w:tblLayout w:type="fixed"/>
        </w:tblPrEx>
        <w:trPr>
          <w:trHeight w:hRule="exact" w:val="465"/>
        </w:trPr>
        <w:tc>
          <w:tcPr>
            <w:tcW w:w="484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Six Months Ended</w:t>
            </w:r>
          </w:p>
          <w:p>
            <w:pPr>
              <w:spacing w:after="30" w:line="240" w:lineRule="auto"/>
              <w:jc w:val="center"/>
            </w:pPr>
            <w:r>
              <w:rPr>
                <w:rFonts w:ascii="Times New Roman" w:eastAsia="Times New Roman" w:hAnsi="Times New Roman" w:cs="Times New Roman"/>
                <w:b/>
                <w:i w:val="0"/>
                <w:color w:val="000000"/>
                <w:sz w:val="20"/>
                <w:u w:val="none"/>
              </w:rPr>
              <w:t>June 30,</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Variance</w:t>
            </w:r>
          </w:p>
        </w:tc>
      </w:tr>
      <w:tr>
        <w:tblPrEx>
          <w:tblW w:w="10245" w:type="dxa"/>
          <w:tblInd w:w="0" w:type="dxa"/>
          <w:tblLayout w:type="fixed"/>
        </w:tblPrEx>
        <w:trPr>
          <w:trHeight w:hRule="exact" w:val="285"/>
        </w:trPr>
        <w:tc>
          <w:tcPr>
            <w:tcW w:w="484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2026</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c>
          <w:tcPr>
            <w:tcW w:w="6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r>
      <w:tr>
        <w:tblPrEx>
          <w:tblW w:w="10245" w:type="dxa"/>
          <w:tblInd w:w="0" w:type="dxa"/>
          <w:tblLayout w:type="fixed"/>
        </w:tblPrEx>
        <w:trPr>
          <w:trHeight w:hRule="exact" w:val="285"/>
        </w:trPr>
        <w:tc>
          <w:tcPr>
            <w:tcW w:w="48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Recurring</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71,715</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61,783</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9,932</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16</w:t>
              <w:tab/>
              <w:t>%</w:t>
            </w:r>
          </w:p>
        </w:tc>
      </w:tr>
      <w:tr>
        <w:tblPrEx>
          <w:tblW w:w="10245" w:type="dxa"/>
          <w:tblInd w:w="0" w:type="dxa"/>
          <w:tblLayout w:type="fixed"/>
        </w:tblPrEx>
        <w:trPr>
          <w:trHeight w:hRule="exact" w:val="285"/>
        </w:trPr>
        <w:tc>
          <w:tcPr>
            <w:tcW w:w="48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Professional services, hardware and other</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40" w:lineRule="auto"/>
              <w:jc w:val="right"/>
            </w:pPr>
            <w:r>
              <w:rPr>
                <w:rFonts w:ascii="Times New Roman" w:eastAsia="Times New Roman" w:hAnsi="Times New Roman" w:cs="Times New Roman"/>
                <w:b w:val="0"/>
                <w:i w:val="0"/>
                <w:color w:val="000000"/>
                <w:sz w:val="20"/>
                <w:u w:val="none"/>
              </w:rPr>
              <w:tab/>
              <w:t>8,155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40" w:lineRule="auto"/>
              <w:jc w:val="right"/>
            </w:pPr>
            <w:r>
              <w:rPr>
                <w:rFonts w:ascii="Times New Roman" w:eastAsia="Times New Roman" w:hAnsi="Times New Roman" w:cs="Times New Roman"/>
                <w:b w:val="0"/>
                <w:i w:val="0"/>
                <w:color w:val="000000"/>
                <w:sz w:val="20"/>
                <w:u w:val="none"/>
              </w:rPr>
              <w:tab/>
              <w:t>3,195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40" w:lineRule="auto"/>
              <w:jc w:val="right"/>
            </w:pPr>
            <w:r>
              <w:rPr>
                <w:rFonts w:ascii="Times New Roman" w:eastAsia="Times New Roman" w:hAnsi="Times New Roman" w:cs="Times New Roman"/>
                <w:b w:val="0"/>
                <w:i w:val="0"/>
                <w:color w:val="000000"/>
                <w:sz w:val="20"/>
                <w:u w:val="none"/>
              </w:rPr>
              <w:tab/>
              <w:t>4,960</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
                <w:tab w:val="left" w:pos="369"/>
              </w:tabs>
              <w:spacing w:before="53" w:after="30" w:line="240" w:lineRule="auto"/>
              <w:jc w:val="right"/>
            </w:pPr>
            <w:r>
              <w:rPr>
                <w:rFonts w:ascii="Times New Roman" w:eastAsia="Times New Roman" w:hAnsi="Times New Roman" w:cs="Times New Roman"/>
                <w:b w:val="0"/>
                <w:i w:val="0"/>
                <w:color w:val="000000"/>
                <w:sz w:val="20"/>
                <w:u w:val="none"/>
              </w:rPr>
              <w:tab/>
              <w:t>155</w:t>
              <w:tab/>
              <w:t>%</w:t>
            </w:r>
          </w:p>
        </w:tc>
      </w:tr>
      <w:tr>
        <w:tblPrEx>
          <w:tblW w:w="10245" w:type="dxa"/>
          <w:tblInd w:w="0" w:type="dxa"/>
          <w:tblLayout w:type="fixed"/>
        </w:tblPrEx>
        <w:trPr>
          <w:trHeight w:hRule="exact" w:val="285"/>
        </w:trPr>
        <w:tc>
          <w:tcPr>
            <w:tcW w:w="484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79,870</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64,978</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33" w:after="30" w:line="240" w:lineRule="auto"/>
              <w:jc w:val="right"/>
            </w:pPr>
            <w:r>
              <w:rPr>
                <w:rFonts w:ascii="Times New Roman" w:eastAsia="Times New Roman" w:hAnsi="Times New Roman" w:cs="Times New Roman"/>
                <w:b w:val="0"/>
                <w:i w:val="0"/>
                <w:color w:val="000000"/>
                <w:sz w:val="20"/>
                <w:u w:val="none"/>
              </w:rPr>
              <w:t>$</w:t>
              <w:tab/>
              <w:t>14,892</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23</w:t>
              <w:tab/>
              <w:t>%</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color w:val="000000"/>
          <w:sz w:val="20"/>
          <w:highlight w:val="white"/>
          <w:u w:val="none"/>
        </w:rPr>
      </w:pPr>
    </w:p>
    <w:p>
      <w:pPr>
        <w:keepNext w:val="0"/>
        <w:keepLines/>
        <w:pageBreakBefore/>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highlight w:val="white"/>
          <w:u w:val="none"/>
        </w:rPr>
        <w:t>Recurring Revenue</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highlight w:val="white"/>
          <w:u w:val="none"/>
        </w:rPr>
      </w:pPr>
      <w:r>
        <w:rPr>
          <w:rFonts w:ascii="Times New Roman" w:eastAsia="Times New Roman" w:hAnsi="Times New Roman" w:cs="Times New Roman"/>
          <w:b w:val="0"/>
          <w:i w:val="0"/>
          <w:sz w:val="20"/>
        </w:rPr>
        <w:t>Recurring revenues include fees for our payroll and tax management, recruiting services, HR compliance, time and labor management, insurance and benefits administration, AsureMarketplace™ and other Asure solutions as well as fees charged for form filings and delivery of client payroll checks and reports. These revenues are derived from fixed amounts charged per billing period and sometimes an additional fee per employee or transaction processed. We do not require clients to enter into long-term contractual commitments for our services. Our billing period varies by client based on when each client pays its employees, which may be weekly, bi-weekly, semi-monthly or monthly. We also generate recurring revenues from our Reseller Partners that license our solutions. Because recurring revenues are based, in part, on fees for use of our applications and the delivery of checks and reports that are levied on a per-employee basis, our recurring revenues increase as our clients hire more employees. Recurring revenues are recognized in the period services are rendered.</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Recurring revenues include revenues relating to the annual processing of payroll forms, such as Form W-2 and Form 1099, and revenues from processing unscheduled payroll runs (such as bonuses) for our clients. Because payroll forms are typically processed in the first quarter of the year and many of our clients are subject to form filing requirements mandated by the Affordable Care Act (“ACA”), first quarter revenues and margins are generally higher than in subsequent quarters. We anticipate our revenues will continue to exhibit this seasonal pattern related to ACA form filings for so long as the ACA (or replacement legislation) includes employer reporting requirements. In addition, we often experience increased revenues during the fourth quarter due to unscheduled payroll runs for our clients that occur before the end of the year. We expect the seasonality of our revenue cycle to decrease to the extent clients utilize more of our non-payroll applications.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This revenue line also includes interest earned on funds held for clients. Interest earned is generated from funds we collect from clients in advance of either the applicable due date for payroll tax submissions or the applicable disbursement date for employee payment services. These collections from clients are typically disbursed from one to 30 days after receipt, with some funds being held for up to 120 days. We typically invest funds held for clients in money market funds, demand deposit accounts, commercial paper, fixed income securities and certificates of deposit until they are paid to the applicable tax or regulatory agencies or to client employees. The amount of interest we earn from the investment of client funds is also impacted by changes in interest rates.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Recurring revenue for the three months ended June 30, 2026, was $33,958, an increase of $5,362, or 19%, from $28,596 for the three months ended June 30, 2025. The increase is primarily due to an increase in our time and attendance solutions business.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Recurring revenue for the six months ended June 30, 2026, was $71,715, an increase of $9,932, or 16%, from $61,783 for the six months ended June 30, 2025. The increase is primarily due to an increase in our time and attendance solutions business.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sz w:val="20"/>
        </w:rPr>
        <w:t>Professional Services, Hardware and Other Revenue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Professional Services, Hardware and Other Revenues represents implementation fees, one-time consulting projects, on-premise maintenance, hardware devices to enhance our software products.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Professional services, hardware and other revenue for the three months ended June 30, 2026, was $3,155, an increase of $1,627, or 106%, from $1,528 for the three months ended June 30, 2025. This increase is primarily due to an increase in hardware related to our time and attendance solutions.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Professional services, hardware, and other revenue for the six months ended June 30, 2026, was $8,155, an increase of $4,960, or 155%, from $3,195 for the six months ended June 30, 2025. The increase is primarily due to an increase in hardware related to our time and attendance solutions.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Our total customer base is widely spread across industries and sizes. Geographically, we sell our products primarily in the United States.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In addition to continuing to develop our workforce solutions and release of new software updates and enhancements, we continue to actively explore other opportunities to acquire additional products or technologies to complement our current software and services.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Gross Profit and Gross Margin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Consolidated gross profit for the three months ended June 30, 2026, was $25,055, an increase of $5,144, or 26%, from $19,911 for the three months ended June 30, 2025. Gross profit as a percentage of revenue increased to 68% for the three months ended June 30, 2026, from 66% for the same period in 2025. The increase is primarily attributable to the growth in our  time and attendance solutions.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Consolidated gross profit for the six months ended June 30, 2026, was $55,525, an increase of $11,006, or 25%, from $44,519 for the six months ended June 30, 2025. Gross profit as a percentage of revenue increased to 70% for the six months ended June 30, 2026, from 69% for the same period in 2025. The increase is primarily attributable to the growth in our time and attendance solutions.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Our cost of sales relates primarily to direct product costs, compensation for operations and related consulting expenses, web hosting, and related expenses and the amortization of our purchased software development costs. We include intangible amortization related to developed and acquired technology within cost of sales.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Sales and Marketing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Sales and marketing expenses primarily consist of salaries and related expenses for sales and marketing staff, including share-based expenses, commissions, as well as marketing programs, which include events, corporate communications and product marketing activities.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Sales and marketing expenses for the three months ended June 30, 2026, were $9,098, an increase of $949, or 12%, from $8,149 for the three months ended June 30, 2025. The increase is primarily due to an increase in expenditures for lead generation. Sales and marketing expenses as a percentage of revenue decreased to 25% for the three months ended June 30, 2026, from 27% for the same period in 2025.</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Sales and marketing expenses for the six months ended June 30, 2026, were $17,862, an increase of $1,327, or 8%, from $16,535 for the six months ended June 30, 2025. The increase is primarily due to increase in expenditures for lead generation. Sales and marketing expenses as a percentage of revenue decreased to 22% for the six months ended June 30, 2026, from 25% for the same period in 2025.</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We expect to continue to expand and increase selling costs as we focus on hiring direct sales personnel, expanding recognition of our brand, and lead generation.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General and Administrative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General and administrative expenses primarily consist of salaries and related expenses, including share-based expenses for finance and accounting, legal, internal audit, human resources and management information systems personnel, legal costs, professional fees, and other corporate expenses such as transaction costs for acquisitions.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General and administrative expenses for the three months ended June 30, 2026, were $12,099, an increase of $1,131, or 10%, from $10,968 for the three months ended June 30, 2025. The increase is primarily attributable to an increase in compensation-related expenses and contractors due to changes in headcount associated with administrative functions. General and administrative expenses as a percentage of revenue decreased to 33% for the three months ended June 30, 2026 from 36% for the same period in 2025.</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General and administrative expenses for the six months ended June 30, 2026, were $24,847, an increase of $1,979, or 9%, from $22,868 for the six months ended June 30, 2025. The increase is primarily attributable to an increase in compensation-related expenses and contractors due to changes in headcount associated with administrative functions. General and administrative expenses as a percentage of revenue decreased to 31% for the six months ended June 30, 2026, from 35% for the same period in 2025.</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Research and Development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Research and development (“R&amp;D”) expenses consist primarily of salaries and related expenses, including share-based expenses for employees supporting our R&amp;D activities.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R&amp;D expenses for the three months ended June 30, 2026, were $1,565, an increase of $292, or 23%, from $1,273 for the three months ended June 30, 2025. The increase is primarily attributable to an increase in compensation-related expenses and decrease in capitalization of software development expenses, offset by a decrease in contractor expenditures. R&amp;D expenses as a percentage of revenue remained flat at 4% for the three months ended June 30, 2026, and 2025.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R&amp;D expenses for the six months ended June 30, 2026, were $3,222, a decrease of $80, or 2%, from $3,302 for the six months ended June 30, 2025. The decrease is primarily attributable to a decrease in contractor expenditures and an increase in the capitalization of software development expenses, offset by an increase in compensation-related expenses. R&amp;D expenses as a percentage of revenue decreased to 4% for the six months ended June 30, 2026, from 5% for the same period in 2025.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Amortization of Intangible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Amortization expense for the three months ended June 30, 2026, was $4,689, an increase of $516, or 12%, from $4,173 for the three months ended June 30, 2025. The increase is primarily attributable to our continuing acquisitions strategy. Amortization expense as a percentage of revenue decreased to 13% for the three months ended June 30, 2026, from 14% for the same period in 2025.</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Amortization expense for the six months ended June 30, 2026, was $9,661, an increase of $1,180, or 14%, from $8,481 for the six months ended June 30, 2025. The increase is primarily attributable to our continuing acquisitions strategy. Amortization expense as a percentage of revenue decreased to 12% for the six months ended June 30, 2026, from 13% for the same period in 2025.</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Interest Income and Expense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Interest income for the three months ended June 30, 2026, was $168 compared to interest income of $277 for the three months ended June 30, 2025. Interest income as a percentage of revenue was negligible for the three months ended June 30, 2026, compared to 1% for three months ended June 30, 2025. Interest expense for the three months ended June 30, 2026 was $1,753 compared to interest expense of $809 for the three months ended June 30, 2025. Interest expense as a percentage of revenue was 5% for the three months ended June 30, 2026 compared to 3% for the same period in 2025. The increase in interest expense in the three months ended June 30, 2026, is primarily related to interest accrued under our Loan Agreement (defined below) with MidCap Financial Trust (“MidCap”).</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Interest income for the six months ended June 30, 2026 was $354 compared to interest income of $448 for the six months ended June 30, 2025. Interest income as a percentage of revenue was negligible for the six months ended June 30, 2026, compared to 1% for the six months ended June 30, 2025. Interest expense for the six months ended June 30, 2026 was $3,499 compared to interest expense of $1,260 for the six months ended June 30, 2025. Interest expense as a percentage of revenue was 4% for the six months ended June 30, 2026 compared to 2% for the same period in 2025. The increase in interest expense in the six months ended June 30, 2026, is primarily related to interest accrued under our Loan Agreement with MidCap.</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i w:val="0"/>
          <w:sz w:val="20"/>
        </w:rPr>
        <w:t>Other Income (Expense), Net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Other income (expense), net for the three months ended June 30, 2026 was $0 compared to $96 of expense for the three months ended June 30, 2025. Other income, net as a percentage of revenue was negligible for the three months ended June 30, 2026 and 2025.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Other income (expense), net for the six months ended June 30, 2026 was $0 compared to $92 of income for the six months ended June 30, 2025. Other income, net as a percentage of revenue was negligible for the six months ended June 30, 2026 and 2025.</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Income Taxes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For the three months ended June 30, 2026 and 2025, we recorded income tax expense attributable to continuing operations of $462 and $843, respectively, a decrease of $381.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For the six months ended June 30, 2026 and 2025, we recorded income tax expense attributable to continuing operations of $606 and $1,134, respectively, a decrease of $528.</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Net Loss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We incurred a loss of $4,443, or $0.15 per share, during the three months ended June 30, 2026, compared to a loss of $6,123, or $0.22 per share, during the three months ended June 30, 2025. Loss as a percentage of total revenue was 12% and 20% for the three months ended June 30, 2026 and 2025, respectively.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sz w:val="20"/>
        </w:rPr>
        <w:t xml:space="preserve">We incurred a loss of $3,818, or $0.13 per share, during the six months ended June 30, 2026, compared to a loss of $8,521, or $0.31 per share, during the six months ended June 30, 2025. Loss as a percentage of total revenue was 5% and 13% for the six months ended June 30, 2026 and 2025, respectively.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4" w:name="Section25"/>
      <w:bookmarkEnd w:id="24"/>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LIQUIDITY AND CAPITAL RESOURCES </w:t>
      </w:r>
      <w:r>
        <w:rPr>
          <w:rFonts w:ascii="Times New Roman" w:eastAsia="Times New Roman" w:hAnsi="Times New Roman" w:cs="Times New Roman"/>
          <w:b w:val="0"/>
          <w:i w:val="0"/>
          <w:color w:val="000000"/>
          <w:sz w:val="20"/>
          <w:highlight w:val="white"/>
          <w:u w:val="none"/>
        </w:rPr>
        <w:t>(in thousands)</w:t>
      </w:r>
    </w:p>
    <w:tbl>
      <w:tblPr>
        <w:tblStyle w:val="TableNormal0"/>
        <w:tblW w:w="10260" w:type="dxa"/>
        <w:jc w:val="center"/>
        <w:tblLayout w:type="fixed"/>
      </w:tblPr>
      <w:tblGrid>
        <w:gridCol w:w="6165"/>
        <w:gridCol w:w="2025"/>
        <w:gridCol w:w="60"/>
        <w:gridCol w:w="2010"/>
      </w:tblGrid>
      <w:tr>
        <w:tblPrEx>
          <w:tblW w:w="10260" w:type="dxa"/>
          <w:tblLayout w:type="fixed"/>
        </w:tblPrEx>
        <w:trPr>
          <w:trHeight w:hRule="exact" w:val="285"/>
        </w:trPr>
        <w:tc>
          <w:tcPr>
            <w:tcW w:w="616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0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June 30, 2026</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1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r>
      <w:tr>
        <w:tblPrEx>
          <w:tblW w:w="10260" w:type="dxa"/>
          <w:tblLayout w:type="fixed"/>
        </w:tblPrEx>
        <w:trPr>
          <w:trHeight w:hRule="exact" w:val="300"/>
        </w:trPr>
        <w:tc>
          <w:tcPr>
            <w:tcW w:w="616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Cash and cash equivalents</w:t>
            </w:r>
            <w:r>
              <w:rPr>
                <w:rFonts w:ascii="Times New Roman" w:eastAsia="Times New Roman" w:hAnsi="Times New Roman" w:cs="Times New Roman"/>
                <w:b w:val="0"/>
                <w:i w:val="0"/>
                <w:sz w:val="20"/>
                <w:vertAlign w:val="superscript"/>
              </w:rPr>
              <w:t>(1)</w:t>
            </w:r>
          </w:p>
        </w:tc>
        <w:tc>
          <w:tcPr>
            <w:tcW w:w="20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342"/>
                <w:tab w:val="left" w:pos="1957"/>
              </w:tabs>
              <w:spacing w:before="33" w:after="30" w:line="240" w:lineRule="auto"/>
              <w:jc w:val="right"/>
            </w:pPr>
            <w:r>
              <w:rPr>
                <w:rFonts w:ascii="Times New Roman" w:eastAsia="Times New Roman" w:hAnsi="Times New Roman" w:cs="Times New Roman"/>
                <w:b w:val="0"/>
                <w:i w:val="0"/>
                <w:color w:val="000000"/>
                <w:sz w:val="20"/>
                <w:u w:val="none"/>
              </w:rPr>
              <w:t>$</w:t>
              <w:tab/>
              <w:t>19,679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201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327"/>
                <w:tab w:val="left" w:pos="1942"/>
              </w:tabs>
              <w:spacing w:before="33" w:after="30" w:line="240" w:lineRule="auto"/>
              <w:jc w:val="right"/>
            </w:pPr>
            <w:r>
              <w:rPr>
                <w:rFonts w:ascii="Times New Roman" w:eastAsia="Times New Roman" w:hAnsi="Times New Roman" w:cs="Times New Roman"/>
                <w:b w:val="0"/>
                <w:i w:val="0"/>
                <w:color w:val="000000"/>
                <w:sz w:val="20"/>
                <w:u w:val="none"/>
              </w:rPr>
              <w:t>$</w:t>
              <w:tab/>
              <w:t>25,244</w:t>
              <w:tab/>
            </w:r>
          </w:p>
        </w:tc>
      </w:tr>
    </w:tbl>
    <w:p>
      <w:pPr>
        <w:keepNext/>
        <w:keepLines/>
        <w:pageBreakBefore w:val="0"/>
        <w:widowControl w:val="0"/>
        <w:numPr>
          <w:ilvl w:val="0"/>
          <w:numId w:val="18"/>
        </w:numPr>
        <w:spacing w:before="0" w:after="0" w:line="288" w:lineRule="auto"/>
        <w:ind w:left="720" w:right="0" w:hanging="72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This balance excludes cash equivalents in funds held for clients.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Working Capital</w:t>
      </w:r>
      <w:r>
        <w:rPr>
          <w:rFonts w:ascii="Times New Roman" w:eastAsia="Times New Roman" w:hAnsi="Times New Roman" w:cs="Times New Roman"/>
          <w:b w:val="0"/>
          <w:i w:val="0"/>
          <w:sz w:val="20"/>
        </w:rPr>
        <w:t>. We had working capital of $13,434 at June 30, 2026, a decrease of $5,212 from working capital of $18,646 at December 31, 2025. Working capital as of June 30, 2026 and December 31, 2025 includes $6,730 and $11,622 of short-term deferred revenue, respectively. Deferred revenue is an obligation to perform future services. We expect that deferred revenue will convert to future revenue as we perform our services, but this does not represent future payments. Deferred revenue can vary based on seasonality, expiration of initial multi-year contracts and deals that are billed after implementation rather than in advance of service delivery.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Operating Activities</w:t>
      </w:r>
      <w:r>
        <w:rPr>
          <w:rFonts w:ascii="Times New Roman" w:eastAsia="Times New Roman" w:hAnsi="Times New Roman" w:cs="Times New Roman"/>
          <w:b w:val="0"/>
          <w:i w:val="0"/>
          <w:sz w:val="20"/>
        </w:rPr>
        <w:t>. Net cash provided by operating activities of $7,180 for the six months ended June 30, 2026 was primarily driven by non-cash adjustments to our net loss of approximately $18,764, primarily due to depreciation, amortization, and share-based compensation. This was offset by changes in operating assets and liabilities, which resulted in a use of $7,766 in cash. Net cash provided by operating activities of $5,151 for the six months ended June 30, 2025 was primarily driven by non-cash adjustments to our net loss of approximately $17,199, primarily due to depreciation, amortization, and share-based compensation. This was offset by changes in operating assets and liabilities, which resulted in a use of $3,527 in cash.</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Investing Activities</w:t>
      </w:r>
      <w:r>
        <w:rPr>
          <w:rFonts w:ascii="Times New Roman" w:eastAsia="Times New Roman" w:hAnsi="Times New Roman" w:cs="Times New Roman"/>
          <w:b w:val="0"/>
          <w:i w:val="0"/>
          <w:sz w:val="20"/>
        </w:rPr>
        <w:t>. Net cash used in investing activities of $23,205 for the six months ended June 30, 2026, is primarily due to cash paid in business combinations or asset acquisitions of $4,721, purchases of available-for-sale securities  of $23,752, and software capitalization costs of $6,789, partially offset by proceeds from sales and maturities of available-for-sale securities of $12,529. Net cash used in investing activities of $17,814 for the six months ended June 30, 2025, is primarily due to cash paid in asset acquisitions of $6,346, purchases of available-for-sale securities of $12,304, and software capitalization costs of $6,470, partially offset by proceeds from sales and maturities of available-for-sale securities of $7,699.</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Financing Activities</w:t>
      </w:r>
      <w:r>
        <w:rPr>
          <w:rFonts w:ascii="Times New Roman" w:eastAsia="Times New Roman" w:hAnsi="Times New Roman" w:cs="Times New Roman"/>
          <w:b w:val="0"/>
          <w:i w:val="0"/>
          <w:sz w:val="20"/>
        </w:rPr>
        <w:t>. Net cash used in financing activities was $49,187 for the six months ended June 30, 2026, which primarily consisted of a net decrease in client fund obligations of $48,647. Net cash provided by financing activities was $73,097 for the six months ended June 30, 2025, which primarily consisted of net proceeds of $57,982 from the Loan Agreement (defined below) with MidCap and a net increase in client fund obligations of $20,461.</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sz w:val="20"/>
        </w:rPr>
        <w:t>June 30, 2026, we have nine subordinated promissory notes outstanding, all of which related to acquisitions that occurred during the six months ended June 30, 2026 and periods prior to January 1, 2025, with a combined outstanding principal balance of $11,395 and maturity dates ranging from August 1, 2026 to July 1, 2029.</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white"/>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 xml:space="preserve">On April 10, 2025, we entered into a Credit, Security and Guaranty Agreement (as amended, the “Loan Agreement”) with MidCap and the lenders from time to time party thereto (such lenders collectively with MidCap, the “Lenders”). Under the Loan Agreement, we may borrow up to </w:t>
      </w:r>
      <w:r>
        <w:rPr>
          <w:rFonts w:ascii="Times New Roman" w:eastAsia="Times New Roman" w:hAnsi="Times New Roman" w:cs="Times New Roman"/>
          <w:b w:val="0"/>
          <w:i w:val="0"/>
          <w:color w:val="000000"/>
          <w:sz w:val="20"/>
          <w:u w:val="none"/>
        </w:rPr>
        <w:t>$60,000</w:t>
      </w:r>
      <w:r>
        <w:rPr>
          <w:rFonts w:ascii="Times New Roman" w:eastAsia="Times New Roman" w:hAnsi="Times New Roman" w:cs="Times New Roman"/>
          <w:b w:val="0"/>
          <w:i w:val="0"/>
          <w:sz w:val="20"/>
        </w:rPr>
        <w:t xml:space="preserve"> from the Lenders, all of which has been funded as of June 30, 2025. The maturity date of the loan as provided under the Loan Agreement is April 1, 2030 (the “Maturity Date”).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Interest on the outstanding loan balance is payable monthly in arrears at an annual rate of Term SOFR plus </w:t>
      </w:r>
      <w:r>
        <w:rPr>
          <w:rFonts w:ascii="Times New Roman" w:eastAsia="Times New Roman" w:hAnsi="Times New Roman" w:cs="Times New Roman"/>
          <w:b w:val="0"/>
          <w:i w:val="0"/>
          <w:color w:val="000000"/>
          <w:sz w:val="20"/>
          <w:u w:val="none"/>
        </w:rPr>
        <w:t>5.00%</w:t>
      </w:r>
      <w:r>
        <w:rPr>
          <w:rFonts w:ascii="Times New Roman" w:eastAsia="Times New Roman" w:hAnsi="Times New Roman" w:cs="Times New Roman"/>
          <w:b w:val="0"/>
          <w:i w:val="0"/>
          <w:sz w:val="20"/>
        </w:rPr>
        <w:t xml:space="preserve">, subject to a Secured Overnight Financing Rate (“SOFR”) floor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This rate was 8.74%</w:t>
      </w:r>
      <w:r>
        <w:rPr>
          <w:rFonts w:ascii="Times New Roman" w:eastAsia="Times New Roman" w:hAnsi="Times New Roman" w:cs="Times New Roman"/>
          <w:b w:val="0"/>
          <w:i w:val="0"/>
          <w:sz w:val="20"/>
        </w:rPr>
        <w:t xml:space="preserve"> as of </w:t>
      </w:r>
      <w:r>
        <w:rPr>
          <w:rFonts w:ascii="Times New Roman" w:eastAsia="Times New Roman" w:hAnsi="Times New Roman" w:cs="Times New Roman"/>
          <w:b w:val="0"/>
          <w:i w:val="0"/>
          <w:sz w:val="20"/>
        </w:rPr>
        <w:t>June 30,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Prior to April 1, 2029 (the “Amortization Start Date”), we must make interest-only payments on the outstanding loan balance. Commencing on the Amortization Start Date and continuing on the first day of each calendar month thereafter, we will pay an amount equal to the total principal of the outstanding loan balance divided by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sz w:val="20"/>
        </w:rPr>
        <w:t>), for a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sz w:val="20"/>
        </w:rPr>
        <w:t xml:space="preserve">) month straight-line amortization of equal monthly principal payments. Also on a monthly basis, we must pay an administrative agency fee to MidCap equal to </w:t>
      </w:r>
      <w:r>
        <w:rPr>
          <w:rFonts w:ascii="Times New Roman" w:eastAsia="Times New Roman" w:hAnsi="Times New Roman" w:cs="Times New Roman"/>
          <w:b w:val="0"/>
          <w:i w:val="0"/>
          <w:color w:val="000000"/>
          <w:sz w:val="20"/>
          <w:u w:val="none"/>
        </w:rPr>
        <w:t>0.25%</w:t>
      </w:r>
      <w:r>
        <w:rPr>
          <w:rFonts w:ascii="Times New Roman" w:eastAsia="Times New Roman" w:hAnsi="Times New Roman" w:cs="Times New Roman"/>
          <w:b w:val="0"/>
          <w:i w:val="0"/>
          <w:sz w:val="20"/>
        </w:rPr>
        <w:t xml:space="preserve"> of the average end-of-day principal balance outstanding during the immediately preceding month. At the time of the final payment of the loan, we will provide a final payment fee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xml:space="preserve"> of the amount advanced thereunder except in the case of a refinance of the loan with MidCap and the Lenders.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are subject to customary events of default as described in the Loan Agreement. In such event, and for so long as it continues, the outstanding loan balance will bear interest at </w:t>
      </w:r>
      <w:r>
        <w:rPr>
          <w:rFonts w:ascii="Times New Roman" w:eastAsia="Times New Roman" w:hAnsi="Times New Roman" w:cs="Times New Roman"/>
          <w:b w:val="0"/>
          <w:i w:val="0"/>
          <w:color w:val="000000"/>
          <w:sz w:val="20"/>
          <w:u w:val="none"/>
        </w:rPr>
        <w:t>2.0%</w:t>
      </w:r>
      <w:r>
        <w:rPr>
          <w:rFonts w:ascii="Times New Roman" w:eastAsia="Times New Roman" w:hAnsi="Times New Roman" w:cs="Times New Roman"/>
          <w:b w:val="0"/>
          <w:i w:val="0"/>
          <w:sz w:val="20"/>
        </w:rPr>
        <w:t xml:space="preserve"> per annum in excess of the rate otherwise payable. Under the Loan Agreement, we covenant to maintain (1) Total Leverage Ratio (as defined in the Loan Agreement), as tested quarterly, no greater than </w:t>
      </w:r>
      <w:r>
        <w:rPr>
          <w:rFonts w:ascii="Times New Roman" w:eastAsia="Times New Roman" w:hAnsi="Times New Roman" w:cs="Times New Roman"/>
          <w:b w:val="0"/>
          <w:i w:val="0"/>
          <w:color w:val="000000"/>
          <w:sz w:val="20"/>
          <w:u w:val="none"/>
        </w:rPr>
        <w:t>5.50</w:t>
      </w:r>
      <w:r>
        <w:rPr>
          <w:rFonts w:ascii="Times New Roman" w:eastAsia="Times New Roman" w:hAnsi="Times New Roman" w:cs="Times New Roman"/>
          <w:b w:val="0"/>
          <w:i w:val="0"/>
          <w:sz w:val="20"/>
        </w:rPr>
        <w:t xml:space="preserve"> to 1.00, and (2) minimum liquidity threshold of </w:t>
      </w:r>
      <w:r>
        <w:rPr>
          <w:rFonts w:ascii="Times New Roman" w:eastAsia="Times New Roman" w:hAnsi="Times New Roman" w:cs="Times New Roman"/>
          <w:b w:val="0"/>
          <w:i w:val="0"/>
          <w:color w:val="000000"/>
          <w:sz w:val="20"/>
          <w:u w:val="none"/>
        </w:rPr>
        <w:t>$10,000</w:t>
      </w:r>
      <w:r>
        <w:rPr>
          <w:rFonts w:ascii="Times New Roman" w:eastAsia="Times New Roman" w:hAnsi="Times New Roman" w:cs="Times New Roman"/>
          <w:b w:val="0"/>
          <w:i w:val="0"/>
          <w:sz w:val="20"/>
        </w:rPr>
        <w:t>. As of June 30, 2026, we are in compliance with all covenants under the Loan Agreement.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w:t>
      </w:r>
      <w:r>
        <w:rPr>
          <w:rFonts w:ascii="Times New Roman" w:eastAsia="Times New Roman" w:hAnsi="Times New Roman" w:cs="Times New Roman"/>
          <w:b w:val="0"/>
          <w:i w:val="0"/>
          <w:sz w:val="20"/>
        </w:rPr>
        <w:t xml:space="preserve">n connection with the Loan Agreement and subsequent draw, we incurred $2,025 of origination, legal, and other fees that represent debt financing costs to be deferred and amortized over the duration of the Loan Agreement. As a result, </w:t>
      </w:r>
      <w:r>
        <w:rPr>
          <w:rFonts w:ascii="Times New Roman" w:eastAsia="Times New Roman" w:hAnsi="Times New Roman" w:cs="Times New Roman"/>
          <w:b w:val="0"/>
          <w:i w:val="0"/>
          <w:sz w:val="20"/>
        </w:rPr>
        <w:t>net proceeds of all borrowings under the Loan Agreement were $57,975.</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Sources of Liquidity</w:t>
      </w:r>
      <w:r>
        <w:rPr>
          <w:rFonts w:ascii="Times New Roman" w:eastAsia="Times New Roman" w:hAnsi="Times New Roman" w:cs="Times New Roman"/>
          <w:b w:val="0"/>
          <w:i w:val="0"/>
          <w:sz w:val="20"/>
        </w:rPr>
        <w:t>. As of June 30, 2026, our principal sources of liquidity consisted of $19,679 of cash and cash equivalents generated from operations of our business, which we expect to be our principal source of liquidity over the next twelve months. Additionally, we have access to an “at the market offering” program entered in October 31, 2024, under which we may offer and sell up to $25,000 of newly issued shares of common stock. As of June 30, 2026, there are $25,000 of shares of common stock available for issuance under this program.</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cannot ensure that we can grow our cash balances or limit our cash consumption and thus maintain sufficient cash balances for our planned operations or future acquisitions; however, we do believe that we have sufficient liquidity to support our business operations for at least the next twelve months. Future business demands may lead to cash utilization at levels greater than recently experienced or expected. We may need to raise additional capital in the future in order to grow our existing software operations and to seek additional strategic acquisitions in the near future. Further, we cannot ensure that we will be able to raise additional capital on acceptable terms, or at all, or at the time we need it.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16"/>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5" w:name="Section26"/>
      <w:bookmarkEnd w:id="25"/>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sz w:val="20"/>
        </w:rPr>
      </w:pPr>
      <w:r>
        <w:rPr>
          <w:rFonts w:ascii="Times New Roman" w:eastAsia="Times New Roman" w:hAnsi="Times New Roman" w:cs="Times New Roman"/>
          <w:b/>
          <w:i w:val="0"/>
          <w:sz w:val="20"/>
        </w:rPr>
        <w:t>CRITICAL ACCOUNTING POLICIES AND ESTIMATES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preparation of the Condensed Consolidated Financial Statements in conformity with U.S. generally accepted accounting principles requires management to make estimates and assumptions that affect the reported amounts of the assets and liabilities at the date of the financial statements and the reported amounts of revenues and expenses during the reporting period. These estimates are subjective in nature and involve judgments that affect the amounts reported. The Condensed Consolidated Financial Statements and the Notes to the Condensed Consolidated Financial Statements in Item 1 of this Form 10-Q, and the Notes to the Consolidated Financial Statements in Part II, Item 8 of our Annual Report on Form 10-K for the year ended </w:t>
      </w:r>
      <w:r>
        <w:rPr>
          <w:rFonts w:ascii="Times New Roman" w:eastAsia="Times New Roman" w:hAnsi="Times New Roman" w:cs="Times New Roman"/>
          <w:b w:val="0"/>
          <w:i w:val="0"/>
          <w:sz w:val="20"/>
        </w:rPr>
        <w:t>December 31, 2025</w:t>
      </w:r>
      <w:r>
        <w:rPr>
          <w:rFonts w:ascii="Times New Roman" w:eastAsia="Times New Roman" w:hAnsi="Times New Roman" w:cs="Times New Roman"/>
          <w:b w:val="0"/>
          <w:i w:val="0"/>
          <w:sz w:val="20"/>
        </w:rPr>
        <w:t xml:space="preserve">, describe the significant accounting policies and methods used in the preparation of our consolidated financial statements. There have been no material changes to our critical accounting estimates included in our Annual Report on Form 10-K for the year ended </w:t>
      </w:r>
      <w:r>
        <w:rPr>
          <w:rFonts w:ascii="Times New Roman" w:eastAsia="Times New Roman" w:hAnsi="Times New Roman" w:cs="Times New Roman"/>
          <w:b w:val="0"/>
          <w:i w:val="0"/>
          <w:sz w:val="20"/>
        </w:rPr>
        <w:t>December 31, 2025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bookmarkStart w:id="26" w:name="Section27"/>
      <w:bookmarkEnd w:id="26"/>
      <w:r>
        <w:rPr>
          <w:rFonts w:ascii="Times New Roman" w:eastAsia="Times New Roman" w:hAnsi="Times New Roman" w:cs="Times New Roman"/>
          <w:b/>
          <w:i w:val="0"/>
          <w:sz w:val="20"/>
        </w:rPr>
        <w:t>ITEM 3. QUANTITATIVE AND QUALITATIVE DISCLOSURES ABOUT MARKET RISK</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There have been no material changes to our exposure from market risks from those disclosed in our 2025 Annual Report on Form 10-K.</w:t>
      </w:r>
    </w:p>
    <w:p>
      <w:pPr>
        <w:keepNext/>
        <w:keepLines/>
        <w:pageBreakBefore w:val="0"/>
        <w:widowControl w:val="0"/>
        <w:numPr>
          <w:ilvl w:val="0"/>
          <w:numId w:val="0"/>
        </w:numPr>
        <w:spacing w:before="0" w:after="0" w:line="288" w:lineRule="auto"/>
        <w:ind w:left="0" w:right="0" w:firstLine="720"/>
        <w:jc w:val="both"/>
        <w:outlineLvl w:val="9"/>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7" w:name="Section28"/>
      <w:bookmarkEnd w:id="27"/>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4. CONTROLS AND PROCEDURES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Evaluation of Disclosure Control and Procedures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The Company maintains disclosure controls and procedures as defined in Rules 13a-15(e) and 15d-15(e) under the Exchange Act that are designed to ensure that information required to be disclosed in the reports filed or submitted by Asure to the SEC is recorded, processed, summarized, and reported, within the time periods specified by the SEC’s rules and forms, and is accumulated and communicated to management including the Chief Executive Officer and Chief Financial Officer, as appropriate, to allow timely decisions regarding required disclosure. The Company’s management, including the Chief Executive Officer and Chief Financial Officer, performed an evaluation to conclude with reasonable assurance that Asure’s disclosure controls and procedures were designed and operating effectively to report the information each company is required to disclose in the reports they file with the SEC on a timely basis. Based on that evaluation, the Chief Executive Officer and the Chief Financial Officer of Asure have concluded that as of  June 30, 2026, disclosure controls and procedures were effective.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Change in Internal Controls over Financial Reporting</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There were no changes in our internal control over financial reporting (as defined in Rules 13a-15(f) or 15d-15(f) of the Exchange Act) that occurred during the period ended June 30, 2026, that have materially affected, or are reasonably likely to materially affect, our internal control over financial reporting.</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855"/>
        <w:jc w:val="center"/>
        <w:outlineLvl w:val="0"/>
        <w:rPr>
          <w:rFonts w:ascii="Times New Roman" w:eastAsia="Times New Roman" w:hAnsi="Times New Roman" w:cs="Times New Roman"/>
          <w:b/>
          <w:i w:val="0"/>
          <w:sz w:val="20"/>
        </w:rPr>
      </w:pPr>
      <w:bookmarkStart w:id="28" w:name="Section29"/>
      <w:bookmarkEnd w:id="28"/>
      <w:r>
        <w:rPr>
          <w:rFonts w:ascii="Times New Roman" w:eastAsia="Times New Roman" w:hAnsi="Times New Roman" w:cs="Times New Roman"/>
          <w:b/>
          <w:i w:val="0"/>
          <w:sz w:val="20"/>
        </w:rPr>
        <w:t>PART II – OTHER INFORMATION</w:t>
      </w:r>
    </w:p>
    <w:p>
      <w:pPr>
        <w:keepNext w:val="0"/>
        <w:keepLines/>
        <w:pageBreakBefore w:val="0"/>
        <w:widowControl w:val="0"/>
        <w:numPr>
          <w:ilvl w:val="0"/>
          <w:numId w:val="0"/>
        </w:numPr>
        <w:spacing w:before="0" w:after="0" w:line="288" w:lineRule="auto"/>
        <w:ind w:left="0" w:right="0" w:firstLine="855"/>
        <w:jc w:val="center"/>
        <w:outlineLvl w:val="0"/>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29" w:name="Section30"/>
      <w:bookmarkEnd w:id="29"/>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 LEGAL PROCEEDINGS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 xml:space="preserve">We have been, and in the future may be, the defendant or plaintiff in various actions arising in the normal course of business. As of June 30, 2026, we were not party to any material legal proceedings. </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0" w:name="Section31"/>
      <w:bookmarkEnd w:id="30"/>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ITEM 1A. RISK FACTORS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There have been no material changes from the risk factors previously disclosed in the Company’s 2025 Annual Report on Form 10-K, filed with the SEC on February 26, 2026, and investors are encouraged to review these risk factors prior to making an investment in the Company.</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bookmarkStart w:id="31" w:name="Section32"/>
      <w:bookmarkEnd w:id="31"/>
    </w:p>
    <w:p>
      <w:pPr>
        <w:keepNext w:val="0"/>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ITEM 2. UNREGISTERED SALES OF EQUITY SECURITIES AND USE OF PROCEEDS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None.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2" w:name="Section33"/>
      <w:bookmarkEnd w:id="32"/>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3. DEFAULTS UPON SENIOR SECURITIES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3" w:name="Section34"/>
      <w:bookmarkEnd w:id="33"/>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4. MINE SAFETY DISCLOSURES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bookmarkStart w:id="34" w:name="Section35"/>
      <w:bookmarkEnd w:id="34"/>
      <w:r>
        <w:rPr>
          <w:rFonts w:ascii="Times New Roman" w:eastAsia="Times New Roman" w:hAnsi="Times New Roman" w:cs="Times New Roman"/>
          <w:b/>
          <w:i w:val="0"/>
          <w:sz w:val="20"/>
        </w:rPr>
        <w:t>ITEM 5. OTHER INFORMATION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During the three months ended June 30, 2026, </w:t>
      </w:r>
      <w:r>
        <w:rPr>
          <w:rFonts w:ascii="Times New Roman" w:eastAsia="Times New Roman" w:hAnsi="Times New Roman" w:cs="Times New Roman"/>
          <w:b w:val="0"/>
          <w:i w:val="0"/>
          <w:color w:val="000000"/>
          <w:sz w:val="20"/>
          <w:u w:val="none"/>
        </w:rPr>
        <w:t>none of our directors or officers have entered into, amended, or terminated, a 10b5-1 trading plan.</w:t>
      </w:r>
      <w:r>
        <w:rPr>
          <w:rFonts w:ascii="Times New Roman" w:eastAsia="Times New Roman" w:hAnsi="Times New Roman" w:cs="Times New Roman"/>
          <w:b w:val="0"/>
          <w:i w:val="0"/>
          <w:sz w:val="20"/>
        </w:rPr>
        <w:t xml:space="preserve"> </w:t>
      </w:r>
    </w:p>
    <w:p>
      <w:pPr>
        <w:keepNext/>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bookmarkStart w:id="35" w:name="Section36"/>
      <w:bookmarkEnd w:id="35"/>
      <w:r>
        <w:rPr>
          <w:rFonts w:ascii="Times New Roman" w:eastAsia="Times New Roman" w:hAnsi="Times New Roman" w:cs="Times New Roman"/>
          <w:b/>
          <w:i w:val="0"/>
          <w:sz w:val="20"/>
        </w:rPr>
        <w:t>ITEM 6. EXHIBITS, FINANCIAL STATEMENT SCHEDULES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keepLines/>
        <w:pageBreakBefore w:val="0"/>
        <w:widowControl w:val="0"/>
        <w:numPr>
          <w:ilvl w:val="0"/>
          <w:numId w:val="19"/>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following documents are filed as a part of this Quarterly Report on Form 10-Q:</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20"/>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Financial Statements:</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144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Financial Statements required by this item are submitted in Part I, Item 1 of this report.</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20"/>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Financial Statement Schedules:</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144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schedules are omitted because they are not applicable, or the required information is shown in the Financial Statements or in the notes thereto.</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20"/>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Exhibits: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Style w:val="TableNormal0"/>
        <w:tblW w:w="10230" w:type="dxa"/>
        <w:jc w:val="left"/>
        <w:tblInd w:w="0" w:type="dxa"/>
        <w:tblLayout w:type="fixed"/>
      </w:tblPr>
      <w:tblGrid>
        <w:gridCol w:w="1140"/>
        <w:gridCol w:w="195"/>
        <w:gridCol w:w="8895"/>
      </w:tblGrid>
      <w:tr>
        <w:tblPrEx>
          <w:tblW w:w="10230" w:type="dxa"/>
          <w:tblInd w:w="0" w:type="dxa"/>
          <w:tblLayout w:type="fixed"/>
        </w:tblPrEx>
        <w:trPr>
          <w:trHeight w:hRule="exact" w:val="480"/>
          <w:tblHeader/>
        </w:trPr>
        <w:tc>
          <w:tcPr>
            <w:tcW w:w="1140"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i w:val="0"/>
                <w:color w:val="000000"/>
                <w:sz w:val="20"/>
                <w:u w:val="none"/>
              </w:rPr>
              <w:t>EXHIBIT NUMBER</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both"/>
            </w:pPr>
            <w:r>
              <w:rPr>
                <w:rFonts w:ascii="Times New Roman" w:eastAsia="Times New Roman" w:hAnsi="Times New Roman" w:cs="Times New Roman"/>
                <w:b/>
                <w:i w:val="0"/>
                <w:color w:val="000000"/>
                <w:sz w:val="20"/>
                <w:u w:val="none"/>
              </w:rPr>
              <w:t>DESCRIPTION</w:t>
            </w:r>
          </w:p>
        </w:tc>
      </w:tr>
      <w:tr>
        <w:tblPrEx>
          <w:tblW w:w="10230" w:type="dxa"/>
          <w:tblInd w:w="0" w:type="dxa"/>
          <w:tblLayout w:type="fixed"/>
        </w:tblPrEx>
        <w:trPr>
          <w:trHeight w:hRule="exact" w:val="120"/>
          <w:tblHeader/>
        </w:trPr>
        <w:tc>
          <w:tcPr>
            <w:tcW w:w="1140"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22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8" w:history="1">
              <w:r>
                <w:rPr>
                  <w:rFonts w:ascii="Times New Roman" w:eastAsia="Times New Roman" w:hAnsi="Times New Roman" w:cs="Times New Roman"/>
                  <w:b w:val="0"/>
                  <w:i w:val="0"/>
                  <w:color w:val="0000FF"/>
                  <w:sz w:val="20"/>
                  <w:u w:val="single"/>
                  <w:shd w:val="clear" w:color="auto" w:fill="auto"/>
                </w:rPr>
                <w:t>31.1*</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19" w:history="1">
              <w:r>
                <w:rPr>
                  <w:rFonts w:ascii="Times New Roman" w:eastAsia="Times New Roman" w:hAnsi="Times New Roman" w:cs="Times New Roman"/>
                  <w:b w:val="0"/>
                  <w:i w:val="0"/>
                  <w:color w:val="0000FF"/>
                  <w:sz w:val="20"/>
                  <w:u w:val="single"/>
                  <w:shd w:val="clear" w:color="auto" w:fill="auto"/>
                </w:rPr>
                <w:t>Certification pursuant to Section 302 of the Sarbanes-Oxley Act of 2002.</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28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0" w:history="1">
              <w:r>
                <w:rPr>
                  <w:rFonts w:ascii="Times New Roman" w:eastAsia="Times New Roman" w:hAnsi="Times New Roman" w:cs="Times New Roman"/>
                  <w:b w:val="0"/>
                  <w:i w:val="0"/>
                  <w:color w:val="0000FF"/>
                  <w:sz w:val="20"/>
                  <w:u w:val="single"/>
                  <w:shd w:val="clear" w:color="auto" w:fill="auto"/>
                </w:rPr>
                <w:t>31.2*</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1" w:history="1">
              <w:r>
                <w:rPr>
                  <w:rFonts w:ascii="Times New Roman" w:eastAsia="Times New Roman" w:hAnsi="Times New Roman" w:cs="Times New Roman"/>
                  <w:b w:val="0"/>
                  <w:i w:val="0"/>
                  <w:color w:val="0000FF"/>
                  <w:sz w:val="20"/>
                  <w:u w:val="single"/>
                  <w:shd w:val="clear" w:color="auto" w:fill="auto"/>
                </w:rPr>
                <w:t>Certification pursuant to Section 302 of the Sarbanes-Oxley Act of 2002.</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230" w:type="dxa"/>
          <w:tblInd w:w="0" w:type="dxa"/>
          <w:tblLayout w:type="fixed"/>
        </w:tblPrEx>
        <w:trPr>
          <w:trHeight w:hRule="exact" w:val="46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2" w:history="1">
              <w:r>
                <w:rPr>
                  <w:rFonts w:ascii="Times New Roman" w:eastAsia="Times New Roman" w:hAnsi="Times New Roman" w:cs="Times New Roman"/>
                  <w:b w:val="0"/>
                  <w:i w:val="0"/>
                  <w:color w:val="0000FF"/>
                  <w:sz w:val="20"/>
                  <w:u w:val="single"/>
                  <w:shd w:val="clear" w:color="auto" w:fill="auto"/>
                </w:rPr>
                <w:t>32.1**</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3" w:history="1">
              <w:r>
                <w:rPr>
                  <w:rFonts w:ascii="Times New Roman" w:eastAsia="Times New Roman" w:hAnsi="Times New Roman" w:cs="Times New Roman"/>
                  <w:b w:val="0"/>
                  <w:i w:val="0"/>
                  <w:color w:val="0000FF"/>
                  <w:sz w:val="20"/>
                  <w:u w:val="single"/>
                  <w:shd w:val="clear" w:color="auto" w:fill="auto"/>
                </w:rPr>
                <w:t>Certification pursuant to 18 U.S.C. Section 1350, as adopted pursuant to Section 906 of the Sarbanes-Oxley Act of 2002.</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230" w:type="dxa"/>
          <w:tblInd w:w="0" w:type="dxa"/>
          <w:tblLayout w:type="fixed"/>
        </w:tblPrEx>
        <w:trPr>
          <w:trHeight w:hRule="exact" w:val="465"/>
        </w:trPr>
        <w:tc>
          <w:tcPr>
            <w:tcW w:w="1140"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4" w:history="1">
              <w:r>
                <w:rPr>
                  <w:rFonts w:ascii="Times New Roman" w:eastAsia="Times New Roman" w:hAnsi="Times New Roman" w:cs="Times New Roman"/>
                  <w:b w:val="0"/>
                  <w:i w:val="0"/>
                  <w:color w:val="0000FF"/>
                  <w:sz w:val="20"/>
                  <w:u w:val="single"/>
                  <w:shd w:val="clear" w:color="auto" w:fill="auto"/>
                </w:rPr>
                <w:t>32.2**</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53" w:type="dxa"/>
              <w:bottom w:w="0" w:type="dxa"/>
              <w:right w:w="53" w:type="dxa"/>
            </w:tcMar>
            <w:vAlign w:val="top"/>
          </w:tcPr>
          <w:p>
            <w:pPr>
              <w:pStyle w:val="Normal-wk"/>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5" w:history="1">
              <w:r>
                <w:rPr>
                  <w:rFonts w:ascii="Times New Roman" w:eastAsia="Times New Roman" w:hAnsi="Times New Roman" w:cs="Times New Roman"/>
                  <w:b w:val="0"/>
                  <w:i w:val="0"/>
                  <w:color w:val="0000FF"/>
                  <w:sz w:val="20"/>
                  <w:u w:val="single"/>
                  <w:shd w:val="clear" w:color="auto" w:fill="auto"/>
                </w:rPr>
                <w:t>Certification pursuant to 18 U.S.C. Section 1350, as adopted pursuant to Section 906 of the Sarbanes-Oxley Act of 2002.</w:t>
              </w:r>
            </w:hyperlink>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trHeight w:hRule="exact" w:val="1065"/>
        </w:trPr>
        <w:tc>
          <w:tcPr>
            <w:tcW w:w="1140" w:type="dxa"/>
            <w:tcBorders>
              <w:top w:val="nil"/>
              <w:left w:val="nil"/>
              <w:bottom w:val="nil"/>
              <w:right w:val="nil"/>
            </w:tcBorders>
            <w:tcMar>
              <w:top w:w="0" w:type="dxa"/>
              <w:left w:w="53" w:type="dxa"/>
              <w:bottom w:w="0" w:type="dxa"/>
              <w:right w:w="15"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101</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following materials from Asure Software, Inc.’s Quarterly Report on Form 10-Q for the three months ended June 30, 2026, formatted in Inline XBRL: (1) the Condensed Consolidated Balance Sheets, (2) the Condensed Consolidated Statements of Comprehensive Loss, (3) the Condensed Consolidated Statements of Changes in Stockholders’ Equity, (4) the Condensed Consolidated Statements of Cash Flows, and (5) Notes to Condensed Consolidated Financial Statements (filed herewith).</w:t>
            </w:r>
          </w:p>
        </w:tc>
      </w:tr>
      <w:tr>
        <w:tblPrEx>
          <w:tblW w:w="10230" w:type="dxa"/>
          <w:tblInd w:w="0" w:type="dxa"/>
          <w:tblLayout w:type="fixed"/>
        </w:tblPrEx>
        <w:trPr>
          <w:trHeight w:hRule="exact" w:val="120"/>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230" w:type="dxa"/>
          <w:tblInd w:w="0" w:type="dxa"/>
          <w:tblLayout w:type="fixed"/>
        </w:tblPrEx>
        <w:trPr>
          <w:trHeight w:hRule="exact" w:val="495"/>
        </w:trPr>
        <w:tc>
          <w:tcPr>
            <w:tcW w:w="1140" w:type="dxa"/>
            <w:tcBorders>
              <w:top w:val="nil"/>
              <w:left w:val="nil"/>
              <w:bottom w:val="nil"/>
              <w:right w:val="nil"/>
            </w:tcBorders>
            <w:tcMar>
              <w:top w:w="0" w:type="dxa"/>
              <w:left w:w="53" w:type="dxa"/>
              <w:bottom w:w="0" w:type="dxa"/>
              <w:right w:w="15"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104</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cover page from the Company’s Quarterly Report on Form 10-Q for the quarter ended June 30, 2026, formatted as Inline XBRL and contained in Exhibit 101 (filed herewith).</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Filed herewith.</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Furnished herewith.</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36" w:name="Section37"/>
      <w:bookmarkEnd w:id="36"/>
      <w:r>
        <w:rPr>
          <w:rFonts w:ascii="Times New Roman" w:eastAsia="Times New Roman" w:hAnsi="Times New Roman" w:cs="Times New Roman"/>
          <w:b/>
          <w:i w:val="0"/>
          <w:sz w:val="20"/>
        </w:rPr>
        <w:t>SIGNATURES</w:t>
      </w:r>
    </w:p>
    <w:p>
      <w:pPr>
        <w:keepNext/>
        <w:keepLines/>
        <w:pageBreakBefore w:val="0"/>
        <w:widowControl w:val="0"/>
        <w:numPr>
          <w:ilvl w:val="0"/>
          <w:numId w:val="0"/>
        </w:numPr>
        <w:spacing w:before="0" w:after="0" w:line="288" w:lineRule="auto"/>
        <w:ind w:left="0" w:right="0" w:firstLine="135"/>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Pursuant to the requirements of the Securities Exchange Act of 1934, as amended, the registrant has duly caused this report to be signed on its behalf by the undersigned thereunto duly authorized.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tbl>
      <w:tblPr>
        <w:tblStyle w:val="TableNormal0"/>
        <w:tblW w:w="10200" w:type="dxa"/>
        <w:jc w:val="left"/>
        <w:tblInd w:w="0" w:type="dxa"/>
        <w:tblLayout w:type="fixed"/>
      </w:tblPr>
      <w:tblGrid>
        <w:gridCol w:w="2235"/>
        <w:gridCol w:w="405"/>
        <w:gridCol w:w="3705"/>
        <w:gridCol w:w="3855"/>
      </w:tblGrid>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110" w:type="dxa"/>
            <w:gridSpan w:val="2"/>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ASURE SOFTWARE, INC.</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Date: July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370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37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(Principal Executive Officer)</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Date: July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370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John Pence</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7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w:t>
            </w:r>
          </w:p>
        </w:tc>
        <w:tc>
          <w:tcPr>
            <w:tcW w:w="38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00" w:type="dxa"/>
          <w:tblInd w:w="0" w:type="dxa"/>
          <w:tblLayout w:type="fixed"/>
        </w:tblPrEx>
        <w:trPr>
          <w:trHeight w:hRule="exact" w:val="285"/>
        </w:trPr>
        <w:tc>
          <w:tcPr>
            <w:tcW w:w="223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7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(Principal Financial and Accounting Officer)</w:t>
            </w:r>
          </w:p>
        </w:tc>
        <w:tc>
          <w:tcPr>
            <w:tcW w:w="385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37" w:name="Section38"/>
      <w:bookmarkEnd w:id="37"/>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302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Patrick Goepel, certify, that:</w:t>
      </w:r>
    </w:p>
    <w:p>
      <w:pPr>
        <w:keepNext w:val="0"/>
        <w:keepLines/>
        <w:pageBreakBefore w:val="0"/>
        <w:widowControl w:val="0"/>
        <w:numPr>
          <w:ilvl w:val="0"/>
          <w:numId w:val="21"/>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 have reviewed this annual report on Form 10-K of the Company for the calendar year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(the “Report”);</w:t>
      </w:r>
    </w:p>
    <w:p>
      <w:pPr>
        <w:keepNext w:val="0"/>
        <w:keepLines/>
        <w:pageBreakBefore w:val="0"/>
        <w:widowControl w:val="0"/>
        <w:numPr>
          <w:ilvl w:val="0"/>
          <w:numId w:val="21"/>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pPr>
        <w:keepNext w:val="0"/>
        <w:keepLines/>
        <w:pageBreakBefore w:val="0"/>
        <w:widowControl w:val="0"/>
        <w:numPr>
          <w:ilvl w:val="0"/>
          <w:numId w:val="21"/>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pPr>
        <w:keepNext w:val="0"/>
        <w:keepLines/>
        <w:pageBreakBefore w:val="0"/>
        <w:widowControl w:val="0"/>
        <w:numPr>
          <w:ilvl w:val="0"/>
          <w:numId w:val="21"/>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pPr>
        <w:keepNext w:val="0"/>
        <w:keepLines/>
        <w:pageBreakBefore w:val="0"/>
        <w:widowControl w:val="0"/>
        <w:numPr>
          <w:ilvl w:val="0"/>
          <w:numId w:val="22"/>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pPr>
        <w:keepNext w:val="0"/>
        <w:keepLines/>
        <w:pageBreakBefore w:val="0"/>
        <w:widowControl w:val="0"/>
        <w:numPr>
          <w:ilvl w:val="0"/>
          <w:numId w:val="22"/>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pPr>
        <w:keepNext w:val="0"/>
        <w:keepLines/>
        <w:pageBreakBefore w:val="0"/>
        <w:widowControl w:val="0"/>
        <w:numPr>
          <w:ilvl w:val="0"/>
          <w:numId w:val="22"/>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pPr>
        <w:keepNext w:val="0"/>
        <w:keepLines/>
        <w:pageBreakBefore w:val="0"/>
        <w:widowControl w:val="0"/>
        <w:numPr>
          <w:ilvl w:val="0"/>
          <w:numId w:val="22"/>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Disclosed in the Report any change in the Company’s internal control over financial reporting that occurred during the Company’s most recent fiscal quarter (the quarter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that has materially affected, or is reasonably likely to materially affect, the Company’s internal control over financial reporting; and</w:t>
      </w:r>
    </w:p>
    <w:p>
      <w:pPr>
        <w:keepNext w:val="0"/>
        <w:keepLines/>
        <w:pageBreakBefore w:val="0"/>
        <w:widowControl w:val="0"/>
        <w:numPr>
          <w:ilvl w:val="0"/>
          <w:numId w:val="21"/>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have disclosed, based on our most recent evaluation of internal control over financial reporting, to the Company’s auditors and to the Audit Committee of the Board of Directors:</w:t>
      </w:r>
    </w:p>
    <w:p>
      <w:pPr>
        <w:keepNext w:val="0"/>
        <w:keepLines/>
        <w:pageBreakBefore w:val="0"/>
        <w:widowControl w:val="0"/>
        <w:numPr>
          <w:ilvl w:val="0"/>
          <w:numId w:val="23"/>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significant deficiencies or material weaknesses in the design or operation of internal control over financial reporting which are reasonably likely to adversely affect the Company’s ability to record, process, summarize and report financial information; and</w:t>
      </w:r>
    </w:p>
    <w:p>
      <w:pPr>
        <w:keepNext w:val="0"/>
        <w:keepLines/>
        <w:pageBreakBefore w:val="0"/>
        <w:widowControl w:val="0"/>
        <w:numPr>
          <w:ilvl w:val="0"/>
          <w:numId w:val="23"/>
        </w:numPr>
        <w:spacing w:before="200" w:after="10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Any fraud, whether or not material, that involves management or other employees who have a significant role in the Company’s internal control over financial reporting.</w:t>
      </w:r>
    </w:p>
    <w:tbl>
      <w:tblPr>
        <w:tblStyle w:val="TableNormal0"/>
        <w:tblW w:w="10260" w:type="dxa"/>
        <w:jc w:val="left"/>
        <w:tblInd w:w="0" w:type="dxa"/>
        <w:tblLayout w:type="fixed"/>
      </w:tblPr>
      <w:tblGrid>
        <w:gridCol w:w="2850"/>
        <w:gridCol w:w="405"/>
        <w:gridCol w:w="7005"/>
      </w:tblGrid>
      <w:tr>
        <w:tblPrEx>
          <w:tblW w:w="10260" w:type="dxa"/>
          <w:tblInd w:w="0" w:type="dxa"/>
          <w:tblLayout w:type="fixed"/>
        </w:tblPrEx>
        <w:trPr>
          <w:trHeight w:hRule="exact" w:val="285"/>
        </w:trPr>
        <w:tc>
          <w:tcPr>
            <w:tcW w:w="285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July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700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r>
      <w:tr>
        <w:tblPrEx>
          <w:tblW w:w="10260" w:type="dxa"/>
          <w:tblInd w:w="0" w:type="dxa"/>
          <w:tblLayout w:type="fixed"/>
        </w:tblPrEx>
        <w:trPr>
          <w:trHeight w:hRule="exact" w:val="285"/>
        </w:trPr>
        <w:tc>
          <w:tcPr>
            <w:tcW w:w="2850"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0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r>
      <w:tr>
        <w:tblPrEx>
          <w:tblW w:w="10260" w:type="dxa"/>
          <w:tblInd w:w="0" w:type="dxa"/>
          <w:tblLayout w:type="fixed"/>
        </w:tblPrEx>
        <w:trPr>
          <w:trHeight w:hRule="exact" w:val="285"/>
        </w:trPr>
        <w:tc>
          <w:tcPr>
            <w:tcW w:w="285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70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r>
    </w:tbl>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26"/>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38" w:name="Section39"/>
      <w:bookmarkEnd w:id="38"/>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302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John Pence, certify, that: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 have reviewed this annual report on Form 10-K of the Company for the calendar year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(the “Report”);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Disclosed in the Report any change in the Company’s internal control over financial reporting that occurred during the Company’s most recent fiscal quarter (the quarter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that has materially affected, or is reasonably likely to materially affect, the Company’s internal control over financial reporting; and</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have disclosed, based on our most recent evaluation of internal control over financial reporting, to the Company’s auditors and to the Audit Committee of the Board of Directors:</w:t>
      </w:r>
    </w:p>
    <w:p>
      <w:pPr>
        <w:keepNext w:val="0"/>
        <w:keepLines/>
        <w:pageBreakBefore w:val="0"/>
        <w:widowControl w:val="0"/>
        <w:numPr>
          <w:ilvl w:val="0"/>
          <w:numId w:val="26"/>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significant deficiencies or material weaknesses in the design or operation of internal control over financial reporting which are reasonably likely to adversely affect the Company’s ability to record, process, summarize and report financial information; and</w:t>
      </w:r>
    </w:p>
    <w:p>
      <w:pPr>
        <w:keepNext w:val="0"/>
        <w:keepLines/>
        <w:pageBreakBefore w:val="0"/>
        <w:widowControl w:val="0"/>
        <w:numPr>
          <w:ilvl w:val="0"/>
          <w:numId w:val="26"/>
        </w:numPr>
        <w:spacing w:before="200" w:after="10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Any fraud, whether or not material, that involves management or other employees who have a significant role in the Company’s internal control over financial reporting.</w:t>
      </w:r>
    </w:p>
    <w:tbl>
      <w:tblPr>
        <w:tblStyle w:val="TableNormal0"/>
        <w:tblW w:w="10260" w:type="dxa"/>
        <w:jc w:val="left"/>
        <w:tblInd w:w="0" w:type="dxa"/>
        <w:tblLayout w:type="fixed"/>
      </w:tblPr>
      <w:tblGrid>
        <w:gridCol w:w="2865"/>
        <w:gridCol w:w="405"/>
        <w:gridCol w:w="6990"/>
      </w:tblGrid>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July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 and Principal Accounting Officer</w:t>
            </w:r>
          </w:p>
        </w:tc>
      </w:tr>
    </w:tbl>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27"/>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39" w:name="Section40"/>
      <w:bookmarkEnd w:id="39"/>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906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Patrick Goepel, do hereby certify, pursuant to 18 U.S.C. Section 1350, as adopted by Section 906 of the Sarbanes-Oxley Act of 2002, that:</w:t>
      </w:r>
    </w:p>
    <w:p>
      <w:pPr>
        <w:keepNext w:val="0"/>
        <w:keepLines/>
        <w:pageBreakBefore w:val="0"/>
        <w:widowControl w:val="0"/>
        <w:numPr>
          <w:ilvl w:val="0"/>
          <w:numId w:val="27"/>
        </w:numPr>
        <w:spacing w:before="20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annual report on Form 10-K of the Company for the period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(the “Report”) fully complies with the requirements of section 13(a) or 15(d) of the Securities Exchange Act of 1934 as amended, and</w:t>
      </w:r>
    </w:p>
    <w:p>
      <w:pPr>
        <w:keepNext w:val="0"/>
        <w:keepLines/>
        <w:pageBreakBefore w:val="0"/>
        <w:widowControl w:val="0"/>
        <w:numPr>
          <w:ilvl w:val="0"/>
          <w:numId w:val="27"/>
        </w:numPr>
        <w:spacing w:before="200" w:after="10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contained in the Report fairly presents, in all material respects, the financial condition and results of operations of the Company.</w:t>
      </w:r>
    </w:p>
    <w:tbl>
      <w:tblPr>
        <w:tblStyle w:val="TableNormal0"/>
        <w:tblW w:w="10260" w:type="dxa"/>
        <w:jc w:val="left"/>
        <w:tblInd w:w="0" w:type="dxa"/>
        <w:tblLayout w:type="fixed"/>
      </w:tblPr>
      <w:tblGrid>
        <w:gridCol w:w="2865"/>
        <w:gridCol w:w="405"/>
        <w:gridCol w:w="6990"/>
      </w:tblGrid>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July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r>
    </w:tbl>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28"/>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40" w:name="Section41"/>
      <w:bookmarkEnd w:id="40"/>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906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John Pence, do hereby certify, pursuant to 18 U.S.C. Section 1350, as adopted by Section 906 of the Sarbanes-Oxley Act of 2002, that:</w:t>
      </w:r>
    </w:p>
    <w:p>
      <w:pPr>
        <w:keepNext w:val="0"/>
        <w:keepLines/>
        <w:pageBreakBefore w:val="0"/>
        <w:widowControl w:val="0"/>
        <w:numPr>
          <w:ilvl w:val="0"/>
          <w:numId w:val="28"/>
        </w:numPr>
        <w:spacing w:before="20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annual report on Form 10-K of the Company for the period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(the “Report”) fully complies with the requirements of section 13(a) or 15(d) of the Securities Exchange Act of 1934 as amended, and</w:t>
      </w:r>
    </w:p>
    <w:p>
      <w:pPr>
        <w:keepNext w:val="0"/>
        <w:keepLines/>
        <w:pageBreakBefore w:val="0"/>
        <w:widowControl w:val="0"/>
        <w:numPr>
          <w:ilvl w:val="0"/>
          <w:numId w:val="28"/>
        </w:numPr>
        <w:spacing w:before="200" w:after="10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contained in the Report fairly presents, in all material respects, the financial condition and results of operations of the Company.</w:t>
      </w:r>
    </w:p>
    <w:tbl>
      <w:tblPr>
        <w:tblStyle w:val="TableNormal0"/>
        <w:tblW w:w="10260" w:type="dxa"/>
        <w:jc w:val="left"/>
        <w:tblInd w:w="0" w:type="dxa"/>
        <w:tblLayout w:type="fixed"/>
      </w:tblPr>
      <w:tblGrid>
        <w:gridCol w:w="2865"/>
        <w:gridCol w:w="405"/>
        <w:gridCol w:w="6990"/>
      </w:tblGrid>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July 30,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John Pence</w:t>
            </w:r>
          </w:p>
        </w:tc>
      </w:tr>
      <w:tr>
        <w:tblPrEx>
          <w:tblW w:w="10260" w:type="dxa"/>
          <w:tblInd w:w="0" w:type="dxa"/>
          <w:tblLayout w:type="fixed"/>
        </w:tblPrEx>
        <w:trPr>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 and Principal Accounting Officer</w:t>
            </w:r>
          </w:p>
        </w:tc>
      </w:tr>
    </w:tbl>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sectPr>
      <w:headerReference w:type="default" r:id="rId29"/>
      <w:pgSz w:w="12240" w:h="15840"/>
      <w:pgMar w:top="855" w:right="990" w:bottom="855" w:left="990" w:header="270" w:footer="27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center"/>
      <w:outlineLvl w:val="9"/>
      <w:rPr>
        <w:rFonts w:ascii="Times New Roman" w:eastAsia="Times New Roman" w:hAnsi="Times New Roman" w:cs="Times New Roman"/>
        <w:b w:val="0"/>
        <w:i w:val="0"/>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1</w:t>
    </w:r>
    <w:r>
      <w:rPr>
        <w:rFonts w:ascii="Times New Roman" w:eastAsia="Times New Roman" w:hAnsi="Times New Roman" w:cs="Times New Roman"/>
        <w:b w:val="0"/>
        <w:i w:val="0"/>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34</w:t>
    </w:r>
    <w:r>
      <w:rPr>
        <w:rFonts w:ascii="Times New Roman" w:eastAsia="Times New Roman" w:hAnsi="Times New Roman" w:cs="Times New Roman"/>
        <w:b w:val="0"/>
        <w:i w:val="0"/>
        <w:sz w:val="2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630" w:right="630" w:firstLine="0"/>
      <w:jc w:val="center"/>
      <w:outlineLvl w:val="9"/>
      <w:rPr>
        <w:rFonts w:ascii="Times New Roman" w:eastAsia="Times New Roman" w:hAnsi="Times New Roman" w:cs="Times New Roman"/>
        <w:b w:val="0"/>
        <w:i w:val="0"/>
        <w:sz w:val="2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i w:val="0"/>
        <w:sz w:val="20"/>
      </w:rPr>
    </w:pPr>
    <w:r>
      <w:rPr>
        <w:rFonts w:ascii="Times New Roman" w:eastAsia="Times New Roman" w:hAnsi="Times New Roman" w:cs="Times New Roman"/>
        <w:b/>
        <w:i w:val="0"/>
        <w:sz w:val="20"/>
      </w:rPr>
      <w:t>EXHIBIT 32.1</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200" w:after="0" w:line="288" w:lineRule="auto"/>
      <w:ind w:left="0" w:right="0" w:firstLine="0"/>
      <w:jc w:val="right"/>
      <w:outlineLvl w:val="0"/>
      <w:rPr>
        <w:rFonts w:ascii="Times New Roman" w:eastAsia="Times New Roman" w:hAnsi="Times New Roman" w:cs="Times New Roman"/>
        <w:b/>
        <w:i w:val="0"/>
        <w:sz w:val="20"/>
      </w:rPr>
    </w:pPr>
    <w:r>
      <w:rPr>
        <w:rFonts w:ascii="Times New Roman" w:eastAsia="Times New Roman" w:hAnsi="Times New Roman" w:cs="Times New Roman"/>
        <w:b/>
        <w:i w:val="0"/>
        <w:sz w:val="20"/>
      </w:rPr>
      <w:t>EXHIBIT 32.2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wk"/>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i w:val="0"/>
        <w:sz w:val="20"/>
      </w:rPr>
    </w:pPr>
    <w:r>
      <w:rPr>
        <w:rFonts w:ascii="Times New Roman" w:eastAsia="Times New Roman" w:hAnsi="Times New Roman" w:cs="Times New Roman"/>
        <w:b/>
        <w:i w:val="0"/>
        <w:sz w:val="20"/>
      </w:rPr>
      <w:t>EXHIBIT 31.1</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i w:val="0"/>
        <w:sz w:val="20"/>
      </w:rPr>
    </w:pPr>
    <w:r>
      <w:rPr>
        <w:rFonts w:ascii="Times New Roman" w:eastAsia="Times New Roman" w:hAnsi="Times New Roman" w:cs="Times New Roman"/>
        <w:b/>
        <w:i w:val="0"/>
        <w:sz w:val="20"/>
      </w:rPr>
      <w:t>EXHIBIT 31.2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nsid w:val="0000000E"/>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6"/>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6"/>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6"/>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6"/>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09"/>
    <w:lvl w:ilvl="0">
      <w:start w:val="1"/>
      <w:numFmt w:val="lowerLetter"/>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9">
    <w:nsid w:val="00000014"/>
    <w:multiLevelType w:val="multilevel"/>
    <w:tmpl w:val="00000008"/>
    <w:lvl w:ilvl="0">
      <w:start w:val="1"/>
      <w:numFmt w:val="decimal"/>
      <w:lvlText w:val="(%1)"/>
      <w:lvlJc w:val="left"/>
      <w:pPr>
        <w:tabs>
          <w:tab w:val="num" w:pos="144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2">
    <w:nsid w:val="00000017"/>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3">
    <w:nsid w:val="00000018"/>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5">
    <w:nsid w:val="0000001A"/>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6">
    <w:nsid w:val="0000001B"/>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noLeading/>
    <w:suppressTopSpacingWP/>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Light" w:eastAsia="Times New Roman" w:hAnsi="Calibri Light" w:cs="Times New Roman"/>
      <w:color w:val="2F5496" w:themeShade="BF"/>
      <w:sz w:val="32"/>
      <w:szCs w:val="32"/>
    </w:rPr>
  </w:style>
  <w:style w:type="paragraph" w:styleId="Heading2">
    <w:name w:val="heading 2"/>
    <w:basedOn w:val="Normal"/>
    <w:next w:val="Normal"/>
    <w:link w:val="Heading2Char"/>
    <w:uiPriority w:val="9"/>
    <w:qFormat/>
    <w:rsid w:val="00506D7A"/>
    <w:pPr>
      <w:keepNext/>
      <w:keepLines/>
      <w:spacing w:before="40" w:after="0"/>
      <w:outlineLvl w:val="1"/>
    </w:pPr>
    <w:rPr>
      <w:rFonts w:ascii="Calibri Light" w:eastAsia="Times New Roman" w:hAnsi="Calibri Light" w:cs="Times New Roman"/>
      <w:color w:val="2F5496" w:themeShade="BF"/>
      <w:sz w:val="26"/>
      <w:szCs w:val="26"/>
    </w:rPr>
  </w:style>
  <w:style w:type="paragraph" w:styleId="Heading3">
    <w:name w:val="heading 3"/>
    <w:basedOn w:val="Normal"/>
    <w:next w:val="Normal"/>
    <w:link w:val="Heading3Char"/>
    <w:uiPriority w:val="9"/>
    <w:qFormat/>
    <w:rsid w:val="00506D7A"/>
    <w:pPr>
      <w:keepNext/>
      <w:keepLines/>
      <w:spacing w:before="40" w:after="0"/>
      <w:outlineLvl w:val="2"/>
    </w:pPr>
    <w:rPr>
      <w:rFonts w:ascii="Calibri Light" w:eastAsia="Times New Roman" w:hAnsi="Calibri Light" w:cs="Times New Roman"/>
      <w:color w:val="1F3763" w:themeShade="7F"/>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keepNext w:val="0"/>
      <w:spacing w:before="0" w:after="0" w:line="288" w:lineRule="auto"/>
      <w:ind w:left="0" w:firstLine="0"/>
    </w:pPr>
    <w:rPr>
      <w:rFonts w:ascii="Times New Roman" w:eastAsia="Times New Roman" w:hAnsi="Times New Roman" w:cs="Times New Roman"/>
      <w:b w:val="0"/>
      <w:i w:val="0"/>
      <w:color w:val="000000"/>
      <w:spacing w:val="0"/>
      <w:sz w:val="20"/>
    </w:r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paragraph" w:customStyle="1" w:styleId="Heading1-wk">
    <w:name w:val="Heading 1-wk"/>
    <w:qFormat/>
    <w:pPr>
      <w:keepNext w:val="0"/>
      <w:spacing w:before="0" w:after="0" w:line="288" w:lineRule="auto"/>
      <w:ind w:left="0" w:firstLine="0"/>
    </w:pPr>
    <w:rPr>
      <w:rFonts w:ascii="Arial" w:eastAsia="Arial" w:hAnsi="Arial" w:cs="Arial"/>
      <w:b/>
      <w:i w:val="0"/>
      <w:color w:val="000000"/>
      <w:spacing w:val="0"/>
      <w:sz w:val="36"/>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paragraph" w:customStyle="1" w:styleId="Heading2-wk">
    <w:name w:val="Heading 2-wk"/>
    <w:qFormat/>
    <w:pPr>
      <w:keepNext w:val="0"/>
      <w:spacing w:before="0" w:after="0" w:line="288" w:lineRule="auto"/>
      <w:ind w:left="0" w:firstLine="0"/>
    </w:pPr>
    <w:rPr>
      <w:rFonts w:ascii="Arial" w:eastAsia="Arial" w:hAnsi="Arial" w:cs="Arial"/>
      <w:b/>
      <w:i w:val="0"/>
      <w:color w:val="000000"/>
      <w:spacing w:val="0"/>
      <w:sz w:val="32"/>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paragraph" w:customStyle="1" w:styleId="Heading3-wk">
    <w:name w:val="Heading 3-wk"/>
    <w:qFormat/>
    <w:pPr>
      <w:keepNext w:val="0"/>
      <w:spacing w:before="0" w:after="0" w:line="288" w:lineRule="auto"/>
      <w:ind w:left="0" w:firstLine="0"/>
    </w:pPr>
    <w:rPr>
      <w:rFonts w:ascii="Arial" w:eastAsia="Arial" w:hAnsi="Arial" w:cs="Arial"/>
      <w:b w:val="0"/>
      <w:i w:val="0"/>
      <w:color w:val="000000"/>
      <w:spacing w:val="0"/>
      <w:sz w:val="28"/>
    </w:rPr>
  </w:style>
  <w:style w:type="paragraph" w:customStyle="1" w:styleId="Contents1">
    <w:name w:val="Contents 1"/>
    <w:qFormat/>
    <w:pPr>
      <w:ind w:left="0" w:firstLine="0"/>
    </w:pPr>
    <w:rPr>
      <w:rFonts w:ascii="Arial" w:eastAsia="Arial" w:hAnsi="Arial" w:cs="Arial"/>
      <w:b w:val="0"/>
      <w:i w:val="0"/>
      <w:color w:val="000000"/>
      <w:spacing w:val="0"/>
      <w:sz w:val="24"/>
    </w:rPr>
  </w:style>
  <w:style w:type="paragraph" w:customStyle="1" w:styleId="Contents2">
    <w:name w:val="Contents 2"/>
    <w:qFormat/>
    <w:pPr>
      <w:ind w:left="245" w:firstLine="0"/>
    </w:pPr>
    <w:rPr>
      <w:rFonts w:ascii="Arial" w:eastAsia="Arial" w:hAnsi="Arial" w:cs="Arial"/>
      <w:b w:val="0"/>
      <w:i w:val="0"/>
      <w:color w:val="000000"/>
      <w:spacing w:val="0"/>
      <w:sz w:val="24"/>
    </w:rPr>
  </w:style>
  <w:style w:type="paragraph" w:customStyle="1" w:styleId="Contents3">
    <w:name w:val="Contents 3"/>
    <w:qFormat/>
    <w:pPr>
      <w:ind w:left="720" w:firstLine="0"/>
    </w:pPr>
    <w:rPr>
      <w:rFonts w:ascii="Arial" w:eastAsia="Arial" w:hAnsi="Arial" w:cs="Arial"/>
      <w:b w:val="0"/>
      <w:i w:val="0"/>
      <w:color w:val="000000"/>
      <w:spacing w:val="0"/>
      <w:sz w:val="24"/>
    </w:rPr>
  </w:style>
  <w:style w:type="table" w:customStyle="1" w:styleId="TableNormal0">
    <w:name w:val="Table (Normal)"/>
    <w:pPr>
      <w:spacing w:before="0" w:after="0"/>
      <w:ind w:left="0" w:firstLine="0"/>
    </w:pPr>
    <w:rPr>
      <w:rFonts w:ascii="Times New Roman" w:eastAsia="Times New Roman" w:hAnsi="Times New Roman" w:cs="Times New Roman"/>
      <w:b w:val="0"/>
      <w:i w:val="0"/>
      <w:color w:val="000000"/>
      <w:spacing w:val="0"/>
      <w:sz w:val="20"/>
    </w:rPr>
    <w:tblPr/>
  </w:style>
  <w:style w:type="character" w:styleId="LineNumber">
    <w:name w:val="line number"/>
    <w:basedOn w:val="DefaultParagraphFont"/>
    <w:uiPriority w:val="99"/>
    <w:rsid w:val="0041372D"/>
    <w:rPr>
      <w:rFonts w:ascii="Times New Roman" w:eastAsia="Times New Roman" w:hAnsi="Times New Roman" w:cs="Times New Roman"/>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hyperlink" Target="wurl://docs.v1/doc:5a8a9f909d794e2a96c7ca568a5cae79" TargetMode="External" /><Relationship Id="rId19" Type="http://schemas.openxmlformats.org/officeDocument/2006/relationships/hyperlink" Target="wurl://docs.v1/doc:5a8a9f909d794e2a96c7ca568a5cae79" TargetMode="External" /><Relationship Id="rId2" Type="http://schemas.openxmlformats.org/officeDocument/2006/relationships/webSettings" Target="webSettings.xml" /><Relationship Id="rId20" Type="http://schemas.openxmlformats.org/officeDocument/2006/relationships/hyperlink" Target="wurl://docs.v1/doc:223b9e079dd849399b01ea448b033055" TargetMode="External" /><Relationship Id="rId21" Type="http://schemas.openxmlformats.org/officeDocument/2006/relationships/hyperlink" Target="wurl://docs.v1/doc:223b9e079dd849399b01ea448b033055" TargetMode="External" /><Relationship Id="rId22" Type="http://schemas.openxmlformats.org/officeDocument/2006/relationships/hyperlink" Target="wurl://docs.v1/doc:8bf16081663249beb9f399a5a573f7e6" TargetMode="External" /><Relationship Id="rId23" Type="http://schemas.openxmlformats.org/officeDocument/2006/relationships/hyperlink" Target="wurl://docs.v1/doc:8bf16081663249beb9f399a5a573f7e6" TargetMode="External" /><Relationship Id="rId24" Type="http://schemas.openxmlformats.org/officeDocument/2006/relationships/hyperlink" Target="wurl://docs.v1/doc:00a1cbf325fd464791bca886ee2c75ac" TargetMode="External" /><Relationship Id="rId25" Type="http://schemas.openxmlformats.org/officeDocument/2006/relationships/hyperlink" Target="wurl://docs.v1/doc:00a1cbf325fd464791bca886ee2c75ac" TargetMode="External" /><Relationship Id="rId26" Type="http://schemas.openxmlformats.org/officeDocument/2006/relationships/header" Target="header8.xml" /><Relationship Id="rId27" Type="http://schemas.openxmlformats.org/officeDocument/2006/relationships/header" Target="header9.xml" /><Relationship Id="rId28" Type="http://schemas.openxmlformats.org/officeDocument/2006/relationships/header" Target="header10.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36</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2026.06.30 ASUR 10-Q PRINT</dc:title>
  <cp:revision>1</cp:revision>
</cp:coreProperties>
</file>