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April 30, 2026</w:t>
      </w:r>
    </w:p>
    <w:p>
      <w:pPr>
        <w:pStyle w:val="TextBody"/>
        <w:bidi w:val="0"/>
        <w:spacing w:before="0" w:after="0"/>
        <w:jc w:val="center"/>
        <w:rPr/>
      </w:pPr>
      <w:r>
        <w:rPr/>
        <w:drawing>
          <wp:inline distT="0" distB="0" distL="0" distR="0">
            <wp:extent cx="16764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5143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ASURE SOFTWARE,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966" w:type="dxa"/>
        <w:jc w:val="center"/>
        <w:tblInd w:w="0" w:type="dxa"/>
        <w:tblLayout w:type="fixed"/>
        <w:tblCellMar>
          <w:top w:w="28" w:type="dxa"/>
          <w:left w:w="28" w:type="dxa"/>
          <w:bottom w:w="28" w:type="dxa"/>
          <w:right w:w="28" w:type="dxa"/>
        </w:tblCellMar>
      </w:tblPr>
      <w:tblGrid>
        <w:gridCol w:w="1442"/>
        <w:gridCol w:w="1267"/>
        <w:gridCol w:w="1280"/>
        <w:gridCol w:w="109"/>
        <w:gridCol w:w="109"/>
        <w:gridCol w:w="109"/>
        <w:gridCol w:w="762"/>
        <w:gridCol w:w="762"/>
        <w:gridCol w:w="770"/>
        <w:gridCol w:w="109"/>
        <w:gridCol w:w="109"/>
        <w:gridCol w:w="109"/>
        <w:gridCol w:w="884"/>
        <w:gridCol w:w="884"/>
        <w:gridCol w:w="1261"/>
      </w:tblGrid>
      <w:tr>
        <w:trPr/>
        <w:tc>
          <w:tcPr>
            <w:tcW w:w="144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74-2415696</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405 Colorado Street, Suite 1800 Austin,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78701</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4649" w:type="dxa"/>
        <w:jc w:val="center"/>
        <w:tblInd w:w="0" w:type="dxa"/>
        <w:tblLayout w:type="fixed"/>
        <w:tblCellMar>
          <w:top w:w="28" w:type="dxa"/>
          <w:left w:w="28" w:type="dxa"/>
          <w:bottom w:w="28" w:type="dxa"/>
          <w:right w:w="28" w:type="dxa"/>
        </w:tblCellMar>
      </w:tblPr>
      <w:tblGrid>
        <w:gridCol w:w="1484"/>
        <w:gridCol w:w="1309"/>
        <w:gridCol w:w="1856"/>
      </w:tblGrid>
      <w:tr>
        <w:trPr/>
        <w:tc>
          <w:tcPr>
            <w:tcW w:w="148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512-437-2700</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address)</w:t>
            </w:r>
          </w:p>
        </w:tc>
      </w:tr>
    </w:tbl>
    <w:tbl>
      <w:tblPr>
        <w:tblW w:w="10205" w:type="dxa"/>
        <w:jc w:val="center"/>
        <w:tblInd w:w="0" w:type="dxa"/>
        <w:tblLayout w:type="fixed"/>
        <w:tblCellMar>
          <w:top w:w="28" w:type="dxa"/>
          <w:left w:w="28" w:type="dxa"/>
          <w:bottom w:w="28" w:type="dxa"/>
          <w:right w:w="28" w:type="dxa"/>
        </w:tblCellMar>
      </w:tblPr>
      <w:tblGrid>
        <w:gridCol w:w="1531"/>
        <w:gridCol w:w="1343"/>
        <w:gridCol w:w="1343"/>
        <w:gridCol w:w="2239"/>
        <w:gridCol w:w="1783"/>
        <w:gridCol w:w="1807"/>
        <w:gridCol w:w="159"/>
      </w:tblGrid>
      <w:tr>
        <w:trPr/>
        <w:tc>
          <w:tcPr>
            <w:tcW w:w="15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6"/>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6"/>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99"/>
        <w:gridCol w:w="1478"/>
        <w:gridCol w:w="1496"/>
        <w:gridCol w:w="109"/>
        <w:gridCol w:w="109"/>
        <w:gridCol w:w="109"/>
        <w:gridCol w:w="497"/>
        <w:gridCol w:w="497"/>
        <w:gridCol w:w="498"/>
        <w:gridCol w:w="109"/>
        <w:gridCol w:w="109"/>
        <w:gridCol w:w="109"/>
        <w:gridCol w:w="961"/>
        <w:gridCol w:w="961"/>
        <w:gridCol w:w="1364"/>
      </w:tblGrid>
      <w:tr>
        <w:trPr/>
        <w:tc>
          <w:tcPr>
            <w:tcW w:w="179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 Junior Participating 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59"/>
        <w:gridCol w:w="642"/>
        <w:gridCol w:w="642"/>
        <w:gridCol w:w="642"/>
        <w:gridCol w:w="642"/>
        <w:gridCol w:w="642"/>
        <w:gridCol w:w="642"/>
        <w:gridCol w:w="642"/>
        <w:gridCol w:w="642"/>
        <w:gridCol w:w="642"/>
        <w:gridCol w:w="642"/>
        <w:gridCol w:w="642"/>
        <w:gridCol w:w="642"/>
        <w:gridCol w:w="642"/>
        <w:gridCol w:w="642"/>
        <w:gridCol w:w="158"/>
      </w:tblGrid>
      <w:tr>
        <w:trPr/>
        <w:tc>
          <w:tcPr>
            <w:tcW w:w="105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Exchange Act (§240.12b-2 of this chapter).</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30, 2026, Asure Software, Inc. (the “Company”) issued a press release announcing its financial results for its first quarter ended March 31, 2026 (the “Press Release”). A copy of the Press Release is furnished as Exhibit 99.1 to this Current Report on Form 8-K.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of this Current Report (including the press release furnished as an exhibit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6"/>
        <w:gridCol w:w="1946"/>
        <w:gridCol w:w="275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0430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0430exhibit991.htm">
              <w:r>
                <w:rPr>
                  <w:rStyle w:val="InternetLink"/>
                  <w:rFonts w:ascii="Times New Roman;serif" w:hAnsi="Times New Roman;serif"/>
                  <w:b w:val="false"/>
                  <w:color w:val="000080"/>
                  <w:sz w:val="20"/>
                  <w:u w:val="single"/>
                </w:rPr>
                <w:t xml:space="preserve">Press Release issued by Asure Software, Inc. dated </w:t>
              </w:r>
            </w:hyperlink>
            <w:hyperlink w:anchor="a20260430exhibit991.htm">
              <w:r>
                <w:rPr>
                  <w:rStyle w:val="InternetLink"/>
                  <w:rFonts w:ascii="Times New Roman;serif" w:hAnsi="Times New Roman;serif"/>
                  <w:b w:val="false"/>
                  <w:color w:val="000080"/>
                  <w:sz w:val="20"/>
                  <w:u w:val="single"/>
                </w:rPr>
                <w:t>April</w:t>
              </w:r>
            </w:hyperlink>
            <w:hyperlink w:anchor="a20260430exhibit991.htm">
              <w:r>
                <w:rPr>
                  <w:rStyle w:val="InternetLink"/>
                  <w:rFonts w:ascii="Times New Roman;serif" w:hAnsi="Times New Roman;serif"/>
                  <w:b w:val="false"/>
                  <w:color w:val="000080"/>
                  <w:sz w:val="20"/>
                  <w:u w:val="single"/>
                </w:rPr>
                <w:t xml:space="preserve"> </w:t>
              </w:r>
            </w:hyperlink>
            <w:hyperlink w:anchor="a20260430exhibit991.htm">
              <w:r>
                <w:rPr>
                  <w:rStyle w:val="InternetLink"/>
                  <w:rFonts w:ascii="Times New Roman;serif" w:hAnsi="Times New Roman;serif"/>
                  <w:b w:val="false"/>
                  <w:color w:val="000080"/>
                  <w:sz w:val="20"/>
                  <w:u w:val="single"/>
                </w:rPr>
                <w:t>30</w:t>
              </w:r>
            </w:hyperlink>
            <w:hyperlink w:anchor="a20260430exhibit991.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both"/>
        <w:rPr/>
      </w:pPr>
      <w:r>
        <w:rPr/>
      </w:r>
    </w:p>
    <w:tbl>
      <w:tblPr>
        <w:tblW w:w="9268" w:type="dxa"/>
        <w:jc w:val="left"/>
        <w:tblInd w:w="0" w:type="dxa"/>
        <w:tblLayout w:type="fixed"/>
        <w:tblCellMar>
          <w:top w:w="28" w:type="dxa"/>
          <w:left w:w="28" w:type="dxa"/>
          <w:bottom w:w="28" w:type="dxa"/>
          <w:right w:w="28" w:type="dxa"/>
        </w:tblCellMar>
      </w:tblPr>
      <w:tblGrid>
        <w:gridCol w:w="683"/>
        <w:gridCol w:w="600"/>
        <w:gridCol w:w="606"/>
        <w:gridCol w:w="134"/>
        <w:gridCol w:w="134"/>
        <w:gridCol w:w="136"/>
        <w:gridCol w:w="2041"/>
        <w:gridCol w:w="2041"/>
        <w:gridCol w:w="2893"/>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ASURE SOFTWARE,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April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Pence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drawing>
          <wp:inline distT="0" distB="0" distL="0" distR="0">
            <wp:extent cx="1676400" cy="5143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76400" cy="5143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Asure Announces First Quarter 2026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First Quarter 2026 Revenues of $42.8 Million up 23% year over year</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i/>
          <w:color w:val="000000"/>
          <w:sz w:val="20"/>
        </w:rPr>
        <w:t>First</w:t>
      </w:r>
      <w:r>
        <w:rPr>
          <w:color w:val="000000"/>
          <w:shd w:fill="FFFFFF" w:val="clear"/>
        </w:rPr>
        <w:t xml:space="preserve"> </w:t>
      </w:r>
      <w:r>
        <w:rPr>
          <w:rFonts w:ascii="Times New Roman;serif" w:hAnsi="Times New Roman;serif"/>
          <w:b w:val="false"/>
          <w:i/>
          <w:color w:val="000000"/>
          <w:sz w:val="20"/>
          <w:shd w:fill="FFFFFF" w:val="clear"/>
        </w:rPr>
        <w:t xml:space="preserve">Quarter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Net Income </w:t>
      </w:r>
      <w:r>
        <w:rPr>
          <w:rFonts w:ascii="Times New Roman;serif" w:hAnsi="Times New Roman;serif"/>
          <w:b w:val="false"/>
          <w:i/>
          <w:color w:val="000000"/>
          <w:sz w:val="20"/>
        </w:rPr>
        <w:t>$0.6</w:t>
      </w:r>
      <w:r>
        <w:rPr>
          <w:color w:val="000000"/>
          <w:shd w:fill="FFFFFF" w:val="clear"/>
        </w:rPr>
        <w:t xml:space="preserve"> </w:t>
      </w:r>
      <w:r>
        <w:rPr>
          <w:rFonts w:ascii="Times New Roman;serif" w:hAnsi="Times New Roman;serif"/>
          <w:b w:val="false"/>
          <w:i/>
          <w:color w:val="000000"/>
          <w:sz w:val="20"/>
          <w:shd w:fill="FFFFFF" w:val="clear"/>
        </w:rPr>
        <w:t xml:space="preserve">Million versus Net Loss of </w:t>
      </w:r>
      <w:r>
        <w:rPr>
          <w:rFonts w:ascii="Times New Roman;serif" w:hAnsi="Times New Roman;serif"/>
          <w:b w:val="false"/>
          <w:i/>
          <w:color w:val="000000"/>
          <w:sz w:val="20"/>
        </w:rPr>
        <w:t>$2.4</w:t>
      </w:r>
      <w:r>
        <w:rPr>
          <w:color w:val="000000"/>
          <w:shd w:fill="FFFFFF" w:val="clear"/>
        </w:rPr>
        <w:t xml:space="preserve"> </w:t>
      </w:r>
      <w:r>
        <w:rPr>
          <w:rFonts w:ascii="Times New Roman;serif" w:hAnsi="Times New Roman;serif"/>
          <w:b w:val="false"/>
          <w:i/>
          <w:color w:val="000000"/>
          <w:sz w:val="20"/>
          <w:shd w:fill="FFFFFF" w:val="clear"/>
        </w:rPr>
        <w:t>Million in prior year</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i/>
          <w:color w:val="000000"/>
          <w:sz w:val="20"/>
        </w:rPr>
        <w:t>First</w:t>
      </w:r>
      <w:r>
        <w:rPr>
          <w:color w:val="000000"/>
          <w:shd w:fill="FFFFFF" w:val="clear"/>
        </w:rPr>
        <w:t xml:space="preserve"> </w:t>
      </w:r>
      <w:r>
        <w:rPr>
          <w:rFonts w:ascii="Times New Roman;serif" w:hAnsi="Times New Roman;serif"/>
          <w:b w:val="false"/>
          <w:i/>
          <w:color w:val="000000"/>
          <w:sz w:val="20"/>
          <w:shd w:fill="FFFFFF" w:val="clear"/>
        </w:rPr>
        <w:t xml:space="preserve">Quarter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Adjusted EBITDA</w:t>
      </w:r>
      <w:r>
        <w:rPr>
          <w:rFonts w:ascii="Times New Roman;serif" w:hAnsi="Times New Roman;serif"/>
          <w:b w:val="false"/>
          <w:i/>
          <w:color w:val="000000"/>
          <w:sz w:val="13"/>
        </w:rPr>
        <w:t xml:space="preserve">(1) </w:t>
      </w:r>
      <w:r>
        <w:rPr>
          <w:rFonts w:ascii="Times New Roman;serif" w:hAnsi="Times New Roman;serif"/>
          <w:b w:val="false"/>
          <w:i/>
          <w:color w:val="000000"/>
          <w:sz w:val="20"/>
          <w:shd w:fill="FFFFFF" w:val="clear"/>
        </w:rPr>
        <w:t xml:space="preserve">increased </w:t>
      </w:r>
      <w:r>
        <w:rPr>
          <w:rFonts w:ascii="Times New Roman;serif" w:hAnsi="Times New Roman;serif"/>
          <w:b w:val="false"/>
          <w:i/>
          <w:color w:val="000000"/>
          <w:sz w:val="20"/>
        </w:rPr>
        <w:t>69%</w:t>
      </w:r>
      <w:r>
        <w:rPr>
          <w:color w:val="000000"/>
          <w:shd w:fill="FFFFFF" w:val="clear"/>
        </w:rPr>
        <w:t xml:space="preserve"> </w:t>
      </w:r>
      <w:r>
        <w:rPr>
          <w:rFonts w:ascii="Times New Roman;serif" w:hAnsi="Times New Roman;serif"/>
          <w:b w:val="false"/>
          <w:i/>
          <w:color w:val="000000"/>
          <w:sz w:val="20"/>
          <w:shd w:fill="FFFFFF" w:val="clear"/>
        </w:rPr>
        <w:t xml:space="preserve">to </w:t>
      </w:r>
      <w:r>
        <w:rPr>
          <w:rFonts w:ascii="Times New Roman;serif" w:hAnsi="Times New Roman;serif"/>
          <w:b w:val="false"/>
          <w:i/>
          <w:color w:val="000000"/>
          <w:sz w:val="20"/>
        </w:rPr>
        <w:t>$12.3</w:t>
      </w:r>
      <w:r>
        <w:rPr>
          <w:color w:val="000000"/>
          <w:shd w:fill="FFFFFF" w:val="clear"/>
        </w:rPr>
        <w:t xml:space="preserve"> </w:t>
      </w:r>
      <w:r>
        <w:rPr>
          <w:rFonts w:ascii="Times New Roman;serif" w:hAnsi="Times New Roman;serif"/>
          <w:b w:val="false"/>
          <w:i/>
          <w:color w:val="000000"/>
          <w:sz w:val="20"/>
          <w:shd w:fill="FFFFFF" w:val="clear"/>
        </w:rPr>
        <w:t>Million year over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AUSTIN, TX – April 30, 2026 – </w:t>
      </w:r>
      <w:r>
        <w:rPr>
          <w:rFonts w:ascii="Times New Roman;serif" w:hAnsi="Times New Roman;serif"/>
          <w:b w:val="false"/>
          <w:color w:val="000000"/>
          <w:sz w:val="20"/>
        </w:rPr>
        <w:t xml:space="preserve">Asure Software, Inc. </w:t>
      </w:r>
      <w:r>
        <w:rPr>
          <w:rFonts w:ascii="Times New Roman;serif" w:hAnsi="Times New Roman;serif"/>
          <w:b/>
          <w:color w:val="000000"/>
          <w:sz w:val="20"/>
        </w:rPr>
        <w:t>(Nasdaq: ASUR)</w:t>
      </w:r>
      <w:r>
        <w:rPr>
          <w:rFonts w:ascii="Times New Roman;serif" w:hAnsi="Times New Roman;serif"/>
          <w:b w:val="false"/>
          <w:color w:val="000000"/>
          <w:sz w:val="20"/>
        </w:rPr>
        <w:t>, a leading provider of cloud-based Human Capital Management software solutions, today reported results for the first quarter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First Quarter 2026 Financial Highlights*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of $42.8 million, up 23% from $34.9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Recurring revenue of $37.8 million, up 14% from $33.2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income of $0.6 million versus a net loss of $2.4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$9.4 million versus $4.1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$12.3 million versus $7.3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Gross profit of $30.5 million versus $24.6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Non-GAAP gross profit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$32.3 million (margin of 76%) versus $26.3 million (margin of 75%)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metrics are compared to the first quarter of the prior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Business Highlights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Announced the appointment of Tiffany Mortimer as Chief Transformation &amp; People Officer. Mortimer brings 15 years of experience leading enterprise transformation, operational execution, and people strategy at high-growth SaaS companies, and joins Asure as the company continues to build the operational and organizational foundation for its next phase of growth.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22020"/>
                <wp:effectExtent l="0" t="0" r="0" b="0"/>
                <wp:wrapNone/>
                <wp:docPr id="6" name="Frame4"/>
                <a:graphic xmlns:a="http://schemas.openxmlformats.org/drawingml/2006/main">
                  <a:graphicData uri="http://schemas.microsoft.com/office/word/2010/wordprocessingShape">
                    <wps:wsp>
                      <wps:cNvSpPr txBox="1"/>
                      <wps:spPr>
                        <a:xfrm>
                          <a:off x="0" y="0"/>
                          <a:ext cx="6480175" cy="922020"/>
                        </a:xfrm>
                        <a:prstGeom prst="rect"/>
                        <a:solidFill>
                          <a:srgbClr val="FFFFFF"/>
                        </a:solidFill>
                      </wps:spPr>
                      <wps:txbx>
                        <w:txbxContent>
                          <w:tbl>
                            <w:tblPr>
                              <w:tblW w:w="10205" w:type="dxa"/>
                              <w:jc w:val="center"/>
                              <w:tblInd w:w="0" w:type="dxa"/>
                              <w:tblLayout w:type="fixed"/>
                              <w:tblCellMar>
                                <w:top w:w="28" w:type="dxa"/>
                                <w:left w:w="28" w:type="dxa"/>
                                <w:bottom w:w="28" w:type="dxa"/>
                                <w:right w:w="28" w:type="dxa"/>
                              </w:tblCellMar>
                            </w:tblPr>
                            <w:tblGrid>
                              <w:gridCol w:w="1211"/>
                              <w:gridCol w:w="1062"/>
                              <w:gridCol w:w="1062"/>
                              <w:gridCol w:w="1062"/>
                              <w:gridCol w:w="1062"/>
                              <w:gridCol w:w="1062"/>
                              <w:gridCol w:w="1062"/>
                              <w:gridCol w:w="1062"/>
                              <w:gridCol w:w="1560"/>
                            </w:tblGrid>
                            <w:tr>
                              <w:trPr/>
                              <w:tc>
                                <w:tcPr>
                                  <w:tcW w:w="1211" w:type="dxa"/>
                                  <w:tcBorders/>
                                  <w:vAlign w:val="center"/>
                                </w:tcPr>
                                <w:p>
                                  <w:pPr>
                                    <w:pStyle w:val="TableContents"/>
                                    <w:bidi w:val="0"/>
                                    <w:spacing w:before="0" w:after="283"/>
                                    <w:jc w:val="left"/>
                                    <w:rPr>
                                      <w:sz w:val="4"/>
                                      <w:szCs w:val="4"/>
                                    </w:rPr>
                                  </w:pPr>
                                  <w:r>
                                    <w:rPr>
                                      <w:sz w:val="4"/>
                                      <w:szCs w:val="4"/>
                                    </w:rPr>
                                  </w:r>
                                  <w:r>
                                    <w:br w:type="page"/>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This financial measure is not calculated in accordance with GAAP and is defined on page 3 of this press release. A reconciliation of this non-GAAP measure to the most applicable GAAP measure begins on page 10 of this release.</w:t>
                                  </w:r>
                                </w:p>
                              </w:tc>
                            </w:tr>
                            <w:tr>
                              <w:trPr/>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pt;mso-wrap-distance-left:0pt;mso-wrap-distance-right:0pt;mso-wrap-distance-top:0pt;mso-wrap-distance-bottom:0pt;margin-top:0pt;mso-position-vertical:top;mso-position-vertical-relative:text;margin-left:-481.35pt;mso-position-horizontal:left;mso-position-horizontal-relative:text">
                <v:textbox>
                  <w:txbxContent>
                    <w:tbl>
                      <w:tblPr>
                        <w:tblW w:w="10205" w:type="dxa"/>
                        <w:jc w:val="center"/>
                        <w:tblInd w:w="0" w:type="dxa"/>
                        <w:tblLayout w:type="fixed"/>
                        <w:tblCellMar>
                          <w:top w:w="28" w:type="dxa"/>
                          <w:left w:w="28" w:type="dxa"/>
                          <w:bottom w:w="28" w:type="dxa"/>
                          <w:right w:w="28" w:type="dxa"/>
                        </w:tblCellMar>
                      </w:tblPr>
                      <w:tblGrid>
                        <w:gridCol w:w="1211"/>
                        <w:gridCol w:w="1062"/>
                        <w:gridCol w:w="1062"/>
                        <w:gridCol w:w="1062"/>
                        <w:gridCol w:w="1062"/>
                        <w:gridCol w:w="1062"/>
                        <w:gridCol w:w="1062"/>
                        <w:gridCol w:w="1062"/>
                        <w:gridCol w:w="1560"/>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This financial measure is not calculated in accordance with GAAP and is defined on page 3 of this press release. A reconciliation of this non-GAAP measure to the most applicable GAAP measure begins on page 10 of this release.</w:t>
                            </w:r>
                          </w:p>
                        </w:tc>
                      </w:tr>
                      <w:tr>
                        <w:trPr/>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 Commentary</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We are very pleased with our first quarter of 2026 results, which reflect the strongest start to a year in Asure’s recent history. Revenue grew 23% to $42.8 million versus a year ago, and the combination of accelerating organic growth, profitability at the net income level, and continued margin improvement validates the strategic investments we have been making across our platform, our people, and our go-to-market efforts. We believe this quarter demonstrates that our business is reaching an inflection point where growth and profitability are advancing together." said Asure Chairman and CEO Pat Goepel.</w:t>
      </w:r>
    </w:p>
    <w:p>
      <w:pPr>
        <w:pStyle w:val="TextBody"/>
        <w:bidi w:val="0"/>
        <w:spacing w:before="0" w:after="0"/>
        <w:jc w:val="left"/>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Looking ahead, we remain focused on the strategic investments we believe will sustain this growth trajectory. We are expanding our sales and marketing efforts and advancing our AI capabilities, which we expect to enhance the client’s experience while lowering our cost to serve over time. These initiatives, combined with the continued customer adoption of Asure Central™, position us well to achieve our full-year 2026 revenue and profitability targets.”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 and Full Year 2026 Revenue Guidance Ranges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guidance for the second quarter of 2026 and full year 2026 based on the Company’s year-to-date results and recent business trends.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Guidance for 2026</w:t>
      </w:r>
    </w:p>
    <w:p>
      <w:pPr>
        <w:pStyle w:val="TextBody"/>
        <w:bidi w:val="0"/>
        <w:spacing w:before="0" w:after="0"/>
        <w:jc w:val="both"/>
        <w:rPr/>
      </w:pPr>
      <w:r>
        <w:rPr/>
      </w:r>
    </w:p>
    <w:tbl>
      <w:tblPr>
        <w:tblW w:w="5619" w:type="dxa"/>
        <w:jc w:val="left"/>
        <w:tblInd w:w="0" w:type="dxa"/>
        <w:tblLayout w:type="fixed"/>
        <w:tblCellMar>
          <w:top w:w="28" w:type="dxa"/>
          <w:left w:w="28" w:type="dxa"/>
          <w:bottom w:w="28" w:type="dxa"/>
          <w:right w:w="28" w:type="dxa"/>
        </w:tblCellMar>
      </w:tblPr>
      <w:tblGrid>
        <w:gridCol w:w="641"/>
        <w:gridCol w:w="562"/>
        <w:gridCol w:w="567"/>
        <w:gridCol w:w="109"/>
        <w:gridCol w:w="109"/>
        <w:gridCol w:w="109"/>
        <w:gridCol w:w="489"/>
        <w:gridCol w:w="489"/>
        <w:gridCol w:w="492"/>
        <w:gridCol w:w="109"/>
        <w:gridCol w:w="109"/>
        <w:gridCol w:w="109"/>
        <w:gridCol w:w="505"/>
        <w:gridCol w:w="505"/>
        <w:gridCol w:w="71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Guidance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FY-2026</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36.0 M – 38.0 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159.0 M – 163.0 M</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 M – 8.0 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 – 25%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uses GAAP, non-GAAP and adjusted measures when planning, monitoring, and evaluating the Company’s performance. The primary purpose of using non-GAAP and adjusted measures is to provide supplemental information that may prove useful to investors and to enable investors to evaluate the Company’s results in the same way management does.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believes that supplementing GAAP disclosures with non-GAAP and adjusted disclosures provides investors with a more complete view of the Company’s operational performance and allows for meaningful period-to-period comparisons and analysis of trends in the Company’s business. Further, to the extent that other companies use similar methods in calculating adjusted financial measures, the provision of supplemental non-GAAP and adjusted information can allow for a comparison of the Company’s relative performance against other companies that also report non-GAAP and adjusted operating results.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not provided a reconciliation of guidance of GAAP to non-GAAP or adjusted disclosures because management is unable to predict the nature and materiality of non-recurring expenses without unreasonable effort.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Management’s projections are based on management’s current beliefs and assumptions about the Company's business, and the industry and the markets in which it operates; there are known and unknown risks and uncertainties associated with these projections. There can be no assurance that our actual results will not differ from the guidance set forth above. The Company assumes no obligation to update publicly any forward-looking statements, including its 2026 earnings guidance, whether as a result of new information, future events or otherwise. Please refer to the “Use of Forward-Looking Statements” disclosures on page 5 of this press release as well as the risk factors in our quarterly and annual reports on file with the Securities and Exchange Commission for more information about risk that affect our business and industry.</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22020"/>
                <wp:effectExtent l="0" t="0" r="0" b="0"/>
                <wp:wrapNone/>
                <wp:docPr id="7" name="Frame5"/>
                <a:graphic xmlns:a="http://schemas.openxmlformats.org/drawingml/2006/main">
                  <a:graphicData uri="http://schemas.microsoft.com/office/word/2010/wordprocessingShape">
                    <wps:wsp>
                      <wps:cNvSpPr txBox="1"/>
                      <wps:spPr>
                        <a:xfrm>
                          <a:off x="0" y="0"/>
                          <a:ext cx="6480175" cy="922020"/>
                        </a:xfrm>
                        <a:prstGeom prst="rect"/>
                        <a:solidFill>
                          <a:srgbClr val="FFFFFF"/>
                        </a:solidFill>
                      </wps:spPr>
                      <wps:txbx>
                        <w:txbxContent>
                          <w:tbl>
                            <w:tblPr>
                              <w:tblW w:w="10205" w:type="dxa"/>
                              <w:jc w:val="center"/>
                              <w:tblInd w:w="0" w:type="dxa"/>
                              <w:tblLayout w:type="fixed"/>
                              <w:tblCellMar>
                                <w:top w:w="28" w:type="dxa"/>
                                <w:left w:w="28" w:type="dxa"/>
                                <w:bottom w:w="28" w:type="dxa"/>
                                <w:right w:w="28" w:type="dxa"/>
                              </w:tblCellMar>
                            </w:tblPr>
                            <w:tblGrid>
                              <w:gridCol w:w="1211"/>
                              <w:gridCol w:w="1062"/>
                              <w:gridCol w:w="1062"/>
                              <w:gridCol w:w="1062"/>
                              <w:gridCol w:w="1062"/>
                              <w:gridCol w:w="1062"/>
                              <w:gridCol w:w="1062"/>
                              <w:gridCol w:w="1062"/>
                              <w:gridCol w:w="1560"/>
                            </w:tblGrid>
                            <w:tr>
                              <w:trPr/>
                              <w:tc>
                                <w:tcPr>
                                  <w:tcW w:w="1211" w:type="dxa"/>
                                  <w:tcBorders/>
                                  <w:vAlign w:val="center"/>
                                </w:tcPr>
                                <w:p>
                                  <w:pPr>
                                    <w:pStyle w:val="TableContents"/>
                                    <w:bidi w:val="0"/>
                                    <w:spacing w:before="0" w:after="283"/>
                                    <w:jc w:val="left"/>
                                    <w:rPr>
                                      <w:sz w:val="4"/>
                                      <w:szCs w:val="4"/>
                                    </w:rPr>
                                  </w:pPr>
                                  <w:r>
                                    <w:rPr>
                                      <w:sz w:val="4"/>
                                      <w:szCs w:val="4"/>
                                    </w:rPr>
                                  </w:r>
                                  <w:r>
                                    <w:br w:type="page"/>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This financial measure is not calculated in accordance with GAAP and is defined on page 4 of this press release. A reconciliation of this non-GAAP measure to the most applicable GAAP measure begins on page 11 of this release.</w:t>
                                  </w:r>
                                </w:p>
                              </w:tc>
                            </w:tr>
                            <w:tr>
                              <w:trPr/>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pt;mso-wrap-distance-left:0pt;mso-wrap-distance-right:0pt;mso-wrap-distance-top:0pt;mso-wrap-distance-bottom:0pt;margin-top:0pt;mso-position-vertical:top;mso-position-vertical-relative:text;margin-left:-481.35pt;mso-position-horizontal:left;mso-position-horizontal-relative:text">
                <v:textbox>
                  <w:txbxContent>
                    <w:tbl>
                      <w:tblPr>
                        <w:tblW w:w="10205" w:type="dxa"/>
                        <w:jc w:val="center"/>
                        <w:tblInd w:w="0" w:type="dxa"/>
                        <w:tblLayout w:type="fixed"/>
                        <w:tblCellMar>
                          <w:top w:w="28" w:type="dxa"/>
                          <w:left w:w="28" w:type="dxa"/>
                          <w:bottom w:w="28" w:type="dxa"/>
                          <w:right w:w="28" w:type="dxa"/>
                        </w:tblCellMar>
                      </w:tblPr>
                      <w:tblGrid>
                        <w:gridCol w:w="1211"/>
                        <w:gridCol w:w="1062"/>
                        <w:gridCol w:w="1062"/>
                        <w:gridCol w:w="1062"/>
                        <w:gridCol w:w="1062"/>
                        <w:gridCol w:w="1062"/>
                        <w:gridCol w:w="1062"/>
                        <w:gridCol w:w="1062"/>
                        <w:gridCol w:w="1560"/>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This financial measure is not calculated in accordance with GAAP and is defined on page 4 of this press release. A reconciliation of this non-GAAP measure to the most applicable GAAP measure begins on page 11 of this release.</w:t>
                            </w:r>
                          </w:p>
                        </w:tc>
                      </w:tr>
                      <w:tr>
                        <w:trPr/>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Conference Call Details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Asure management will host a conference call on Thursday, April 30, 2026, at 3:30 pm Central (4:30 pm Eastern). Asure Chairman and CEO Pat Goepel and CFO John Pence will participate in the conference call followed by a question-and-answer session. The conference call will be broadcast live and available for replay via the investor relations section of the Company’s website. Analysts may participate on the conference call by dialing 877-407-9219 or 201-689-8852.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Asure Software, Inc.</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Asure (Nasdaq: ASUR) provides cloud-based Human Capital Management (HCM) software solutions that assist organizations of all sizes in streamlining their HCM processes. Asure's suite of HCM solutions includes HR, payroll, time and attendance, benefits administration, payroll tax management, and talent management. The company's approach to HR compliance services incorporates AI technology to enhance scalability and efficiency while prioritizing client interactions. For more information, please visit www.asuresoftware.com.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and Adjusted Financial Measures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information about non-GAAP gross profit, non-GAAP sales and marketing expense, non-GAAP general and administrative expense, non-GAAP research and development expense, EBITDA, EBITDA margin, adjusted EBITDA, and adjusted EBITDA margin. These non-GAAP and adjusted financial measures are measurements of financial performance that are not prepared in accordance with U.S. generally accepted accounting principles and computational methods may differ from those used by other companies. Non-GAAP and adjusted financial measures are not meant to be considered in isolation or as a substitute for comparable GAAP measures and should be read only in conjunction with the Company’s Condensed Consolidated Financial Statements prepared in accordance with GAAP. Non-GAAP and adjusted financial measures are reconciled to GAAP in the tables set forth in this release and are subject to reclassifications to conform to current period presentations.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gross profit differs from gross profit in that it excludes amortization, share-based compensation, and one-time items.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sales and marketing expense differs from sales and marketing expense in that it excludes share-based compensation and one-time items.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general and administrative expense differs from general and administrative expense in that it excludes share-based compensation and one-time items.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research and development expense differs from research and development expense in that it excludes share-based compensation and one-time items.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EBITDA differs from net income (loss) in that it excludes items such as interest, income taxes, depreciation, and amortization. Asure is unable to predict with reasonable certainty the ultimate outcome of these exclusions without unreasonable effort.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differs from EBITDA in that it excludes share-based compensation, other income (expense), net and one-time expenses. Asure is unable to predict with reasonable certainty the ultimate outcome of these exclusions without unreasonable effort.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adjusted and non-GAAP measures presented as “margin” are computed by dividing the applicable adjusted financial measure by total revenue.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Specifically, as applicable to the respective financial measure, management is adjusting for the following items when calculating non-GAAP and adjusted financial measures as applicable for the periods presented. No additional adjustments have been made for potential income tax effects of the adjustments based on the Company’s current and anticipated de minimis effective federal tax rate, resulting from the Company’s continued losses for federal tax purposes and its tax net operating loss balances.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Share-Based Compensation Expenses. </w:t>
      </w:r>
      <w:r>
        <w:rPr>
          <w:rFonts w:ascii="Times New Roman;serif" w:hAnsi="Times New Roman;serif"/>
          <w:b w:val="false"/>
          <w:color w:val="000000"/>
          <w:sz w:val="20"/>
        </w:rPr>
        <w:t>The Company’s compensation strategy includes the use of share-based compensation to attract and retain employees and executives. It is principally aimed at aligning their interests with those of our stockholders and at long-term employee retention, rather than to motivate or reward operational performance for any particular period. Thus, share-based compensation expense varies for reasons that are generally unrelated to operational decisions and performance in any particular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Depreciation. </w:t>
      </w:r>
      <w:r>
        <w:rPr>
          <w:rFonts w:ascii="Times New Roman;serif" w:hAnsi="Times New Roman;serif"/>
          <w:b w:val="false"/>
          <w:color w:val="000000"/>
          <w:sz w:val="20"/>
        </w:rPr>
        <w:t>The Company excludes depreciation of fixed assets. Also included in the expense is the depreciation of capitalized software costs.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Amortization of Purchased Intangibles. </w:t>
      </w:r>
      <w:r>
        <w:rPr>
          <w:rFonts w:ascii="Times New Roman;serif" w:hAnsi="Times New Roman;serif"/>
          <w:b w:val="false"/>
          <w:color w:val="000000"/>
          <w:sz w:val="20"/>
        </w:rPr>
        <w:t>The Company views amortization of acquisition-related intangible assets, such as the amortization of the cost associated with an acquired company’s research and development efforts, trade names, customer lists and customer relationships, and acquired lease intangibles, as items arising from pre-acquisition activities determined at the time of an acquisition. While these intangible assets are continually evaluated for impairment, amortization of the cost of purchased intangibles is a static expense, one that is not typically affected by operations during any particular period.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Interest Expense, Net. </w:t>
      </w:r>
      <w:r>
        <w:rPr>
          <w:rFonts w:ascii="Times New Roman;serif" w:hAnsi="Times New Roman;serif"/>
          <w:b w:val="false"/>
          <w:color w:val="000000"/>
          <w:sz w:val="20"/>
        </w:rPr>
        <w:t>The Company excludes accrued interest expense, the amortization of debt discounts and deferred financing costs.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Income Taxes. </w:t>
      </w:r>
      <w:r>
        <w:rPr>
          <w:rFonts w:ascii="Times New Roman;serif" w:hAnsi="Times New Roman;serif"/>
          <w:b w:val="false"/>
          <w:color w:val="000000"/>
          <w:sz w:val="20"/>
        </w:rPr>
        <w:t>The Company excludes income taxes, both at the federal and state levels.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One-Time Expenses. </w:t>
      </w:r>
      <w:r>
        <w:rPr>
          <w:rFonts w:ascii="Times New Roman;serif" w:hAnsi="Times New Roman;serif"/>
          <w:b w:val="false"/>
          <w:color w:val="000000"/>
          <w:sz w:val="20"/>
        </w:rPr>
        <w:t>The Company’s adjusted financial measures exclude the following costs to normalize comparable reporting periods, as these are generally non-recurring expenses that do not reflect the ongoing operational results. These items are typically not budgeted and are infrequent and unusual in nature.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Settlements, Penalties and Interest. </w:t>
      </w:r>
      <w:r>
        <w:rPr>
          <w:rFonts w:ascii="Times New Roman;serif" w:hAnsi="Times New Roman;serif"/>
          <w:b w:val="false"/>
          <w:color w:val="000000"/>
          <w:sz w:val="20"/>
        </w:rPr>
        <w:t>The Company excludes legal settlements, including separation agreements, penalties and interest that are generally one-time in nature and not reflective of the operational results of the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Acquisition and Transaction Related Costs. </w:t>
      </w:r>
      <w:r>
        <w:rPr>
          <w:rFonts w:ascii="Times New Roman;serif" w:hAnsi="Times New Roman;serif"/>
          <w:b w:val="false"/>
          <w:color w:val="000000"/>
          <w:sz w:val="20"/>
        </w:rPr>
        <w:t>The Company excludes these expenses as they are transaction costs and expenses that are generally one-time in nature and not reflective of the underlying operational results of our business. Examples of these types of expenses include legal, accounting, regulatory, other consulting services, severance and other employee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non-recurring Expenses. </w:t>
      </w:r>
      <w:r>
        <w:rPr>
          <w:rFonts w:ascii="Times New Roman;serif" w:hAnsi="Times New Roman;serif"/>
          <w:b w:val="false"/>
          <w:color w:val="000000"/>
          <w:sz w:val="20"/>
        </w:rPr>
        <w:t>The Company excludes these as they are generally non-recurring items that are not reflective of the underlying operational results of the business and are generally not anticipated to recur. Some examples of these types of expenses, historically, have included write-offs or impairments of assets, demolition of office space and cybersecurity consultants.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(Expense) Income, Net. </w:t>
      </w:r>
      <w:r>
        <w:rPr>
          <w:rFonts w:ascii="Times New Roman;serif" w:hAnsi="Times New Roman;serif"/>
          <w:b w:val="false"/>
          <w:color w:val="000000"/>
          <w:sz w:val="20"/>
        </w:rPr>
        <w:t>The Company’s adjusted financial measures exclude Other (Expense) Income, Net because it includes items that are not reflective of the underlying operational results of the business, such as loan forgiveness, adjustments to contingent liabilities and credits earned as part of the CARES Act, passed by Congress in the wake of the coronavirus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certain statements made by management that may constitute “forward-looking” statements within the meaning of the safe harbor provisions of the U.S. Private Securities Litigation Reform Act of 1995. These forward-looking statements about our financial results may include expected or projected U.S GAAP and other operating and non-operating results. The words “believe,” “may,” “will,” “estimate,” “projects,” “anticipate,” “intend,” “expect,” “should,” “plan,” and similar expressions are intended to identify forward-looking statements. Examples of forward-looking statements include statements we make regarding our operating performance, future results of operations and financial position, revenue growth, earnings or other projections.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risks, uncertainties and assumptions, over many of which we have no control. If any such risks or uncertainties materialize or if any of the assumptions prove incorrect, our results could differ materially from the results expressed or implied by the forward-looking statements we make. The risks and uncertainties referred to above include—but are not limited to—risks associated with breaches of our security measures; possible fluctuations in our financial and operating results; potential financing needed to meet future capital requirements; access to additional capital; volatility and weakness in bank and capital markets; the financial and other impact of any previous and future acquisitions; privacy concerns and laws and other regulations that may limit the effectiveness of our applications; inability to adopt new or correctly interpret existing money service and money transmitter business status; risk of our software and solutions not functioning adequately; interruptions, delays or changes in our services or our Web hosting; significant costs as a result of operating as a public company; economic and governmental interruptions to supply chains; risks related to weaknesses in internal control; the inability to continue to release timely updates for changes in laws; the inability to develop new and improved versions of our services and technological developments; customer’s nonrenewal of their agreements and other similar changes; the exposure of market, interest, credit and liquidity risk on client funds held in trust; our operations in highly competitive markets; risks that our clients could have insufficient funds, limitations in the ability to transmit ACH transactions; the nature of our business model; impairment of intangible assets; litigation and any related claims, negotiations and settlements, including with respect to intellectual property matters or industry-specific regulations; market demand of our Software-as-a-Service offerings; adverse effects to our business a result of claims, lawsuits, and other proceedings; adverse material effects caused by advancements and adoption of artificial intelligence; issues in the use of artificial intelligence in our HCM products and services; adverse changes to financial accounting standards to us; intellectual property risks associated with the use of open source software; failures of our service providers; factors affecting our deferred tax assets and ability to value and utilize them; inability to maintain third-party licensed software; evolving regulation of the Internet, changes in the infrastructure underlying the Internet or interruptions in Internet services; the expiration of Employee Retention Tax Credits (“ERTC”) and the impact of recent regulatory and other measures by governmental authorities-regarding ERTC claims and the corresponding cash collections of existing receivables; our ability to hire, retain and motivate employees and manage our growth; potential enactment of adverse tax laws, regulation, political, economic and social factors; potential sales of a substantial number of shares of our common stock along with its volatility; and risks associated with potential equity-related transactions including dividends, rights under the stockholder plan to discourage certain actions and other impacts as a result of actions of our stockholders.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Please review the Company’s risk factors in its annual report on Form 10-K filed with the Securities and Exchange Commission (the “SEC”) on February 26,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including the financial guidance and 2026 outlook, contained in this press release represent the judgment of the Company as of the date of this press release, and the Company expressly disclaims any intent, obligation or undertaking to release publicly any updates or revisions to any forward-looking statements to reflect any change in the Company’s expectations with regard to these forward looking statements or any change in events, conditions or circumstances on which any such statements are based. © 2026 Asure Software, Inc.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946"/>
        <w:gridCol w:w="2233"/>
        <w:gridCol w:w="2232"/>
        <w:gridCol w:w="216"/>
        <w:gridCol w:w="813"/>
        <w:gridCol w:w="120"/>
        <w:gridCol w:w="109"/>
        <w:gridCol w:w="109"/>
        <w:gridCol w:w="109"/>
        <w:gridCol w:w="237"/>
        <w:gridCol w:w="891"/>
        <w:gridCol w:w="190"/>
      </w:tblGrid>
      <w:tr>
        <w:trPr/>
        <w:tc>
          <w:tcPr>
            <w:tcW w:w="2946"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25,244 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$7,610 and $7,206 at March 31, 2026 and December 31, 2025, respectively</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 before funds held for clients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50,258 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Funds held for clients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216,514 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228,111 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259,100 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278,369 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29,566 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27,810 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115,759 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115,759 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518,678 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531,419 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LIABILITIES AND STOCKHOLDERS</w:t>
            </w:r>
            <w:r>
              <w:rPr>
                <w:color w:val="000000"/>
              </w:rPr>
              <w:t xml:space="preserve">’ </w:t>
            </w:r>
            <w:r>
              <w:rPr>
                <w:rFonts w:ascii="Times New Roman;serif" w:hAnsi="Times New Roman;serif"/>
                <w:b/>
                <w:color w:val="000000"/>
                <w:sz w:val="16"/>
              </w:rPr>
              <w:t>EQUITY</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notes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current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 before client fund obligations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28,977 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31,241 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Client fund obligations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217,305 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228,482 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246,282 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259,723 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Notes payable, net of current portion</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62,346 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noncurrent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318,555 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333,623 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1,500 shares authorized; none issued or outstanding</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44,000 shares authorized; 28,637 and 28,076 shares issued, 28,637 and 28,076 shares outstanding at March 31, 2026 and December 31, 2025, respectively</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Treasury stock at cost, zero</w:t>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shares at March 31, 2026 and December 31, 2025</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519,717 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517,432 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(319,727)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(320,352)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200,123 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197,796 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518,678 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531,419 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(1) The aggregate Treasury stock of prior repurchases of our own common stock was retired and subsequently issued effective January 1, 2024. See the Condensed Consolidated</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4"/>
              </w:rPr>
              <w:t>Statement of Changes in Stockholders' Equity for the impact of this transaction.</w:t>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AND LOSS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bl>
      <w:tblPr>
        <w:tblW w:w="7947" w:type="dxa"/>
        <w:jc w:val="center"/>
        <w:tblInd w:w="0" w:type="dxa"/>
        <w:tblLayout w:type="fixed"/>
        <w:tblCellMar>
          <w:top w:w="28" w:type="dxa"/>
          <w:left w:w="28" w:type="dxa"/>
          <w:bottom w:w="28" w:type="dxa"/>
          <w:right w:w="28" w:type="dxa"/>
        </w:tblCellMar>
      </w:tblPr>
      <w:tblGrid>
        <w:gridCol w:w="1507"/>
        <w:gridCol w:w="1329"/>
        <w:gridCol w:w="1349"/>
        <w:gridCol w:w="109"/>
        <w:gridCol w:w="109"/>
        <w:gridCol w:w="109"/>
        <w:gridCol w:w="109"/>
        <w:gridCol w:w="109"/>
        <w:gridCol w:w="109"/>
        <w:gridCol w:w="109"/>
        <w:gridCol w:w="109"/>
        <w:gridCol w:w="109"/>
        <w:gridCol w:w="109"/>
        <w:gridCol w:w="109"/>
        <w:gridCol w:w="109"/>
        <w:gridCol w:w="211"/>
        <w:gridCol w:w="721"/>
        <w:gridCol w:w="109"/>
        <w:gridCol w:w="109"/>
        <w:gridCol w:w="109"/>
        <w:gridCol w:w="109"/>
        <w:gridCol w:w="211"/>
        <w:gridCol w:w="721"/>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hardware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and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bl>
      <w:tblPr>
        <w:tblW w:w="9159" w:type="dxa"/>
        <w:jc w:val="center"/>
        <w:tblInd w:w="0" w:type="dxa"/>
        <w:tblLayout w:type="fixed"/>
        <w:tblCellMar>
          <w:top w:w="28" w:type="dxa"/>
          <w:left w:w="28" w:type="dxa"/>
          <w:bottom w:w="28" w:type="dxa"/>
          <w:right w:w="28" w:type="dxa"/>
        </w:tblCellMar>
      </w:tblPr>
      <w:tblGrid>
        <w:gridCol w:w="2429"/>
        <w:gridCol w:w="2129"/>
        <w:gridCol w:w="2147"/>
        <w:gridCol w:w="196"/>
        <w:gridCol w:w="736"/>
        <w:gridCol w:w="109"/>
        <w:gridCol w:w="109"/>
        <w:gridCol w:w="109"/>
        <w:gridCol w:w="109"/>
        <w:gridCol w:w="196"/>
        <w:gridCol w:w="736"/>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income (loss) to net cash provided by operations: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financing costs and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accretion of discounts on available-for-sale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expected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gains on sales of available-for-sale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long-term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intangible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capitalization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available-for-sale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and maturities of available-for-sale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finance lease principal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on amounts due for the acquisition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(settlements for) common stock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client fund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restricted cash, and restricted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restricted cash and restricted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restricted cash and restricted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bl>
      <w:tblPr>
        <w:tblW w:w="10205" w:type="dxa"/>
        <w:jc w:val="center"/>
        <w:tblInd w:w="0" w:type="dxa"/>
        <w:tblLayout w:type="fixed"/>
        <w:tblCellMar>
          <w:top w:w="28" w:type="dxa"/>
          <w:left w:w="28" w:type="dxa"/>
          <w:bottom w:w="28" w:type="dxa"/>
          <w:right w:w="28" w:type="dxa"/>
        </w:tblCellMar>
      </w:tblPr>
      <w:tblGrid>
        <w:gridCol w:w="1520"/>
        <w:gridCol w:w="1287"/>
        <w:gridCol w:w="1198"/>
        <w:gridCol w:w="495"/>
        <w:gridCol w:w="1859"/>
        <w:gridCol w:w="275"/>
        <w:gridCol w:w="275"/>
        <w:gridCol w:w="275"/>
        <w:gridCol w:w="275"/>
        <w:gridCol w:w="495"/>
        <w:gridCol w:w="1859"/>
        <w:gridCol w:w="392"/>
      </w:tblGrid>
      <w:tr>
        <w:trPr/>
        <w:tc>
          <w:tcPr>
            <w:tcW w:w="152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cash, cash equivalents, restricted cash, and restricted cash equivalents to the Condensed Consolidated Balance Sheets</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14,076 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restricted cash equivalents included in funds held for clients</w:t>
            </w:r>
          </w:p>
        </w:tc>
        <w:tc>
          <w:tcPr>
            <w:tcW w:w="2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131,284 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184,927 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restricted cash, and restricted cash equivalents</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150,505 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199,003 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information:</w:t>
            </w:r>
          </w:p>
        </w:tc>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274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intangible assets</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Notes payable issued for acquisitions</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for acquisitions</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27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AND ADJUSTED FINANCIAL MEASURES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0"/>
        <w:gridCol w:w="327"/>
        <w:gridCol w:w="328"/>
        <w:gridCol w:w="196"/>
        <w:gridCol w:w="661"/>
        <w:gridCol w:w="241"/>
        <w:gridCol w:w="196"/>
        <w:gridCol w:w="661"/>
        <w:gridCol w:w="241"/>
        <w:gridCol w:w="196"/>
        <w:gridCol w:w="661"/>
        <w:gridCol w:w="241"/>
        <w:gridCol w:w="196"/>
        <w:gridCol w:w="661"/>
        <w:gridCol w:w="241"/>
        <w:gridCol w:w="196"/>
        <w:gridCol w:w="661"/>
        <w:gridCol w:w="241"/>
        <w:gridCol w:w="196"/>
        <w:gridCol w:w="661"/>
        <w:gridCol w:w="241"/>
        <w:gridCol w:w="196"/>
        <w:gridCol w:w="661"/>
        <w:gridCol w:w="241"/>
        <w:gridCol w:w="196"/>
        <w:gridCol w:w="661"/>
        <w:gridCol w:w="287"/>
      </w:tblGrid>
      <w:tr>
        <w:trPr/>
        <w:tc>
          <w:tcPr>
            <w:tcW w:w="7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Q1-26</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Q4-24</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Q3-24</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Q2-24</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Revenue</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42,757</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39,311</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36,252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30,124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34,854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30,792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29,304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28,044</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to non-GAAP Gross Profit</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30,470</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27,213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23,142</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19,911</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24,608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20,928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19,704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18,868</w:t>
            </w: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69.2 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70.6 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68.0 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67.3 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 intangibles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32,317</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29,446</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25,401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21,857</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26,267</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22,542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21,399</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20,373</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75.6 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74.9 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72.6 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Sales and Marketing Expense to non-GAAP Sales and Marketing Expense</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Sales and Marketing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8,764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7,991</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9,043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8,149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8,386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6,945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6,680</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6,924</w:t>
            </w: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Sales and Marketing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8,425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7,470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7,233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7,582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7,982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6,555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6,347</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6,645</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General and Administrative Expense to non-GAAP General and Administrative Expense</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General and Administrative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12,748</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11,308</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11,655</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10,968</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11,900</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9,940</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10,378</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10,118</w:t>
            </w: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General and Administrative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9,997</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9,664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9,006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7,922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9,130</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7,946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7,926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8,191</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Research and Development Expense to non-GAAP Research and Development Expense</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Research and Development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1,657</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1,962</w:t>
            </w: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Research and Development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1,057</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1,480</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(1)</w:t>
      </w:r>
      <w:r>
        <w:rPr>
          <w:rFonts w:ascii="Times New Roman;serif" w:hAnsi="Times New Roman;serif"/>
          <w:b w:val="false"/>
          <w:color w:val="000000"/>
          <w:sz w:val="16"/>
        </w:rPr>
        <w:t>Note that first quarters are seasonally strong as recurring year-end W2/ACA revenue is recognized in this period.</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AND ADJUSTED FINANCIAL MEASURES (cont.)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42"/>
        <w:gridCol w:w="366"/>
        <w:gridCol w:w="367"/>
        <w:gridCol w:w="196"/>
        <w:gridCol w:w="661"/>
        <w:gridCol w:w="241"/>
        <w:gridCol w:w="196"/>
        <w:gridCol w:w="661"/>
        <w:gridCol w:w="241"/>
        <w:gridCol w:w="196"/>
        <w:gridCol w:w="661"/>
        <w:gridCol w:w="241"/>
        <w:gridCol w:w="196"/>
        <w:gridCol w:w="661"/>
        <w:gridCol w:w="241"/>
        <w:gridCol w:w="196"/>
        <w:gridCol w:w="661"/>
        <w:gridCol w:w="241"/>
        <w:gridCol w:w="196"/>
        <w:gridCol w:w="661"/>
        <w:gridCol w:w="241"/>
        <w:gridCol w:w="196"/>
        <w:gridCol w:w="661"/>
        <w:gridCol w:w="241"/>
        <w:gridCol w:w="196"/>
        <w:gridCol w:w="661"/>
        <w:gridCol w:w="287"/>
      </w:tblGrid>
      <w:tr>
        <w:trPr/>
        <w:tc>
          <w:tcPr>
            <w:tcW w:w="6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Q1-26</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Q4-24</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Q3-24</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Q2-24</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Revenue</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42,757</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39,311</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36,252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30,124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34,854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30,792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29,304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28,044</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Net Loss to Adjusted EBITDA</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757</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(4,360)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 intangibles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9,402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8,669</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3,903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2,220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1,316</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EBITDA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4.7 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Time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12,345</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11,363</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8,102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5,242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7,316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6,229</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5,440</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4,057</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16"/>
        </w:rPr>
        <w:t>Note that first quarters are seasonally strong as recurring year-end W2/ACA revenue is recognized in this period.</w:t>
      </w:r>
    </w:p>
    <w:p>
      <w:pPr>
        <w:pStyle w:val="TextBody"/>
        <w:bidi w:val="0"/>
        <w:spacing w:before="0" w:after="0"/>
        <w:jc w:val="center"/>
        <w:rPr/>
      </w:pPr>
      <w:r>
        <w:rPr/>
      </w:r>
    </w:p>
    <w:p>
      <w:pPr>
        <w:pStyle w:val="TextBody"/>
        <w:bidi w:val="0"/>
        <w:spacing w:before="0" w:after="0"/>
        <w:jc w:val="center"/>
        <w:rPr/>
      </w:pPr>
      <w:r>
        <w:rPr/>
      </w:r>
    </w:p>
    <w:tbl>
      <w:tblPr>
        <w:tblW w:w="3181" w:type="dxa"/>
        <w:jc w:val="left"/>
        <w:tblInd w:w="0" w:type="dxa"/>
        <w:tblLayout w:type="fixed"/>
        <w:tblCellMar>
          <w:top w:w="28" w:type="dxa"/>
          <w:left w:w="28" w:type="dxa"/>
          <w:bottom w:w="28" w:type="dxa"/>
          <w:right w:w="28" w:type="dxa"/>
        </w:tblCellMar>
      </w:tblPr>
      <w:tblGrid>
        <w:gridCol w:w="1016"/>
        <w:gridCol w:w="893"/>
        <w:gridCol w:w="127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Investor Relations Contact</w:t>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McKillop</w:t>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w:t>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617-335-5058</w:t>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patrick.mckillop@asuresoftware.com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4721</Words>
  <Characters>26867</Characters>
  <CharactersWithSpaces>31051</CharactersWithSpaces>
  <Paragraphs>1124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