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365125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1880" w:hanging="3857"/>
        <w:spacing w:after="0" w:line="564" w:lineRule="auto"/>
        <w:tabs>
          <w:tab w:leader="none" w:pos="39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90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20" w:type="dxa"/>
            <w:vAlign w:val="bottom"/>
            <w:gridSpan w:val="5"/>
          </w:tcPr>
          <w:p>
            <w:pPr>
              <w:jc w:val="center"/>
              <w:ind w:left="410"/>
              <w:spacing w:after="0"/>
              <w:rPr>
                <w:sz w:val="20"/>
                <w:szCs w:val="20"/>
                <w:color w:val="auto"/>
              </w:rPr>
            </w:pPr>
            <w:r>
              <w:rPr>
                <w:rFonts w:ascii="Arial" w:cs="Arial" w:eastAsia="Arial" w:hAnsi="Arial"/>
                <w:sz w:val="18"/>
                <w:szCs w:val="18"/>
                <w:color w:val="auto"/>
                <w:w w:val="91"/>
              </w:rPr>
              <w:t>(Exact Name of Registrant as Specified in its Charter)</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80" w:type="dxa"/>
            <w:vAlign w:val="bottom"/>
            <w:gridSpan w:val="6"/>
          </w:tcPr>
          <w:p>
            <w:pPr>
              <w:spacing w:after="0"/>
              <w:rPr>
                <w:sz w:val="24"/>
                <w:szCs w:val="24"/>
                <w:color w:val="auto"/>
              </w:rPr>
            </w:pPr>
          </w:p>
        </w:tc>
        <w:tc>
          <w:tcPr>
            <w:tcW w:w="16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712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(State or other jurisdiction of</w:t>
            </w:r>
          </w:p>
        </w:tc>
        <w:tc>
          <w:tcPr>
            <w:tcW w:w="1640" w:type="dxa"/>
            <w:vAlign w:val="bottom"/>
            <w:gridSpan w:val="5"/>
          </w:tcPr>
          <w:p>
            <w:pPr>
              <w:jc w:val="center"/>
              <w:ind w:left="210"/>
              <w:spacing w:after="0"/>
              <w:rPr>
                <w:sz w:val="20"/>
                <w:szCs w:val="20"/>
                <w:color w:val="auto"/>
              </w:rPr>
            </w:pPr>
            <w:r>
              <w:rPr>
                <w:rFonts w:ascii="Arial" w:cs="Arial" w:eastAsia="Arial" w:hAnsi="Arial"/>
                <w:sz w:val="18"/>
                <w:szCs w:val="18"/>
                <w:color w:val="auto"/>
                <w:w w:val="92"/>
              </w:rPr>
              <w:t>(I.R.S. Employer</w:t>
            </w:r>
          </w:p>
        </w:tc>
      </w:tr>
      <w:tr>
        <w:trPr>
          <w:trHeight w:val="230"/>
        </w:trPr>
        <w:tc>
          <w:tcPr>
            <w:tcW w:w="7120" w:type="dxa"/>
            <w:vAlign w:val="bottom"/>
            <w:gridSpan w:val="9"/>
          </w:tcPr>
          <w:p>
            <w:pPr>
              <w:jc w:val="center"/>
              <w:ind w:right="416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gridSpan w:val="5"/>
          </w:tcPr>
          <w:p>
            <w:pPr>
              <w:jc w:val="center"/>
              <w:ind w:left="2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12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90"/>
              </w:rPr>
              <w:t>110 Wild Basin Road, Suite 100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5120" w:type="dxa"/>
            <w:vAlign w:val="bottom"/>
            <w:gridSpan w:val="5"/>
          </w:tcPr>
          <w:p>
            <w:pPr>
              <w:spacing w:after="0"/>
              <w:rPr>
                <w:sz w:val="16"/>
                <w:szCs w:val="16"/>
                <w:color w:val="auto"/>
              </w:rPr>
            </w:pPr>
          </w:p>
        </w:tc>
        <w:tc>
          <w:tcPr>
            <w:tcW w:w="74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78746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7"/>
        </w:trPr>
        <w:tc>
          <w:tcPr>
            <w:tcW w:w="7120" w:type="dxa"/>
            <w:vAlign w:val="bottom"/>
            <w:gridSpan w:val="9"/>
          </w:tcPr>
          <w:p>
            <w:pPr>
              <w:jc w:val="center"/>
              <w:ind w:right="4180"/>
              <w:spacing w:after="0"/>
              <w:rPr>
                <w:sz w:val="20"/>
                <w:szCs w:val="20"/>
                <w:color w:val="auto"/>
              </w:rPr>
            </w:pPr>
            <w:r>
              <w:rPr>
                <w:rFonts w:ascii="Arial" w:cs="Arial" w:eastAsia="Arial" w:hAnsi="Arial"/>
                <w:sz w:val="18"/>
                <w:szCs w:val="18"/>
                <w:color w:val="auto"/>
                <w:w w:val="92"/>
              </w:rPr>
              <w:t>(Address of Principal Executive Offices)</w:t>
            </w:r>
          </w:p>
        </w:tc>
        <w:tc>
          <w:tcPr>
            <w:tcW w:w="54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r>
        <w:trPr>
          <w:trHeight w:val="392"/>
        </w:trPr>
        <w:tc>
          <w:tcPr>
            <w:tcW w:w="5380" w:type="dxa"/>
            <w:vAlign w:val="bottom"/>
            <w:gridSpan w:val="7"/>
          </w:tcPr>
          <w:p>
            <w:pPr>
              <w:jc w:val="center"/>
              <w:ind w:left="417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20" w:type="dxa"/>
            <w:vAlign w:val="bottom"/>
            <w:gridSpan w:val="5"/>
          </w:tcPr>
          <w:p>
            <w:pPr>
              <w:jc w:val="center"/>
              <w:ind w:left="410"/>
              <w:spacing w:after="0"/>
              <w:rPr>
                <w:sz w:val="20"/>
                <w:szCs w:val="20"/>
                <w:color w:val="auto"/>
              </w:rPr>
            </w:pPr>
            <w:r>
              <w:rPr>
                <w:rFonts w:ascii="Arial" w:cs="Arial" w:eastAsia="Arial" w:hAnsi="Arial"/>
                <w:sz w:val="18"/>
                <w:szCs w:val="18"/>
                <w:color w:val="auto"/>
                <w:w w:val="90"/>
              </w:rPr>
              <w:t>(Registrant’s Telephone Number, including Area Code)</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60" w:space="720"/>
            <w:col w:w="2140" w:space="720"/>
            <w:col w:w="2140" w:space="720"/>
            <w:col w:w="262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180"/>
            <w:col w:w="244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11, 2015, the registrant had outstanding 6,289,646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4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0"/>
                <w:szCs w:val="20"/>
                <w:color w:val="auto"/>
              </w:rPr>
            </w:pPr>
          </w:p>
        </w:tc>
      </w:tr>
      <w:tr>
        <w:trPr>
          <w:trHeight w:val="414"/>
        </w:trPr>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241"/>
        </w:trPr>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8"/>
          </w:tcPr>
          <w:p>
            <w:pPr>
              <w:ind w:left="70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tcPr>
          <w:p>
            <w:pPr>
              <w:spacing w:after="0"/>
              <w:rPr>
                <w:sz w:val="18"/>
                <w:szCs w:val="18"/>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and December 31, 2014</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0" w:type="dxa"/>
            <w:vAlign w:val="bottom"/>
            <w:gridSpan w:val="14"/>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Comprehensive Loss for the Three and Six Months Ended June 30, 2015 and 2014</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2015 and 2014</w:t>
              </w:r>
            </w:hyperlink>
          </w:p>
        </w:tc>
        <w:tc>
          <w:tcPr>
            <w:tcW w:w="5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380" w:type="dxa"/>
            <w:vAlign w:val="bottom"/>
            <w:tcBorders>
              <w:top w:val="single" w:sz="8" w:color="0000EE"/>
            </w:tcBorders>
            <w:gridSpan w:val="5"/>
          </w:tcPr>
          <w:p>
            <w:pPr>
              <w:spacing w:after="0"/>
              <w:rPr>
                <w:sz w:val="17"/>
                <w:szCs w:val="17"/>
                <w:color w:val="auto"/>
              </w:rPr>
            </w:pPr>
          </w:p>
        </w:tc>
        <w:tc>
          <w:tcPr>
            <w:tcW w:w="20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Management’s Discussion and Analysis of Financial Condition and Results of Operations</w:t>
              </w:r>
            </w:hyperlink>
          </w:p>
        </w:tc>
        <w:tc>
          <w:tcPr>
            <w:tcW w:w="288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680" w:type="dxa"/>
            <w:vAlign w:val="bottom"/>
            <w:gridSpan w:val="15"/>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2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Controls and Procedures</w:t>
              </w:r>
            </w:hyperlink>
          </w:p>
        </w:tc>
        <w:tc>
          <w:tcPr>
            <w:tcW w:w="50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8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II - OTHER INFORMATION</w:t>
            </w:r>
          </w:p>
        </w:tc>
        <w:tc>
          <w:tcPr>
            <w:tcW w:w="92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3"/>
              </w:rPr>
            </w:pPr>
            <w:hyperlink w:anchor="page22">
              <w:r>
                <w:rPr>
                  <w:rFonts w:ascii="Arial" w:cs="Arial" w:eastAsia="Arial" w:hAnsi="Arial"/>
                  <w:sz w:val="18"/>
                  <w:szCs w:val="18"/>
                  <w:b w:val="1"/>
                  <w:bCs w:val="1"/>
                  <w:color w:val="0000EE"/>
                  <w:w w:val="83"/>
                </w:rPr>
                <w:t>Legal Proceedings</w:t>
              </w:r>
            </w:hyperlink>
          </w:p>
        </w:tc>
        <w:tc>
          <w:tcPr>
            <w:tcW w:w="832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22">
              <w:r>
                <w:rPr>
                  <w:rFonts w:ascii="Arial" w:cs="Arial" w:eastAsia="Arial" w:hAnsi="Arial"/>
                  <w:sz w:val="18"/>
                  <w:szCs w:val="18"/>
                  <w:b w:val="1"/>
                  <w:bCs w:val="1"/>
                  <w:color w:val="0000EE"/>
                  <w:w w:val="85"/>
                </w:rPr>
                <w:t>Risk Factors</w:t>
              </w:r>
            </w:hyperlink>
          </w:p>
        </w:tc>
        <w:tc>
          <w:tcPr>
            <w:tcW w:w="874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680" w:type="dxa"/>
            <w:vAlign w:val="bottom"/>
            <w:gridSpan w:val="15"/>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86"/>
              </w:rPr>
            </w:pPr>
            <w:hyperlink w:anchor="page22">
              <w:r>
                <w:rPr>
                  <w:rFonts w:ascii="Arial" w:cs="Arial" w:eastAsia="Arial" w:hAnsi="Arial"/>
                  <w:sz w:val="18"/>
                  <w:szCs w:val="18"/>
                  <w:b w:val="1"/>
                  <w:bCs w:val="1"/>
                  <w:color w:val="0000EE"/>
                  <w:w w:val="86"/>
                </w:rPr>
                <w:t>Defaults upon Senior Securities</w:t>
              </w:r>
            </w:hyperlink>
          </w:p>
        </w:tc>
        <w:tc>
          <w:tcPr>
            <w:tcW w:w="2140" w:type="dxa"/>
            <w:vAlign w:val="bottom"/>
            <w:tcBorders>
              <w:top w:val="single" w:sz="8" w:color="0000EE"/>
            </w:tcBorders>
            <w:gridSpan w:val="3"/>
          </w:tcPr>
          <w:p>
            <w:pPr>
              <w:spacing w:after="0"/>
              <w:rPr>
                <w:sz w:val="17"/>
                <w:szCs w:val="17"/>
                <w:color w:val="auto"/>
              </w:rPr>
            </w:pPr>
          </w:p>
        </w:tc>
        <w:tc>
          <w:tcPr>
            <w:tcW w:w="516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2"/>
              </w:rPr>
            </w:pPr>
            <w:hyperlink w:anchor="page22">
              <w:r>
                <w:rPr>
                  <w:rFonts w:ascii="Arial" w:cs="Arial" w:eastAsia="Arial" w:hAnsi="Arial"/>
                  <w:sz w:val="18"/>
                  <w:szCs w:val="18"/>
                  <w:b w:val="1"/>
                  <w:bCs w:val="1"/>
                  <w:color w:val="0000EE"/>
                  <w:w w:val="82"/>
                </w:rPr>
                <w:t>Exhibits</w:t>
              </w:r>
            </w:hyperlink>
          </w:p>
        </w:tc>
        <w:tc>
          <w:tcPr>
            <w:tcW w:w="90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10500" w:type="dxa"/>
            <w:vAlign w:val="bottom"/>
            <w:gridSpan w:val="1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tcPr>
          <w:p>
            <w:pPr>
              <w:jc w:val="center"/>
              <w:ind w:left="299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ASURE SOFTWARE,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tcPr>
          <w:p>
            <w:pPr>
              <w:jc w:val="center"/>
              <w:ind w:left="2970"/>
              <w:spacing w:after="0"/>
              <w:rPr>
                <w:sz w:val="20"/>
                <w:szCs w:val="20"/>
                <w:color w:val="auto"/>
              </w:rPr>
            </w:pPr>
            <w:r>
              <w:rPr>
                <w:rFonts w:ascii="Arial" w:cs="Arial" w:eastAsia="Arial" w:hAnsi="Arial"/>
                <w:sz w:val="18"/>
                <w:szCs w:val="18"/>
                <w:color w:val="auto"/>
                <w:w w:val="91"/>
              </w:rPr>
              <w:t>(Amounts in thousands)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60" w:type="dxa"/>
            <w:vAlign w:val="bottom"/>
          </w:tcPr>
          <w:p>
            <w:pPr>
              <w:jc w:val="center"/>
              <w:ind w:left="303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02"/>
        </w:trPr>
        <w:tc>
          <w:tcPr>
            <w:tcW w:w="8360" w:type="dxa"/>
            <w:vAlign w:val="bottom"/>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 accounts of $128 and $120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June 30, 2015 and December 31, 2014,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7,088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8,322</w:t>
            </w: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34,729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14,605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14,402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15,595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6,674 and 6,434 shares issued,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6,290 and 6,050 shares outstanding at June 30, 2015 and December 31, 2014,</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384 shares at June 30, 2015 and December 31, 2014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278,656</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(269,534)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(269,146)</w:t>
            </w: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34,729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34,468</w:t>
            </w:r>
          </w:p>
        </w:tc>
      </w:tr>
      <w:tr>
        <w:trPr>
          <w:trHeight w:val="21"/>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rPr>
              <w:t>FOR THE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7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7,159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13,491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9,960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3,495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7,061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lease termination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settlement of note payable and litigation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debt refinancing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 and other</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amortization of original issue discount (OID)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b w:val="1"/>
                <w:bCs w:val="1"/>
                <w:color w:val="auto"/>
              </w:rPr>
              <w:t>Total other loss, net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(284)</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(278)</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loss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6,066,000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5,979,000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6,061,000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6,231,000</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6,364,000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6,061,000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5,975,000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4"/>
              </w:rPr>
              <w:t>JUNE 30,</w:t>
            </w:r>
          </w:p>
        </w:tc>
        <w:tc>
          <w:tcPr>
            <w:tcW w:w="9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Gain on settlement of note payable and litigation</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refinancing</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862</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Disposals of property and equipment</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Collection/(Issuance) of note receivable</w:t>
            </w: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(971)</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Proceeds from notes payable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(2,875)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financing fees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Payments on capital leases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proceeds for settlement of notes payable dispute, net of expenses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3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Cash paid for:</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customer</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40" w:right="2520" w:hanging="261"/>
        <w:spacing w:after="0" w:line="323"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and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June 30, 2015 and December 31, 2014, the results of operations for the three and six months ended June 30, 2015 and 2014, and the cash flows for the six months ended June 30, 2015 and 2014.</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2014.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30, 2015, Asure’s principal sources of liquidity consisted of approximately $213 of cash and cash equivalents and future cash generated from operations. We believe that we have and/or will generate sufficient cash for our short- and long-term needs, including meeting the requirements of our term loan, and the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(Accounting Standards Codification “ASC” Topic 606),” which outlines a single comprehensive model to use in accounting for revenue arising from contracts with customers and supersedes and replaces nearly all existing GAAP revenue recognition guidance, including industry-specific guidance. The authoritative guidance provides a five-step analysis of transactions to determine when and how revenue is recognized. The five steps are: (i) identify the contract with the customer; (ii) identify the performance obligations in the contract; (iii) determine the transaction price; (iv) allocate the transaction price to the performance obligations; and (v) recognize revenue when or as each performance obligation is satisfied. The authoritative guidance applies to all contracts with customers except those that are within the scope of other topics in the FASB ASC. The authoritative guidance requires significantly expanded disclosures about revenue recognition and was initially effective for fiscal years and the interim periods within these fiscal years beginning on or after December 15, 2016. In July 2015, the FASB decided to defer for one year the effective date of this standard. The deferral will result in this standard being effective for fiscal years and interim periods within those fiscal years beginning after December 15, 2017. In addition, the FASB decided to permit entities to early adopt the standard, however no earlier than the original effective date. Companies have the option of using either a full retrospective or a modified approach to adopting the authoritative guidance. We are currently assessing the impact of the adoption of this authoritative guidance on our consolidated financial statements.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the FASB issued ASU No. 2015-03, "Interest—Imputation of Interest (Subtopic 835-30): Simplifying the Presentation of Debt Issuance Costs ("ASU 2015-03"). ASU 2015-03 requires debt issuance costs to be presented in the balance sheet as a direct deduction from the carrying value of the associated debt liability, consistent with the presentation of a debt discount. Prior to the issuance of the standard, debt issuance costs were required to be presented in the balance sheet as an asset. The Company is currently assessing the impact that adopting this new accounting guidance will have on its consolidated financial statements and footnote disclosures. ASU 2015-03 is effective for fiscal years, and interim periods within those years, beginning after December 15, 2015. Accordingly, the standard is effective for the Company on January 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Asure has been the defendant or plaintiff in various actions that arose in the normal course of business, as of June 30, 2015, we were not party to any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700" w:right="40" w:hanging="1039"/>
        <w:spacing w:after="0" w:line="277"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700" w:right="40" w:hanging="1039"/>
        <w:spacing w:after="0" w:line="277" w:lineRule="auto"/>
        <w:tabs>
          <w:tab w:leader="none" w:pos="16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June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June 30,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December 31, 2014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our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Consolidated Statement of Comprehensive Loss. The balance at June 30, 2015 was $262, adjusted from the original amount of $327 after the valuation was finalized in the first quarter of 2015.</w:t>
      </w:r>
    </w:p>
    <w:p>
      <w:pPr>
        <w:spacing w:after="0" w:line="1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Probabilities were estimated by management and then applied to management’s conservative case forecast, most likely case forecast and optimistic case forecast with the various scenarios.</w:t>
      </w:r>
    </w:p>
    <w:p>
      <w:pPr>
        <w:spacing w:after="0" w:line="174" w:lineRule="exact"/>
        <w:rPr>
          <w:sz w:val="20"/>
          <w:szCs w:val="20"/>
          <w:color w:val="auto"/>
        </w:rPr>
      </w:pPr>
    </w:p>
    <w:p>
      <w:pPr>
        <w:jc w:val="both"/>
        <w:ind w:firstLine="703"/>
        <w:spacing w:after="0" w:line="286" w:lineRule="auto"/>
        <w:rPr>
          <w:sz w:val="20"/>
          <w:szCs w:val="20"/>
          <w:color w:val="auto"/>
        </w:rPr>
      </w:pPr>
      <w:r>
        <w:rPr>
          <w:rFonts w:ascii="Arial" w:cs="Arial" w:eastAsia="Arial" w:hAnsi="Arial"/>
          <w:sz w:val="17"/>
          <w:szCs w:val="17"/>
          <w:color w:val="auto"/>
        </w:rPr>
        <w:t>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The fair value is evaluated on a quarterly basis based upon updated projections. There has been no change to the fair value as of June 30, 2015.</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2014, Asure acquired all of the issued and outstanding shares of common stock (the “Shares”) of FotoPunch, a Delaware corporation, a cloud-based time and labor solution provider whose photo-based time clock technology transforms any mobile device into a biometric, geo-located time clock. We have been working with FotoPunch since 2012 as a technology partner for our GeoPunch™ solution, which was launched to help customers support a workforce that is increasingly mobile, global and dispersed.</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aggregate consideration for the Shares consisted of (i) $1,500 in cash, a portion of which was used to pay certain obligations of FotoPunch and</w:t>
      </w:r>
    </w:p>
    <w:p>
      <w:pPr>
        <w:spacing w:after="0" w:line="46" w:lineRule="exact"/>
        <w:rPr>
          <w:sz w:val="20"/>
          <w:szCs w:val="20"/>
          <w:color w:val="auto"/>
        </w:rPr>
      </w:pPr>
    </w:p>
    <w:p>
      <w:pPr>
        <w:ind w:firstLine="8"/>
        <w:spacing w:after="0" w:line="261" w:lineRule="auto"/>
        <w:tabs>
          <w:tab w:leader="none" w:pos="279"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an additional $3,000 in post-closing earnout payments. We funded the $1,500 cash payment with proceeds from our credit agreement with Wells Fargo.</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$3,000 earnout is payable over three earnout periods (with the first, second and third periods ending June 30, 2015, June 30, 2016 and June 30, 2018, respectively) based on the FotoPunch operations achieving specified target revenues in an earnout period. At least 75% of the target revenues must be achieved in the first and second earnout periods and at least 50% of the target revenues must be achieved in the third earnout period. The earnout (“contingent consideration”) was recorded in Accrued Expenses in the accompanying Consolidated Balance Sheet with an estimated fair value of $327 at the date of acquisition. No earnout was payable as of June 30, 2015. The fair value at June 30, 2015 was $262, adjusted from the original amount of $327 after the valuation was finalized in the first quarter of 2015.</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price was allocated based upon fair value, as follows: net assets of ($1); technology of $440; and goodwill of $1,388. The fair value of technology was determined using the income approach.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2014, Asure acquired substantially all the assets of Roomtag, LLC (“Roomtag”). The aggregate consideration for the assets consisted of</w:t>
      </w:r>
    </w:p>
    <w:p>
      <w:pPr>
        <w:spacing w:after="0" w:line="46" w:lineRule="exact"/>
        <w:rPr>
          <w:sz w:val="20"/>
          <w:szCs w:val="20"/>
          <w:color w:val="auto"/>
        </w:rPr>
      </w:pPr>
    </w:p>
    <w:p>
      <w:pPr>
        <w:jc w:val="both"/>
        <w:ind w:firstLine="8"/>
        <w:spacing w:after="0" w:line="273" w:lineRule="auto"/>
        <w:tabs>
          <w:tab w:leader="none" w:pos="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The balance of the Note at June 30, 2015 was $710.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was accreted up to its aggregate principal amount over the course of the life of the loan using the effective interest method. Details regarding the financing of the acquisition are described in Note 6 – Notes Payable. Transaction costs for this acquisition were $905 and we expensed them as incurred.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or otherwise noted)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that expired as to 125,000 shares in June 2013 and 130,000 shares in June 2014. This settlement also removed the lockup for the remaining 130,000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w:t>
      </w:r>
    </w:p>
    <w:p>
      <w:pPr>
        <w:spacing w:after="0" w:line="171" w:lineRule="exact"/>
        <w:rPr>
          <w:sz w:val="20"/>
          <w:szCs w:val="20"/>
          <w:color w:val="auto"/>
        </w:rPr>
      </w:pPr>
    </w:p>
    <w:p>
      <w:pPr>
        <w:jc w:val="both"/>
        <w:ind w:firstLine="700"/>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the changes in our goodwill:</w:t>
            </w:r>
          </w:p>
        </w:tc>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3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Balance at June 30, 2015</w:t>
            </w:r>
          </w:p>
        </w:tc>
        <w:tc>
          <w:tcPr>
            <w:tcW w:w="31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17,441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60" w:type="dxa"/>
            <w:vAlign w:val="bottom"/>
            <w:vMerge w:val="restart"/>
          </w:tcPr>
          <w:p>
            <w:pPr>
              <w:jc w:val="right"/>
              <w:ind w:right="2610"/>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gross carrying amount and accumulated amortization of our intangible assets as of June 30, 2015 and December 31, 2014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w w:val="92"/>
              </w:rPr>
              <w:t>June 30, 2015</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Period (in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2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Years)</w:t>
            </w: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Net</w:t>
            </w:r>
          </w:p>
        </w:tc>
      </w:tr>
      <w:tr>
        <w:trPr>
          <w:trHeight w:val="216"/>
        </w:trPr>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4,639</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7"/>
        </w:trPr>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(11,506)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7,096</w:t>
            </w: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1"/>
              </w:rPr>
              <w:t>December 31, 2014</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Period (in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2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Years)</w:t>
            </w: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Net</w:t>
            </w:r>
          </w:p>
        </w:tc>
      </w:tr>
      <w:tr>
        <w:trPr>
          <w:trHeight w:val="216"/>
        </w:trPr>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(7,234)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5,577</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r>
      <w:tr>
        <w:trPr>
          <w:trHeight w:val="27"/>
        </w:trPr>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(10,285)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8,322</w:t>
            </w: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record amortization expense using the straight-line method over the estimated useful lives of the intangible assets, as noted above. Amortization expenses for the three months ended June 30, 2015 and 2014 were $504 and $497, respectively, included in Operating Expenses. Amortization expenses recorded in Cost of Sales were $106 and $76 for the three months ended June 30, 2015 and 2014, respectively. Amortization expenses for the six months ended June 30, 2015 and 2014 were $1,009 and $994 included in Operating Expenses, and $212 and $152, respectively, included in Cost of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3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 (remaining)</w:t>
            </w:r>
          </w:p>
        </w:tc>
        <w:tc>
          <w:tcPr>
            <w:tcW w:w="43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2016</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December 31, 2018</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7,096</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Stated Interest</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 as of</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540" w:type="dxa"/>
            <w:vAlign w:val="bottom"/>
          </w:tcPr>
          <w:p>
            <w:pPr>
              <w:ind w:left="42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Roomtag Acquisition Note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10/31/2016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Term Loan - Wells Fargo</w:t>
            </w:r>
          </w:p>
        </w:tc>
        <w:tc>
          <w:tcPr>
            <w:tcW w:w="1660" w:type="dxa"/>
            <w:vAlign w:val="bottom"/>
            <w:gridSpan w:val="2"/>
          </w:tcPr>
          <w:p>
            <w:pPr>
              <w:jc w:val="right"/>
              <w:ind w:right="310"/>
              <w:spacing w:after="0"/>
              <w:rPr>
                <w:sz w:val="20"/>
                <w:szCs w:val="20"/>
                <w:color w:val="auto"/>
              </w:rPr>
            </w:pPr>
            <w:r>
              <w:rPr>
                <w:rFonts w:ascii="Arial" w:cs="Arial" w:eastAsia="Arial" w:hAnsi="Arial"/>
                <w:sz w:val="18"/>
                <w:szCs w:val="18"/>
                <w:color w:val="auto"/>
              </w:rPr>
              <w:t>3/31/2019</w:t>
            </w: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14,772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Short-term notes payable</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Gross Amount</w:t>
            </w:r>
          </w:p>
        </w:tc>
        <w:tc>
          <w:tcPr>
            <w:tcW w:w="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14,816</w:t>
            </w:r>
          </w:p>
        </w:tc>
        <w:tc>
          <w:tcPr>
            <w:tcW w:w="120" w:type="dxa"/>
            <w:vAlign w:val="bottom"/>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8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Less: Unamortized Original Issue Discount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14,772</w:t>
            </w:r>
          </w:p>
        </w:tc>
        <w:tc>
          <w:tcPr>
            <w:tcW w:w="120" w:type="dxa"/>
            <w:vAlign w:val="bottom"/>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Roomtag Acquisition Note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2014, we acquired substantially all the assets of Roomtag. The aggregate consideration for the assets consisted of (i) $933 in cash, and (ii) an unsecured subordinated promissory note (“Note”) for $754. We funded the $933 cash payment with proceeds from our credit agreement with Wells Fargo. The Note bears interest at an annual rate of 0.36% and is payable on October 31, 2016. We recorded the Note at fair value using a discount rate of 5%, which resulted in an original issue discount of $73, which will accrete up the note to its aggregate principal amount over the course of the life of the loan using the effective interest method. This Note is subordinated to our obligations under the Term Loan discussed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as follows:</w:t>
      </w:r>
    </w:p>
    <w:p>
      <w:pPr>
        <w:spacing w:after="0" w:line="170" w:lineRule="exact"/>
        <w:rPr>
          <w:sz w:val="20"/>
          <w:szCs w:val="20"/>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3" w:lineRule="exact"/>
        <w:rPr>
          <w:rFonts w:ascii="Arial" w:cs="Arial" w:eastAsia="Arial" w:hAnsi="Arial"/>
          <w:sz w:val="18"/>
          <w:szCs w:val="18"/>
          <w:color w:val="auto"/>
        </w:rPr>
      </w:pPr>
    </w:p>
    <w:p>
      <w:pPr>
        <w:ind w:left="1300" w:hanging="129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9" w:lineRule="exact"/>
        <w:rPr>
          <w:rFonts w:ascii="Arial" w:cs="Arial" w:eastAsia="Arial" w:hAnsi="Arial"/>
          <w:sz w:val="18"/>
          <w:szCs w:val="18"/>
          <w:color w:val="auto"/>
        </w:rPr>
      </w:pPr>
    </w:p>
    <w:p>
      <w:pPr>
        <w:ind w:left="1300" w:hanging="1292"/>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In July 2014, we borrowed $1,500 under the revolver, which was used to fund a portion of the acquisition cost of all of the issued and outstanding shares of common stock of FotoPunch, Inc. In August 2014, we borrowed $1,000 under the revolver which was used to fund a portion of the acquisition cost of substantially all the assets of Roomtag, LLC. We repaid the balance on the revolver in 2014, leaving a balance of $0 at December 31, 2014. As of June 30, 2015, $0 was outstanding and $708 was available for borrowing under the revolver.</w:t>
      </w:r>
    </w:p>
    <w:p>
      <w:pPr>
        <w:sectPr>
          <w:pgSz w:w="11900" w:h="16838" w:orient="portrait"/>
          <w:cols w:equalWidth="0" w:num="1">
            <w:col w:w="11420"/>
          </w:cols>
          <w:pgMar w:left="240" w:top="121"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has remained constant at 5% since the inception of the loan. Interest is payable quarterly and the margin varies based upon our leverage ratio. See table below of applicable margin rates.</w:t>
      </w:r>
    </w:p>
    <w:p>
      <w:pPr>
        <w:spacing w:after="0" w:line="210"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100" w:type="dxa"/>
            <w:vAlign w:val="bottom"/>
          </w:tcPr>
          <w:p>
            <w:pPr>
              <w:spacing w:after="0"/>
              <w:rPr>
                <w:sz w:val="20"/>
                <w:szCs w:val="20"/>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Base Rate Margin</w:t>
            </w:r>
          </w:p>
        </w:tc>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LIBOR Rate Margin</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2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0"/>
              </w:rPr>
              <w:t>&lt; 2.75:1.0 but &gt; 2.25:1</w:t>
            </w:r>
          </w:p>
        </w:tc>
        <w:tc>
          <w:tcPr>
            <w:tcW w:w="2080" w:type="dxa"/>
            <w:vAlign w:val="bottom"/>
            <w:gridSpan w:val="3"/>
          </w:tcPr>
          <w:p>
            <w:pPr>
              <w:jc w:val="right"/>
              <w:ind w:right="180"/>
              <w:spacing w:after="0"/>
              <w:rPr>
                <w:sz w:val="20"/>
                <w:szCs w:val="20"/>
                <w:color w:val="auto"/>
              </w:rPr>
            </w:pPr>
            <w:r>
              <w:rPr>
                <w:rFonts w:ascii="Arial" w:cs="Arial" w:eastAsia="Arial" w:hAnsi="Arial"/>
                <w:sz w:val="18"/>
                <w:szCs w:val="18"/>
                <w:color w:val="auto"/>
              </w:rPr>
              <w:t>2.50%</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&lt; 2.25:1</w:t>
            </w:r>
          </w:p>
        </w:tc>
        <w:tc>
          <w:tcPr>
            <w:tcW w:w="2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 As of June 30, 2015, none of these payments were due.</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The Credit Agreement was amended in August 2014. The Amendment revised the leverage ratio beginning with the quarter ending September 30, 2014 to a leverage ratio of not greater than 3.6 to 1.0 with the levels stepping down thereafter. The Credit Agreement was further amended in March 2015 to authorize us to optionally prepay, subject to specified conditions, the Subordinated Note Payable to Roomtag and to revise the leverage ratio beginning with the quarter ended March 31, 2015 to a leverage ratio of not greater than 3.5 to 1.0 with the levels stepping down thereafter.</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97" w:lineRule="exact"/>
        <w:rPr>
          <w:sz w:val="20"/>
          <w:szCs w:val="20"/>
          <w:color w:val="auto"/>
        </w:rPr>
      </w:pPr>
    </w:p>
    <w:p>
      <w:pPr>
        <w:jc w:val="both"/>
        <w:ind w:firstLine="700"/>
        <w:spacing w:after="0" w:line="264" w:lineRule="auto"/>
        <w:rPr>
          <w:sz w:val="20"/>
          <w:szCs w:val="20"/>
          <w:color w:val="auto"/>
        </w:rPr>
      </w:pPr>
      <w:r>
        <w:rPr>
          <w:rFonts w:ascii="Arial" w:cs="Arial" w:eastAsia="Arial" w:hAnsi="Arial"/>
          <w:sz w:val="18"/>
          <w:szCs w:val="18"/>
          <w:color w:val="auto"/>
        </w:rPr>
        <w:t>As of June 30, 2015, we were in compliance with all covenants and all payments remain current. We expect to be in compliance or be able to obtain compliance through debt repayments with the available cash on hand or as expected to be generated from operations over the subsequent twelve month period.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 based compensation for our stock option plans for the three months ended June 30, 2015 and 2014 were $61 and $42, respectively, and $98 and $81 for the six months ended June 30, 2015 and 2014, respectively. We issued 230,000 shares of common stock related to exercises of stock options granted from our Stock Option Plan for the three months ended June 30, 2015 and no shares of common stock for the three months ended June 30, 2014, respectively.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685,000 options granted and outstanding pursuant to the 2009 Plan as of June 30,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Foreign</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41"/>
        </w:trPr>
        <w:tc>
          <w:tcPr>
            <w:tcW w:w="532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Loss Items</w:t>
            </w:r>
          </w:p>
        </w:tc>
        <w:tc>
          <w:tcPr>
            <w:tcW w:w="12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current-period other comprehensive loss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5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Ending balance, June 30, 2015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1"/>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Three Months Ended June 30, 2015</w:t>
            </w: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 Tax</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14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3"/>
        </w:trPr>
        <w:tc>
          <w:tcPr>
            <w:tcW w:w="1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Six Months Ended June 30, 2015</w:t>
            </w:r>
          </w:p>
        </w:tc>
        <w:tc>
          <w:tcPr>
            <w:tcW w:w="1440" w:type="dxa"/>
            <w:vAlign w:val="bottom"/>
          </w:tcPr>
          <w:p>
            <w:pPr>
              <w:spacing w:after="0"/>
              <w:rPr>
                <w:sz w:val="24"/>
                <w:szCs w:val="24"/>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 Tax</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115,000 and 685,000 shares for the three and six months ended June 30, 2015, respectively, and 100,000 and 620,000 shares for the three and six months ended June 30, 2014, respectively, from the computation of the dilutive stock options because the effect of including the stock options would have been anti-dilutive.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and six months ended June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6"/>
          </w:tcPr>
          <w:p>
            <w:pPr>
              <w:ind w:left="320"/>
              <w:spacing w:after="0"/>
              <w:rPr>
                <w:sz w:val="20"/>
                <w:szCs w:val="20"/>
                <w:color w:val="auto"/>
              </w:rPr>
            </w:pPr>
            <w:r>
              <w:rPr>
                <w:rFonts w:ascii="Arial" w:cs="Arial" w:eastAsia="Arial" w:hAnsi="Arial"/>
                <w:sz w:val="18"/>
                <w:szCs w:val="18"/>
                <w:b w:val="1"/>
                <w:bCs w:val="1"/>
                <w:color w:val="auto"/>
              </w:rPr>
              <w:t>For the Three Months</w:t>
            </w:r>
          </w:p>
        </w:tc>
        <w:tc>
          <w:tcPr>
            <w:tcW w:w="260" w:type="dxa"/>
            <w:vAlign w:val="bottom"/>
          </w:tcPr>
          <w:p>
            <w:pPr>
              <w:spacing w:after="0"/>
              <w:rPr>
                <w:sz w:val="18"/>
                <w:szCs w:val="18"/>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Ended June 30,</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5,979,000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6,061,000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Dilutive effect of employee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385,000</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for diluted net income (loss) per share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6,061,000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0.02</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0.02</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review of Asure’s financial position as of and for the three and six months ended June 30, 2015 and 2014 should be read in conjunction with our 2014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workspace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 THREE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 SIX</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MONTHS ENDED</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9"/>
              </w:rPr>
              <w:t>MONTHS ENDED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4"/>
              </w:rPr>
              <w:t>JUNE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4"/>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2014</w:t>
            </w: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2014</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Gross margin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73.8</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73.8</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77.6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4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74.0</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70.8</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THREE AND SIX MONTHS ENDED JUNE 30, 2015 AND 2014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Arial" w:cs="Arial" w:eastAsia="Arial" w:hAnsi="Arial"/>
                <w:sz w:val="18"/>
                <w:szCs w:val="18"/>
                <w:color w:val="auto"/>
              </w:rPr>
              <w:t>Our revenue was derived from the following sources: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FOR THE THREE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7,159</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6,548</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FOR THE SIX</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13,491</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13,075</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and FotoPunch revenues.</w:t>
      </w:r>
    </w:p>
    <w:p>
      <w:pPr>
        <w:sectPr>
          <w:pgSz w:w="11900" w:h="16838" w:orient="portrait"/>
          <w:cols w:equalWidth="0" w:num="1">
            <w:col w:w="11420"/>
          </w:cols>
          <w:pgMar w:left="240" w:top="122"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 for the three months ended June 30, 2015 was $7,159, an increase of $611 or 9.3%, from the $6,548 reported for the three months ended June 30, 2014. This increase was primarily due to an increase in hardware revenue, offset by a smaller decrease in maintenance and support revenue. AsureSpace™ revenue for the three months ended June 30, 2015 was $4,247, an increase of $495 or 13.2%, from the $3,752 recorded for the three months ended June 30, 2014.The majority of the increase was in hardware and cloud revenue, offset by decreases in maintenance and support, on premise software license and professional services revenue. The largest increase was in hardware revenue which increased $598, or 456%, which increased due to a backlog in the first quarter of 2015 which resulted in revenue in the second quarter as well as strong hardware sales to large enterprise organizations. The largest decrease was in on premise software license revenue which decreased $120, or 79.2%, as we continue to emphasize the sale of integrated cloud based solutions. AsureForce® revenue for the three months ended June 30, 2015 was $2,912, an increase of $116 or 4.1%, from the $2,796 recorded for the three months ended June 30, 2014. This increase was primarily in on premise software license revenue and hardware revenue, offset by a decrease in cloud revenue.</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Revenues for the six months ended June 30, 2015 were $13,491, an increase of $416 or 3.2%, from the $13,075 reported for the six months ended June 30, 2014. This increase was primarily due to an increase in hardware revenue, offset by decreases in maintenance and support revenue and professional services revenue. AsureSpace™ revenue for the six months ended June 30, 2015 was $8,030, an increase of $397 or 5.2%, from the $7,633 recorded for the six months ended June 30, 2014. This increase was primarily due to an increase in cloud revenue and hardware revenue, offset by decreases in maintenance and support, on premise software license and professional services revenue. AsureForce® revenue for the six months ended June 30, 2015 was $5,461, an increase of $19 or 0.3%, from the $5,442 recorded for the six months ended June 30, 2014. On premise software license and hardware revenue increased, offset by a decrease in cloud revenue.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our total customer base is widely spread across industries, our sales are concentrated in certain industry sectors, including corporate, education, healthcare, government, legal and non-profit.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continuing to develop our workforce and workspace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workplace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gross margin for the three months ended June 30, 2015 was $5,280, an increase of $105, or 2.0%, from the $5,175 reported for the three months ended June 30, 2014. Gross margin as a percentage of revenues was 73.8% and 79.0% for the three months ended June 30, 2015 and 2014, respectively. Consolidated gross margin for the six months ended June 30, 2015 was $9,960, a decrease of $184, or 1.8%, from the $10,144 reported for the six months ended June 30, 2014. Gross margins as a percentage of revenues were 73.8% and 77.6% for the six months ended June 30, 2015 and 2014, respectively. The decrease in gross margin percentage is primarily due to a shift in the mix of our revenue between our higher margin and lower margin product lines.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three months ended June 30, 2015 were $3,612, an increase of $117 or 3.3%, from the $3,495 reported for the three months ended June 30, 2014. SG&amp;A expenses as a percentage of revenues were 50.5% and 53.4% for the three months ended June 30, 2015 and 2014,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six months ended June 30, 2015 were $7,061, an increase of $204 or 3.0%, from the $6,857 reported for the six months ended June 30, 2014. SG&amp;A expenses as a percentage of revenues were 52.3% and 52.4% for the six months ended June 30, 2015 and 2014,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any unnecessary SG&amp;A expenses and plan to further reduce expenses as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Research and development (“R&amp;D”) expenses for the three months ended June 30, 2015 were $743, a decrease of $112, or 13.1%, from the $855 reported for the three months ended June 30, 2014. R&amp;D expenses as a percentage of revenues were 10.4% and 13.1% for the three months ended June 30, 2015 and 2014,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six months ended June 30, 2015 were $1,481, a decrease of $95, or 6.0%, from the $1,576 reported for the six months ended June 30, 2014. R&amp;D expenses as a percentage of revenues were 11.0% and 12.1% for the six months ended June 30, 2015 and 2014, respectively.</w:t>
      </w:r>
    </w:p>
    <w:p>
      <w:pPr>
        <w:spacing w:after="0" w:line="20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decrease in both quarter and year to date R&amp;D expenses is due to higher expenses incurred in 2014 from increased headcount and the related placement fees, as well as severance expense for another employee recorded in the second quarter of 2014. The placement fees and severance expenses incurred in 2014 resulted in a decrease as compared to 2015 R&amp;D expenses quarter and year to date in 2015.</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Amortization expenses for the three months ended June 30, 2015 were $504, a slight increase of $7, or 1.4%, from the $497 reported for the three months ended June 30, 2014. Amortization expenses as a percentage of revenues were 7.0% and 7.6% for the three months ended June 30, 2015 and 2014, respectively. Amortization expenses for the six months ended June 30, 2015 were $1,009, an increase of $15 or 1.5% compared to $994, reported for the six months ended June 30, 2014. Amortization expenses as a percentage of revenues were 7.5% and 7.6% for the six months ended June 30, 2015 and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loss for the three months ended June 30, 2015 was $284, an increase of $6, or 2.2%, from the $278 reported for the three months ended June 30, 2014. Other loss as a percentage of revenues was 4.0% and 4.2% for the three months ended June 30, 2015 and 2014, respectively. Other loss for the three months ended June 30, 2015 is composed primarily of interest expense on notes payable of $280. Other loss for the three months ended June 30, 2014 is composed primarily of interest expense on notes payable of $264.</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loss for the six months ended June 30, 2015 was $695, a decrease of $460, or 39.8%, from the $1,155 reported for the six months ended June 30, 2014. Other expense as a percentage of revenues was 5.2% and 8.8% for the six months ended June 30, 2015 and 2014, respectively. Other loss for the six months ended June 30, 2015 is composed primarily of interest expense on notes payable of $560 and a loss on lease termination of $110. Other loss for the six months ended June 30, 2014 is composed primarily of a loss on debt refinancing of $1,402, offset by a gain on the settlement of the PeopleCube litigation of $1,034. Interest expense on notes payable was $721 and amortization of OID on notes payable was $54 for the six months ended June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three months ended June 30, 2015 was $42, an increase of $7, or 20.0%, from the $35 reported for the three months ended June 30, 2014.</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six months ended June 30, 2015 was $102, an increase of $25, or 32.5%, from the $77 reported for the six months ended June 30, 2014,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generated a net income of $95, or $0.02 per share, during the three months ended June 30, 2015, compared to net income of $15 or $0.00 per share reported for the three months ended June 30, 2014. Net income as a percentage of total revenues was 1.3% for the three months ended June 30, 2015 compared to net income of 0.2% of total revenues for the three months ended June 30,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a net loss of $388, or $(0.06) per share, during the six months ended June 30, 2015, compared to a net loss of $515 or $(0.09) per share reported for the six months ended June 30, 2014. Net loss as a percentage of total revenues was 2.9% for the six months ended June 30, 2015 compared to net loss of 3.9% of total revenues for the six months ended June 30,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4"/>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(7,314)</w:t>
            </w:r>
          </w:p>
        </w:tc>
      </w:tr>
      <w:tr>
        <w:trPr>
          <w:trHeight w:val="230"/>
        </w:trPr>
        <w:tc>
          <w:tcPr>
            <w:tcW w:w="14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r>
      <w:tr>
        <w:trPr>
          <w:trHeight w:val="400"/>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41"/>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r>
      <w:tr>
        <w:trPr>
          <w:trHeight w:val="216"/>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Working Capital</w:t>
      </w:r>
      <w:r>
        <w:rPr>
          <w:rFonts w:ascii="Arial" w:cs="Arial" w:eastAsia="Arial" w:hAnsi="Arial"/>
          <w:sz w:val="18"/>
          <w:szCs w:val="18"/>
          <w:color w:val="auto"/>
        </w:rPr>
        <w:t>. We had a working capital deficit of $7,404 at June 30, 2015, an increase in our deficit of $90, or 1.2%, from the $7,314 deficit at December 31, 2014. The working capital deficit at June 30, 2015 and December 31, 2014 includes $10,409 and $10,641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to an increase in accounts payable of $591, together with a decrease in accounts receivable of $136, offset by an increase in inventory of $143, an increase in prepaid expenses and other current assets of $213, decrease in accrued compensation and benefits of $111, a decrease in other accrued liabilities of $139, and a decrease in deferred revenue of $232.</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Cash provided by operating activities was $862 for the six months ended June 30, 2015. The $862 of cash provided by operating activities during the first six months of 2015 was primarily driven by net income (after adjustment for non-cash items) of $1,329, an increase in accounts payable of $572 and deferred revenue of $126, as well as a decrease in accounts receivable of $96. This was offset by an increase in inventory of $143, an increase in prepaid expenses and other assets of $922, and a decrease in accrued expenses of $196. The $747 of cash provided by operating activities during the first six months of 2014 was primarily driven by net income (after adjustment for non-cash items) of $1,355, a decrease in accounts receivable of $474 and the release of restricted cash of $250, offset by a decrease in deferred revenue of $860, a decrease in accounts payable of $264, and an increase in inventory of $183.</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$971 and $281 for the six months ended June 30, 2015 and June 30, 2014, respectively, due primarily to net purchases of property and equipment.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Financing Activities</w:t>
      </w:r>
      <w:r>
        <w:rPr>
          <w:rFonts w:ascii="Arial" w:cs="Arial" w:eastAsia="Arial" w:hAnsi="Arial"/>
          <w:sz w:val="16"/>
          <w:szCs w:val="16"/>
          <w:color w:val="auto"/>
        </w:rPr>
        <w:t>. Cash provided by financing activities was $38 for the six months ended June 30, 2015. We incurred $2,500 of debt and collected $585 of proceeds from issuance of common stock. This was offset by note payments of $2,875, payments on capital leases of $97, and debt financing fees of $75. Cash used in financing for the six months ended June 30, 2014 was $2,378. We incurred $15,000 of debt, as well as received cash of $373 from insurance proceeds for settlement of notes payable, net of expenses. This is offset by note payments of $16,436 and debt financing fees of $565.</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Sources of Liquidity</w:t>
      </w:r>
      <w:r>
        <w:rPr>
          <w:rFonts w:ascii="Arial" w:cs="Arial" w:eastAsia="Arial" w:hAnsi="Arial"/>
          <w:sz w:val="16"/>
          <w:szCs w:val="16"/>
          <w:color w:val="auto"/>
        </w:rPr>
        <w:t>. As of June 30, 2015, Asure’s principal sources of liquidity consisted of approximately $213 of cash and cash equivalents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2014. For additional information on critical accounting policies, refer to “Management’s Discussion and Analysis” in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June 30, 2015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ended June 30, 2015,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Asure Software, Inc.’s Quarterly Report on Form 10-Q for the quarter ended June 30, 2015,</w:t>
            </w:r>
          </w:p>
        </w:tc>
      </w:tr>
    </w:tbl>
    <w:p>
      <w:pPr>
        <w:jc w:val="both"/>
        <w:ind w:left="2080" w:right="4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5420" w:type="dxa"/>
            <w:vAlign w:val="bottom"/>
            <w:gridSpan w:val="2"/>
          </w:tcPr>
          <w:p>
            <w:pPr>
              <w:ind w:left="1300"/>
              <w:spacing w:after="0"/>
              <w:rPr>
                <w:sz w:val="20"/>
                <w:szCs w:val="20"/>
                <w:color w:val="auto"/>
              </w:rPr>
            </w:pPr>
            <w:r>
              <w:rPr>
                <w:rFonts w:ascii="Arial" w:cs="Arial" w:eastAsia="Arial" w:hAnsi="Arial"/>
                <w:sz w:val="18"/>
                <w:szCs w:val="18"/>
                <w:b w:val="1"/>
                <w:bCs w:val="1"/>
                <w:color w:val="auto"/>
              </w:rPr>
              <w:t>ASURE SOFTWARE, INC.</w:t>
            </w:r>
          </w:p>
        </w:tc>
      </w:tr>
      <w:tr>
        <w:trPr>
          <w:trHeight w:val="655"/>
        </w:trPr>
        <w:tc>
          <w:tcPr>
            <w:tcW w:w="2480" w:type="dxa"/>
            <w:vAlign w:val="bottom"/>
          </w:tcPr>
          <w:p>
            <w:pPr>
              <w:spacing w:after="0"/>
              <w:rPr>
                <w:sz w:val="20"/>
                <w:szCs w:val="20"/>
                <w:color w:val="auto"/>
              </w:rPr>
            </w:pPr>
            <w:r>
              <w:rPr>
                <w:rFonts w:ascii="Arial" w:cs="Arial" w:eastAsia="Arial" w:hAnsi="Arial"/>
                <w:sz w:val="18"/>
                <w:szCs w:val="18"/>
                <w:color w:val="auto"/>
              </w:rPr>
              <w:t>August 12, 2015</w:t>
            </w:r>
          </w:p>
        </w:tc>
        <w:tc>
          <w:tcPr>
            <w:tcW w:w="2100" w:type="dxa"/>
            <w:vAlign w:val="bottom"/>
          </w:tcPr>
          <w:p>
            <w:pPr>
              <w:ind w:left="130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r>
      <w:tr>
        <w:trPr>
          <w:trHeight w:val="202"/>
        </w:trPr>
        <w:tc>
          <w:tcPr>
            <w:tcW w:w="2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r>
      <w:tr>
        <w:trPr>
          <w:trHeight w:val="230"/>
        </w:trPr>
        <w:tc>
          <w:tcPr>
            <w:tcW w:w="2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2480" w:type="dxa"/>
            <w:vAlign w:val="bottom"/>
          </w:tcPr>
          <w:p>
            <w:pPr>
              <w:spacing w:after="0"/>
              <w:rPr>
                <w:sz w:val="20"/>
                <w:szCs w:val="20"/>
                <w:color w:val="auto"/>
              </w:rPr>
            </w:pPr>
            <w:r>
              <w:rPr>
                <w:rFonts w:ascii="Arial" w:cs="Arial" w:eastAsia="Arial" w:hAnsi="Arial"/>
                <w:sz w:val="18"/>
                <w:szCs w:val="18"/>
                <w:color w:val="auto"/>
              </w:rPr>
              <w:t>August 12, 2015</w:t>
            </w:r>
          </w:p>
        </w:tc>
        <w:tc>
          <w:tcPr>
            <w:tcW w:w="2100" w:type="dxa"/>
            <w:vAlign w:val="bottom"/>
          </w:tcPr>
          <w:p>
            <w:pPr>
              <w:ind w:left="130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r>
      <w:tr>
        <w:trPr>
          <w:trHeight w:val="202"/>
        </w:trPr>
        <w:tc>
          <w:tcPr>
            <w:tcW w:w="2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Brad Wolfe</w:t>
            </w:r>
          </w:p>
        </w:tc>
      </w:tr>
      <w:tr>
        <w:trPr>
          <w:trHeight w:val="230"/>
        </w:trPr>
        <w:tc>
          <w:tcPr>
            <w:tcW w:w="2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Asure Software, Inc.’s Quarterly Report on Form 10-Q for the quarter ended June 30, 2015,</w:t>
            </w:r>
          </w:p>
        </w:tc>
      </w:tr>
    </w:tbl>
    <w:p>
      <w:pPr>
        <w:jc w:val="both"/>
        <w:ind w:left="2080" w:right="4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2015)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firstLine="332"/>
        <w:spacing w:after="0" w:line="277"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3900" w:val="left"/>
          <w:tab w:leader="none" w:pos="480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14605</wp:posOffset>
            </wp:positionV>
            <wp:extent cx="22726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225" w:lineRule="exact"/>
        <w:rPr>
          <w:sz w:val="20"/>
          <w:szCs w:val="20"/>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2015)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660" w:val="left"/>
          <w:tab w:leader="none" w:pos="496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22555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3920" w:val="left"/>
          <w:tab w:leader="none" w:pos="522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084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84070" cy="1714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2015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3660" w:val="left"/>
          <w:tab w:leader="none" w:pos="496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22555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2019-12-29T15:58:51Z</dcterms:created>
  <dcterms:modified xsi:type="dcterms:W3CDTF">2019-12-29T15:58:51Z</dcterms:modified>
</cp:coreProperties>
</file>