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131445</wp:posOffset>
            </wp:positionH>
            <wp:positionV relativeFrom="page">
              <wp:posOffset>102870</wp:posOffset>
            </wp:positionV>
            <wp:extent cx="729932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99325" cy="29845"/>
                    </a:xfrm>
                    <a:prstGeom prst="rect">
                      <a:avLst/>
                    </a:prstGeom>
                    <a:noFill/>
                  </pic:spPr>
                </pic:pic>
              </a:graphicData>
            </a:graphic>
          </wp:anchor>
        </w:drawing>
        <w:t>UNITED STATES</w:t>
      </w:r>
    </w:p>
    <w:p>
      <w:pPr>
        <w:spacing w:after="0" w:line="29" w:lineRule="exact"/>
        <w:rPr>
          <w:sz w:val="24"/>
          <w:szCs w:val="24"/>
          <w:color w:val="auto"/>
        </w:rPr>
      </w:pPr>
    </w:p>
    <w:p>
      <w:pPr>
        <w:jc w:val="center"/>
        <w:ind w:right="-39"/>
        <w:spacing w:after="0"/>
        <w:rPr>
          <w:sz w:val="20"/>
          <w:szCs w:val="20"/>
          <w:color w:val="auto"/>
        </w:rPr>
      </w:pPr>
      <w:r>
        <w:rPr>
          <w:rFonts w:ascii="Arial" w:cs="Arial" w:eastAsia="Arial" w:hAnsi="Arial"/>
          <w:sz w:val="19"/>
          <w:szCs w:val="19"/>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3197860</wp:posOffset>
            </wp:positionH>
            <wp:positionV relativeFrom="paragraph">
              <wp:posOffset>140335</wp:posOffset>
            </wp:positionV>
            <wp:extent cx="88646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86460" cy="5715"/>
                    </a:xfrm>
                    <a:prstGeom prst="rect">
                      <a:avLst/>
                    </a:prstGeom>
                    <a:noFill/>
                  </pic:spPr>
                </pic:pic>
              </a:graphicData>
            </a:graphic>
          </wp:anchor>
        </w:drawing>
      </w:r>
    </w:p>
    <w:p>
      <w:pPr>
        <w:spacing w:after="0" w:line="39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3197860</wp:posOffset>
            </wp:positionH>
            <wp:positionV relativeFrom="paragraph">
              <wp:posOffset>148590</wp:posOffset>
            </wp:positionV>
            <wp:extent cx="88646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86460" cy="5715"/>
                    </a:xfrm>
                    <a:prstGeom prst="rect">
                      <a:avLst/>
                    </a:prstGeom>
                    <a:noFill/>
                  </pic:spPr>
                </pic:pic>
              </a:graphicData>
            </a:graphic>
          </wp:anchor>
        </w:drawing>
      </w:r>
    </w:p>
    <w:p>
      <w:pPr>
        <w:spacing w:after="0" w:line="200" w:lineRule="exact"/>
        <w:rPr>
          <w:sz w:val="24"/>
          <w:szCs w:val="24"/>
          <w:color w:val="auto"/>
        </w:rPr>
      </w:pPr>
    </w:p>
    <w:p>
      <w:pPr>
        <w:spacing w:after="0" w:line="24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(Mark One)</w:t>
      </w:r>
    </w:p>
    <w:p>
      <w:pPr>
        <w:spacing w:after="0" w:line="150" w:lineRule="exact"/>
        <w:rPr>
          <w:sz w:val="24"/>
          <w:szCs w:val="24"/>
          <w:color w:val="auto"/>
        </w:rPr>
      </w:pPr>
    </w:p>
    <w:p>
      <w:pPr>
        <w:ind w:left="580" w:hanging="344"/>
        <w:spacing w:after="0"/>
        <w:tabs>
          <w:tab w:leader="none" w:pos="580" w:val="left"/>
        </w:tabs>
        <w:numPr>
          <w:ilvl w:val="0"/>
          <w:numId w:val="1"/>
        </w:numPr>
        <w:rPr>
          <w:rFonts w:ascii="Arial" w:cs="Arial" w:eastAsia="Arial" w:hAnsi="Arial"/>
          <w:sz w:val="12"/>
          <w:szCs w:val="12"/>
          <w:b w:val="1"/>
          <w:bCs w:val="1"/>
          <w:color w:val="auto"/>
        </w:rPr>
      </w:pPr>
      <w:r>
        <w:rPr>
          <w:rFonts w:ascii="Arial" w:cs="Arial" w:eastAsia="Arial" w:hAnsi="Arial"/>
          <w:sz w:val="12"/>
          <w:szCs w:val="12"/>
          <w:b w:val="1"/>
          <w:bCs w:val="1"/>
          <w:color w:val="auto"/>
        </w:rPr>
        <w:t>QUARTERLY REPORT PURSUANT TO SECTION 13 OR 15(d) OF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363" w:lineRule="exact"/>
        <w:rPr>
          <w:sz w:val="24"/>
          <w:szCs w:val="24"/>
          <w:color w:val="auto"/>
        </w:rPr>
      </w:pPr>
    </w:p>
    <w:p>
      <w:pPr>
        <w:ind w:left="580" w:hanging="344"/>
        <w:spacing w:after="0"/>
        <w:tabs>
          <w:tab w:leader="none" w:pos="580" w:val="left"/>
        </w:tabs>
        <w:numPr>
          <w:ilvl w:val="0"/>
          <w:numId w:val="2"/>
        </w:numPr>
        <w:rPr>
          <w:rFonts w:ascii="Arial" w:cs="Arial" w:eastAsia="Arial" w:hAnsi="Arial"/>
          <w:sz w:val="12"/>
          <w:szCs w:val="12"/>
          <w:b w:val="1"/>
          <w:bCs w:val="1"/>
          <w:color w:val="auto"/>
        </w:rPr>
      </w:pPr>
      <w:r>
        <w:rPr>
          <w:rFonts w:ascii="Arial" w:cs="Arial" w:eastAsia="Arial" w:hAnsi="Arial"/>
          <w:sz w:val="12"/>
          <w:szCs w:val="12"/>
          <w:b w:val="1"/>
          <w:bCs w:val="1"/>
          <w:color w:val="auto"/>
        </w:rPr>
        <w:t>TRANSITION REPORTPURSUANT TO SECTION 13 OR 15(d) OF THE SECURITIES EXCHANGE ACT OF 1934</w:t>
      </w:r>
    </w:p>
    <w:p>
      <w:pPr>
        <w:spacing w:after="0" w:line="142" w:lineRule="exact"/>
        <w:rPr>
          <w:sz w:val="24"/>
          <w:szCs w:val="24"/>
          <w:color w:val="auto"/>
        </w:rPr>
      </w:pPr>
    </w:p>
    <w:tbl>
      <w:tblPr>
        <w:tblLayout w:type="fixed"/>
        <w:tblInd w:w="4400" w:type="dxa"/>
        <w:tblCellMar>
          <w:top w:w="0" w:type="dxa"/>
          <w:left w:w="0" w:type="dxa"/>
          <w:bottom w:w="0" w:type="dxa"/>
          <w:right w:w="0" w:type="dxa"/>
        </w:tblCellMar>
      </w:tblPr>
      <w:tr>
        <w:trPr>
          <w:trHeight w:val="138"/>
        </w:trPr>
        <w:tc>
          <w:tcPr>
            <w:tcW w:w="1640" w:type="dxa"/>
            <w:vAlign w:val="bottom"/>
          </w:tcPr>
          <w:p>
            <w:pPr>
              <w:spacing w:after="0"/>
              <w:rPr>
                <w:sz w:val="20"/>
                <w:szCs w:val="20"/>
                <w:color w:val="auto"/>
              </w:rPr>
            </w:pPr>
            <w:r>
              <w:rPr>
                <w:rFonts w:ascii="Arial" w:cs="Arial" w:eastAsia="Arial" w:hAnsi="Arial"/>
                <w:sz w:val="12"/>
                <w:szCs w:val="12"/>
                <w:b w:val="1"/>
                <w:bCs w:val="1"/>
                <w:color w:val="auto"/>
                <w:w w:val="96"/>
              </w:rPr>
              <w:t>For the transition period from</w:t>
            </w:r>
          </w:p>
        </w:tc>
        <w:tc>
          <w:tcPr>
            <w:tcW w:w="1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40" w:type="dxa"/>
            <w:vAlign w:val="bottom"/>
          </w:tcPr>
          <w:p>
            <w:pPr>
              <w:ind w:left="20"/>
              <w:spacing w:after="0"/>
              <w:rPr>
                <w:sz w:val="20"/>
                <w:szCs w:val="20"/>
                <w:color w:val="auto"/>
              </w:rPr>
            </w:pPr>
            <w:r>
              <w:rPr>
                <w:rFonts w:ascii="Arial" w:cs="Arial" w:eastAsia="Arial" w:hAnsi="Arial"/>
                <w:sz w:val="12"/>
                <w:szCs w:val="12"/>
                <w:b w:val="1"/>
                <w:bCs w:val="1"/>
                <w:color w:val="auto"/>
                <w:w w:val="87"/>
              </w:rPr>
              <w:t>to</w:t>
            </w:r>
          </w:p>
        </w:tc>
      </w:tr>
      <w:tr>
        <w:trPr>
          <w:trHeight w:val="286"/>
        </w:trPr>
        <w:tc>
          <w:tcPr>
            <w:tcW w:w="2200" w:type="dxa"/>
            <w:vAlign w:val="bottom"/>
            <w:gridSpan w:val="4"/>
          </w:tcPr>
          <w:p>
            <w:pPr>
              <w:ind w:left="460"/>
              <w:spacing w:after="0"/>
              <w:rPr>
                <w:sz w:val="20"/>
                <w:szCs w:val="20"/>
                <w:color w:val="auto"/>
              </w:rPr>
            </w:pPr>
            <w:r>
              <w:rPr>
                <w:rFonts w:ascii="Arial" w:cs="Arial" w:eastAsia="Arial" w:hAnsi="Arial"/>
                <w:sz w:val="12"/>
                <w:szCs w:val="12"/>
                <w:b w:val="1"/>
                <w:bCs w:val="1"/>
                <w:color w:val="auto"/>
                <w:w w:val="89"/>
              </w:rPr>
              <w:t>Commission file number: 0-20008</w:t>
            </w:r>
          </w:p>
        </w:tc>
      </w:tr>
      <w:tr>
        <w:trPr>
          <w:trHeight w:val="20"/>
        </w:trPr>
        <w:tc>
          <w:tcPr>
            <w:tcW w:w="1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4222750</wp:posOffset>
            </wp:positionH>
            <wp:positionV relativeFrom="paragraph">
              <wp:posOffset>-199390</wp:posOffset>
            </wp:positionV>
            <wp:extent cx="26670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6700" cy="5715"/>
                    </a:xfrm>
                    <a:prstGeom prst="rect">
                      <a:avLst/>
                    </a:prstGeom>
                    <a:noFill/>
                  </pic:spPr>
                </pic:pic>
              </a:graphicData>
            </a:graphic>
          </wp:anchor>
        </w:drawing>
      </w:r>
    </w:p>
    <w:p>
      <w:pPr>
        <w:spacing w:after="0" w:line="96" w:lineRule="exact"/>
        <w:rPr>
          <w:sz w:val="24"/>
          <w:szCs w:val="24"/>
          <w:color w:val="auto"/>
        </w:rPr>
      </w:pPr>
    </w:p>
    <w:tbl>
      <w:tblPr>
        <w:tblLayout w:type="fixed"/>
        <w:tblInd w:w="1840" w:type="dxa"/>
        <w:tblCellMar>
          <w:top w:w="0" w:type="dxa"/>
          <w:left w:w="0" w:type="dxa"/>
          <w:bottom w:w="0" w:type="dxa"/>
          <w:right w:w="0" w:type="dxa"/>
        </w:tblCellMar>
      </w:tblPr>
      <w:tr>
        <w:trPr>
          <w:trHeight w:val="253"/>
        </w:trPr>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560" w:type="dxa"/>
            <w:vAlign w:val="bottom"/>
            <w:tcBorders>
              <w:bottom w:val="single" w:sz="8" w:color="auto"/>
            </w:tcBorders>
            <w:gridSpan w:val="3"/>
          </w:tcPr>
          <w:p>
            <w:pPr>
              <w:jc w:val="center"/>
              <w:spacing w:after="0"/>
              <w:rPr>
                <w:sz w:val="20"/>
                <w:szCs w:val="20"/>
                <w:color w:val="auto"/>
              </w:rPr>
            </w:pPr>
            <w:r>
              <w:rPr>
                <w:rFonts w:ascii="Arial" w:cs="Arial" w:eastAsia="Arial" w:hAnsi="Arial"/>
                <w:sz w:val="22"/>
                <w:szCs w:val="22"/>
                <w:b w:val="1"/>
                <w:bCs w:val="1"/>
                <w:color w:val="auto"/>
                <w:w w:val="96"/>
              </w:rPr>
              <w:t>ASURE SOFTWARE, INC.</w:t>
            </w:r>
          </w:p>
        </w:tc>
        <w:tc>
          <w:tcPr>
            <w:tcW w:w="2040" w:type="dxa"/>
            <w:vAlign w:val="bottom"/>
            <w:gridSpan w:val="5"/>
          </w:tcPr>
          <w:p>
            <w:pPr>
              <w:spacing w:after="0"/>
              <w:rPr>
                <w:sz w:val="21"/>
                <w:szCs w:val="21"/>
                <w:color w:val="auto"/>
              </w:rPr>
            </w:pPr>
          </w:p>
        </w:tc>
      </w:tr>
      <w:tr>
        <w:trPr>
          <w:trHeight w:val="160"/>
        </w:trPr>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960" w:type="dxa"/>
            <w:vAlign w:val="bottom"/>
            <w:gridSpan w:val="9"/>
          </w:tcPr>
          <w:p>
            <w:pPr>
              <w:jc w:val="center"/>
              <w:ind w:right="1680"/>
              <w:spacing w:after="0"/>
              <w:rPr>
                <w:sz w:val="20"/>
                <w:szCs w:val="20"/>
                <w:color w:val="auto"/>
              </w:rPr>
            </w:pPr>
            <w:r>
              <w:rPr>
                <w:rFonts w:ascii="Arial" w:cs="Arial" w:eastAsia="Arial" w:hAnsi="Arial"/>
                <w:sz w:val="12"/>
                <w:szCs w:val="12"/>
                <w:color w:val="auto"/>
                <w:w w:val="91"/>
              </w:rPr>
              <w:t>(Exact Name of Registrant as Specified in its Charter)</w:t>
            </w:r>
          </w:p>
        </w:tc>
      </w:tr>
      <w:tr>
        <w:trPr>
          <w:trHeight w:val="261"/>
        </w:trPr>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jc w:val="center"/>
              <w:spacing w:after="0"/>
              <w:rPr>
                <w:sz w:val="20"/>
                <w:szCs w:val="20"/>
                <w:color w:val="auto"/>
              </w:rPr>
            </w:pPr>
            <w:r>
              <w:rPr>
                <w:rFonts w:ascii="Arial" w:cs="Arial" w:eastAsia="Arial" w:hAnsi="Arial"/>
                <w:sz w:val="12"/>
                <w:szCs w:val="12"/>
                <w:b w:val="1"/>
                <w:bCs w:val="1"/>
                <w:color w:val="auto"/>
                <w:w w:val="91"/>
              </w:rPr>
              <w:t>Delaware</w:t>
            </w:r>
          </w:p>
        </w:tc>
        <w:tc>
          <w:tcPr>
            <w:tcW w:w="1040" w:type="dxa"/>
            <w:vAlign w:val="bottom"/>
            <w:gridSpan w:val="2"/>
          </w:tcPr>
          <w:p>
            <w:pPr>
              <w:spacing w:after="0"/>
              <w:rPr>
                <w:sz w:val="22"/>
                <w:szCs w:val="22"/>
                <w:color w:val="auto"/>
              </w:rPr>
            </w:pPr>
          </w:p>
        </w:tc>
        <w:tc>
          <w:tcPr>
            <w:tcW w:w="4220" w:type="dxa"/>
            <w:vAlign w:val="bottom"/>
            <w:gridSpan w:val="5"/>
          </w:tcPr>
          <w:p>
            <w:pPr>
              <w:spacing w:after="0"/>
              <w:rPr>
                <w:sz w:val="22"/>
                <w:szCs w:val="22"/>
                <w:color w:val="auto"/>
              </w:rPr>
            </w:pPr>
          </w:p>
        </w:tc>
        <w:tc>
          <w:tcPr>
            <w:tcW w:w="740" w:type="dxa"/>
            <w:vAlign w:val="bottom"/>
            <w:gridSpan w:val="4"/>
          </w:tcPr>
          <w:p>
            <w:pPr>
              <w:jc w:val="right"/>
              <w:ind w:right="160"/>
              <w:spacing w:after="0"/>
              <w:rPr>
                <w:sz w:val="20"/>
                <w:szCs w:val="20"/>
                <w:color w:val="auto"/>
              </w:rPr>
            </w:pPr>
            <w:r>
              <w:rPr>
                <w:rFonts w:ascii="Arial" w:cs="Arial" w:eastAsia="Arial" w:hAnsi="Arial"/>
                <w:sz w:val="12"/>
                <w:szCs w:val="12"/>
                <w:b w:val="1"/>
                <w:bCs w:val="1"/>
                <w:color w:val="auto"/>
                <w:w w:val="87"/>
              </w:rPr>
              <w:t>74-2415696</w:t>
            </w:r>
          </w:p>
        </w:tc>
      </w:tr>
      <w:tr>
        <w:trPr>
          <w:trHeight w:val="20"/>
        </w:trPr>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42"/>
        </w:trPr>
        <w:tc>
          <w:tcPr>
            <w:tcW w:w="2260" w:type="dxa"/>
            <w:vAlign w:val="bottom"/>
            <w:gridSpan w:val="5"/>
          </w:tcPr>
          <w:p>
            <w:pPr>
              <w:jc w:val="center"/>
              <w:ind w:right="300"/>
              <w:spacing w:after="0"/>
              <w:rPr>
                <w:sz w:val="20"/>
                <w:szCs w:val="20"/>
                <w:color w:val="auto"/>
              </w:rPr>
            </w:pPr>
            <w:r>
              <w:rPr>
                <w:rFonts w:ascii="Arial" w:cs="Arial" w:eastAsia="Arial" w:hAnsi="Arial"/>
                <w:sz w:val="12"/>
                <w:szCs w:val="12"/>
                <w:color w:val="auto"/>
                <w:w w:val="93"/>
              </w:rPr>
              <w:t>(State of other jurisdiction of</w:t>
            </w:r>
          </w:p>
        </w:tc>
        <w:tc>
          <w:tcPr>
            <w:tcW w:w="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40" w:type="dxa"/>
            <w:vAlign w:val="bottom"/>
            <w:gridSpan w:val="5"/>
          </w:tcPr>
          <w:p>
            <w:pPr>
              <w:jc w:val="center"/>
              <w:ind w:left="1080"/>
              <w:spacing w:after="0"/>
              <w:rPr>
                <w:sz w:val="20"/>
                <w:szCs w:val="20"/>
                <w:color w:val="auto"/>
              </w:rPr>
            </w:pPr>
            <w:r>
              <w:rPr>
                <w:rFonts w:ascii="Arial" w:cs="Arial" w:eastAsia="Arial" w:hAnsi="Arial"/>
                <w:sz w:val="12"/>
                <w:szCs w:val="12"/>
                <w:color w:val="auto"/>
                <w:w w:val="93"/>
              </w:rPr>
              <w:t>(I.R.S. Employer</w:t>
            </w:r>
          </w:p>
        </w:tc>
      </w:tr>
      <w:tr>
        <w:trPr>
          <w:trHeight w:val="153"/>
        </w:trPr>
        <w:tc>
          <w:tcPr>
            <w:tcW w:w="2260" w:type="dxa"/>
            <w:vAlign w:val="bottom"/>
            <w:gridSpan w:val="5"/>
          </w:tcPr>
          <w:p>
            <w:pPr>
              <w:jc w:val="center"/>
              <w:ind w:right="300"/>
              <w:spacing w:after="0"/>
              <w:rPr>
                <w:sz w:val="20"/>
                <w:szCs w:val="20"/>
                <w:color w:val="auto"/>
              </w:rPr>
            </w:pPr>
            <w:r>
              <w:rPr>
                <w:rFonts w:ascii="Arial" w:cs="Arial" w:eastAsia="Arial" w:hAnsi="Arial"/>
                <w:sz w:val="12"/>
                <w:szCs w:val="12"/>
                <w:color w:val="auto"/>
                <w:w w:val="92"/>
              </w:rPr>
              <w:t>incorporation or organization)</w:t>
            </w: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40" w:type="dxa"/>
            <w:vAlign w:val="bottom"/>
            <w:gridSpan w:val="5"/>
          </w:tcPr>
          <w:p>
            <w:pPr>
              <w:jc w:val="center"/>
              <w:ind w:left="1080"/>
              <w:spacing w:after="0"/>
              <w:rPr>
                <w:sz w:val="20"/>
                <w:szCs w:val="20"/>
                <w:color w:val="auto"/>
              </w:rPr>
            </w:pPr>
            <w:r>
              <w:rPr>
                <w:rFonts w:ascii="Arial" w:cs="Arial" w:eastAsia="Arial" w:hAnsi="Arial"/>
                <w:sz w:val="12"/>
                <w:szCs w:val="12"/>
                <w:color w:val="auto"/>
                <w:w w:val="96"/>
              </w:rPr>
              <w:t>Identification No.)</w:t>
            </w:r>
          </w:p>
        </w:tc>
      </w:tr>
      <w:tr>
        <w:trPr>
          <w:trHeight w:val="275"/>
        </w:trPr>
        <w:tc>
          <w:tcPr>
            <w:tcW w:w="2260" w:type="dxa"/>
            <w:vAlign w:val="bottom"/>
            <w:gridSpan w:val="5"/>
          </w:tcPr>
          <w:p>
            <w:pPr>
              <w:jc w:val="center"/>
              <w:ind w:right="300"/>
              <w:spacing w:after="0"/>
              <w:rPr>
                <w:sz w:val="20"/>
                <w:szCs w:val="20"/>
                <w:color w:val="auto"/>
              </w:rPr>
            </w:pPr>
            <w:r>
              <w:rPr>
                <w:rFonts w:ascii="Arial" w:cs="Arial" w:eastAsia="Arial" w:hAnsi="Arial"/>
                <w:sz w:val="12"/>
                <w:szCs w:val="12"/>
                <w:b w:val="1"/>
                <w:bCs w:val="1"/>
                <w:color w:val="auto"/>
                <w:w w:val="90"/>
              </w:rPr>
              <w:t>110 Wild Basin Road, Suite 100</w:t>
            </w:r>
          </w:p>
        </w:tc>
        <w:tc>
          <w:tcPr>
            <w:tcW w:w="3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r>
      <w:tr>
        <w:trPr>
          <w:trHeight w:val="130"/>
        </w:trPr>
        <w:tc>
          <w:tcPr>
            <w:tcW w:w="620" w:type="dxa"/>
            <w:vAlign w:val="bottom"/>
          </w:tcPr>
          <w:p>
            <w:pPr>
              <w:spacing w:after="0"/>
              <w:rPr>
                <w:sz w:val="11"/>
                <w:szCs w:val="11"/>
                <w:color w:val="auto"/>
              </w:rPr>
            </w:pPr>
          </w:p>
        </w:tc>
        <w:tc>
          <w:tcPr>
            <w:tcW w:w="700" w:type="dxa"/>
            <w:vAlign w:val="bottom"/>
            <w:gridSpan w:val="3"/>
          </w:tcPr>
          <w:p>
            <w:pPr>
              <w:jc w:val="center"/>
              <w:spacing w:after="0" w:line="130" w:lineRule="exact"/>
              <w:rPr>
                <w:sz w:val="20"/>
                <w:szCs w:val="20"/>
                <w:color w:val="auto"/>
              </w:rPr>
            </w:pPr>
            <w:r>
              <w:rPr>
                <w:rFonts w:ascii="Arial" w:cs="Arial" w:eastAsia="Arial" w:hAnsi="Arial"/>
                <w:sz w:val="12"/>
                <w:szCs w:val="12"/>
                <w:b w:val="1"/>
                <w:bCs w:val="1"/>
                <w:color w:val="auto"/>
                <w:w w:val="89"/>
              </w:rPr>
              <w:t>Austin, Texas</w:t>
            </w:r>
          </w:p>
        </w:tc>
        <w:tc>
          <w:tcPr>
            <w:tcW w:w="940" w:type="dxa"/>
            <w:vAlign w:val="bottom"/>
          </w:tcPr>
          <w:p>
            <w:pPr>
              <w:spacing w:after="0"/>
              <w:rPr>
                <w:sz w:val="11"/>
                <w:szCs w:val="11"/>
                <w:color w:val="auto"/>
              </w:rPr>
            </w:pPr>
          </w:p>
        </w:tc>
        <w:tc>
          <w:tcPr>
            <w:tcW w:w="4360" w:type="dxa"/>
            <w:vAlign w:val="bottom"/>
            <w:gridSpan w:val="6"/>
          </w:tcPr>
          <w:p>
            <w:pPr>
              <w:spacing w:after="0"/>
              <w:rPr>
                <w:sz w:val="11"/>
                <w:szCs w:val="11"/>
                <w:color w:val="auto"/>
              </w:rPr>
            </w:pPr>
          </w:p>
        </w:tc>
        <w:tc>
          <w:tcPr>
            <w:tcW w:w="440" w:type="dxa"/>
            <w:vAlign w:val="bottom"/>
            <w:gridSpan w:val="2"/>
          </w:tcPr>
          <w:p>
            <w:pPr>
              <w:jc w:val="right"/>
              <w:ind w:right="140"/>
              <w:spacing w:after="0" w:line="130" w:lineRule="exact"/>
              <w:rPr>
                <w:sz w:val="20"/>
                <w:szCs w:val="20"/>
                <w:color w:val="auto"/>
              </w:rPr>
            </w:pPr>
            <w:r>
              <w:rPr>
                <w:rFonts w:ascii="Arial" w:cs="Arial" w:eastAsia="Arial" w:hAnsi="Arial"/>
                <w:sz w:val="12"/>
                <w:szCs w:val="12"/>
                <w:b w:val="1"/>
                <w:bCs w:val="1"/>
                <w:color w:val="auto"/>
                <w:w w:val="83"/>
              </w:rPr>
              <w:t>78746</w:t>
            </w:r>
          </w:p>
        </w:tc>
        <w:tc>
          <w:tcPr>
            <w:tcW w:w="160" w:type="dxa"/>
            <w:vAlign w:val="bottom"/>
          </w:tcPr>
          <w:p>
            <w:pPr>
              <w:spacing w:after="0"/>
              <w:rPr>
                <w:sz w:val="11"/>
                <w:szCs w:val="11"/>
                <w:color w:val="auto"/>
              </w:rPr>
            </w:pPr>
          </w:p>
        </w:tc>
      </w:tr>
      <w:tr>
        <w:trPr>
          <w:trHeight w:val="20"/>
        </w:trPr>
        <w:tc>
          <w:tcPr>
            <w:tcW w:w="620" w:type="dxa"/>
            <w:vAlign w:val="bottom"/>
          </w:tcPr>
          <w:p>
            <w:pPr>
              <w:spacing w:after="0" w:line="20" w:lineRule="exact"/>
              <w:rPr>
                <w:sz w:val="1"/>
                <w:szCs w:val="1"/>
                <w:color w:val="auto"/>
              </w:rPr>
            </w:pPr>
          </w:p>
        </w:tc>
        <w:tc>
          <w:tcPr>
            <w:tcW w:w="700" w:type="dxa"/>
            <w:vAlign w:val="bottom"/>
            <w:gridSpan w:val="3"/>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r>
      <w:tr>
        <w:trPr>
          <w:trHeight w:val="151"/>
        </w:trPr>
        <w:tc>
          <w:tcPr>
            <w:tcW w:w="2260" w:type="dxa"/>
            <w:vAlign w:val="bottom"/>
            <w:gridSpan w:val="5"/>
          </w:tcPr>
          <w:p>
            <w:pPr>
              <w:jc w:val="center"/>
              <w:ind w:right="300"/>
              <w:spacing w:after="0"/>
              <w:rPr>
                <w:sz w:val="20"/>
                <w:szCs w:val="20"/>
                <w:color w:val="auto"/>
              </w:rPr>
            </w:pPr>
            <w:r>
              <w:rPr>
                <w:rFonts w:ascii="Arial" w:cs="Arial" w:eastAsia="Arial" w:hAnsi="Arial"/>
                <w:sz w:val="12"/>
                <w:szCs w:val="12"/>
                <w:color w:val="auto"/>
                <w:w w:val="92"/>
              </w:rPr>
              <w:t>(Address of Principal Executive Offices)</w:t>
            </w: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740" w:type="dxa"/>
            <w:vAlign w:val="bottom"/>
            <w:gridSpan w:val="4"/>
          </w:tcPr>
          <w:p>
            <w:pPr>
              <w:jc w:val="center"/>
              <w:ind w:right="160"/>
              <w:spacing w:after="0"/>
              <w:rPr>
                <w:sz w:val="20"/>
                <w:szCs w:val="20"/>
                <w:color w:val="auto"/>
              </w:rPr>
            </w:pPr>
            <w:r>
              <w:rPr>
                <w:rFonts w:ascii="Arial" w:cs="Arial" w:eastAsia="Arial" w:hAnsi="Arial"/>
                <w:sz w:val="12"/>
                <w:szCs w:val="12"/>
                <w:color w:val="auto"/>
                <w:w w:val="95"/>
              </w:rPr>
              <w:t>(Zip Code)</w:t>
            </w:r>
          </w:p>
        </w:tc>
      </w:tr>
      <w:tr>
        <w:trPr>
          <w:trHeight w:val="261"/>
        </w:trPr>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00" w:type="dxa"/>
            <w:vAlign w:val="bottom"/>
            <w:gridSpan w:val="3"/>
          </w:tcPr>
          <w:p>
            <w:pPr>
              <w:jc w:val="center"/>
              <w:ind w:left="1200"/>
              <w:spacing w:after="0"/>
              <w:rPr>
                <w:sz w:val="20"/>
                <w:szCs w:val="20"/>
                <w:color w:val="auto"/>
              </w:rPr>
            </w:pPr>
            <w:r>
              <w:rPr>
                <w:rFonts w:ascii="Arial" w:cs="Arial" w:eastAsia="Arial" w:hAnsi="Arial"/>
                <w:sz w:val="12"/>
                <w:szCs w:val="12"/>
                <w:b w:val="1"/>
                <w:bCs w:val="1"/>
                <w:color w:val="auto"/>
                <w:w w:val="90"/>
              </w:rPr>
              <w:t>(512) 437-2700</w:t>
            </w:r>
          </w:p>
        </w:tc>
        <w:tc>
          <w:tcPr>
            <w:tcW w:w="9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r>
      <w:tr>
        <w:trPr>
          <w:trHeight w:val="20"/>
        </w:trPr>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960" w:type="dxa"/>
            <w:vAlign w:val="bottom"/>
            <w:gridSpan w:val="6"/>
          </w:tcPr>
          <w:p>
            <w:pPr>
              <w:spacing w:after="0" w:line="20" w:lineRule="exact"/>
              <w:rPr>
                <w:sz w:val="1"/>
                <w:szCs w:val="1"/>
                <w:color w:val="auto"/>
              </w:rPr>
            </w:pPr>
          </w:p>
        </w:tc>
      </w:tr>
      <w:tr>
        <w:trPr>
          <w:trHeight w:val="151"/>
        </w:trPr>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960" w:type="dxa"/>
            <w:vAlign w:val="bottom"/>
            <w:gridSpan w:val="9"/>
          </w:tcPr>
          <w:p>
            <w:pPr>
              <w:jc w:val="center"/>
              <w:ind w:right="1700"/>
              <w:spacing w:after="0"/>
              <w:rPr>
                <w:sz w:val="20"/>
                <w:szCs w:val="20"/>
                <w:color w:val="auto"/>
              </w:rPr>
            </w:pPr>
            <w:r>
              <w:rPr>
                <w:rFonts w:ascii="Arial" w:cs="Arial" w:eastAsia="Arial" w:hAnsi="Arial"/>
                <w:sz w:val="12"/>
                <w:szCs w:val="12"/>
                <w:color w:val="auto"/>
                <w:w w:val="91"/>
              </w:rPr>
              <w:t>(Registrant’s Telephone Number, including Area Code)</w:t>
            </w:r>
          </w:p>
        </w:tc>
      </w:tr>
    </w:tbl>
    <w:p>
      <w:pPr>
        <w:spacing w:after="0" w:line="135" w:lineRule="exact"/>
        <w:rPr>
          <w:sz w:val="24"/>
          <w:szCs w:val="24"/>
          <w:color w:val="auto"/>
        </w:rPr>
      </w:pPr>
    </w:p>
    <w:p>
      <w:pPr>
        <w:spacing w:after="0" w:line="276" w:lineRule="auto"/>
        <w:rPr>
          <w:sz w:val="20"/>
          <w:szCs w:val="20"/>
          <w:color w:val="auto"/>
        </w:rPr>
      </w:pPr>
      <w:r>
        <w:rPr>
          <w:rFonts w:ascii="Arial" w:cs="Arial" w:eastAsia="Arial" w:hAnsi="Arial"/>
          <w:sz w:val="12"/>
          <w:szCs w:val="12"/>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15" w:lineRule="exact"/>
        <w:rPr>
          <w:sz w:val="24"/>
          <w:szCs w:val="24"/>
          <w:color w:val="auto"/>
        </w:rPr>
      </w:pPr>
    </w:p>
    <w:p>
      <w:pPr>
        <w:spacing w:after="0"/>
        <w:rPr>
          <w:sz w:val="20"/>
          <w:szCs w:val="20"/>
          <w:color w:val="auto"/>
        </w:rPr>
      </w:pPr>
      <w:r>
        <w:rPr>
          <w:rFonts w:ascii="Arial" w:cs="Arial" w:eastAsia="Arial" w:hAnsi="Arial"/>
          <w:sz w:val="11"/>
          <w:szCs w:val="11"/>
          <w:color w:val="auto"/>
        </w:rPr>
        <w:t>Indicate by check mark whether the registrant has submitted electronically and posted on its corporate Web site, if any, every Interactive Data File required to be submitted and posted pursuant to Rule 405 of Regulation S-T during the</w:t>
      </w:r>
    </w:p>
    <w:p>
      <w:pPr>
        <w:spacing w:after="0" w:line="26" w:lineRule="exact"/>
        <w:rPr>
          <w:sz w:val="24"/>
          <w:szCs w:val="24"/>
          <w:color w:val="auto"/>
        </w:rPr>
      </w:pPr>
    </w:p>
    <w:tbl>
      <w:tblPr>
        <w:tblLayout w:type="fixed"/>
        <w:tblInd w:w="0" w:type="dxa"/>
        <w:tblCellMar>
          <w:top w:w="0" w:type="dxa"/>
          <w:left w:w="0" w:type="dxa"/>
          <w:bottom w:w="0" w:type="dxa"/>
          <w:right w:w="0" w:type="dxa"/>
        </w:tblCellMar>
      </w:tblPr>
      <w:tr>
        <w:trPr>
          <w:trHeight w:val="153"/>
        </w:trPr>
        <w:tc>
          <w:tcPr>
            <w:tcW w:w="5320" w:type="dxa"/>
            <w:vAlign w:val="bottom"/>
            <w:gridSpan w:val="2"/>
          </w:tcPr>
          <w:p>
            <w:pPr>
              <w:spacing w:after="0"/>
              <w:rPr>
                <w:sz w:val="20"/>
                <w:szCs w:val="20"/>
                <w:color w:val="auto"/>
              </w:rPr>
            </w:pPr>
            <w:r>
              <w:rPr>
                <w:rFonts w:ascii="Arial" w:cs="Arial" w:eastAsia="Arial" w:hAnsi="Arial"/>
                <w:sz w:val="12"/>
                <w:szCs w:val="12"/>
                <w:color w:val="auto"/>
                <w:w w:val="90"/>
              </w:rPr>
              <w:t>preceding 12 months (or for such shorter period that the registrant was required to submit and post such files).</w:t>
            </w:r>
          </w:p>
        </w:tc>
        <w:tc>
          <w:tcPr>
            <w:tcW w:w="220" w:type="dxa"/>
            <w:vAlign w:val="bottom"/>
          </w:tcPr>
          <w:p>
            <w:pPr>
              <w:ind w:left="40"/>
              <w:spacing w:after="0"/>
              <w:rPr>
                <w:sz w:val="20"/>
                <w:szCs w:val="20"/>
                <w:color w:val="auto"/>
              </w:rPr>
            </w:pPr>
            <w:r>
              <w:rPr>
                <w:rFonts w:ascii="Arial" w:cs="Arial" w:eastAsia="Arial" w:hAnsi="Arial"/>
                <w:sz w:val="12"/>
                <w:szCs w:val="12"/>
                <w:color w:val="auto"/>
                <w:w w:val="77"/>
              </w:rPr>
              <w:t>Yes</w:t>
            </w:r>
          </w:p>
        </w:tc>
        <w:tc>
          <w:tcPr>
            <w:tcW w:w="220" w:type="dxa"/>
            <w:vAlign w:val="bottom"/>
          </w:tcPr>
          <w:p>
            <w:pPr>
              <w:ind w:left="60"/>
              <w:spacing w:after="0"/>
              <w:rPr>
                <w:sz w:val="20"/>
                <w:szCs w:val="20"/>
                <w:color w:val="auto"/>
              </w:rPr>
            </w:pPr>
            <w:r>
              <w:rPr>
                <w:rFonts w:ascii="Arial" w:cs="Arial" w:eastAsia="Arial" w:hAnsi="Arial"/>
                <w:sz w:val="12"/>
                <w:szCs w:val="12"/>
                <w:color w:val="auto"/>
              </w:rPr>
              <w:t>x</w:t>
            </w:r>
          </w:p>
        </w:tc>
        <w:tc>
          <w:tcPr>
            <w:tcW w:w="2380" w:type="dxa"/>
            <w:vAlign w:val="bottom"/>
          </w:tcPr>
          <w:p>
            <w:pPr>
              <w:ind w:left="40"/>
              <w:spacing w:after="0"/>
              <w:rPr>
                <w:sz w:val="20"/>
                <w:szCs w:val="20"/>
                <w:color w:val="auto"/>
              </w:rPr>
            </w:pPr>
            <w:r>
              <w:rPr>
                <w:rFonts w:ascii="Arial" w:cs="Arial" w:eastAsia="Arial" w:hAnsi="Arial"/>
                <w:sz w:val="12"/>
                <w:szCs w:val="12"/>
                <w:color w:val="auto"/>
              </w:rPr>
              <w:t>No o</w:t>
            </w:r>
          </w:p>
        </w:tc>
        <w:tc>
          <w:tcPr>
            <w:tcW w:w="3340" w:type="dxa"/>
            <w:vAlign w:val="bottom"/>
          </w:tcPr>
          <w:p>
            <w:pPr>
              <w:spacing w:after="0"/>
              <w:rPr>
                <w:sz w:val="13"/>
                <w:szCs w:val="13"/>
                <w:color w:val="auto"/>
              </w:rPr>
            </w:pPr>
          </w:p>
        </w:tc>
      </w:tr>
      <w:tr>
        <w:trPr>
          <w:trHeight w:val="279"/>
        </w:trPr>
        <w:tc>
          <w:tcPr>
            <w:tcW w:w="8140" w:type="dxa"/>
            <w:vAlign w:val="bottom"/>
            <w:gridSpan w:val="5"/>
          </w:tcPr>
          <w:p>
            <w:pPr>
              <w:spacing w:after="0"/>
              <w:rPr>
                <w:sz w:val="20"/>
                <w:szCs w:val="20"/>
                <w:color w:val="auto"/>
              </w:rPr>
            </w:pPr>
            <w:r>
              <w:rPr>
                <w:rFonts w:ascii="Arial" w:cs="Arial" w:eastAsia="Arial" w:hAnsi="Arial"/>
                <w:sz w:val="12"/>
                <w:szCs w:val="12"/>
                <w:color w:val="auto"/>
                <w:w w:val="92"/>
              </w:rPr>
              <w:t>Indicate by check mark whether the registrant is a large accelerated filer, an accelerated filer or a non-accelerated filer (as defined in Rule 12b-2 of the Exchange Act).</w:t>
            </w:r>
          </w:p>
        </w:tc>
        <w:tc>
          <w:tcPr>
            <w:tcW w:w="3340" w:type="dxa"/>
            <w:vAlign w:val="bottom"/>
          </w:tcPr>
          <w:p>
            <w:pPr>
              <w:spacing w:after="0"/>
              <w:rPr>
                <w:sz w:val="24"/>
                <w:szCs w:val="24"/>
                <w:color w:val="auto"/>
              </w:rPr>
            </w:pPr>
          </w:p>
        </w:tc>
      </w:tr>
      <w:tr>
        <w:trPr>
          <w:trHeight w:val="306"/>
        </w:trPr>
        <w:tc>
          <w:tcPr>
            <w:tcW w:w="2160" w:type="dxa"/>
            <w:vAlign w:val="bottom"/>
          </w:tcPr>
          <w:p>
            <w:pPr>
              <w:ind w:left="180"/>
              <w:spacing w:after="0"/>
              <w:rPr>
                <w:sz w:val="20"/>
                <w:szCs w:val="20"/>
                <w:color w:val="auto"/>
              </w:rPr>
            </w:pPr>
            <w:r>
              <w:rPr>
                <w:rFonts w:ascii="Arial" w:cs="Arial" w:eastAsia="Arial" w:hAnsi="Arial"/>
                <w:sz w:val="12"/>
                <w:szCs w:val="12"/>
                <w:color w:val="auto"/>
              </w:rPr>
              <w:t>Large accelerated filer o</w:t>
            </w:r>
          </w:p>
        </w:tc>
        <w:tc>
          <w:tcPr>
            <w:tcW w:w="3160" w:type="dxa"/>
            <w:vAlign w:val="bottom"/>
          </w:tcPr>
          <w:p>
            <w:pPr>
              <w:ind w:left="820"/>
              <w:spacing w:after="0"/>
              <w:rPr>
                <w:sz w:val="20"/>
                <w:szCs w:val="20"/>
                <w:color w:val="auto"/>
              </w:rPr>
            </w:pPr>
            <w:r>
              <w:rPr>
                <w:rFonts w:ascii="Arial" w:cs="Arial" w:eastAsia="Arial" w:hAnsi="Arial"/>
                <w:sz w:val="12"/>
                <w:szCs w:val="12"/>
                <w:color w:val="auto"/>
              </w:rPr>
              <w:t>Accelerated filer o</w:t>
            </w:r>
          </w:p>
        </w:tc>
        <w:tc>
          <w:tcPr>
            <w:tcW w:w="2820" w:type="dxa"/>
            <w:vAlign w:val="bottom"/>
            <w:gridSpan w:val="3"/>
          </w:tcPr>
          <w:p>
            <w:pPr>
              <w:ind w:left="20"/>
              <w:spacing w:after="0"/>
              <w:rPr>
                <w:sz w:val="20"/>
                <w:szCs w:val="20"/>
                <w:color w:val="auto"/>
              </w:rPr>
            </w:pPr>
            <w:r>
              <w:rPr>
                <w:rFonts w:ascii="Arial" w:cs="Arial" w:eastAsia="Arial" w:hAnsi="Arial"/>
                <w:sz w:val="12"/>
                <w:szCs w:val="12"/>
                <w:color w:val="auto"/>
              </w:rPr>
              <w:t>Non-accelerated filer o</w:t>
            </w:r>
          </w:p>
        </w:tc>
        <w:tc>
          <w:tcPr>
            <w:tcW w:w="3340" w:type="dxa"/>
            <w:vAlign w:val="bottom"/>
          </w:tcPr>
          <w:p>
            <w:pPr>
              <w:ind w:left="160"/>
              <w:spacing w:after="0"/>
              <w:rPr>
                <w:sz w:val="20"/>
                <w:szCs w:val="20"/>
                <w:color w:val="auto"/>
              </w:rPr>
            </w:pPr>
            <w:r>
              <w:rPr>
                <w:rFonts w:ascii="Arial" w:cs="Arial" w:eastAsia="Arial" w:hAnsi="Arial"/>
                <w:sz w:val="12"/>
                <w:szCs w:val="12"/>
                <w:color w:val="auto"/>
              </w:rPr>
              <w:t>Smaller reporting company x</w:t>
            </w:r>
          </w:p>
        </w:tc>
      </w:tr>
      <w:tr>
        <w:trPr>
          <w:trHeight w:val="288"/>
        </w:trPr>
        <w:tc>
          <w:tcPr>
            <w:tcW w:w="5540" w:type="dxa"/>
            <w:vAlign w:val="bottom"/>
            <w:gridSpan w:val="3"/>
          </w:tcPr>
          <w:p>
            <w:pPr>
              <w:spacing w:after="0"/>
              <w:rPr>
                <w:sz w:val="20"/>
                <w:szCs w:val="20"/>
                <w:color w:val="auto"/>
              </w:rPr>
            </w:pPr>
            <w:r>
              <w:rPr>
                <w:rFonts w:ascii="Arial" w:cs="Arial" w:eastAsia="Arial" w:hAnsi="Arial"/>
                <w:sz w:val="12"/>
                <w:szCs w:val="12"/>
                <w:color w:val="auto"/>
                <w:w w:val="92"/>
              </w:rPr>
              <w:t>Indicate by check mark whether the registrant is a shell company (as defined in Rule 12b-2 of the Exchange Act).</w:t>
            </w:r>
          </w:p>
        </w:tc>
        <w:tc>
          <w:tcPr>
            <w:tcW w:w="220" w:type="dxa"/>
            <w:vAlign w:val="bottom"/>
          </w:tcPr>
          <w:p>
            <w:pPr>
              <w:ind w:left="20"/>
              <w:spacing w:after="0"/>
              <w:rPr>
                <w:sz w:val="20"/>
                <w:szCs w:val="20"/>
                <w:color w:val="auto"/>
              </w:rPr>
            </w:pPr>
            <w:r>
              <w:rPr>
                <w:rFonts w:ascii="Arial" w:cs="Arial" w:eastAsia="Arial" w:hAnsi="Arial"/>
                <w:sz w:val="12"/>
                <w:szCs w:val="12"/>
                <w:color w:val="auto"/>
                <w:w w:val="86"/>
              </w:rPr>
              <w:t>Yes</w:t>
            </w:r>
          </w:p>
        </w:tc>
        <w:tc>
          <w:tcPr>
            <w:tcW w:w="2380" w:type="dxa"/>
            <w:vAlign w:val="bottom"/>
          </w:tcPr>
          <w:p>
            <w:pPr>
              <w:ind w:left="40"/>
              <w:spacing w:after="0"/>
              <w:rPr>
                <w:sz w:val="20"/>
                <w:szCs w:val="20"/>
                <w:color w:val="auto"/>
              </w:rPr>
            </w:pPr>
            <w:r>
              <w:rPr>
                <w:rFonts w:ascii="Arial" w:cs="Arial" w:eastAsia="Arial" w:hAnsi="Arial"/>
                <w:sz w:val="12"/>
                <w:szCs w:val="12"/>
                <w:color w:val="auto"/>
              </w:rPr>
              <w:t>o   No x</w:t>
            </w:r>
          </w:p>
        </w:tc>
        <w:tc>
          <w:tcPr>
            <w:tcW w:w="3340" w:type="dxa"/>
            <w:vAlign w:val="bottom"/>
          </w:tcPr>
          <w:p>
            <w:pPr>
              <w:spacing w:after="0"/>
              <w:rPr>
                <w:sz w:val="24"/>
                <w:szCs w:val="24"/>
                <w:color w:val="auto"/>
              </w:rPr>
            </w:pPr>
          </w:p>
        </w:tc>
      </w:tr>
      <w:tr>
        <w:trPr>
          <w:trHeight w:val="288"/>
        </w:trPr>
        <w:tc>
          <w:tcPr>
            <w:tcW w:w="5540" w:type="dxa"/>
            <w:vAlign w:val="bottom"/>
            <w:gridSpan w:val="3"/>
          </w:tcPr>
          <w:p>
            <w:pPr>
              <w:spacing w:after="0"/>
              <w:rPr>
                <w:sz w:val="20"/>
                <w:szCs w:val="20"/>
                <w:color w:val="auto"/>
              </w:rPr>
            </w:pPr>
            <w:r>
              <w:rPr>
                <w:rFonts w:ascii="Arial" w:cs="Arial" w:eastAsia="Arial" w:hAnsi="Arial"/>
                <w:sz w:val="12"/>
                <w:szCs w:val="12"/>
                <w:color w:val="auto"/>
                <w:w w:val="91"/>
              </w:rPr>
              <w:t>As of November 16, 2012, the registrant had outstanding 5,257,548 shares of its Common Stock, $0.01 par value.</w:t>
            </w:r>
          </w:p>
        </w:tc>
        <w:tc>
          <w:tcPr>
            <w:tcW w:w="2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436"/>
        </w:trPr>
        <w:tc>
          <w:tcPr>
            <w:tcW w:w="2160" w:type="dxa"/>
            <w:vAlign w:val="bottom"/>
            <w:tcBorders>
              <w:bottom w:val="single" w:sz="8" w:color="808080"/>
            </w:tcBorders>
          </w:tcPr>
          <w:p>
            <w:pPr>
              <w:spacing w:after="0"/>
              <w:rPr>
                <w:sz w:val="24"/>
                <w:szCs w:val="24"/>
                <w:color w:val="auto"/>
              </w:rPr>
            </w:pPr>
          </w:p>
        </w:tc>
        <w:tc>
          <w:tcPr>
            <w:tcW w:w="316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2380" w:type="dxa"/>
            <w:vAlign w:val="bottom"/>
            <w:tcBorders>
              <w:bottom w:val="single" w:sz="8" w:color="808080"/>
            </w:tcBorders>
          </w:tcPr>
          <w:p>
            <w:pPr>
              <w:spacing w:after="0"/>
              <w:rPr>
                <w:sz w:val="24"/>
                <w:szCs w:val="24"/>
                <w:color w:val="auto"/>
              </w:rPr>
            </w:pPr>
          </w:p>
        </w:tc>
        <w:tc>
          <w:tcPr>
            <w:tcW w:w="334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244" w:right="1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15"/>
        </w:trPr>
        <w:tc>
          <w:tcPr>
            <w:tcW w:w="820" w:type="dxa"/>
            <w:vAlign w:val="bottom"/>
            <w:gridSpan w:val="3"/>
          </w:tcPr>
          <w:p>
            <w:pPr>
              <w:spacing w:after="0"/>
              <w:rPr>
                <w:rFonts w:ascii="Arial" w:cs="Arial" w:eastAsia="Arial" w:hAnsi="Arial"/>
                <w:sz w:val="10"/>
                <w:szCs w:val="10"/>
                <w:color w:val="0000EE"/>
              </w:rPr>
            </w:pPr>
            <w:hyperlink w:anchor="page2">
              <w:r>
                <w:rPr>
                  <w:rFonts w:ascii="Arial" w:cs="Arial" w:eastAsia="Arial" w:hAnsi="Arial"/>
                  <w:sz w:val="10"/>
                  <w:szCs w:val="10"/>
                  <w:color w:val="0000EE"/>
                </w:rPr>
                <w:t>Table of Contents</w:t>
              </w:r>
            </w:hyperlink>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840" w:type="dxa"/>
            <w:vAlign w:val="bottom"/>
          </w:tcPr>
          <w:p>
            <w:pPr>
              <w:spacing w:after="0"/>
              <w:rPr>
                <w:sz w:val="10"/>
                <w:szCs w:val="10"/>
                <w:color w:val="auto"/>
              </w:rPr>
            </w:pPr>
          </w:p>
        </w:tc>
      </w:tr>
      <w:tr>
        <w:trPr>
          <w:trHeight w:val="277"/>
        </w:trPr>
        <w:tc>
          <w:tcPr>
            <w:tcW w:w="5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700" w:type="dxa"/>
            <w:vAlign w:val="bottom"/>
            <w:gridSpan w:val="6"/>
          </w:tcPr>
          <w:p>
            <w:pPr>
              <w:jc w:val="center"/>
              <w:ind w:right="3100"/>
              <w:spacing w:after="0"/>
              <w:rPr>
                <w:sz w:val="20"/>
                <w:szCs w:val="20"/>
                <w:color w:val="auto"/>
              </w:rPr>
            </w:pPr>
            <w:r>
              <w:rPr>
                <w:rFonts w:ascii="Arial" w:cs="Arial" w:eastAsia="Arial" w:hAnsi="Arial"/>
                <w:sz w:val="12"/>
                <w:szCs w:val="12"/>
                <w:b w:val="1"/>
                <w:bCs w:val="1"/>
                <w:color w:val="auto"/>
                <w:w w:val="98"/>
              </w:rPr>
              <w:t>TABLE OF CONTENTS</w:t>
            </w:r>
          </w:p>
        </w:tc>
        <w:tc>
          <w:tcPr>
            <w:tcW w:w="840" w:type="dxa"/>
            <w:vAlign w:val="bottom"/>
          </w:tcPr>
          <w:p>
            <w:pPr>
              <w:spacing w:after="0"/>
              <w:rPr>
                <w:sz w:val="24"/>
                <w:szCs w:val="24"/>
                <w:color w:val="auto"/>
              </w:rPr>
            </w:pPr>
          </w:p>
        </w:tc>
      </w:tr>
      <w:tr>
        <w:trPr>
          <w:trHeight w:val="275"/>
        </w:trPr>
        <w:tc>
          <w:tcPr>
            <w:tcW w:w="5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2540" w:type="dxa"/>
            <w:vAlign w:val="bottom"/>
          </w:tcPr>
          <w:p>
            <w:pPr>
              <w:spacing w:after="0"/>
              <w:rPr>
                <w:sz w:val="23"/>
                <w:szCs w:val="23"/>
                <w:color w:val="auto"/>
              </w:rPr>
            </w:pPr>
          </w:p>
        </w:tc>
        <w:tc>
          <w:tcPr>
            <w:tcW w:w="840" w:type="dxa"/>
            <w:vAlign w:val="bottom"/>
          </w:tcPr>
          <w:p>
            <w:pPr>
              <w:jc w:val="right"/>
              <w:ind w:right="260"/>
              <w:spacing w:after="0"/>
              <w:rPr>
                <w:sz w:val="20"/>
                <w:szCs w:val="20"/>
                <w:color w:val="auto"/>
              </w:rPr>
            </w:pPr>
            <w:r>
              <w:rPr>
                <w:rFonts w:ascii="Arial" w:cs="Arial" w:eastAsia="Arial" w:hAnsi="Arial"/>
                <w:sz w:val="12"/>
                <w:szCs w:val="12"/>
                <w:b w:val="1"/>
                <w:bCs w:val="1"/>
                <w:color w:val="auto"/>
              </w:rPr>
              <w:t>Page</w:t>
            </w:r>
          </w:p>
        </w:tc>
      </w:tr>
      <w:tr>
        <w:trPr>
          <w:trHeight w:val="157"/>
        </w:trPr>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84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b w:val="1"/>
                <w:bCs w:val="1"/>
                <w:color w:val="auto"/>
              </w:rPr>
              <w:t>Number</w:t>
            </w:r>
          </w:p>
        </w:tc>
      </w:tr>
      <w:tr>
        <w:trPr>
          <w:trHeight w:val="142"/>
        </w:trPr>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700" w:type="dxa"/>
            <w:vAlign w:val="bottom"/>
            <w:gridSpan w:val="6"/>
          </w:tcPr>
          <w:p>
            <w:pPr>
              <w:ind w:left="700"/>
              <w:spacing w:after="0"/>
              <w:rPr>
                <w:sz w:val="20"/>
                <w:szCs w:val="20"/>
                <w:color w:val="auto"/>
              </w:rPr>
            </w:pPr>
            <w:r>
              <w:rPr>
                <w:rFonts w:ascii="Arial" w:cs="Arial" w:eastAsia="Arial" w:hAnsi="Arial"/>
                <w:sz w:val="12"/>
                <w:szCs w:val="12"/>
                <w:b w:val="1"/>
                <w:bCs w:val="1"/>
                <w:color w:val="auto"/>
              </w:rPr>
              <w:t>PART I - FINANCIAL INFORMATION</w:t>
            </w:r>
          </w:p>
        </w:tc>
        <w:tc>
          <w:tcPr>
            <w:tcW w:w="840" w:type="dxa"/>
            <w:vAlign w:val="bottom"/>
          </w:tcPr>
          <w:p>
            <w:pPr>
              <w:spacing w:after="0"/>
              <w:rPr>
                <w:sz w:val="12"/>
                <w:szCs w:val="12"/>
                <w:color w:val="auto"/>
              </w:rPr>
            </w:pPr>
          </w:p>
        </w:tc>
      </w:tr>
      <w:tr>
        <w:trPr>
          <w:trHeight w:val="261"/>
        </w:trPr>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Item 1.</w:t>
            </w:r>
          </w:p>
        </w:tc>
        <w:tc>
          <w:tcPr>
            <w:tcW w:w="9820" w:type="dxa"/>
            <w:vAlign w:val="bottom"/>
            <w:gridSpan w:val="18"/>
          </w:tcPr>
          <w:p>
            <w:pPr>
              <w:spacing w:after="0"/>
              <w:rPr>
                <w:rFonts w:ascii="Arial" w:cs="Arial" w:eastAsia="Arial" w:hAnsi="Arial"/>
                <w:sz w:val="12"/>
                <w:szCs w:val="12"/>
                <w:b w:val="1"/>
                <w:bCs w:val="1"/>
                <w:color w:val="0000EE"/>
              </w:rPr>
            </w:pPr>
            <w:hyperlink w:anchor="page3">
              <w:r>
                <w:rPr>
                  <w:rFonts w:ascii="Arial" w:cs="Arial" w:eastAsia="Arial" w:hAnsi="Arial"/>
                  <w:sz w:val="12"/>
                  <w:szCs w:val="12"/>
                  <w:b w:val="1"/>
                  <w:bCs w:val="1"/>
                  <w:color w:val="0000EE"/>
                </w:rPr>
                <w:t>Financial Statements (Unaudited)</w:t>
              </w:r>
            </w:hyperlink>
          </w:p>
        </w:tc>
        <w:tc>
          <w:tcPr>
            <w:tcW w:w="840" w:type="dxa"/>
            <w:vAlign w:val="bottom"/>
          </w:tcPr>
          <w:p>
            <w:pPr>
              <w:spacing w:after="0"/>
              <w:rPr>
                <w:sz w:val="22"/>
                <w:szCs w:val="22"/>
                <w:color w:val="auto"/>
              </w:rPr>
            </w:pPr>
          </w:p>
        </w:tc>
      </w:tr>
      <w:tr>
        <w:trPr>
          <w:trHeight w:val="20"/>
        </w:trPr>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24"/>
        </w:trPr>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380" w:type="dxa"/>
            <w:vAlign w:val="bottom"/>
            <w:tcBorders>
              <w:bottom w:val="single" w:sz="8" w:color="0000EE"/>
            </w:tcBorders>
            <w:gridSpan w:val="13"/>
          </w:tcPr>
          <w:p>
            <w:pPr>
              <w:spacing w:after="0" w:line="124" w:lineRule="exact"/>
              <w:rPr>
                <w:rFonts w:ascii="Arial" w:cs="Arial" w:eastAsia="Arial" w:hAnsi="Arial"/>
                <w:sz w:val="12"/>
                <w:szCs w:val="12"/>
                <w:color w:val="0000EE"/>
                <w:w w:val="87"/>
              </w:rPr>
            </w:pPr>
            <w:hyperlink w:anchor="page3">
              <w:r>
                <w:rPr>
                  <w:rFonts w:ascii="Arial" w:cs="Arial" w:eastAsia="Arial" w:hAnsi="Arial"/>
                  <w:sz w:val="12"/>
                  <w:szCs w:val="12"/>
                  <w:color w:val="0000EE"/>
                  <w:w w:val="87"/>
                </w:rPr>
                <w:t>Condensed Consolidated Balance Sheets as of September 30, 2012 and December 31, 2011</w:t>
              </w:r>
            </w:hyperlink>
          </w:p>
        </w:tc>
        <w:tc>
          <w:tcPr>
            <w:tcW w:w="5220" w:type="dxa"/>
            <w:vAlign w:val="bottom"/>
            <w:gridSpan w:val="4"/>
          </w:tcPr>
          <w:p>
            <w:pPr>
              <w:spacing w:after="0"/>
              <w:rPr>
                <w:sz w:val="10"/>
                <w:szCs w:val="10"/>
                <w:color w:val="auto"/>
              </w:rPr>
            </w:pPr>
          </w:p>
        </w:tc>
        <w:tc>
          <w:tcPr>
            <w:tcW w:w="840" w:type="dxa"/>
            <w:vAlign w:val="bottom"/>
          </w:tcPr>
          <w:p>
            <w:pPr>
              <w:jc w:val="right"/>
              <w:spacing w:after="0" w:line="124" w:lineRule="exact"/>
              <w:rPr>
                <w:sz w:val="20"/>
                <w:szCs w:val="20"/>
                <w:color w:val="auto"/>
              </w:rPr>
            </w:pPr>
            <w:r>
              <w:rPr>
                <w:rFonts w:ascii="Arial" w:cs="Arial" w:eastAsia="Arial" w:hAnsi="Arial"/>
                <w:sz w:val="12"/>
                <w:szCs w:val="12"/>
                <w:color w:val="auto"/>
              </w:rPr>
              <w:t>3</w:t>
            </w:r>
          </w:p>
        </w:tc>
      </w:tr>
      <w:tr>
        <w:trPr>
          <w:trHeight w:val="124"/>
        </w:trPr>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760" w:type="dxa"/>
            <w:vAlign w:val="bottom"/>
            <w:tcBorders>
              <w:bottom w:val="single" w:sz="8" w:color="0000EE"/>
            </w:tcBorders>
            <w:gridSpan w:val="15"/>
          </w:tcPr>
          <w:p>
            <w:pPr>
              <w:spacing w:after="0" w:line="124" w:lineRule="exact"/>
              <w:rPr>
                <w:rFonts w:ascii="Arial" w:cs="Arial" w:eastAsia="Arial" w:hAnsi="Arial"/>
                <w:sz w:val="12"/>
                <w:szCs w:val="12"/>
                <w:color w:val="0000EE"/>
                <w:w w:val="89"/>
              </w:rPr>
            </w:pPr>
            <w:hyperlink w:anchor="page4">
              <w:r>
                <w:rPr>
                  <w:rFonts w:ascii="Arial" w:cs="Arial" w:eastAsia="Arial" w:hAnsi="Arial"/>
                  <w:sz w:val="12"/>
                  <w:szCs w:val="12"/>
                  <w:color w:val="0000EE"/>
                  <w:w w:val="89"/>
                </w:rPr>
                <w:t>Condensed Consolidated Statements of Operations for the Three and Nine Months Ended September 30, 2012 and 2011</w:t>
              </w:r>
            </w:hyperlink>
          </w:p>
        </w:tc>
        <w:tc>
          <w:tcPr>
            <w:tcW w:w="3840" w:type="dxa"/>
            <w:vAlign w:val="bottom"/>
            <w:gridSpan w:val="2"/>
          </w:tcPr>
          <w:p>
            <w:pPr>
              <w:spacing w:after="0"/>
              <w:rPr>
                <w:sz w:val="10"/>
                <w:szCs w:val="10"/>
                <w:color w:val="auto"/>
              </w:rPr>
            </w:pPr>
          </w:p>
        </w:tc>
        <w:tc>
          <w:tcPr>
            <w:tcW w:w="840" w:type="dxa"/>
            <w:vAlign w:val="bottom"/>
          </w:tcPr>
          <w:p>
            <w:pPr>
              <w:jc w:val="right"/>
              <w:spacing w:after="0" w:line="124" w:lineRule="exact"/>
              <w:rPr>
                <w:sz w:val="20"/>
                <w:szCs w:val="20"/>
                <w:color w:val="auto"/>
              </w:rPr>
            </w:pPr>
            <w:r>
              <w:rPr>
                <w:rFonts w:ascii="Arial" w:cs="Arial" w:eastAsia="Arial" w:hAnsi="Arial"/>
                <w:sz w:val="12"/>
                <w:szCs w:val="12"/>
                <w:color w:val="auto"/>
              </w:rPr>
              <w:t>4</w:t>
            </w:r>
          </w:p>
        </w:tc>
      </w:tr>
      <w:tr>
        <w:trPr>
          <w:trHeight w:val="124"/>
        </w:trPr>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60" w:type="dxa"/>
            <w:vAlign w:val="bottom"/>
            <w:tcBorders>
              <w:bottom w:val="single" w:sz="8" w:color="0000EE"/>
            </w:tcBorders>
            <w:gridSpan w:val="16"/>
          </w:tcPr>
          <w:p>
            <w:pPr>
              <w:spacing w:after="0" w:line="124" w:lineRule="exact"/>
              <w:rPr>
                <w:rFonts w:ascii="Arial" w:cs="Arial" w:eastAsia="Arial" w:hAnsi="Arial"/>
                <w:sz w:val="12"/>
                <w:szCs w:val="12"/>
                <w:color w:val="0000EE"/>
                <w:w w:val="89"/>
              </w:rPr>
            </w:pPr>
            <w:hyperlink w:anchor="page5">
              <w:r>
                <w:rPr>
                  <w:rFonts w:ascii="Arial" w:cs="Arial" w:eastAsia="Arial" w:hAnsi="Arial"/>
                  <w:sz w:val="12"/>
                  <w:szCs w:val="12"/>
                  <w:color w:val="0000EE"/>
                  <w:w w:val="89"/>
                </w:rPr>
                <w:t>Condensed Consolidated Statements of Comprehensive Income (Loss) for the Three Months and Nine Months ended September 30,2012 and 2011</w:t>
              </w:r>
            </w:hyperlink>
          </w:p>
        </w:tc>
        <w:tc>
          <w:tcPr>
            <w:tcW w:w="2540" w:type="dxa"/>
            <w:vAlign w:val="bottom"/>
          </w:tcPr>
          <w:p>
            <w:pPr>
              <w:spacing w:after="0"/>
              <w:rPr>
                <w:sz w:val="10"/>
                <w:szCs w:val="10"/>
                <w:color w:val="auto"/>
              </w:rPr>
            </w:pPr>
          </w:p>
        </w:tc>
        <w:tc>
          <w:tcPr>
            <w:tcW w:w="840" w:type="dxa"/>
            <w:vAlign w:val="bottom"/>
          </w:tcPr>
          <w:p>
            <w:pPr>
              <w:jc w:val="right"/>
              <w:spacing w:after="0" w:line="124" w:lineRule="exact"/>
              <w:rPr>
                <w:sz w:val="20"/>
                <w:szCs w:val="20"/>
                <w:color w:val="auto"/>
              </w:rPr>
            </w:pPr>
            <w:r>
              <w:rPr>
                <w:rFonts w:ascii="Arial" w:cs="Arial" w:eastAsia="Arial" w:hAnsi="Arial"/>
                <w:sz w:val="12"/>
                <w:szCs w:val="12"/>
                <w:color w:val="auto"/>
              </w:rPr>
              <w:t>5</w:t>
            </w:r>
          </w:p>
        </w:tc>
      </w:tr>
      <w:tr>
        <w:trPr>
          <w:trHeight w:val="124"/>
        </w:trPr>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0" w:type="dxa"/>
            <w:vAlign w:val="bottom"/>
            <w:gridSpan w:val="17"/>
          </w:tcPr>
          <w:p>
            <w:pPr>
              <w:spacing w:after="0" w:line="124" w:lineRule="exact"/>
              <w:rPr>
                <w:rFonts w:ascii="Arial" w:cs="Arial" w:eastAsia="Arial" w:hAnsi="Arial"/>
                <w:sz w:val="12"/>
                <w:szCs w:val="12"/>
                <w:color w:val="0000EE"/>
              </w:rPr>
            </w:pPr>
            <w:hyperlink w:anchor="page6">
              <w:r>
                <w:rPr>
                  <w:rFonts w:ascii="Arial" w:cs="Arial" w:eastAsia="Arial" w:hAnsi="Arial"/>
                  <w:sz w:val="12"/>
                  <w:szCs w:val="12"/>
                  <w:color w:val="0000EE"/>
                </w:rPr>
                <w:t>Condensed Consolidated Statements of Cash Flows for the Nine Months Ended September 30, 2012 and 2011</w:t>
              </w:r>
            </w:hyperlink>
          </w:p>
        </w:tc>
        <w:tc>
          <w:tcPr>
            <w:tcW w:w="840" w:type="dxa"/>
            <w:vAlign w:val="bottom"/>
          </w:tcPr>
          <w:p>
            <w:pPr>
              <w:jc w:val="right"/>
              <w:spacing w:after="0" w:line="124" w:lineRule="exact"/>
              <w:rPr>
                <w:sz w:val="20"/>
                <w:szCs w:val="20"/>
                <w:color w:val="auto"/>
              </w:rPr>
            </w:pPr>
            <w:r>
              <w:rPr>
                <w:rFonts w:ascii="Arial" w:cs="Arial" w:eastAsia="Arial" w:hAnsi="Arial"/>
                <w:sz w:val="12"/>
                <w:szCs w:val="12"/>
                <w:color w:val="auto"/>
              </w:rPr>
              <w:t>6</w:t>
            </w:r>
          </w:p>
        </w:tc>
      </w:tr>
      <w:tr>
        <w:trPr>
          <w:trHeight w:val="124"/>
        </w:trPr>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80" w:type="dxa"/>
            <w:vAlign w:val="bottom"/>
            <w:tcBorders>
              <w:top w:val="single" w:sz="8" w:color="0000EE"/>
            </w:tcBorders>
            <w:gridSpan w:val="14"/>
          </w:tcPr>
          <w:p>
            <w:pPr>
              <w:spacing w:after="0" w:line="124" w:lineRule="exact"/>
              <w:rPr>
                <w:rFonts w:ascii="Arial" w:cs="Arial" w:eastAsia="Arial" w:hAnsi="Arial"/>
                <w:sz w:val="12"/>
                <w:szCs w:val="12"/>
                <w:color w:val="0000EE"/>
              </w:rPr>
            </w:pPr>
            <w:hyperlink w:anchor="page7">
              <w:r>
                <w:rPr>
                  <w:rFonts w:ascii="Arial" w:cs="Arial" w:eastAsia="Arial" w:hAnsi="Arial"/>
                  <w:sz w:val="12"/>
                  <w:szCs w:val="12"/>
                  <w:color w:val="0000EE"/>
                </w:rPr>
                <w:t>Notes to Condensed Consolidated Financial Statements</w:t>
              </w:r>
            </w:hyperlink>
          </w:p>
        </w:tc>
        <w:tc>
          <w:tcPr>
            <w:tcW w:w="4320" w:type="dxa"/>
            <w:vAlign w:val="bottom"/>
            <w:gridSpan w:val="3"/>
          </w:tcPr>
          <w:p>
            <w:pPr>
              <w:spacing w:after="0"/>
              <w:rPr>
                <w:sz w:val="10"/>
                <w:szCs w:val="10"/>
                <w:color w:val="auto"/>
              </w:rPr>
            </w:pPr>
          </w:p>
        </w:tc>
        <w:tc>
          <w:tcPr>
            <w:tcW w:w="840" w:type="dxa"/>
            <w:vAlign w:val="bottom"/>
          </w:tcPr>
          <w:p>
            <w:pPr>
              <w:jc w:val="right"/>
              <w:spacing w:after="0" w:line="124" w:lineRule="exact"/>
              <w:rPr>
                <w:sz w:val="20"/>
                <w:szCs w:val="20"/>
                <w:color w:val="auto"/>
              </w:rPr>
            </w:pPr>
            <w:r>
              <w:rPr>
                <w:rFonts w:ascii="Arial" w:cs="Arial" w:eastAsia="Arial" w:hAnsi="Arial"/>
                <w:sz w:val="12"/>
                <w:szCs w:val="12"/>
                <w:color w:val="auto"/>
              </w:rPr>
              <w:t>7</w:t>
            </w:r>
          </w:p>
        </w:tc>
      </w:tr>
      <w:tr>
        <w:trPr>
          <w:trHeight w:val="20"/>
        </w:trPr>
        <w:tc>
          <w:tcPr>
            <w:tcW w:w="5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260" w:type="dxa"/>
            <w:vAlign w:val="bottom"/>
            <w:gridSpan w:val="5"/>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24"/>
        </w:trPr>
        <w:tc>
          <w:tcPr>
            <w:tcW w:w="820" w:type="dxa"/>
            <w:vAlign w:val="bottom"/>
            <w:gridSpan w:val="3"/>
          </w:tcPr>
          <w:p>
            <w:pPr>
              <w:spacing w:after="0" w:line="124" w:lineRule="exact"/>
              <w:rPr>
                <w:sz w:val="20"/>
                <w:szCs w:val="20"/>
                <w:color w:val="auto"/>
              </w:rPr>
            </w:pPr>
            <w:r>
              <w:rPr>
                <w:rFonts w:ascii="Arial" w:cs="Arial" w:eastAsia="Arial" w:hAnsi="Arial"/>
                <w:sz w:val="12"/>
                <w:szCs w:val="12"/>
                <w:b w:val="1"/>
                <w:bCs w:val="1"/>
                <w:color w:val="auto"/>
              </w:rPr>
              <w:t>Item 2.</w:t>
            </w:r>
          </w:p>
        </w:tc>
        <w:tc>
          <w:tcPr>
            <w:tcW w:w="4560" w:type="dxa"/>
            <w:vAlign w:val="bottom"/>
            <w:tcBorders>
              <w:bottom w:val="single" w:sz="8" w:color="0000EE"/>
            </w:tcBorders>
            <w:gridSpan w:val="13"/>
          </w:tcPr>
          <w:p>
            <w:pPr>
              <w:spacing w:after="0" w:line="124" w:lineRule="exact"/>
              <w:rPr>
                <w:rFonts w:ascii="Arial" w:cs="Arial" w:eastAsia="Arial" w:hAnsi="Arial"/>
                <w:sz w:val="12"/>
                <w:szCs w:val="12"/>
                <w:b w:val="1"/>
                <w:bCs w:val="1"/>
                <w:color w:val="0000EE"/>
                <w:w w:val="88"/>
              </w:rPr>
            </w:pPr>
            <w:hyperlink w:anchor="page19">
              <w:r>
                <w:rPr>
                  <w:rFonts w:ascii="Arial" w:cs="Arial" w:eastAsia="Arial" w:hAnsi="Arial"/>
                  <w:sz w:val="12"/>
                  <w:szCs w:val="12"/>
                  <w:b w:val="1"/>
                  <w:bCs w:val="1"/>
                  <w:color w:val="0000EE"/>
                  <w:w w:val="88"/>
                </w:rPr>
                <w:t>Management’s Discussion and Analysis of Financial Condition and Results of Operations</w:t>
              </w:r>
            </w:hyperlink>
          </w:p>
        </w:tc>
        <w:tc>
          <w:tcPr>
            <w:tcW w:w="5260" w:type="dxa"/>
            <w:vAlign w:val="bottom"/>
            <w:gridSpan w:val="5"/>
          </w:tcPr>
          <w:p>
            <w:pPr>
              <w:spacing w:after="0"/>
              <w:rPr>
                <w:sz w:val="10"/>
                <w:szCs w:val="10"/>
                <w:color w:val="auto"/>
              </w:rPr>
            </w:pPr>
          </w:p>
        </w:tc>
        <w:tc>
          <w:tcPr>
            <w:tcW w:w="840" w:type="dxa"/>
            <w:vAlign w:val="bottom"/>
          </w:tcPr>
          <w:p>
            <w:pPr>
              <w:jc w:val="right"/>
              <w:spacing w:after="0" w:line="124" w:lineRule="exact"/>
              <w:rPr>
                <w:sz w:val="20"/>
                <w:szCs w:val="20"/>
                <w:color w:val="auto"/>
              </w:rPr>
            </w:pPr>
            <w:r>
              <w:rPr>
                <w:rFonts w:ascii="Arial" w:cs="Arial" w:eastAsia="Arial" w:hAnsi="Arial"/>
                <w:sz w:val="12"/>
                <w:szCs w:val="12"/>
                <w:color w:val="auto"/>
              </w:rPr>
              <w:t>19</w:t>
            </w:r>
          </w:p>
        </w:tc>
      </w:tr>
      <w:tr>
        <w:trPr>
          <w:trHeight w:val="124"/>
        </w:trPr>
        <w:tc>
          <w:tcPr>
            <w:tcW w:w="820" w:type="dxa"/>
            <w:vAlign w:val="bottom"/>
            <w:gridSpan w:val="3"/>
          </w:tcPr>
          <w:p>
            <w:pPr>
              <w:spacing w:after="0" w:line="124" w:lineRule="exact"/>
              <w:rPr>
                <w:sz w:val="20"/>
                <w:szCs w:val="20"/>
                <w:color w:val="auto"/>
              </w:rPr>
            </w:pPr>
            <w:r>
              <w:rPr>
                <w:rFonts w:ascii="Arial" w:cs="Arial" w:eastAsia="Arial" w:hAnsi="Arial"/>
                <w:sz w:val="12"/>
                <w:szCs w:val="12"/>
                <w:b w:val="1"/>
                <w:bCs w:val="1"/>
                <w:color w:val="auto"/>
              </w:rPr>
              <w:t>Item 3.</w:t>
            </w:r>
          </w:p>
        </w:tc>
        <w:tc>
          <w:tcPr>
            <w:tcW w:w="3120" w:type="dxa"/>
            <w:vAlign w:val="bottom"/>
            <w:tcBorders>
              <w:bottom w:val="single" w:sz="8" w:color="0000EE"/>
            </w:tcBorders>
            <w:gridSpan w:val="12"/>
          </w:tcPr>
          <w:p>
            <w:pPr>
              <w:spacing w:after="0" w:line="124" w:lineRule="exact"/>
              <w:rPr>
                <w:rFonts w:ascii="Arial" w:cs="Arial" w:eastAsia="Arial" w:hAnsi="Arial"/>
                <w:sz w:val="12"/>
                <w:szCs w:val="12"/>
                <w:b w:val="1"/>
                <w:bCs w:val="1"/>
                <w:color w:val="0000EE"/>
                <w:w w:val="91"/>
              </w:rPr>
            </w:pPr>
            <w:hyperlink w:anchor="page23">
              <w:r>
                <w:rPr>
                  <w:rFonts w:ascii="Arial" w:cs="Arial" w:eastAsia="Arial" w:hAnsi="Arial"/>
                  <w:sz w:val="12"/>
                  <w:szCs w:val="12"/>
                  <w:b w:val="1"/>
                  <w:bCs w:val="1"/>
                  <w:color w:val="0000EE"/>
                  <w:w w:val="91"/>
                </w:rPr>
                <w:t>Quantitative and Qualitative Disclosures About Market Risk</w:t>
              </w:r>
            </w:hyperlink>
          </w:p>
        </w:tc>
        <w:tc>
          <w:tcPr>
            <w:tcW w:w="6700" w:type="dxa"/>
            <w:vAlign w:val="bottom"/>
            <w:gridSpan w:val="6"/>
          </w:tcPr>
          <w:p>
            <w:pPr>
              <w:spacing w:after="0"/>
              <w:rPr>
                <w:sz w:val="10"/>
                <w:szCs w:val="10"/>
                <w:color w:val="auto"/>
              </w:rPr>
            </w:pPr>
          </w:p>
        </w:tc>
        <w:tc>
          <w:tcPr>
            <w:tcW w:w="840" w:type="dxa"/>
            <w:vAlign w:val="bottom"/>
          </w:tcPr>
          <w:p>
            <w:pPr>
              <w:jc w:val="right"/>
              <w:spacing w:after="0" w:line="124" w:lineRule="exact"/>
              <w:rPr>
                <w:sz w:val="20"/>
                <w:szCs w:val="20"/>
                <w:color w:val="auto"/>
              </w:rPr>
            </w:pPr>
            <w:r>
              <w:rPr>
                <w:rFonts w:ascii="Arial" w:cs="Arial" w:eastAsia="Arial" w:hAnsi="Arial"/>
                <w:sz w:val="12"/>
                <w:szCs w:val="12"/>
                <w:color w:val="auto"/>
              </w:rPr>
              <w:t>23</w:t>
            </w:r>
          </w:p>
        </w:tc>
      </w:tr>
      <w:tr>
        <w:trPr>
          <w:trHeight w:val="124"/>
        </w:trPr>
        <w:tc>
          <w:tcPr>
            <w:tcW w:w="820" w:type="dxa"/>
            <w:vAlign w:val="bottom"/>
            <w:gridSpan w:val="3"/>
          </w:tcPr>
          <w:p>
            <w:pPr>
              <w:spacing w:after="0" w:line="124" w:lineRule="exact"/>
              <w:rPr>
                <w:sz w:val="20"/>
                <w:szCs w:val="20"/>
                <w:color w:val="auto"/>
              </w:rPr>
            </w:pPr>
            <w:r>
              <w:rPr>
                <w:rFonts w:ascii="Arial" w:cs="Arial" w:eastAsia="Arial" w:hAnsi="Arial"/>
                <w:sz w:val="12"/>
                <w:szCs w:val="12"/>
                <w:b w:val="1"/>
                <w:bCs w:val="1"/>
                <w:color w:val="auto"/>
              </w:rPr>
              <w:t>Item 4.</w:t>
            </w:r>
          </w:p>
        </w:tc>
        <w:tc>
          <w:tcPr>
            <w:tcW w:w="9820" w:type="dxa"/>
            <w:vAlign w:val="bottom"/>
            <w:gridSpan w:val="18"/>
          </w:tcPr>
          <w:p>
            <w:pPr>
              <w:spacing w:after="0" w:line="124" w:lineRule="exact"/>
              <w:rPr>
                <w:rFonts w:ascii="Arial" w:cs="Arial" w:eastAsia="Arial" w:hAnsi="Arial"/>
                <w:sz w:val="12"/>
                <w:szCs w:val="12"/>
                <w:b w:val="1"/>
                <w:bCs w:val="1"/>
                <w:color w:val="0000EE"/>
              </w:rPr>
            </w:pPr>
            <w:hyperlink w:anchor="page23">
              <w:r>
                <w:rPr>
                  <w:rFonts w:ascii="Arial" w:cs="Arial" w:eastAsia="Arial" w:hAnsi="Arial"/>
                  <w:sz w:val="12"/>
                  <w:szCs w:val="12"/>
                  <w:b w:val="1"/>
                  <w:bCs w:val="1"/>
                  <w:color w:val="0000EE"/>
                </w:rPr>
                <w:t>Controls and Procedures</w:t>
              </w:r>
            </w:hyperlink>
          </w:p>
        </w:tc>
        <w:tc>
          <w:tcPr>
            <w:tcW w:w="840" w:type="dxa"/>
            <w:vAlign w:val="bottom"/>
          </w:tcPr>
          <w:p>
            <w:pPr>
              <w:jc w:val="right"/>
              <w:spacing w:after="0" w:line="124" w:lineRule="exact"/>
              <w:rPr>
                <w:sz w:val="20"/>
                <w:szCs w:val="20"/>
                <w:color w:val="auto"/>
              </w:rPr>
            </w:pPr>
            <w:r>
              <w:rPr>
                <w:rFonts w:ascii="Arial" w:cs="Arial" w:eastAsia="Arial" w:hAnsi="Arial"/>
                <w:sz w:val="12"/>
                <w:szCs w:val="12"/>
                <w:color w:val="auto"/>
              </w:rPr>
              <w:t>23</w:t>
            </w:r>
          </w:p>
        </w:tc>
      </w:tr>
      <w:tr>
        <w:trPr>
          <w:trHeight w:val="295"/>
        </w:trPr>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700" w:type="dxa"/>
            <w:vAlign w:val="bottom"/>
            <w:gridSpan w:val="6"/>
          </w:tcPr>
          <w:p>
            <w:pPr>
              <w:jc w:val="center"/>
              <w:ind w:right="3100"/>
              <w:spacing w:after="0"/>
              <w:rPr>
                <w:sz w:val="20"/>
                <w:szCs w:val="20"/>
                <w:color w:val="auto"/>
              </w:rPr>
            </w:pPr>
            <w:r>
              <w:rPr>
                <w:rFonts w:ascii="Arial" w:cs="Arial" w:eastAsia="Arial" w:hAnsi="Arial"/>
                <w:sz w:val="12"/>
                <w:szCs w:val="12"/>
                <w:b w:val="1"/>
                <w:bCs w:val="1"/>
                <w:color w:val="auto"/>
              </w:rPr>
              <w:t>PART II - OTHER INFORMATION</w:t>
            </w:r>
          </w:p>
        </w:tc>
        <w:tc>
          <w:tcPr>
            <w:tcW w:w="840" w:type="dxa"/>
            <w:vAlign w:val="bottom"/>
          </w:tcPr>
          <w:p>
            <w:pPr>
              <w:spacing w:after="0"/>
              <w:rPr>
                <w:sz w:val="24"/>
                <w:szCs w:val="24"/>
                <w:color w:val="auto"/>
              </w:rPr>
            </w:pPr>
          </w:p>
        </w:tc>
      </w:tr>
      <w:tr>
        <w:trPr>
          <w:trHeight w:val="261"/>
        </w:trPr>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Item 1.</w:t>
            </w:r>
          </w:p>
        </w:tc>
        <w:tc>
          <w:tcPr>
            <w:tcW w:w="940" w:type="dxa"/>
            <w:vAlign w:val="bottom"/>
            <w:tcBorders>
              <w:bottom w:val="single" w:sz="8" w:color="0000EE"/>
            </w:tcBorders>
            <w:gridSpan w:val="4"/>
          </w:tcPr>
          <w:p>
            <w:pPr>
              <w:spacing w:after="0"/>
              <w:rPr>
                <w:rFonts w:ascii="Arial" w:cs="Arial" w:eastAsia="Arial" w:hAnsi="Arial"/>
                <w:sz w:val="12"/>
                <w:szCs w:val="12"/>
                <w:b w:val="1"/>
                <w:bCs w:val="1"/>
                <w:color w:val="0000EE"/>
                <w:w w:val="86"/>
              </w:rPr>
            </w:pPr>
            <w:hyperlink w:anchor="page24">
              <w:r>
                <w:rPr>
                  <w:rFonts w:ascii="Arial" w:cs="Arial" w:eastAsia="Arial" w:hAnsi="Arial"/>
                  <w:sz w:val="12"/>
                  <w:szCs w:val="12"/>
                  <w:b w:val="1"/>
                  <w:bCs w:val="1"/>
                  <w:color w:val="0000EE"/>
                  <w:w w:val="86"/>
                </w:rPr>
                <w:t>Legal Proceedings</w:t>
              </w:r>
            </w:hyperlink>
          </w:p>
        </w:tc>
        <w:tc>
          <w:tcPr>
            <w:tcW w:w="8880" w:type="dxa"/>
            <w:vAlign w:val="bottom"/>
            <w:gridSpan w:val="14"/>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24</w:t>
            </w:r>
          </w:p>
        </w:tc>
      </w:tr>
      <w:tr>
        <w:trPr>
          <w:trHeight w:val="124"/>
        </w:trPr>
        <w:tc>
          <w:tcPr>
            <w:tcW w:w="820" w:type="dxa"/>
            <w:vAlign w:val="bottom"/>
            <w:gridSpan w:val="3"/>
          </w:tcPr>
          <w:p>
            <w:pPr>
              <w:spacing w:after="0" w:line="124" w:lineRule="exact"/>
              <w:rPr>
                <w:sz w:val="20"/>
                <w:szCs w:val="20"/>
                <w:color w:val="auto"/>
              </w:rPr>
            </w:pPr>
            <w:r>
              <w:rPr>
                <w:rFonts w:ascii="Arial" w:cs="Arial" w:eastAsia="Arial" w:hAnsi="Arial"/>
                <w:sz w:val="12"/>
                <w:szCs w:val="12"/>
                <w:b w:val="1"/>
                <w:bCs w:val="1"/>
                <w:color w:val="auto"/>
              </w:rPr>
              <w:t>Item 1A.</w:t>
            </w:r>
          </w:p>
        </w:tc>
        <w:tc>
          <w:tcPr>
            <w:tcW w:w="660" w:type="dxa"/>
            <w:vAlign w:val="bottom"/>
            <w:tcBorders>
              <w:bottom w:val="single" w:sz="8" w:color="0000EE"/>
            </w:tcBorders>
            <w:gridSpan w:val="3"/>
          </w:tcPr>
          <w:p>
            <w:pPr>
              <w:spacing w:after="0" w:line="124" w:lineRule="exact"/>
              <w:rPr>
                <w:rFonts w:ascii="Arial" w:cs="Arial" w:eastAsia="Arial" w:hAnsi="Arial"/>
                <w:sz w:val="12"/>
                <w:szCs w:val="12"/>
                <w:b w:val="1"/>
                <w:bCs w:val="1"/>
                <w:color w:val="0000EE"/>
                <w:w w:val="88"/>
              </w:rPr>
            </w:pPr>
            <w:hyperlink w:anchor="page24">
              <w:r>
                <w:rPr>
                  <w:rFonts w:ascii="Arial" w:cs="Arial" w:eastAsia="Arial" w:hAnsi="Arial"/>
                  <w:sz w:val="12"/>
                  <w:szCs w:val="12"/>
                  <w:b w:val="1"/>
                  <w:bCs w:val="1"/>
                  <w:color w:val="0000EE"/>
                  <w:w w:val="88"/>
                </w:rPr>
                <w:t>Risk Factors</w:t>
              </w:r>
            </w:hyperlink>
          </w:p>
        </w:tc>
        <w:tc>
          <w:tcPr>
            <w:tcW w:w="9160" w:type="dxa"/>
            <w:vAlign w:val="bottom"/>
            <w:gridSpan w:val="15"/>
          </w:tcPr>
          <w:p>
            <w:pPr>
              <w:spacing w:after="0"/>
              <w:rPr>
                <w:sz w:val="10"/>
                <w:szCs w:val="10"/>
                <w:color w:val="auto"/>
              </w:rPr>
            </w:pPr>
          </w:p>
        </w:tc>
        <w:tc>
          <w:tcPr>
            <w:tcW w:w="840" w:type="dxa"/>
            <w:vAlign w:val="bottom"/>
          </w:tcPr>
          <w:p>
            <w:pPr>
              <w:jc w:val="right"/>
              <w:spacing w:after="0" w:line="124" w:lineRule="exact"/>
              <w:rPr>
                <w:sz w:val="20"/>
                <w:szCs w:val="20"/>
                <w:color w:val="auto"/>
              </w:rPr>
            </w:pPr>
            <w:r>
              <w:rPr>
                <w:rFonts w:ascii="Arial" w:cs="Arial" w:eastAsia="Arial" w:hAnsi="Arial"/>
                <w:sz w:val="12"/>
                <w:szCs w:val="12"/>
                <w:color w:val="auto"/>
              </w:rPr>
              <w:t>24</w:t>
            </w:r>
          </w:p>
        </w:tc>
      </w:tr>
      <w:tr>
        <w:trPr>
          <w:trHeight w:val="124"/>
        </w:trPr>
        <w:tc>
          <w:tcPr>
            <w:tcW w:w="820" w:type="dxa"/>
            <w:vAlign w:val="bottom"/>
            <w:gridSpan w:val="3"/>
          </w:tcPr>
          <w:p>
            <w:pPr>
              <w:spacing w:after="0" w:line="124" w:lineRule="exact"/>
              <w:rPr>
                <w:sz w:val="20"/>
                <w:szCs w:val="20"/>
                <w:color w:val="auto"/>
              </w:rPr>
            </w:pPr>
            <w:r>
              <w:rPr>
                <w:rFonts w:ascii="Arial" w:cs="Arial" w:eastAsia="Arial" w:hAnsi="Arial"/>
                <w:sz w:val="12"/>
                <w:szCs w:val="12"/>
                <w:b w:val="1"/>
                <w:bCs w:val="1"/>
                <w:color w:val="auto"/>
              </w:rPr>
              <w:t>Item 2.</w:t>
            </w:r>
          </w:p>
        </w:tc>
        <w:tc>
          <w:tcPr>
            <w:tcW w:w="9820" w:type="dxa"/>
            <w:vAlign w:val="bottom"/>
            <w:gridSpan w:val="18"/>
          </w:tcPr>
          <w:p>
            <w:pPr>
              <w:spacing w:after="0" w:line="124" w:lineRule="exact"/>
              <w:rPr>
                <w:rFonts w:ascii="Arial" w:cs="Arial" w:eastAsia="Arial" w:hAnsi="Arial"/>
                <w:sz w:val="12"/>
                <w:szCs w:val="12"/>
                <w:b w:val="1"/>
                <w:bCs w:val="1"/>
                <w:color w:val="0000EE"/>
              </w:rPr>
            </w:pPr>
            <w:hyperlink w:anchor="page24">
              <w:r>
                <w:rPr>
                  <w:rFonts w:ascii="Arial" w:cs="Arial" w:eastAsia="Arial" w:hAnsi="Arial"/>
                  <w:sz w:val="12"/>
                  <w:szCs w:val="12"/>
                  <w:b w:val="1"/>
                  <w:bCs w:val="1"/>
                  <w:color w:val="0000EE"/>
                </w:rPr>
                <w:t>Unregistered Sales of Equity Securities and Use of Proceeds</w:t>
              </w:r>
            </w:hyperlink>
          </w:p>
        </w:tc>
        <w:tc>
          <w:tcPr>
            <w:tcW w:w="840" w:type="dxa"/>
            <w:vAlign w:val="bottom"/>
          </w:tcPr>
          <w:p>
            <w:pPr>
              <w:jc w:val="right"/>
              <w:spacing w:after="0" w:line="124" w:lineRule="exact"/>
              <w:rPr>
                <w:sz w:val="20"/>
                <w:szCs w:val="20"/>
                <w:color w:val="auto"/>
              </w:rPr>
            </w:pPr>
            <w:r>
              <w:rPr>
                <w:rFonts w:ascii="Arial" w:cs="Arial" w:eastAsia="Arial" w:hAnsi="Arial"/>
                <w:sz w:val="12"/>
                <w:szCs w:val="12"/>
                <w:color w:val="auto"/>
              </w:rPr>
              <w:t>24</w:t>
            </w:r>
          </w:p>
        </w:tc>
      </w:tr>
      <w:tr>
        <w:trPr>
          <w:trHeight w:val="124"/>
        </w:trPr>
        <w:tc>
          <w:tcPr>
            <w:tcW w:w="820" w:type="dxa"/>
            <w:vAlign w:val="bottom"/>
            <w:gridSpan w:val="3"/>
          </w:tcPr>
          <w:p>
            <w:pPr>
              <w:spacing w:after="0" w:line="124" w:lineRule="exact"/>
              <w:rPr>
                <w:sz w:val="20"/>
                <w:szCs w:val="20"/>
                <w:color w:val="auto"/>
              </w:rPr>
            </w:pPr>
            <w:r>
              <w:rPr>
                <w:rFonts w:ascii="Arial" w:cs="Arial" w:eastAsia="Arial" w:hAnsi="Arial"/>
                <w:sz w:val="12"/>
                <w:szCs w:val="12"/>
                <w:b w:val="1"/>
                <w:bCs w:val="1"/>
                <w:color w:val="auto"/>
              </w:rPr>
              <w:t>Item 3.</w:t>
            </w:r>
          </w:p>
        </w:tc>
        <w:tc>
          <w:tcPr>
            <w:tcW w:w="1620" w:type="dxa"/>
            <w:vAlign w:val="bottom"/>
            <w:tcBorders>
              <w:top w:val="single" w:sz="8" w:color="0000EE"/>
              <w:bottom w:val="single" w:sz="8" w:color="0000EE"/>
            </w:tcBorders>
            <w:gridSpan w:val="7"/>
          </w:tcPr>
          <w:p>
            <w:pPr>
              <w:spacing w:after="0" w:line="124" w:lineRule="exact"/>
              <w:rPr>
                <w:rFonts w:ascii="Arial" w:cs="Arial" w:eastAsia="Arial" w:hAnsi="Arial"/>
                <w:sz w:val="12"/>
                <w:szCs w:val="12"/>
                <w:b w:val="1"/>
                <w:bCs w:val="1"/>
                <w:color w:val="0000EE"/>
                <w:w w:val="88"/>
              </w:rPr>
            </w:pPr>
            <w:hyperlink w:anchor="page24">
              <w:r>
                <w:rPr>
                  <w:rFonts w:ascii="Arial" w:cs="Arial" w:eastAsia="Arial" w:hAnsi="Arial"/>
                  <w:sz w:val="12"/>
                  <w:szCs w:val="12"/>
                  <w:b w:val="1"/>
                  <w:bCs w:val="1"/>
                  <w:color w:val="0000EE"/>
                  <w:w w:val="88"/>
                </w:rPr>
                <w:t>Defaults upon Senior Securities</w:t>
              </w:r>
            </w:hyperlink>
          </w:p>
        </w:tc>
        <w:tc>
          <w:tcPr>
            <w:tcW w:w="1420" w:type="dxa"/>
            <w:vAlign w:val="bottom"/>
            <w:tcBorders>
              <w:top w:val="single" w:sz="8" w:color="0000EE"/>
            </w:tcBorders>
            <w:gridSpan w:val="4"/>
          </w:tcPr>
          <w:p>
            <w:pPr>
              <w:spacing w:after="0"/>
              <w:rPr>
                <w:sz w:val="10"/>
                <w:szCs w:val="10"/>
                <w:color w:val="auto"/>
              </w:rPr>
            </w:pPr>
          </w:p>
        </w:tc>
        <w:tc>
          <w:tcPr>
            <w:tcW w:w="6780" w:type="dxa"/>
            <w:vAlign w:val="bottom"/>
            <w:gridSpan w:val="7"/>
          </w:tcPr>
          <w:p>
            <w:pPr>
              <w:spacing w:after="0"/>
              <w:rPr>
                <w:sz w:val="10"/>
                <w:szCs w:val="10"/>
                <w:color w:val="auto"/>
              </w:rPr>
            </w:pPr>
          </w:p>
        </w:tc>
        <w:tc>
          <w:tcPr>
            <w:tcW w:w="840" w:type="dxa"/>
            <w:vAlign w:val="bottom"/>
          </w:tcPr>
          <w:p>
            <w:pPr>
              <w:jc w:val="right"/>
              <w:spacing w:after="0" w:line="124" w:lineRule="exact"/>
              <w:rPr>
                <w:sz w:val="20"/>
                <w:szCs w:val="20"/>
                <w:color w:val="auto"/>
              </w:rPr>
            </w:pPr>
            <w:r>
              <w:rPr>
                <w:rFonts w:ascii="Arial" w:cs="Arial" w:eastAsia="Arial" w:hAnsi="Arial"/>
                <w:sz w:val="12"/>
                <w:szCs w:val="12"/>
                <w:color w:val="auto"/>
              </w:rPr>
              <w:t>24</w:t>
            </w:r>
          </w:p>
        </w:tc>
      </w:tr>
      <w:tr>
        <w:trPr>
          <w:trHeight w:val="124"/>
        </w:trPr>
        <w:tc>
          <w:tcPr>
            <w:tcW w:w="820" w:type="dxa"/>
            <w:vAlign w:val="bottom"/>
            <w:gridSpan w:val="3"/>
          </w:tcPr>
          <w:p>
            <w:pPr>
              <w:spacing w:after="0" w:line="124" w:lineRule="exact"/>
              <w:rPr>
                <w:sz w:val="20"/>
                <w:szCs w:val="20"/>
                <w:color w:val="auto"/>
              </w:rPr>
            </w:pPr>
            <w:r>
              <w:rPr>
                <w:rFonts w:ascii="Arial" w:cs="Arial" w:eastAsia="Arial" w:hAnsi="Arial"/>
                <w:sz w:val="12"/>
                <w:szCs w:val="12"/>
                <w:b w:val="1"/>
                <w:bCs w:val="1"/>
                <w:color w:val="auto"/>
              </w:rPr>
              <w:t>Item 4.</w:t>
            </w:r>
          </w:p>
        </w:tc>
        <w:tc>
          <w:tcPr>
            <w:tcW w:w="2660" w:type="dxa"/>
            <w:vAlign w:val="bottom"/>
            <w:tcBorders>
              <w:bottom w:val="single" w:sz="8" w:color="0000EE"/>
            </w:tcBorders>
            <w:gridSpan w:val="9"/>
          </w:tcPr>
          <w:p>
            <w:pPr>
              <w:spacing w:after="0" w:line="124" w:lineRule="exact"/>
              <w:rPr>
                <w:rFonts w:ascii="Arial" w:cs="Arial" w:eastAsia="Arial" w:hAnsi="Arial"/>
                <w:sz w:val="12"/>
                <w:szCs w:val="12"/>
                <w:b w:val="1"/>
                <w:bCs w:val="1"/>
                <w:color w:val="0000EE"/>
                <w:w w:val="89"/>
              </w:rPr>
            </w:pPr>
            <w:hyperlink w:anchor="page24">
              <w:r>
                <w:rPr>
                  <w:rFonts w:ascii="Arial" w:cs="Arial" w:eastAsia="Arial" w:hAnsi="Arial"/>
                  <w:sz w:val="12"/>
                  <w:szCs w:val="12"/>
                  <w:b w:val="1"/>
                  <w:bCs w:val="1"/>
                  <w:color w:val="0000EE"/>
                  <w:w w:val="89"/>
                </w:rPr>
                <w:t>Submission of Matters to a Vote of Security Holders</w:t>
              </w:r>
            </w:hyperlink>
          </w:p>
        </w:tc>
        <w:tc>
          <w:tcPr>
            <w:tcW w:w="7160" w:type="dxa"/>
            <w:vAlign w:val="bottom"/>
            <w:gridSpan w:val="9"/>
          </w:tcPr>
          <w:p>
            <w:pPr>
              <w:spacing w:after="0"/>
              <w:rPr>
                <w:sz w:val="10"/>
                <w:szCs w:val="10"/>
                <w:color w:val="auto"/>
              </w:rPr>
            </w:pPr>
          </w:p>
        </w:tc>
        <w:tc>
          <w:tcPr>
            <w:tcW w:w="840" w:type="dxa"/>
            <w:vAlign w:val="bottom"/>
          </w:tcPr>
          <w:p>
            <w:pPr>
              <w:jc w:val="right"/>
              <w:spacing w:after="0" w:line="124" w:lineRule="exact"/>
              <w:rPr>
                <w:sz w:val="20"/>
                <w:szCs w:val="20"/>
                <w:color w:val="auto"/>
              </w:rPr>
            </w:pPr>
            <w:r>
              <w:rPr>
                <w:rFonts w:ascii="Arial" w:cs="Arial" w:eastAsia="Arial" w:hAnsi="Arial"/>
                <w:sz w:val="12"/>
                <w:szCs w:val="12"/>
                <w:color w:val="auto"/>
              </w:rPr>
              <w:t>24</w:t>
            </w:r>
          </w:p>
        </w:tc>
      </w:tr>
      <w:tr>
        <w:trPr>
          <w:trHeight w:val="124"/>
        </w:trPr>
        <w:tc>
          <w:tcPr>
            <w:tcW w:w="820" w:type="dxa"/>
            <w:vAlign w:val="bottom"/>
            <w:gridSpan w:val="3"/>
          </w:tcPr>
          <w:p>
            <w:pPr>
              <w:spacing w:after="0" w:line="124" w:lineRule="exact"/>
              <w:rPr>
                <w:sz w:val="20"/>
                <w:szCs w:val="20"/>
                <w:color w:val="auto"/>
              </w:rPr>
            </w:pPr>
            <w:r>
              <w:rPr>
                <w:rFonts w:ascii="Arial" w:cs="Arial" w:eastAsia="Arial" w:hAnsi="Arial"/>
                <w:sz w:val="12"/>
                <w:szCs w:val="12"/>
                <w:b w:val="1"/>
                <w:bCs w:val="1"/>
                <w:color w:val="auto"/>
              </w:rPr>
              <w:t>Item 5.</w:t>
            </w:r>
          </w:p>
        </w:tc>
        <w:tc>
          <w:tcPr>
            <w:tcW w:w="9820" w:type="dxa"/>
            <w:vAlign w:val="bottom"/>
            <w:gridSpan w:val="18"/>
          </w:tcPr>
          <w:p>
            <w:pPr>
              <w:spacing w:after="0" w:line="124" w:lineRule="exact"/>
              <w:rPr>
                <w:rFonts w:ascii="Arial" w:cs="Arial" w:eastAsia="Arial" w:hAnsi="Arial"/>
                <w:sz w:val="12"/>
                <w:szCs w:val="12"/>
                <w:b w:val="1"/>
                <w:bCs w:val="1"/>
                <w:color w:val="0000EE"/>
              </w:rPr>
            </w:pPr>
            <w:hyperlink w:anchor="page24">
              <w:r>
                <w:rPr>
                  <w:rFonts w:ascii="Arial" w:cs="Arial" w:eastAsia="Arial" w:hAnsi="Arial"/>
                  <w:sz w:val="12"/>
                  <w:szCs w:val="12"/>
                  <w:b w:val="1"/>
                  <w:bCs w:val="1"/>
                  <w:color w:val="0000EE"/>
                </w:rPr>
                <w:t>Other Information</w:t>
              </w:r>
            </w:hyperlink>
          </w:p>
        </w:tc>
        <w:tc>
          <w:tcPr>
            <w:tcW w:w="840" w:type="dxa"/>
            <w:vAlign w:val="bottom"/>
          </w:tcPr>
          <w:p>
            <w:pPr>
              <w:jc w:val="right"/>
              <w:spacing w:after="0" w:line="124" w:lineRule="exact"/>
              <w:rPr>
                <w:sz w:val="20"/>
                <w:szCs w:val="20"/>
                <w:color w:val="auto"/>
              </w:rPr>
            </w:pPr>
            <w:r>
              <w:rPr>
                <w:rFonts w:ascii="Arial" w:cs="Arial" w:eastAsia="Arial" w:hAnsi="Arial"/>
                <w:sz w:val="12"/>
                <w:szCs w:val="12"/>
                <w:color w:val="auto"/>
              </w:rPr>
              <w:t>24</w:t>
            </w:r>
          </w:p>
        </w:tc>
      </w:tr>
      <w:tr>
        <w:trPr>
          <w:trHeight w:val="124"/>
        </w:trPr>
        <w:tc>
          <w:tcPr>
            <w:tcW w:w="820" w:type="dxa"/>
            <w:vAlign w:val="bottom"/>
            <w:gridSpan w:val="3"/>
          </w:tcPr>
          <w:p>
            <w:pPr>
              <w:spacing w:after="0" w:line="124" w:lineRule="exact"/>
              <w:rPr>
                <w:sz w:val="20"/>
                <w:szCs w:val="20"/>
                <w:color w:val="auto"/>
              </w:rPr>
            </w:pPr>
            <w:r>
              <w:rPr>
                <w:rFonts w:ascii="Arial" w:cs="Arial" w:eastAsia="Arial" w:hAnsi="Arial"/>
                <w:sz w:val="12"/>
                <w:szCs w:val="12"/>
                <w:b w:val="1"/>
                <w:bCs w:val="1"/>
                <w:color w:val="auto"/>
              </w:rPr>
              <w:t>Item 6.</w:t>
            </w:r>
          </w:p>
        </w:tc>
        <w:tc>
          <w:tcPr>
            <w:tcW w:w="960" w:type="dxa"/>
            <w:vAlign w:val="bottom"/>
            <w:tcBorders>
              <w:top w:val="single" w:sz="8" w:color="0000EE"/>
            </w:tcBorders>
            <w:gridSpan w:val="5"/>
          </w:tcPr>
          <w:p>
            <w:pPr>
              <w:spacing w:after="0" w:line="124" w:lineRule="exact"/>
              <w:rPr>
                <w:rFonts w:ascii="Arial" w:cs="Arial" w:eastAsia="Arial" w:hAnsi="Arial"/>
                <w:sz w:val="12"/>
                <w:szCs w:val="12"/>
                <w:b w:val="1"/>
                <w:bCs w:val="1"/>
                <w:color w:val="0000EE"/>
              </w:rPr>
            </w:pPr>
            <w:hyperlink w:anchor="page24">
              <w:r>
                <w:rPr>
                  <w:rFonts w:ascii="Arial" w:cs="Arial" w:eastAsia="Arial" w:hAnsi="Arial"/>
                  <w:sz w:val="12"/>
                  <w:szCs w:val="12"/>
                  <w:b w:val="1"/>
                  <w:bCs w:val="1"/>
                  <w:color w:val="0000EE"/>
                </w:rPr>
                <w:t>Exhibits</w:t>
              </w:r>
            </w:hyperlink>
          </w:p>
        </w:tc>
        <w:tc>
          <w:tcPr>
            <w:tcW w:w="8860" w:type="dxa"/>
            <w:vAlign w:val="bottom"/>
            <w:gridSpan w:val="13"/>
          </w:tcPr>
          <w:p>
            <w:pPr>
              <w:spacing w:after="0"/>
              <w:rPr>
                <w:sz w:val="10"/>
                <w:szCs w:val="10"/>
                <w:color w:val="auto"/>
              </w:rPr>
            </w:pPr>
          </w:p>
        </w:tc>
        <w:tc>
          <w:tcPr>
            <w:tcW w:w="840" w:type="dxa"/>
            <w:vAlign w:val="bottom"/>
          </w:tcPr>
          <w:p>
            <w:pPr>
              <w:jc w:val="right"/>
              <w:spacing w:after="0" w:line="124" w:lineRule="exact"/>
              <w:rPr>
                <w:sz w:val="20"/>
                <w:szCs w:val="20"/>
                <w:color w:val="auto"/>
              </w:rPr>
            </w:pPr>
            <w:r>
              <w:rPr>
                <w:rFonts w:ascii="Arial" w:cs="Arial" w:eastAsia="Arial" w:hAnsi="Arial"/>
                <w:sz w:val="12"/>
                <w:szCs w:val="12"/>
                <w:color w:val="auto"/>
              </w:rPr>
              <w:t>24</w:t>
            </w:r>
          </w:p>
        </w:tc>
      </w:tr>
      <w:tr>
        <w:trPr>
          <w:trHeight w:val="268"/>
        </w:trPr>
        <w:tc>
          <w:tcPr>
            <w:tcW w:w="820" w:type="dxa"/>
            <w:vAlign w:val="bottom"/>
            <w:gridSpan w:val="3"/>
          </w:tcPr>
          <w:p>
            <w:pPr>
              <w:spacing w:after="0"/>
              <w:rPr>
                <w:rFonts w:ascii="Arial" w:cs="Arial" w:eastAsia="Arial" w:hAnsi="Arial"/>
                <w:sz w:val="12"/>
                <w:szCs w:val="12"/>
                <w:b w:val="1"/>
                <w:bCs w:val="1"/>
                <w:color w:val="0000EE"/>
              </w:rPr>
            </w:pPr>
            <w:hyperlink w:anchor="page25">
              <w:r>
                <w:rPr>
                  <w:rFonts w:ascii="Arial" w:cs="Arial" w:eastAsia="Arial" w:hAnsi="Arial"/>
                  <w:sz w:val="12"/>
                  <w:szCs w:val="12"/>
                  <w:b w:val="1"/>
                  <w:bCs w:val="1"/>
                  <w:color w:val="0000EE"/>
                </w:rPr>
                <w:t>Signatures</w:t>
              </w:r>
            </w:hyperlink>
          </w:p>
        </w:tc>
        <w:tc>
          <w:tcPr>
            <w:tcW w:w="220" w:type="dxa"/>
            <w:vAlign w:val="bottom"/>
            <w:tcBorders>
              <w:top w:val="single" w:sz="8" w:color="0000EE"/>
            </w:tcBorders>
          </w:tcPr>
          <w:p>
            <w:pPr>
              <w:spacing w:after="0"/>
              <w:rPr>
                <w:sz w:val="23"/>
                <w:szCs w:val="23"/>
                <w:color w:val="auto"/>
              </w:rPr>
            </w:pPr>
          </w:p>
        </w:tc>
        <w:tc>
          <w:tcPr>
            <w:tcW w:w="200" w:type="dxa"/>
            <w:vAlign w:val="bottom"/>
            <w:tcBorders>
              <w:top w:val="single" w:sz="8" w:color="0000EE"/>
            </w:tcBorders>
          </w:tcPr>
          <w:p>
            <w:pPr>
              <w:spacing w:after="0"/>
              <w:rPr>
                <w:sz w:val="23"/>
                <w:szCs w:val="23"/>
                <w:color w:val="auto"/>
              </w:rPr>
            </w:pPr>
          </w:p>
        </w:tc>
        <w:tc>
          <w:tcPr>
            <w:tcW w:w="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25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25</w:t>
            </w:r>
          </w:p>
        </w:tc>
      </w:tr>
      <w:tr>
        <w:trPr>
          <w:trHeight w:val="425"/>
        </w:trPr>
        <w:tc>
          <w:tcPr>
            <w:tcW w:w="540" w:type="dxa"/>
            <w:vAlign w:val="bottom"/>
            <w:tcBorders>
              <w:top w:val="single" w:sz="8" w:color="0000EE"/>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1300" w:type="dxa"/>
            <w:vAlign w:val="bottom"/>
            <w:tcBorders>
              <w:bottom w:val="single" w:sz="8" w:color="808080"/>
            </w:tcBorders>
          </w:tcPr>
          <w:p>
            <w:pPr>
              <w:spacing w:after="0"/>
              <w:rPr>
                <w:sz w:val="24"/>
                <w:szCs w:val="24"/>
                <w:color w:val="auto"/>
              </w:rPr>
            </w:pPr>
          </w:p>
        </w:tc>
        <w:tc>
          <w:tcPr>
            <w:tcW w:w="254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15" w:right="1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15"/>
        </w:trPr>
        <w:tc>
          <w:tcPr>
            <w:tcW w:w="8380" w:type="dxa"/>
            <w:vAlign w:val="bottom"/>
            <w:gridSpan w:val="3"/>
          </w:tcPr>
          <w:p>
            <w:pPr>
              <w:spacing w:after="0"/>
              <w:rPr>
                <w:rFonts w:ascii="Arial" w:cs="Arial" w:eastAsia="Arial" w:hAnsi="Arial"/>
                <w:sz w:val="10"/>
                <w:szCs w:val="10"/>
                <w:color w:val="0000EE"/>
              </w:rPr>
            </w:pPr>
            <w:hyperlink w:anchor="page2">
              <w:r>
                <w:rPr>
                  <w:rFonts w:ascii="Arial" w:cs="Arial" w:eastAsia="Arial" w:hAnsi="Arial"/>
                  <w:sz w:val="10"/>
                  <w:szCs w:val="10"/>
                  <w:color w:val="0000EE"/>
                </w:rPr>
                <w:t>Table of Contents</w:t>
              </w:r>
            </w:hyperlink>
          </w:p>
        </w:tc>
        <w:tc>
          <w:tcPr>
            <w:tcW w:w="1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660" w:type="dxa"/>
            <w:vAlign w:val="bottom"/>
            <w:tcBorders>
              <w:top w:val="single" w:sz="8" w:color="0000EE"/>
            </w:tcBorders>
          </w:tcPr>
          <w:p>
            <w:pPr>
              <w:spacing w:after="0"/>
              <w:rPr>
                <w:sz w:val="22"/>
                <w:szCs w:val="22"/>
                <w:color w:val="auto"/>
              </w:rPr>
            </w:pPr>
          </w:p>
        </w:tc>
        <w:tc>
          <w:tcPr>
            <w:tcW w:w="7700" w:type="dxa"/>
            <w:vAlign w:val="bottom"/>
          </w:tcPr>
          <w:p>
            <w:pPr>
              <w:jc w:val="center"/>
              <w:ind w:left="2340"/>
              <w:spacing w:after="0"/>
              <w:rPr>
                <w:sz w:val="20"/>
                <w:szCs w:val="20"/>
                <w:color w:val="auto"/>
              </w:rPr>
            </w:pPr>
            <w:r>
              <w:rPr>
                <w:rFonts w:ascii="Arial" w:cs="Arial" w:eastAsia="Arial" w:hAnsi="Arial"/>
                <w:sz w:val="12"/>
                <w:szCs w:val="12"/>
                <w:b w:val="1"/>
                <w:bCs w:val="1"/>
                <w:color w:val="auto"/>
              </w:rPr>
              <w:t>PART I – FINANCIAL INFORMATION</w:t>
            </w:r>
          </w:p>
        </w:tc>
        <w:tc>
          <w:tcPr>
            <w:tcW w:w="1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7"/>
        </w:trPr>
        <w:tc>
          <w:tcPr>
            <w:tcW w:w="8380" w:type="dxa"/>
            <w:vAlign w:val="bottom"/>
            <w:gridSpan w:val="3"/>
          </w:tcPr>
          <w:p>
            <w:pPr>
              <w:spacing w:after="0"/>
              <w:rPr>
                <w:sz w:val="20"/>
                <w:szCs w:val="20"/>
                <w:color w:val="auto"/>
              </w:rPr>
            </w:pPr>
            <w:r>
              <w:rPr>
                <w:rFonts w:ascii="Arial" w:cs="Arial" w:eastAsia="Arial" w:hAnsi="Arial"/>
                <w:sz w:val="12"/>
                <w:szCs w:val="12"/>
                <w:b w:val="1"/>
                <w:bCs w:val="1"/>
                <w:color w:val="auto"/>
              </w:rPr>
              <w:t>ITEM 1. FINANCIAL STATEMENTS</w:t>
            </w:r>
          </w:p>
        </w:tc>
        <w:tc>
          <w:tcPr>
            <w:tcW w:w="1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700" w:type="dxa"/>
            <w:vAlign w:val="bottom"/>
          </w:tcPr>
          <w:p>
            <w:pPr>
              <w:jc w:val="center"/>
              <w:ind w:left="2380"/>
              <w:spacing w:after="0"/>
              <w:rPr>
                <w:sz w:val="20"/>
                <w:szCs w:val="20"/>
                <w:color w:val="auto"/>
              </w:rPr>
            </w:pPr>
            <w:r>
              <w:rPr>
                <w:rFonts w:ascii="Arial" w:cs="Arial" w:eastAsia="Arial" w:hAnsi="Arial"/>
                <w:sz w:val="12"/>
                <w:szCs w:val="12"/>
                <w:b w:val="1"/>
                <w:bCs w:val="1"/>
                <w:color w:val="auto"/>
                <w:w w:val="98"/>
              </w:rPr>
              <w:t>ASURE SOFTWARE , INC.</w:t>
            </w: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700" w:type="dxa"/>
            <w:vAlign w:val="bottom"/>
          </w:tcPr>
          <w:p>
            <w:pPr>
              <w:jc w:val="center"/>
              <w:ind w:left="2380"/>
              <w:spacing w:after="0"/>
              <w:rPr>
                <w:sz w:val="20"/>
                <w:szCs w:val="20"/>
                <w:color w:val="auto"/>
              </w:rPr>
            </w:pPr>
            <w:r>
              <w:rPr>
                <w:rFonts w:ascii="Arial" w:cs="Arial" w:eastAsia="Arial" w:hAnsi="Arial"/>
                <w:sz w:val="12"/>
                <w:szCs w:val="12"/>
                <w:b w:val="1"/>
                <w:bCs w:val="1"/>
                <w:color w:val="auto"/>
                <w:w w:val="98"/>
              </w:rPr>
              <w:t>CONDENSED CONSOLIDATED BALANCE SHEETS</w:t>
            </w:r>
          </w:p>
        </w:tc>
        <w:tc>
          <w:tcPr>
            <w:tcW w:w="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700" w:type="dxa"/>
            <w:vAlign w:val="bottom"/>
          </w:tcPr>
          <w:p>
            <w:pPr>
              <w:jc w:val="center"/>
              <w:ind w:left="2340"/>
              <w:spacing w:after="0"/>
              <w:rPr>
                <w:sz w:val="20"/>
                <w:szCs w:val="20"/>
                <w:color w:val="auto"/>
              </w:rPr>
            </w:pPr>
            <w:r>
              <w:rPr>
                <w:rFonts w:ascii="Arial" w:cs="Arial" w:eastAsia="Arial" w:hAnsi="Arial"/>
                <w:sz w:val="12"/>
                <w:szCs w:val="12"/>
                <w:color w:val="auto"/>
                <w:w w:val="88"/>
              </w:rPr>
              <w:t>(Amounts in thousands, except per share data)</w:t>
            </w:r>
          </w:p>
        </w:tc>
        <w:tc>
          <w:tcPr>
            <w:tcW w:w="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700" w:type="dxa"/>
            <w:vAlign w:val="bottom"/>
          </w:tcPr>
          <w:p>
            <w:pPr>
              <w:jc w:val="center"/>
              <w:ind w:left="2340"/>
              <w:spacing w:after="0"/>
              <w:rPr>
                <w:sz w:val="20"/>
                <w:szCs w:val="20"/>
                <w:color w:val="auto"/>
              </w:rPr>
            </w:pPr>
            <w:r>
              <w:rPr>
                <w:rFonts w:ascii="Arial" w:cs="Arial" w:eastAsia="Arial" w:hAnsi="Arial"/>
                <w:sz w:val="12"/>
                <w:szCs w:val="12"/>
                <w:color w:val="auto"/>
                <w:w w:val="92"/>
              </w:rPr>
              <w:t>(Unaudited)</w:t>
            </w:r>
          </w:p>
        </w:tc>
        <w:tc>
          <w:tcPr>
            <w:tcW w:w="1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7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40" w:type="dxa"/>
            <w:vAlign w:val="bottom"/>
            <w:gridSpan w:val="2"/>
          </w:tcPr>
          <w:p>
            <w:pPr>
              <w:jc w:val="right"/>
              <w:ind w:right="600"/>
              <w:spacing w:after="0"/>
              <w:rPr>
                <w:sz w:val="20"/>
                <w:szCs w:val="20"/>
                <w:color w:val="auto"/>
              </w:rPr>
            </w:pPr>
            <w:r>
              <w:rPr>
                <w:rFonts w:ascii="Arial" w:cs="Arial" w:eastAsia="Arial" w:hAnsi="Arial"/>
                <w:sz w:val="12"/>
                <w:szCs w:val="12"/>
                <w:b w:val="1"/>
                <w:bCs w:val="1"/>
                <w:color w:val="auto"/>
                <w:w w:val="99"/>
              </w:rPr>
              <w:t>September 30,</w:t>
            </w:r>
          </w:p>
        </w:tc>
        <w:tc>
          <w:tcPr>
            <w:tcW w:w="180" w:type="dxa"/>
            <w:vAlign w:val="bottom"/>
          </w:tcPr>
          <w:p>
            <w:pPr>
              <w:spacing w:after="0"/>
              <w:rPr>
                <w:sz w:val="23"/>
                <w:szCs w:val="23"/>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2"/>
                <w:szCs w:val="12"/>
                <w:b w:val="1"/>
                <w:bCs w:val="1"/>
                <w:color w:val="auto"/>
                <w:w w:val="99"/>
              </w:rPr>
              <w:t>December 31,</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7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60"/>
              <w:spacing w:after="0"/>
              <w:rPr>
                <w:sz w:val="20"/>
                <w:szCs w:val="20"/>
                <w:color w:val="auto"/>
              </w:rPr>
            </w:pPr>
            <w:r>
              <w:rPr>
                <w:rFonts w:ascii="Arial" w:cs="Arial" w:eastAsia="Arial" w:hAnsi="Arial"/>
                <w:sz w:val="12"/>
                <w:szCs w:val="12"/>
                <w:b w:val="1"/>
                <w:bCs w:val="1"/>
                <w:color w:val="auto"/>
              </w:rPr>
              <w:t>2012</w:t>
            </w:r>
          </w:p>
        </w:tc>
        <w:tc>
          <w:tcPr>
            <w:tcW w:w="2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40"/>
              <w:spacing w:after="0"/>
              <w:rPr>
                <w:sz w:val="20"/>
                <w:szCs w:val="20"/>
                <w:color w:val="auto"/>
              </w:rPr>
            </w:pPr>
            <w:r>
              <w:rPr>
                <w:rFonts w:ascii="Arial" w:cs="Arial" w:eastAsia="Arial" w:hAnsi="Arial"/>
                <w:sz w:val="12"/>
                <w:szCs w:val="12"/>
                <w:b w:val="1"/>
                <w:bCs w:val="1"/>
                <w:color w:val="auto"/>
              </w:rPr>
              <w:t>2011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83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ASSETS</w:t>
            </w:r>
          </w:p>
        </w:tc>
        <w:tc>
          <w:tcPr>
            <w:tcW w:w="1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360" w:type="dxa"/>
            <w:vAlign w:val="bottom"/>
            <w:gridSpan w:val="2"/>
          </w:tcPr>
          <w:p>
            <w:pPr>
              <w:spacing w:after="0"/>
              <w:rPr>
                <w:sz w:val="20"/>
                <w:szCs w:val="20"/>
                <w:color w:val="auto"/>
              </w:rPr>
            </w:pPr>
            <w:r>
              <w:rPr>
                <w:rFonts w:ascii="Arial" w:cs="Arial" w:eastAsia="Arial" w:hAnsi="Arial"/>
                <w:sz w:val="12"/>
                <w:szCs w:val="12"/>
                <w:color w:val="auto"/>
              </w:rPr>
              <w:t>Current Assets:</w:t>
            </w:r>
          </w:p>
        </w:tc>
        <w:tc>
          <w:tcPr>
            <w:tcW w:w="1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360" w:type="dxa"/>
            <w:vAlign w:val="bottom"/>
            <w:gridSpan w:val="2"/>
            <w:shd w:val="clear" w:color="auto" w:fill="CCEEFF"/>
          </w:tcPr>
          <w:p>
            <w:pPr>
              <w:ind w:left="140"/>
              <w:spacing w:after="0"/>
              <w:rPr>
                <w:sz w:val="20"/>
                <w:szCs w:val="20"/>
                <w:color w:val="auto"/>
              </w:rPr>
            </w:pPr>
            <w:r>
              <w:rPr>
                <w:rFonts w:ascii="Arial" w:cs="Arial" w:eastAsia="Arial" w:hAnsi="Arial"/>
                <w:sz w:val="12"/>
                <w:szCs w:val="12"/>
                <w:color w:val="auto"/>
              </w:rPr>
              <w:t>Cash and equivalents</w:t>
            </w:r>
          </w:p>
        </w:tc>
        <w:tc>
          <w:tcPr>
            <w:tcW w:w="1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2,746</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1,067</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360" w:type="dxa"/>
            <w:vAlign w:val="bottom"/>
            <w:gridSpan w:val="2"/>
          </w:tcPr>
          <w:p>
            <w:pPr>
              <w:ind w:left="140"/>
              <w:spacing w:after="0" w:line="136" w:lineRule="exact"/>
              <w:rPr>
                <w:sz w:val="20"/>
                <w:szCs w:val="20"/>
                <w:color w:val="auto"/>
              </w:rPr>
            </w:pPr>
            <w:r>
              <w:rPr>
                <w:rFonts w:ascii="Arial" w:cs="Arial" w:eastAsia="Arial" w:hAnsi="Arial"/>
                <w:sz w:val="12"/>
                <w:szCs w:val="12"/>
                <w:color w:val="auto"/>
              </w:rPr>
              <w:t>Accounts receivable, net of allowance for doubtful accounts of $203 and $19 at</w:t>
            </w:r>
          </w:p>
        </w:tc>
        <w:tc>
          <w:tcPr>
            <w:tcW w:w="1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360" w:type="dxa"/>
            <w:vAlign w:val="bottom"/>
            <w:gridSpan w:val="2"/>
          </w:tcPr>
          <w:p>
            <w:pPr>
              <w:ind w:left="160"/>
              <w:spacing w:after="0"/>
              <w:rPr>
                <w:sz w:val="20"/>
                <w:szCs w:val="20"/>
                <w:color w:val="auto"/>
              </w:rPr>
            </w:pPr>
            <w:r>
              <w:rPr>
                <w:rFonts w:ascii="Arial" w:cs="Arial" w:eastAsia="Arial" w:hAnsi="Arial"/>
                <w:sz w:val="12"/>
                <w:szCs w:val="12"/>
                <w:color w:val="auto"/>
              </w:rPr>
              <w:t>September 30, 2012 and December 31, 2011, respectively</w:t>
            </w:r>
          </w:p>
        </w:tc>
        <w:tc>
          <w:tcPr>
            <w:tcW w:w="18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3,312</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1,483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360" w:type="dxa"/>
            <w:vAlign w:val="bottom"/>
            <w:gridSpan w:val="2"/>
            <w:shd w:val="clear" w:color="auto" w:fill="CCEEFF"/>
          </w:tcPr>
          <w:p>
            <w:pPr>
              <w:ind w:left="140"/>
              <w:spacing w:after="0"/>
              <w:rPr>
                <w:sz w:val="20"/>
                <w:szCs w:val="20"/>
                <w:color w:val="auto"/>
              </w:rPr>
            </w:pPr>
            <w:r>
              <w:rPr>
                <w:rFonts w:ascii="Arial" w:cs="Arial" w:eastAsia="Arial" w:hAnsi="Arial"/>
                <w:sz w:val="12"/>
                <w:szCs w:val="12"/>
                <w:color w:val="auto"/>
              </w:rPr>
              <w:t>Notes receivable</w:t>
            </w:r>
          </w:p>
        </w:tc>
        <w:tc>
          <w:tcPr>
            <w:tcW w:w="18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96</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360" w:type="dxa"/>
            <w:vAlign w:val="bottom"/>
            <w:gridSpan w:val="2"/>
          </w:tcPr>
          <w:p>
            <w:pPr>
              <w:ind w:left="140"/>
              <w:spacing w:after="0"/>
              <w:rPr>
                <w:sz w:val="20"/>
                <w:szCs w:val="20"/>
                <w:color w:val="auto"/>
              </w:rPr>
            </w:pPr>
            <w:r>
              <w:rPr>
                <w:rFonts w:ascii="Arial" w:cs="Arial" w:eastAsia="Arial" w:hAnsi="Arial"/>
                <w:sz w:val="12"/>
                <w:szCs w:val="12"/>
                <w:color w:val="auto"/>
              </w:rPr>
              <w:t>Inventory</w:t>
            </w:r>
          </w:p>
        </w:tc>
        <w:tc>
          <w:tcPr>
            <w:tcW w:w="18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174</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116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3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2"/>
                <w:szCs w:val="12"/>
                <w:color w:val="auto"/>
              </w:rPr>
              <w:t>Prepaid expenses and other current assets</w:t>
            </w:r>
          </w:p>
        </w:tc>
        <w:tc>
          <w:tcPr>
            <w:tcW w:w="180" w:type="dxa"/>
            <w:vAlign w:val="bottom"/>
            <w:tcBorders>
              <w:bottom w:val="single" w:sz="8" w:color="auto"/>
            </w:tcBorders>
            <w:shd w:val="clear" w:color="auto" w:fill="CCEEFF"/>
          </w:tcPr>
          <w:p>
            <w:pPr>
              <w:spacing w:after="0"/>
              <w:rPr>
                <w:sz w:val="12"/>
                <w:szCs w:val="1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1,305</w:t>
            </w:r>
          </w:p>
        </w:tc>
        <w:tc>
          <w:tcPr>
            <w:tcW w:w="22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338</w:t>
            </w:r>
          </w:p>
        </w:tc>
        <w:tc>
          <w:tcPr>
            <w:tcW w:w="1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60" w:type="dxa"/>
            <w:vAlign w:val="bottom"/>
            <w:gridSpan w:val="2"/>
          </w:tcPr>
          <w:p>
            <w:pPr>
              <w:ind w:left="300"/>
              <w:spacing w:after="0"/>
              <w:rPr>
                <w:sz w:val="20"/>
                <w:szCs w:val="20"/>
                <w:color w:val="auto"/>
              </w:rPr>
            </w:pPr>
            <w:r>
              <w:rPr>
                <w:rFonts w:ascii="Arial" w:cs="Arial" w:eastAsia="Arial" w:hAnsi="Arial"/>
                <w:sz w:val="12"/>
                <w:szCs w:val="12"/>
                <w:color w:val="auto"/>
              </w:rPr>
              <w:t>Total Current Assets</w:t>
            </w:r>
          </w:p>
        </w:tc>
        <w:tc>
          <w:tcPr>
            <w:tcW w:w="18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7,561</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3,100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7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360" w:type="dxa"/>
            <w:vAlign w:val="bottom"/>
            <w:gridSpan w:val="2"/>
          </w:tcPr>
          <w:p>
            <w:pPr>
              <w:spacing w:after="0"/>
              <w:rPr>
                <w:sz w:val="20"/>
                <w:szCs w:val="20"/>
                <w:color w:val="auto"/>
              </w:rPr>
            </w:pPr>
            <w:r>
              <w:rPr>
                <w:rFonts w:ascii="Arial" w:cs="Arial" w:eastAsia="Arial" w:hAnsi="Arial"/>
                <w:sz w:val="12"/>
                <w:szCs w:val="12"/>
                <w:color w:val="auto"/>
              </w:rPr>
              <w:t>Property and equipment, net</w:t>
            </w:r>
          </w:p>
        </w:tc>
        <w:tc>
          <w:tcPr>
            <w:tcW w:w="18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501</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414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3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Intangible assets, net</w:t>
            </w:r>
          </w:p>
        </w:tc>
        <w:tc>
          <w:tcPr>
            <w:tcW w:w="18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12,339</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6,307</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360" w:type="dxa"/>
            <w:vAlign w:val="bottom"/>
            <w:gridSpan w:val="2"/>
          </w:tcPr>
          <w:p>
            <w:pPr>
              <w:spacing w:after="0"/>
              <w:rPr>
                <w:sz w:val="20"/>
                <w:szCs w:val="20"/>
                <w:color w:val="auto"/>
              </w:rPr>
            </w:pPr>
            <w:r>
              <w:rPr>
                <w:rFonts w:ascii="Arial" w:cs="Arial" w:eastAsia="Arial" w:hAnsi="Arial"/>
                <w:sz w:val="12"/>
                <w:szCs w:val="12"/>
                <w:color w:val="auto"/>
              </w:rPr>
              <w:t>Goodwill</w:t>
            </w:r>
          </w:p>
        </w:tc>
        <w:tc>
          <w:tcPr>
            <w:tcW w:w="18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15,296</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6,264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2"/>
                <w:szCs w:val="12"/>
                <w:color w:val="auto"/>
              </w:rPr>
              <w:t>Other</w:t>
            </w:r>
          </w:p>
        </w:tc>
        <w:tc>
          <w:tcPr>
            <w:tcW w:w="180" w:type="dxa"/>
            <w:vAlign w:val="bottom"/>
            <w:tcBorders>
              <w:bottom w:val="single" w:sz="8" w:color="auto"/>
            </w:tcBorders>
            <w:shd w:val="clear" w:color="auto" w:fill="CCEEFF"/>
          </w:tcPr>
          <w:p>
            <w:pPr>
              <w:spacing w:after="0"/>
              <w:rPr>
                <w:sz w:val="12"/>
                <w:szCs w:val="1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29</w:t>
            </w:r>
          </w:p>
        </w:tc>
        <w:tc>
          <w:tcPr>
            <w:tcW w:w="22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60" w:type="dxa"/>
            <w:vAlign w:val="bottom"/>
            <w:gridSpan w:val="2"/>
          </w:tcPr>
          <w:p>
            <w:pPr>
              <w:spacing w:after="0"/>
              <w:rPr>
                <w:sz w:val="20"/>
                <w:szCs w:val="20"/>
                <w:color w:val="auto"/>
              </w:rPr>
            </w:pPr>
            <w:r>
              <w:rPr>
                <w:rFonts w:ascii="Arial" w:cs="Arial" w:eastAsia="Arial" w:hAnsi="Arial"/>
                <w:sz w:val="12"/>
                <w:szCs w:val="12"/>
                <w:b w:val="1"/>
                <w:bCs w:val="1"/>
                <w:color w:val="auto"/>
              </w:rPr>
              <w:t>Total Assets</w:t>
            </w:r>
          </w:p>
        </w:tc>
        <w:tc>
          <w:tcPr>
            <w:tcW w:w="18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b w:val="1"/>
                <w:bCs w:val="1"/>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35,726</w:t>
            </w:r>
          </w:p>
        </w:tc>
        <w:tc>
          <w:tcPr>
            <w:tcW w:w="220" w:type="dxa"/>
            <w:vAlign w:val="bottom"/>
          </w:tcPr>
          <w:p>
            <w:pPr>
              <w:spacing w:after="0"/>
              <w:rPr>
                <w:sz w:val="12"/>
                <w:szCs w:val="12"/>
                <w:color w:val="auto"/>
              </w:rPr>
            </w:pPr>
          </w:p>
        </w:tc>
        <w:tc>
          <w:tcPr>
            <w:tcW w:w="18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b w:val="1"/>
                <w:bCs w:val="1"/>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16,085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vMerge w:val="restart"/>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77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360" w:type="dxa"/>
            <w:vAlign w:val="bottom"/>
            <w:gridSpan w:val="2"/>
          </w:tcPr>
          <w:p>
            <w:pPr>
              <w:spacing w:after="0"/>
              <w:rPr>
                <w:sz w:val="20"/>
                <w:szCs w:val="20"/>
                <w:color w:val="auto"/>
              </w:rPr>
            </w:pPr>
            <w:r>
              <w:rPr>
                <w:rFonts w:ascii="Arial" w:cs="Arial" w:eastAsia="Arial" w:hAnsi="Arial"/>
                <w:sz w:val="12"/>
                <w:szCs w:val="12"/>
                <w:b w:val="1"/>
                <w:bCs w:val="1"/>
                <w:color w:val="auto"/>
              </w:rPr>
              <w:t>LIABILITIES AND STOCKHOLDERS’ EQUITY</w:t>
            </w:r>
          </w:p>
        </w:tc>
        <w:tc>
          <w:tcPr>
            <w:tcW w:w="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3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Current Liabilities:</w:t>
            </w:r>
          </w:p>
        </w:tc>
        <w:tc>
          <w:tcPr>
            <w:tcW w:w="1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360" w:type="dxa"/>
            <w:vAlign w:val="bottom"/>
            <w:gridSpan w:val="2"/>
          </w:tcPr>
          <w:p>
            <w:pPr>
              <w:ind w:left="160"/>
              <w:spacing w:after="0"/>
              <w:rPr>
                <w:sz w:val="20"/>
                <w:szCs w:val="20"/>
                <w:color w:val="auto"/>
              </w:rPr>
            </w:pPr>
            <w:r>
              <w:rPr>
                <w:rFonts w:ascii="Arial" w:cs="Arial" w:eastAsia="Arial" w:hAnsi="Arial"/>
                <w:sz w:val="12"/>
                <w:szCs w:val="12"/>
                <w:color w:val="auto"/>
              </w:rPr>
              <w:t>Line of credit</w:t>
            </w: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122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1180" w:type="dxa"/>
            <w:vAlign w:val="bottom"/>
          </w:tcPr>
          <w:p>
            <w:pPr>
              <w:jc w:val="right"/>
              <w:spacing w:after="0"/>
              <w:rPr>
                <w:sz w:val="20"/>
                <w:szCs w:val="20"/>
                <w:color w:val="auto"/>
              </w:rPr>
            </w:pPr>
            <w:r>
              <w:rPr>
                <w:rFonts w:ascii="Arial" w:cs="Arial" w:eastAsia="Arial" w:hAnsi="Arial"/>
                <w:sz w:val="12"/>
                <w:szCs w:val="12"/>
                <w:color w:val="auto"/>
              </w:rPr>
              <w:t>500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360" w:type="dxa"/>
            <w:vAlign w:val="bottom"/>
            <w:gridSpan w:val="2"/>
            <w:shd w:val="clear" w:color="auto" w:fill="CCEEFF"/>
          </w:tcPr>
          <w:p>
            <w:pPr>
              <w:ind w:left="140"/>
              <w:spacing w:after="0"/>
              <w:rPr>
                <w:sz w:val="20"/>
                <w:szCs w:val="20"/>
                <w:color w:val="auto"/>
              </w:rPr>
            </w:pPr>
            <w:r>
              <w:rPr>
                <w:rFonts w:ascii="Arial" w:cs="Arial" w:eastAsia="Arial" w:hAnsi="Arial"/>
                <w:sz w:val="12"/>
                <w:szCs w:val="12"/>
                <w:color w:val="auto"/>
              </w:rPr>
              <w:t>Current portion of notes payable</w:t>
            </w:r>
          </w:p>
        </w:tc>
        <w:tc>
          <w:tcPr>
            <w:tcW w:w="18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1,551</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349</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360" w:type="dxa"/>
            <w:vAlign w:val="bottom"/>
            <w:gridSpan w:val="2"/>
          </w:tcPr>
          <w:p>
            <w:pPr>
              <w:ind w:left="140"/>
              <w:spacing w:after="0"/>
              <w:rPr>
                <w:sz w:val="20"/>
                <w:szCs w:val="20"/>
                <w:color w:val="auto"/>
              </w:rPr>
            </w:pPr>
            <w:r>
              <w:rPr>
                <w:rFonts w:ascii="Arial" w:cs="Arial" w:eastAsia="Arial" w:hAnsi="Arial"/>
                <w:sz w:val="12"/>
                <w:szCs w:val="12"/>
                <w:color w:val="auto"/>
              </w:rPr>
              <w:t>Accounts payable</w:t>
            </w:r>
          </w:p>
        </w:tc>
        <w:tc>
          <w:tcPr>
            <w:tcW w:w="18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2,208</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1,097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360" w:type="dxa"/>
            <w:vAlign w:val="bottom"/>
            <w:gridSpan w:val="2"/>
            <w:shd w:val="clear" w:color="auto" w:fill="CCEEFF"/>
          </w:tcPr>
          <w:p>
            <w:pPr>
              <w:ind w:left="140"/>
              <w:spacing w:after="0"/>
              <w:rPr>
                <w:sz w:val="20"/>
                <w:szCs w:val="20"/>
                <w:color w:val="auto"/>
              </w:rPr>
            </w:pPr>
            <w:r>
              <w:rPr>
                <w:rFonts w:ascii="Arial" w:cs="Arial" w:eastAsia="Arial" w:hAnsi="Arial"/>
                <w:sz w:val="12"/>
                <w:szCs w:val="12"/>
                <w:color w:val="auto"/>
              </w:rPr>
              <w:t>Accrued compensation and benefits</w:t>
            </w:r>
          </w:p>
        </w:tc>
        <w:tc>
          <w:tcPr>
            <w:tcW w:w="18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78</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141</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360" w:type="dxa"/>
            <w:vAlign w:val="bottom"/>
            <w:gridSpan w:val="2"/>
          </w:tcPr>
          <w:p>
            <w:pPr>
              <w:ind w:left="140"/>
              <w:spacing w:after="0"/>
              <w:rPr>
                <w:sz w:val="20"/>
                <w:szCs w:val="20"/>
                <w:color w:val="auto"/>
              </w:rPr>
            </w:pPr>
            <w:r>
              <w:rPr>
                <w:rFonts w:ascii="Arial" w:cs="Arial" w:eastAsia="Arial" w:hAnsi="Arial"/>
                <w:sz w:val="12"/>
                <w:szCs w:val="12"/>
                <w:color w:val="auto"/>
              </w:rPr>
              <w:t>Other accrued liabilities</w:t>
            </w:r>
          </w:p>
        </w:tc>
        <w:tc>
          <w:tcPr>
            <w:tcW w:w="18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725</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536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3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2"/>
                <w:szCs w:val="12"/>
                <w:color w:val="auto"/>
              </w:rPr>
              <w:t>Deferred revenue</w:t>
            </w:r>
          </w:p>
        </w:tc>
        <w:tc>
          <w:tcPr>
            <w:tcW w:w="180" w:type="dxa"/>
            <w:vAlign w:val="bottom"/>
            <w:tcBorders>
              <w:bottom w:val="single" w:sz="8" w:color="auto"/>
            </w:tcBorders>
            <w:shd w:val="clear" w:color="auto" w:fill="CCEEFF"/>
          </w:tcPr>
          <w:p>
            <w:pPr>
              <w:spacing w:after="0"/>
              <w:rPr>
                <w:sz w:val="12"/>
                <w:szCs w:val="1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9,673</w:t>
            </w:r>
          </w:p>
        </w:tc>
        <w:tc>
          <w:tcPr>
            <w:tcW w:w="22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4,792</w:t>
            </w:r>
          </w:p>
        </w:tc>
        <w:tc>
          <w:tcPr>
            <w:tcW w:w="1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60" w:type="dxa"/>
            <w:vAlign w:val="bottom"/>
            <w:gridSpan w:val="2"/>
          </w:tcPr>
          <w:p>
            <w:pPr>
              <w:ind w:left="300"/>
              <w:spacing w:after="0"/>
              <w:rPr>
                <w:sz w:val="20"/>
                <w:szCs w:val="20"/>
                <w:color w:val="auto"/>
              </w:rPr>
            </w:pPr>
            <w:r>
              <w:rPr>
                <w:rFonts w:ascii="Arial" w:cs="Arial" w:eastAsia="Arial" w:hAnsi="Arial"/>
                <w:sz w:val="12"/>
                <w:szCs w:val="12"/>
                <w:color w:val="auto"/>
              </w:rPr>
              <w:t>Total Current Liabilities</w:t>
            </w:r>
          </w:p>
        </w:tc>
        <w:tc>
          <w:tcPr>
            <w:tcW w:w="18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14,235</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7,415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7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360" w:type="dxa"/>
            <w:vAlign w:val="bottom"/>
            <w:gridSpan w:val="2"/>
          </w:tcPr>
          <w:p>
            <w:pPr>
              <w:spacing w:after="0"/>
              <w:rPr>
                <w:sz w:val="20"/>
                <w:szCs w:val="20"/>
                <w:color w:val="auto"/>
              </w:rPr>
            </w:pPr>
            <w:r>
              <w:rPr>
                <w:rFonts w:ascii="Arial" w:cs="Arial" w:eastAsia="Arial" w:hAnsi="Arial"/>
                <w:sz w:val="12"/>
                <w:szCs w:val="12"/>
                <w:color w:val="auto"/>
              </w:rPr>
              <w:t>Long-term liabilities:</w:t>
            </w:r>
          </w:p>
        </w:tc>
        <w:tc>
          <w:tcPr>
            <w:tcW w:w="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360" w:type="dxa"/>
            <w:vAlign w:val="bottom"/>
            <w:gridSpan w:val="2"/>
            <w:shd w:val="clear" w:color="auto" w:fill="CCEEFF"/>
          </w:tcPr>
          <w:p>
            <w:pPr>
              <w:ind w:left="160"/>
              <w:spacing w:after="0"/>
              <w:rPr>
                <w:sz w:val="20"/>
                <w:szCs w:val="20"/>
                <w:color w:val="auto"/>
              </w:rPr>
            </w:pPr>
            <w:r>
              <w:rPr>
                <w:rFonts w:ascii="Arial" w:cs="Arial" w:eastAsia="Arial" w:hAnsi="Arial"/>
                <w:sz w:val="12"/>
                <w:szCs w:val="12"/>
                <w:color w:val="auto"/>
              </w:rPr>
              <w:t>Deferred revenue</w:t>
            </w:r>
          </w:p>
        </w:tc>
        <w:tc>
          <w:tcPr>
            <w:tcW w:w="18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169</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360" w:type="dxa"/>
            <w:vAlign w:val="bottom"/>
            <w:gridSpan w:val="2"/>
          </w:tcPr>
          <w:p>
            <w:pPr>
              <w:ind w:left="160"/>
              <w:spacing w:after="0"/>
              <w:rPr>
                <w:sz w:val="20"/>
                <w:szCs w:val="20"/>
                <w:color w:val="auto"/>
              </w:rPr>
            </w:pPr>
            <w:r>
              <w:rPr>
                <w:rFonts w:ascii="Arial" w:cs="Arial" w:eastAsia="Arial" w:hAnsi="Arial"/>
                <w:sz w:val="12"/>
                <w:szCs w:val="12"/>
                <w:color w:val="auto"/>
              </w:rPr>
              <w:t>Senior note payable</w:t>
            </w:r>
          </w:p>
        </w:tc>
        <w:tc>
          <w:tcPr>
            <w:tcW w:w="18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13,050</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360" w:type="dxa"/>
            <w:vAlign w:val="bottom"/>
            <w:gridSpan w:val="2"/>
            <w:shd w:val="clear" w:color="auto" w:fill="CCEEFF"/>
          </w:tcPr>
          <w:p>
            <w:pPr>
              <w:ind w:left="160"/>
              <w:spacing w:after="0"/>
              <w:rPr>
                <w:sz w:val="20"/>
                <w:szCs w:val="20"/>
                <w:color w:val="auto"/>
              </w:rPr>
            </w:pPr>
            <w:r>
              <w:rPr>
                <w:rFonts w:ascii="Arial" w:cs="Arial" w:eastAsia="Arial" w:hAnsi="Arial"/>
                <w:sz w:val="12"/>
                <w:szCs w:val="12"/>
                <w:color w:val="auto"/>
              </w:rPr>
              <w:t>Subordinated notes payable</w:t>
            </w:r>
          </w:p>
        </w:tc>
        <w:tc>
          <w:tcPr>
            <w:tcW w:w="18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5,354</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4,323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360" w:type="dxa"/>
            <w:vAlign w:val="bottom"/>
            <w:gridSpan w:val="2"/>
          </w:tcPr>
          <w:p>
            <w:pPr>
              <w:ind w:left="160"/>
              <w:spacing w:after="0"/>
              <w:rPr>
                <w:sz w:val="20"/>
                <w:szCs w:val="20"/>
                <w:color w:val="auto"/>
              </w:rPr>
            </w:pPr>
            <w:r>
              <w:rPr>
                <w:rFonts w:ascii="Arial" w:cs="Arial" w:eastAsia="Arial" w:hAnsi="Arial"/>
                <w:sz w:val="12"/>
                <w:szCs w:val="12"/>
                <w:color w:val="auto"/>
              </w:rPr>
              <w:t>Subordinated convertible notes</w:t>
            </w:r>
          </w:p>
        </w:tc>
        <w:tc>
          <w:tcPr>
            <w:tcW w:w="18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283</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1,247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360" w:type="dxa"/>
            <w:vAlign w:val="bottom"/>
            <w:gridSpan w:val="2"/>
            <w:shd w:val="clear" w:color="auto" w:fill="CCEEFF"/>
          </w:tcPr>
          <w:p>
            <w:pPr>
              <w:ind w:left="160"/>
              <w:spacing w:after="0"/>
              <w:rPr>
                <w:sz w:val="20"/>
                <w:szCs w:val="20"/>
                <w:color w:val="auto"/>
              </w:rPr>
            </w:pPr>
            <w:r>
              <w:rPr>
                <w:rFonts w:ascii="Arial" w:cs="Arial" w:eastAsia="Arial" w:hAnsi="Arial"/>
                <w:sz w:val="12"/>
                <w:szCs w:val="12"/>
                <w:color w:val="auto"/>
              </w:rPr>
              <w:t>Derivative liability</w:t>
            </w:r>
          </w:p>
        </w:tc>
        <w:tc>
          <w:tcPr>
            <w:tcW w:w="18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835</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360" w:type="dxa"/>
            <w:vAlign w:val="bottom"/>
            <w:gridSpan w:val="2"/>
          </w:tcPr>
          <w:p>
            <w:pPr>
              <w:ind w:left="160"/>
              <w:spacing w:after="0"/>
              <w:rPr>
                <w:sz w:val="20"/>
                <w:szCs w:val="20"/>
                <w:color w:val="auto"/>
              </w:rPr>
            </w:pPr>
            <w:r>
              <w:rPr>
                <w:rFonts w:ascii="Arial" w:cs="Arial" w:eastAsia="Arial" w:hAnsi="Arial"/>
                <w:sz w:val="12"/>
                <w:szCs w:val="12"/>
                <w:color w:val="auto"/>
              </w:rPr>
              <w:t>Other long-term obligations</w:t>
            </w:r>
          </w:p>
        </w:tc>
        <w:tc>
          <w:tcPr>
            <w:tcW w:w="1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w:t>
            </w:r>
          </w:p>
        </w:tc>
        <w:tc>
          <w:tcPr>
            <w:tcW w:w="2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60" w:type="dxa"/>
            <w:vAlign w:val="bottom"/>
            <w:gridSpan w:val="2"/>
            <w:shd w:val="clear" w:color="auto" w:fill="CCEEFF"/>
          </w:tcPr>
          <w:p>
            <w:pPr>
              <w:ind w:left="300"/>
              <w:spacing w:after="0"/>
              <w:rPr>
                <w:sz w:val="20"/>
                <w:szCs w:val="20"/>
                <w:color w:val="auto"/>
              </w:rPr>
            </w:pPr>
            <w:r>
              <w:rPr>
                <w:rFonts w:ascii="Arial" w:cs="Arial" w:eastAsia="Arial" w:hAnsi="Arial"/>
                <w:sz w:val="12"/>
                <w:szCs w:val="12"/>
                <w:color w:val="auto"/>
              </w:rPr>
              <w:t>Total Long-Term Liabilities</w:t>
            </w:r>
          </w:p>
        </w:tc>
        <w:tc>
          <w:tcPr>
            <w:tcW w:w="18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18,726</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6,606</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36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Stockholders’ Equity:</w:t>
            </w:r>
          </w:p>
        </w:tc>
        <w:tc>
          <w:tcPr>
            <w:tcW w:w="1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360" w:type="dxa"/>
            <w:vAlign w:val="bottom"/>
            <w:gridSpan w:val="2"/>
          </w:tcPr>
          <w:p>
            <w:pPr>
              <w:ind w:left="40"/>
              <w:spacing w:after="0"/>
              <w:rPr>
                <w:sz w:val="20"/>
                <w:szCs w:val="20"/>
                <w:color w:val="auto"/>
              </w:rPr>
            </w:pPr>
            <w:r>
              <w:rPr>
                <w:rFonts w:ascii="Arial" w:cs="Arial" w:eastAsia="Arial" w:hAnsi="Arial"/>
                <w:sz w:val="12"/>
                <w:szCs w:val="12"/>
                <w:color w:val="auto"/>
              </w:rPr>
              <w:t>Preferred stock, $.01 par value; 1,500 shares authorized; none issued or outstanding</w:t>
            </w:r>
          </w:p>
        </w:tc>
        <w:tc>
          <w:tcPr>
            <w:tcW w:w="180" w:type="dxa"/>
            <w:vAlign w:val="bottom"/>
          </w:tcPr>
          <w:p>
            <w:pPr>
              <w:spacing w:after="0"/>
              <w:rPr>
                <w:sz w:val="12"/>
                <w:szCs w:val="12"/>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360" w:type="dxa"/>
            <w:vAlign w:val="bottom"/>
            <w:gridSpan w:val="2"/>
            <w:shd w:val="clear" w:color="auto" w:fill="CCEEFF"/>
          </w:tcPr>
          <w:p>
            <w:pPr>
              <w:ind w:left="40"/>
              <w:spacing w:after="0" w:line="136" w:lineRule="exact"/>
              <w:rPr>
                <w:sz w:val="20"/>
                <w:szCs w:val="20"/>
                <w:color w:val="auto"/>
              </w:rPr>
            </w:pPr>
            <w:r>
              <w:rPr>
                <w:rFonts w:ascii="Arial" w:cs="Arial" w:eastAsia="Arial" w:hAnsi="Arial"/>
                <w:sz w:val="12"/>
                <w:szCs w:val="12"/>
                <w:color w:val="auto"/>
              </w:rPr>
              <w:t>Common stock, $.01 par value; 11,000 shares authorized; 5,642 and 5,014 shares</w:t>
            </w:r>
          </w:p>
        </w:tc>
        <w:tc>
          <w:tcPr>
            <w:tcW w:w="18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36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issued; 5,258 and 4,630 shares outstanding at September 30, 2012 and December 31, 2011, respectively</w:t>
            </w:r>
          </w:p>
        </w:tc>
        <w:tc>
          <w:tcPr>
            <w:tcW w:w="18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339</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334</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360" w:type="dxa"/>
            <w:vAlign w:val="bottom"/>
            <w:gridSpan w:val="2"/>
          </w:tcPr>
          <w:p>
            <w:pPr>
              <w:ind w:left="40"/>
              <w:spacing w:after="0"/>
              <w:rPr>
                <w:sz w:val="20"/>
                <w:szCs w:val="20"/>
                <w:color w:val="auto"/>
              </w:rPr>
            </w:pPr>
            <w:r>
              <w:rPr>
                <w:rFonts w:ascii="Arial" w:cs="Arial" w:eastAsia="Arial" w:hAnsi="Arial"/>
                <w:sz w:val="12"/>
                <w:szCs w:val="12"/>
                <w:color w:val="auto"/>
              </w:rPr>
              <w:t>Treasury stock at cost, 384 shares at September 30, 2012 and December 31, 2011</w:t>
            </w:r>
          </w:p>
        </w:tc>
        <w:tc>
          <w:tcPr>
            <w:tcW w:w="180" w:type="dxa"/>
            <w:vAlign w:val="bottom"/>
          </w:tcPr>
          <w:p>
            <w:pPr>
              <w:spacing w:after="0"/>
              <w:rPr>
                <w:sz w:val="12"/>
                <w:szCs w:val="12"/>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2"/>
                <w:szCs w:val="12"/>
                <w:color w:val="auto"/>
              </w:rPr>
              <w:t>(5,017 )</w:t>
            </w:r>
          </w:p>
        </w:tc>
        <w:tc>
          <w:tcPr>
            <w:tcW w:w="180" w:type="dxa"/>
            <w:vAlign w:val="bottom"/>
          </w:tcPr>
          <w:p>
            <w:pPr>
              <w:spacing w:after="0"/>
              <w:rPr>
                <w:sz w:val="12"/>
                <w:szCs w:val="12"/>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2"/>
                <w:szCs w:val="12"/>
                <w:color w:val="auto"/>
              </w:rPr>
              <w:t>(5,017 )</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36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Additional paid-in capital</w:t>
            </w:r>
          </w:p>
        </w:tc>
        <w:tc>
          <w:tcPr>
            <w:tcW w:w="18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274,136</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271,065</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360" w:type="dxa"/>
            <w:vAlign w:val="bottom"/>
            <w:gridSpan w:val="2"/>
          </w:tcPr>
          <w:p>
            <w:pPr>
              <w:ind w:left="20"/>
              <w:spacing w:after="0"/>
              <w:rPr>
                <w:sz w:val="20"/>
                <w:szCs w:val="20"/>
                <w:color w:val="auto"/>
              </w:rPr>
            </w:pPr>
            <w:r>
              <w:rPr>
                <w:rFonts w:ascii="Arial" w:cs="Arial" w:eastAsia="Arial" w:hAnsi="Arial"/>
                <w:sz w:val="12"/>
                <w:szCs w:val="12"/>
                <w:color w:val="auto"/>
              </w:rPr>
              <w:t>Accumulated deficit</w:t>
            </w:r>
          </w:p>
        </w:tc>
        <w:tc>
          <w:tcPr>
            <w:tcW w:w="180" w:type="dxa"/>
            <w:vAlign w:val="bottom"/>
          </w:tcPr>
          <w:p>
            <w:pPr>
              <w:spacing w:after="0"/>
              <w:rPr>
                <w:sz w:val="12"/>
                <w:szCs w:val="12"/>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2"/>
                <w:szCs w:val="12"/>
                <w:color w:val="auto"/>
              </w:rPr>
              <w:t>(266,590 )</w:t>
            </w:r>
          </w:p>
        </w:tc>
        <w:tc>
          <w:tcPr>
            <w:tcW w:w="180" w:type="dxa"/>
            <w:vAlign w:val="bottom"/>
          </w:tcPr>
          <w:p>
            <w:pPr>
              <w:spacing w:after="0"/>
              <w:rPr>
                <w:sz w:val="12"/>
                <w:szCs w:val="12"/>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2"/>
                <w:szCs w:val="12"/>
                <w:color w:val="auto"/>
              </w:rPr>
              <w:t>(264,190 )</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36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Accumulated other comprehensive loss</w:t>
            </w:r>
          </w:p>
        </w:tc>
        <w:tc>
          <w:tcPr>
            <w:tcW w:w="18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(103 )</w:t>
            </w:r>
          </w:p>
        </w:tc>
        <w:tc>
          <w:tcPr>
            <w:tcW w:w="18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(128 )</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60" w:type="dxa"/>
            <w:vAlign w:val="bottom"/>
            <w:tcBorders>
              <w:top w:val="single" w:sz="8" w:color="CCEEFF"/>
            </w:tcBorders>
            <w:gridSpan w:val="2"/>
          </w:tcPr>
          <w:p>
            <w:pPr>
              <w:ind w:left="300"/>
              <w:spacing w:after="0"/>
              <w:rPr>
                <w:sz w:val="20"/>
                <w:szCs w:val="20"/>
                <w:color w:val="auto"/>
              </w:rPr>
            </w:pPr>
            <w:r>
              <w:rPr>
                <w:rFonts w:ascii="Arial" w:cs="Arial" w:eastAsia="Arial" w:hAnsi="Arial"/>
                <w:sz w:val="12"/>
                <w:szCs w:val="12"/>
                <w:color w:val="auto"/>
              </w:rPr>
              <w:t>Total Stockholders’ Equity</w:t>
            </w:r>
          </w:p>
        </w:tc>
        <w:tc>
          <w:tcPr>
            <w:tcW w:w="18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2,765</w:t>
            </w:r>
          </w:p>
        </w:tc>
        <w:tc>
          <w:tcPr>
            <w:tcW w:w="220" w:type="dxa"/>
            <w:vAlign w:val="bottom"/>
            <w:tcBorders>
              <w:top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2,064</w:t>
            </w: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2"/>
                <w:szCs w:val="12"/>
                <w:b w:val="1"/>
                <w:bCs w:val="1"/>
                <w:color w:val="auto"/>
              </w:rPr>
              <w:t>Total Liabilities and Stockholders’ Equity</w:t>
            </w:r>
          </w:p>
        </w:tc>
        <w:tc>
          <w:tcPr>
            <w:tcW w:w="1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0"/>
                <w:szCs w:val="10"/>
                <w:b w:val="1"/>
                <w:bCs w:val="1"/>
                <w:color w:val="auto"/>
                <w:w w:val="7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35,726</w:t>
            </w:r>
          </w:p>
        </w:tc>
        <w:tc>
          <w:tcPr>
            <w:tcW w:w="2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0"/>
                <w:szCs w:val="10"/>
                <w:b w:val="1"/>
                <w:bCs w:val="1"/>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16,085</w:t>
            </w:r>
          </w:p>
        </w:tc>
        <w:tc>
          <w:tcPr>
            <w:tcW w:w="1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The accompanying notes are an integral part of these condensed consolidated financial statements</w:t>
      </w:r>
    </w:p>
    <w:p>
      <w:pPr>
        <w:spacing w:after="0" w:line="249"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15" w:right="1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15"/>
        </w:trPr>
        <w:tc>
          <w:tcPr>
            <w:tcW w:w="3720" w:type="dxa"/>
            <w:vAlign w:val="bottom"/>
            <w:gridSpan w:val="3"/>
          </w:tcPr>
          <w:p>
            <w:pPr>
              <w:spacing w:after="0"/>
              <w:rPr>
                <w:rFonts w:ascii="Arial" w:cs="Arial" w:eastAsia="Arial" w:hAnsi="Arial"/>
                <w:sz w:val="10"/>
                <w:szCs w:val="10"/>
                <w:color w:val="0000EE"/>
              </w:rPr>
            </w:pPr>
            <w:hyperlink w:anchor="page2">
              <w:r>
                <w:rPr>
                  <w:rFonts w:ascii="Arial" w:cs="Arial" w:eastAsia="Arial" w:hAnsi="Arial"/>
                  <w:sz w:val="10"/>
                  <w:szCs w:val="10"/>
                  <w:color w:val="0000EE"/>
                </w:rPr>
                <w:t>Table of Contents</w:t>
              </w:r>
            </w:hyperlink>
          </w:p>
        </w:tc>
        <w:tc>
          <w:tcPr>
            <w:tcW w:w="14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3040" w:type="dxa"/>
            <w:vAlign w:val="bottom"/>
          </w:tcPr>
          <w:p>
            <w:pPr>
              <w:spacing w:after="0"/>
              <w:rPr>
                <w:sz w:val="24"/>
                <w:szCs w:val="24"/>
                <w:color w:val="auto"/>
              </w:rPr>
            </w:pPr>
          </w:p>
        </w:tc>
        <w:tc>
          <w:tcPr>
            <w:tcW w:w="3080" w:type="dxa"/>
            <w:vAlign w:val="bottom"/>
            <w:gridSpan w:val="4"/>
          </w:tcPr>
          <w:p>
            <w:pPr>
              <w:jc w:val="center"/>
              <w:ind w:left="880"/>
              <w:spacing w:after="0"/>
              <w:rPr>
                <w:sz w:val="20"/>
                <w:szCs w:val="20"/>
                <w:color w:val="auto"/>
              </w:rPr>
            </w:pPr>
            <w:r>
              <w:rPr>
                <w:rFonts w:ascii="Arial" w:cs="Arial" w:eastAsia="Arial" w:hAnsi="Arial"/>
                <w:sz w:val="12"/>
                <w:szCs w:val="12"/>
                <w:b w:val="1"/>
                <w:bCs w:val="1"/>
                <w:color w:val="auto"/>
                <w:w w:val="98"/>
              </w:rPr>
              <w:t>ASURE SOFTWARE , INC.</w:t>
            </w:r>
          </w:p>
        </w:tc>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4000" w:type="dxa"/>
            <w:vAlign w:val="bottom"/>
            <w:gridSpan w:val="5"/>
          </w:tcPr>
          <w:p>
            <w:pPr>
              <w:jc w:val="center"/>
              <w:spacing w:after="0"/>
              <w:rPr>
                <w:sz w:val="20"/>
                <w:szCs w:val="20"/>
                <w:color w:val="auto"/>
              </w:rPr>
            </w:pPr>
            <w:r>
              <w:rPr>
                <w:rFonts w:ascii="Arial" w:cs="Arial" w:eastAsia="Arial" w:hAnsi="Arial"/>
                <w:sz w:val="12"/>
                <w:szCs w:val="12"/>
                <w:b w:val="1"/>
                <w:bCs w:val="1"/>
                <w:color w:val="auto"/>
                <w:w w:val="99"/>
              </w:rPr>
              <w:t>CONDENSED CONSOLIDATED STATEMENTS OF OPERATIONS</w:t>
            </w: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4000" w:type="dxa"/>
            <w:vAlign w:val="bottom"/>
            <w:gridSpan w:val="5"/>
          </w:tcPr>
          <w:p>
            <w:pPr>
              <w:jc w:val="right"/>
              <w:ind w:right="828"/>
              <w:spacing w:after="0"/>
              <w:rPr>
                <w:sz w:val="20"/>
                <w:szCs w:val="20"/>
                <w:color w:val="auto"/>
              </w:rPr>
            </w:pPr>
            <w:r>
              <w:rPr>
                <w:rFonts w:ascii="Arial" w:cs="Arial" w:eastAsia="Arial" w:hAnsi="Arial"/>
                <w:sz w:val="12"/>
                <w:szCs w:val="12"/>
                <w:color w:val="auto"/>
              </w:rPr>
              <w:t>(Amounts in thousands, except per share data)</w:t>
            </w: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80" w:type="dxa"/>
            <w:vAlign w:val="bottom"/>
          </w:tcPr>
          <w:p>
            <w:pPr>
              <w:jc w:val="center"/>
              <w:ind w:left="160"/>
              <w:spacing w:after="0"/>
              <w:rPr>
                <w:sz w:val="20"/>
                <w:szCs w:val="20"/>
                <w:color w:val="auto"/>
              </w:rPr>
            </w:pPr>
            <w:r>
              <w:rPr>
                <w:rFonts w:ascii="Arial" w:cs="Arial" w:eastAsia="Arial" w:hAnsi="Arial"/>
                <w:sz w:val="12"/>
                <w:szCs w:val="12"/>
                <w:color w:val="auto"/>
                <w:w w:val="92"/>
              </w:rPr>
              <w:t>(Unaudited)</w:t>
            </w: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60" w:type="dxa"/>
            <w:vAlign w:val="bottom"/>
            <w:gridSpan w:val="3"/>
          </w:tcPr>
          <w:p>
            <w:pPr>
              <w:jc w:val="right"/>
              <w:ind w:right="828"/>
              <w:spacing w:after="0"/>
              <w:rPr>
                <w:sz w:val="20"/>
                <w:szCs w:val="20"/>
                <w:color w:val="auto"/>
              </w:rPr>
            </w:pPr>
            <w:r>
              <w:rPr>
                <w:rFonts w:ascii="Arial" w:cs="Arial" w:eastAsia="Arial" w:hAnsi="Arial"/>
                <w:sz w:val="12"/>
                <w:szCs w:val="12"/>
                <w:b w:val="1"/>
                <w:bCs w:val="1"/>
                <w:color w:val="auto"/>
              </w:rPr>
              <w:t>FOR THE</w:t>
            </w: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80" w:type="dxa"/>
            <w:vAlign w:val="bottom"/>
            <w:gridSpan w:val="3"/>
          </w:tcPr>
          <w:p>
            <w:pPr>
              <w:jc w:val="right"/>
              <w:ind w:right="370"/>
              <w:spacing w:after="0"/>
              <w:rPr>
                <w:sz w:val="20"/>
                <w:szCs w:val="20"/>
                <w:color w:val="auto"/>
              </w:rPr>
            </w:pPr>
            <w:r>
              <w:rPr>
                <w:rFonts w:ascii="Arial" w:cs="Arial" w:eastAsia="Arial" w:hAnsi="Arial"/>
                <w:sz w:val="12"/>
                <w:szCs w:val="12"/>
                <w:b w:val="1"/>
                <w:bCs w:val="1"/>
                <w:color w:val="auto"/>
              </w:rPr>
              <w:t>FOR THE</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540" w:type="dxa"/>
            <w:vAlign w:val="bottom"/>
            <w:gridSpan w:val="4"/>
          </w:tcPr>
          <w:p>
            <w:pPr>
              <w:jc w:val="right"/>
              <w:ind w:right="388"/>
              <w:spacing w:after="0"/>
              <w:rPr>
                <w:sz w:val="20"/>
                <w:szCs w:val="20"/>
                <w:color w:val="auto"/>
              </w:rPr>
            </w:pPr>
            <w:r>
              <w:rPr>
                <w:rFonts w:ascii="Arial" w:cs="Arial" w:eastAsia="Arial" w:hAnsi="Arial"/>
                <w:sz w:val="12"/>
                <w:szCs w:val="12"/>
                <w:b w:val="1"/>
                <w:bCs w:val="1"/>
                <w:color w:val="auto"/>
              </w:rPr>
              <w:t>THREE MONTHS ENDED</w:t>
            </w: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80" w:type="dxa"/>
            <w:vAlign w:val="bottom"/>
            <w:gridSpan w:val="3"/>
          </w:tcPr>
          <w:p>
            <w:pPr>
              <w:jc w:val="right"/>
              <w:spacing w:after="0"/>
              <w:rPr>
                <w:sz w:val="20"/>
                <w:szCs w:val="20"/>
                <w:color w:val="auto"/>
              </w:rPr>
            </w:pPr>
            <w:r>
              <w:rPr>
                <w:rFonts w:ascii="Arial" w:cs="Arial" w:eastAsia="Arial" w:hAnsi="Arial"/>
                <w:sz w:val="12"/>
                <w:szCs w:val="12"/>
                <w:b w:val="1"/>
                <w:bCs w:val="1"/>
                <w:color w:val="auto"/>
              </w:rPr>
              <w:t>NINE MONTHS ENDED</w:t>
            </w: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3"/>
          </w:tcPr>
          <w:p>
            <w:pPr>
              <w:jc w:val="right"/>
              <w:ind w:right="628"/>
              <w:spacing w:after="0"/>
              <w:rPr>
                <w:sz w:val="20"/>
                <w:szCs w:val="20"/>
                <w:color w:val="auto"/>
              </w:rPr>
            </w:pPr>
            <w:r>
              <w:rPr>
                <w:rFonts w:ascii="Arial" w:cs="Arial" w:eastAsia="Arial" w:hAnsi="Arial"/>
                <w:sz w:val="12"/>
                <w:szCs w:val="12"/>
                <w:b w:val="1"/>
                <w:bCs w:val="1"/>
                <w:color w:val="auto"/>
              </w:rPr>
              <w:t>SEPTEMBER 30,</w:t>
            </w:r>
          </w:p>
        </w:tc>
        <w:tc>
          <w:tcPr>
            <w:tcW w:w="46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3"/>
          </w:tcPr>
          <w:p>
            <w:pPr>
              <w:jc w:val="right"/>
              <w:ind w:right="190"/>
              <w:spacing w:after="0"/>
              <w:rPr>
                <w:sz w:val="20"/>
                <w:szCs w:val="20"/>
                <w:color w:val="auto"/>
              </w:rPr>
            </w:pPr>
            <w:r>
              <w:rPr>
                <w:rFonts w:ascii="Arial" w:cs="Arial" w:eastAsia="Arial" w:hAnsi="Arial"/>
                <w:sz w:val="12"/>
                <w:szCs w:val="12"/>
                <w:b w:val="1"/>
                <w:bCs w:val="1"/>
                <w:color w:val="auto"/>
              </w:rPr>
              <w:t>SEPTEMBER 30,</w:t>
            </w:r>
          </w:p>
        </w:tc>
        <w:tc>
          <w:tcPr>
            <w:tcW w:w="8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rPr>
              <w:t>2012</w:t>
            </w:r>
          </w:p>
        </w:tc>
        <w:tc>
          <w:tcPr>
            <w:tcW w:w="50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Borders>
              <w:bottom w:val="single" w:sz="8" w:color="auto"/>
            </w:tcBorders>
          </w:tcPr>
          <w:p>
            <w:pPr>
              <w:jc w:val="right"/>
              <w:ind w:right="88"/>
              <w:spacing w:after="0"/>
              <w:rPr>
                <w:sz w:val="20"/>
                <w:szCs w:val="20"/>
                <w:color w:val="auto"/>
              </w:rPr>
            </w:pPr>
            <w:r>
              <w:rPr>
                <w:rFonts w:ascii="Arial" w:cs="Arial" w:eastAsia="Arial" w:hAnsi="Arial"/>
                <w:sz w:val="12"/>
                <w:szCs w:val="12"/>
                <w:b w:val="1"/>
                <w:bCs w:val="1"/>
                <w:color w:val="auto"/>
              </w:rPr>
              <w:t>2011</w:t>
            </w:r>
          </w:p>
        </w:tc>
        <w:tc>
          <w:tcPr>
            <w:tcW w:w="46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40"/>
              <w:spacing w:after="0"/>
              <w:rPr>
                <w:sz w:val="20"/>
                <w:szCs w:val="20"/>
                <w:color w:val="auto"/>
              </w:rPr>
            </w:pPr>
            <w:r>
              <w:rPr>
                <w:rFonts w:ascii="Arial" w:cs="Arial" w:eastAsia="Arial" w:hAnsi="Arial"/>
                <w:sz w:val="12"/>
                <w:szCs w:val="12"/>
                <w:b w:val="1"/>
                <w:bCs w:val="1"/>
                <w:color w:val="auto"/>
              </w:rPr>
              <w:t>2012</w:t>
            </w:r>
          </w:p>
        </w:tc>
        <w:tc>
          <w:tcPr>
            <w:tcW w:w="22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540"/>
              <w:spacing w:after="0"/>
              <w:rPr>
                <w:sz w:val="20"/>
                <w:szCs w:val="20"/>
                <w:color w:val="auto"/>
              </w:rPr>
            </w:pPr>
            <w:r>
              <w:rPr>
                <w:rFonts w:ascii="Arial" w:cs="Arial" w:eastAsia="Arial" w:hAnsi="Arial"/>
                <w:sz w:val="12"/>
                <w:szCs w:val="12"/>
                <w:b w:val="1"/>
                <w:bCs w:val="1"/>
                <w:color w:val="auto"/>
                <w:w w:val="97"/>
              </w:rPr>
              <w:t>2011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Revenues</w:t>
            </w:r>
          </w:p>
        </w:tc>
        <w:tc>
          <w:tcPr>
            <w:tcW w:w="2340" w:type="dxa"/>
            <w:vAlign w:val="bottom"/>
            <w:gridSpan w:val="2"/>
            <w:shd w:val="clear" w:color="auto" w:fill="CCEEFF"/>
          </w:tcPr>
          <w:p>
            <w:pPr>
              <w:jc w:val="right"/>
              <w:ind w:right="760"/>
              <w:spacing w:after="0"/>
              <w:rPr>
                <w:sz w:val="20"/>
                <w:szCs w:val="20"/>
                <w:color w:val="auto"/>
              </w:rPr>
            </w:pPr>
            <w:r>
              <w:rPr>
                <w:rFonts w:ascii="Arial" w:cs="Arial" w:eastAsia="Arial" w:hAnsi="Arial"/>
                <w:sz w:val="12"/>
                <w:szCs w:val="12"/>
                <w:b w:val="1"/>
                <w:bCs w:val="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5,659</w:t>
            </w: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808"/>
              <w:spacing w:after="0"/>
              <w:rPr>
                <w:sz w:val="20"/>
                <w:szCs w:val="20"/>
                <w:color w:val="auto"/>
              </w:rPr>
            </w:pPr>
            <w:r>
              <w:rPr>
                <w:rFonts w:ascii="Arial" w:cs="Arial" w:eastAsia="Arial" w:hAnsi="Arial"/>
                <w:sz w:val="10"/>
                <w:szCs w:val="10"/>
                <w:b w:val="1"/>
                <w:bCs w:val="1"/>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2,502</w:t>
            </w: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70"/>
              <w:spacing w:after="0"/>
              <w:rPr>
                <w:sz w:val="20"/>
                <w:szCs w:val="20"/>
                <w:color w:val="auto"/>
              </w:rPr>
            </w:pPr>
            <w:r>
              <w:rPr>
                <w:rFonts w:ascii="Arial" w:cs="Arial" w:eastAsia="Arial" w:hAnsi="Arial"/>
                <w:sz w:val="10"/>
                <w:szCs w:val="10"/>
                <w:b w:val="1"/>
                <w:bCs w:val="1"/>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14,017</w:t>
            </w: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370"/>
              <w:spacing w:after="0"/>
              <w:rPr>
                <w:sz w:val="20"/>
                <w:szCs w:val="20"/>
                <w:color w:val="auto"/>
              </w:rPr>
            </w:pPr>
            <w:r>
              <w:rPr>
                <w:rFonts w:ascii="Arial" w:cs="Arial" w:eastAsia="Arial" w:hAnsi="Arial"/>
                <w:sz w:val="10"/>
                <w:szCs w:val="10"/>
                <w:b w:val="1"/>
                <w:bCs w:val="1"/>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7,293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700" w:type="dxa"/>
            <w:vAlign w:val="bottom"/>
            <w:gridSpan w:val="2"/>
          </w:tcPr>
          <w:p>
            <w:pPr>
              <w:spacing w:after="0"/>
              <w:rPr>
                <w:sz w:val="20"/>
                <w:szCs w:val="20"/>
                <w:color w:val="auto"/>
              </w:rPr>
            </w:pPr>
            <w:r>
              <w:rPr>
                <w:rFonts w:ascii="Arial" w:cs="Arial" w:eastAsia="Arial" w:hAnsi="Arial"/>
                <w:sz w:val="12"/>
                <w:szCs w:val="12"/>
                <w:b w:val="1"/>
                <w:bCs w:val="1"/>
                <w:color w:val="auto"/>
              </w:rPr>
              <w:t>Cost of Sales</w:t>
            </w:r>
          </w:p>
        </w:tc>
        <w:tc>
          <w:tcPr>
            <w:tcW w:w="1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rPr>
              <w:t>(936 )</w:t>
            </w:r>
          </w:p>
        </w:tc>
        <w:tc>
          <w:tcPr>
            <w:tcW w:w="920" w:type="dxa"/>
            <w:vAlign w:val="bottom"/>
          </w:tcPr>
          <w:p>
            <w:pPr>
              <w:spacing w:after="0"/>
              <w:rPr>
                <w:sz w:val="12"/>
                <w:szCs w:val="12"/>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rPr>
              <w:t>(486 )</w:t>
            </w:r>
          </w:p>
        </w:tc>
        <w:tc>
          <w:tcPr>
            <w:tcW w:w="280" w:type="dxa"/>
            <w:vAlign w:val="bottom"/>
          </w:tcPr>
          <w:p>
            <w:pPr>
              <w:spacing w:after="0"/>
              <w:rPr>
                <w:sz w:val="12"/>
                <w:szCs w:val="12"/>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rPr>
              <w:t>(2,973 )</w:t>
            </w:r>
          </w:p>
        </w:tc>
        <w:tc>
          <w:tcPr>
            <w:tcW w:w="480" w:type="dxa"/>
            <w:vAlign w:val="bottom"/>
          </w:tcPr>
          <w:p>
            <w:pPr>
              <w:spacing w:after="0"/>
              <w:rPr>
                <w:sz w:val="12"/>
                <w:szCs w:val="12"/>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rPr>
              <w:t>(1,363 )</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Gross Margin</w:t>
            </w:r>
          </w:p>
        </w:tc>
        <w:tc>
          <w:tcPr>
            <w:tcW w:w="1460" w:type="dxa"/>
            <w:vAlign w:val="bottom"/>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4,723</w:t>
            </w:r>
          </w:p>
        </w:tc>
        <w:tc>
          <w:tcPr>
            <w:tcW w:w="240" w:type="dxa"/>
            <w:vAlign w:val="bottom"/>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2,016</w:t>
            </w:r>
          </w:p>
        </w:tc>
        <w:tc>
          <w:tcPr>
            <w:tcW w:w="240" w:type="dxa"/>
            <w:vAlign w:val="bottom"/>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11,044</w:t>
            </w:r>
          </w:p>
        </w:tc>
        <w:tc>
          <w:tcPr>
            <w:tcW w:w="220" w:type="dxa"/>
            <w:vAlign w:val="bottom"/>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5,930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66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Operating Expenses:</w:t>
            </w:r>
          </w:p>
        </w:tc>
        <w:tc>
          <w:tcPr>
            <w:tcW w:w="14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700" w:type="dxa"/>
            <w:vAlign w:val="bottom"/>
            <w:gridSpan w:val="2"/>
          </w:tcPr>
          <w:p>
            <w:pPr>
              <w:ind w:left="180"/>
              <w:spacing w:after="0"/>
              <w:rPr>
                <w:sz w:val="20"/>
                <w:szCs w:val="20"/>
                <w:color w:val="auto"/>
              </w:rPr>
            </w:pPr>
            <w:r>
              <w:rPr>
                <w:rFonts w:ascii="Arial" w:cs="Arial" w:eastAsia="Arial" w:hAnsi="Arial"/>
                <w:sz w:val="12"/>
                <w:szCs w:val="12"/>
                <w:color w:val="auto"/>
              </w:rPr>
              <w:t>Selling, general and administrative</w:t>
            </w:r>
          </w:p>
        </w:tc>
        <w:tc>
          <w:tcPr>
            <w:tcW w:w="1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3,975</w:t>
            </w: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1,526</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8,443</w:t>
            </w: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4,340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70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Research and development</w:t>
            </w:r>
          </w:p>
        </w:tc>
        <w:tc>
          <w:tcPr>
            <w:tcW w:w="14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809</w:t>
            </w: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366</w:t>
            </w: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1,991</w:t>
            </w: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1,150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700" w:type="dxa"/>
            <w:vAlign w:val="bottom"/>
            <w:gridSpan w:val="2"/>
          </w:tcPr>
          <w:p>
            <w:pPr>
              <w:ind w:left="180"/>
              <w:spacing w:after="0"/>
              <w:rPr>
                <w:sz w:val="20"/>
                <w:szCs w:val="20"/>
                <w:color w:val="auto"/>
              </w:rPr>
            </w:pPr>
            <w:r>
              <w:rPr>
                <w:rFonts w:ascii="Arial" w:cs="Arial" w:eastAsia="Arial" w:hAnsi="Arial"/>
                <w:sz w:val="12"/>
                <w:szCs w:val="12"/>
                <w:color w:val="auto"/>
              </w:rPr>
              <w:t>Amortization of intangible assets</w:t>
            </w:r>
          </w:p>
        </w:tc>
        <w:tc>
          <w:tcPr>
            <w:tcW w:w="1460" w:type="dxa"/>
            <w:vAlign w:val="bottom"/>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573</w:t>
            </w:r>
          </w:p>
        </w:tc>
        <w:tc>
          <w:tcPr>
            <w:tcW w:w="240" w:type="dxa"/>
            <w:vAlign w:val="bottom"/>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150</w:t>
            </w:r>
          </w:p>
        </w:tc>
        <w:tc>
          <w:tcPr>
            <w:tcW w:w="2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1,158</w:t>
            </w:r>
          </w:p>
        </w:tc>
        <w:tc>
          <w:tcPr>
            <w:tcW w:w="22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449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Total Operating Expenses</w:t>
            </w:r>
          </w:p>
        </w:tc>
        <w:tc>
          <w:tcPr>
            <w:tcW w:w="14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5,357</w:t>
            </w: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2,042</w:t>
            </w: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11,592</w:t>
            </w: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5,939</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66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(Loss) From Operations</w:t>
            </w:r>
          </w:p>
        </w:tc>
        <w:tc>
          <w:tcPr>
            <w:tcW w:w="14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b w:val="1"/>
                <w:bCs w:val="1"/>
                <w:color w:val="auto"/>
              </w:rPr>
              <w:t>(634 )</w:t>
            </w:r>
          </w:p>
        </w:tc>
        <w:tc>
          <w:tcPr>
            <w:tcW w:w="9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b w:val="1"/>
                <w:bCs w:val="1"/>
                <w:color w:val="auto"/>
              </w:rPr>
              <w:t>(26 )</w:t>
            </w:r>
          </w:p>
        </w:tc>
        <w:tc>
          <w:tcPr>
            <w:tcW w:w="28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b w:val="1"/>
                <w:bCs w:val="1"/>
                <w:color w:val="auto"/>
              </w:rPr>
              <w:t>(548 )</w:t>
            </w:r>
          </w:p>
        </w:tc>
        <w:tc>
          <w:tcPr>
            <w:tcW w:w="4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b w:val="1"/>
                <w:bCs w:val="1"/>
                <w:color w:val="auto"/>
              </w:rPr>
              <w:t>(9 )</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66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Other Income (Expenses):</w:t>
            </w:r>
          </w:p>
        </w:tc>
        <w:tc>
          <w:tcPr>
            <w:tcW w:w="14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700" w:type="dxa"/>
            <w:vAlign w:val="bottom"/>
            <w:gridSpan w:val="2"/>
          </w:tcPr>
          <w:p>
            <w:pPr>
              <w:ind w:left="180"/>
              <w:spacing w:after="0"/>
              <w:rPr>
                <w:sz w:val="20"/>
                <w:szCs w:val="20"/>
                <w:color w:val="auto"/>
              </w:rPr>
            </w:pPr>
            <w:r>
              <w:rPr>
                <w:rFonts w:ascii="Arial" w:cs="Arial" w:eastAsia="Arial" w:hAnsi="Arial"/>
                <w:sz w:val="12"/>
                <w:szCs w:val="12"/>
                <w:color w:val="auto"/>
              </w:rPr>
              <w:t>Interest income</w:t>
            </w:r>
          </w:p>
        </w:tc>
        <w:tc>
          <w:tcPr>
            <w:tcW w:w="1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2</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3</w:t>
            </w: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70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Foreign currency translation gain/(loss)</w:t>
            </w:r>
          </w:p>
        </w:tc>
        <w:tc>
          <w:tcPr>
            <w:tcW w:w="14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w:t>
            </w: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67</w:t>
            </w: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(22 )</w:t>
            </w:r>
          </w:p>
        </w:tc>
        <w:tc>
          <w:tcPr>
            <w:tcW w:w="4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700" w:type="dxa"/>
            <w:vAlign w:val="bottom"/>
            <w:gridSpan w:val="2"/>
          </w:tcPr>
          <w:p>
            <w:pPr>
              <w:ind w:left="180"/>
              <w:spacing w:after="0"/>
              <w:rPr>
                <w:sz w:val="20"/>
                <w:szCs w:val="20"/>
                <w:color w:val="auto"/>
              </w:rPr>
            </w:pPr>
            <w:r>
              <w:rPr>
                <w:rFonts w:ascii="Arial" w:cs="Arial" w:eastAsia="Arial" w:hAnsi="Arial"/>
                <w:sz w:val="12"/>
                <w:szCs w:val="12"/>
                <w:color w:val="auto"/>
              </w:rPr>
              <w:t>Gain/ (Loss) on disposal of assets</w:t>
            </w:r>
          </w:p>
        </w:tc>
        <w:tc>
          <w:tcPr>
            <w:tcW w:w="1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9</w:t>
            </w: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2"/>
                <w:szCs w:val="12"/>
                <w:color w:val="auto"/>
              </w:rPr>
              <w:t>(28 )</w:t>
            </w:r>
          </w:p>
        </w:tc>
        <w:tc>
          <w:tcPr>
            <w:tcW w:w="4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70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(Loss) on debt conversion</w:t>
            </w:r>
          </w:p>
        </w:tc>
        <w:tc>
          <w:tcPr>
            <w:tcW w:w="14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(198 )</w:t>
            </w:r>
          </w:p>
        </w:tc>
        <w:tc>
          <w:tcPr>
            <w:tcW w:w="4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700" w:type="dxa"/>
            <w:vAlign w:val="bottom"/>
            <w:gridSpan w:val="2"/>
          </w:tcPr>
          <w:p>
            <w:pPr>
              <w:ind w:left="180"/>
              <w:spacing w:after="0"/>
              <w:rPr>
                <w:sz w:val="20"/>
                <w:szCs w:val="20"/>
                <w:color w:val="auto"/>
              </w:rPr>
            </w:pPr>
            <w:r>
              <w:rPr>
                <w:rFonts w:ascii="Arial" w:cs="Arial" w:eastAsia="Arial" w:hAnsi="Arial"/>
                <w:sz w:val="12"/>
                <w:szCs w:val="12"/>
                <w:color w:val="auto"/>
                <w:w w:val="96"/>
              </w:rPr>
              <w:t>Interest expense- amortization of OID and derivative mark-to market</w:t>
            </w:r>
          </w:p>
        </w:tc>
        <w:tc>
          <w:tcPr>
            <w:tcW w:w="1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2"/>
                <w:szCs w:val="12"/>
                <w:color w:val="auto"/>
              </w:rPr>
              <w:t>(60 )</w:t>
            </w:r>
          </w:p>
        </w:tc>
        <w:tc>
          <w:tcPr>
            <w:tcW w:w="9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2"/>
                <w:szCs w:val="12"/>
                <w:color w:val="auto"/>
              </w:rPr>
              <w:t>(651 )</w:t>
            </w:r>
          </w:p>
        </w:tc>
        <w:tc>
          <w:tcPr>
            <w:tcW w:w="4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70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Interest expense and other</w:t>
            </w:r>
          </w:p>
        </w:tc>
        <w:tc>
          <w:tcPr>
            <w:tcW w:w="14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(520 )</w:t>
            </w:r>
          </w:p>
        </w:tc>
        <w:tc>
          <w:tcPr>
            <w:tcW w:w="9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(5 )</w:t>
            </w:r>
          </w:p>
        </w:tc>
        <w:tc>
          <w:tcPr>
            <w:tcW w:w="28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(759 )</w:t>
            </w:r>
          </w:p>
        </w:tc>
        <w:tc>
          <w:tcPr>
            <w:tcW w:w="4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(20 )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304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700" w:type="dxa"/>
            <w:vAlign w:val="bottom"/>
            <w:gridSpan w:val="2"/>
          </w:tcPr>
          <w:p>
            <w:pPr>
              <w:spacing w:after="0"/>
              <w:rPr>
                <w:sz w:val="20"/>
                <w:szCs w:val="20"/>
                <w:color w:val="auto"/>
              </w:rPr>
            </w:pPr>
            <w:r>
              <w:rPr>
                <w:rFonts w:ascii="Arial" w:cs="Arial" w:eastAsia="Arial" w:hAnsi="Arial"/>
                <w:sz w:val="12"/>
                <w:szCs w:val="12"/>
                <w:b w:val="1"/>
                <w:bCs w:val="1"/>
                <w:color w:val="auto"/>
              </w:rPr>
              <w:t>Total Other Income/ (Expense)</w:t>
            </w:r>
          </w:p>
        </w:tc>
        <w:tc>
          <w:tcPr>
            <w:tcW w:w="1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rPr>
              <w:t>(564 )</w:t>
            </w:r>
          </w:p>
        </w:tc>
        <w:tc>
          <w:tcPr>
            <w:tcW w:w="9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b w:val="1"/>
                <w:bCs w:val="1"/>
                <w:color w:val="auto"/>
              </w:rPr>
              <w:t>64</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rPr>
              <w:t>(1,655 )</w:t>
            </w:r>
          </w:p>
        </w:tc>
        <w:tc>
          <w:tcPr>
            <w:tcW w:w="4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b w:val="1"/>
                <w:bCs w:val="1"/>
                <w:color w:val="auto"/>
              </w:rPr>
              <w:t>35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4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700" w:type="dxa"/>
            <w:vAlign w:val="bottom"/>
            <w:gridSpan w:val="2"/>
          </w:tcPr>
          <w:p>
            <w:pPr>
              <w:spacing w:after="0"/>
              <w:rPr>
                <w:sz w:val="20"/>
                <w:szCs w:val="20"/>
                <w:color w:val="auto"/>
              </w:rPr>
            </w:pPr>
            <w:r>
              <w:rPr>
                <w:rFonts w:ascii="Arial" w:cs="Arial" w:eastAsia="Arial" w:hAnsi="Arial"/>
                <w:sz w:val="12"/>
                <w:szCs w:val="12"/>
                <w:color w:val="auto"/>
              </w:rPr>
              <w:t>(Loss)/Income From Operations Before Income Taxes</w:t>
            </w:r>
          </w:p>
        </w:tc>
        <w:tc>
          <w:tcPr>
            <w:tcW w:w="1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2"/>
                <w:szCs w:val="12"/>
                <w:color w:val="auto"/>
              </w:rPr>
              <w:t>(1,198 )</w:t>
            </w:r>
          </w:p>
        </w:tc>
        <w:tc>
          <w:tcPr>
            <w:tcW w:w="9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38</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2"/>
                <w:szCs w:val="12"/>
                <w:color w:val="auto"/>
              </w:rPr>
              <w:t>(2,203 )</w:t>
            </w:r>
          </w:p>
        </w:tc>
        <w:tc>
          <w:tcPr>
            <w:tcW w:w="4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26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Income Tax Expense</w:t>
            </w:r>
          </w:p>
        </w:tc>
        <w:tc>
          <w:tcPr>
            <w:tcW w:w="14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(30 )</w:t>
            </w:r>
          </w:p>
        </w:tc>
        <w:tc>
          <w:tcPr>
            <w:tcW w:w="9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(9 )</w:t>
            </w:r>
          </w:p>
        </w:tc>
        <w:tc>
          <w:tcPr>
            <w:tcW w:w="28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(196 )</w:t>
            </w:r>
          </w:p>
        </w:tc>
        <w:tc>
          <w:tcPr>
            <w:tcW w:w="4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(30 )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304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700" w:type="dxa"/>
            <w:vAlign w:val="bottom"/>
            <w:gridSpan w:val="2"/>
          </w:tcPr>
          <w:p>
            <w:pPr>
              <w:spacing w:after="0"/>
              <w:rPr>
                <w:sz w:val="20"/>
                <w:szCs w:val="20"/>
                <w:color w:val="auto"/>
              </w:rPr>
            </w:pPr>
            <w:r>
              <w:rPr>
                <w:rFonts w:ascii="Arial" w:cs="Arial" w:eastAsia="Arial" w:hAnsi="Arial"/>
                <w:sz w:val="12"/>
                <w:szCs w:val="12"/>
                <w:b w:val="1"/>
                <w:bCs w:val="1"/>
                <w:color w:val="auto"/>
              </w:rPr>
              <w:t>Net (Loss)/Income</w:t>
            </w:r>
          </w:p>
        </w:tc>
        <w:tc>
          <w:tcPr>
            <w:tcW w:w="2340" w:type="dxa"/>
            <w:vAlign w:val="bottom"/>
            <w:gridSpan w:val="2"/>
          </w:tcPr>
          <w:p>
            <w:pPr>
              <w:jc w:val="right"/>
              <w:ind w:right="760"/>
              <w:spacing w:after="0"/>
              <w:rPr>
                <w:sz w:val="20"/>
                <w:szCs w:val="20"/>
                <w:color w:val="auto"/>
              </w:rPr>
            </w:pPr>
            <w:r>
              <w:rPr>
                <w:rFonts w:ascii="Arial" w:cs="Arial" w:eastAsia="Arial" w:hAnsi="Arial"/>
                <w:sz w:val="12"/>
                <w:szCs w:val="12"/>
                <w:b w:val="1"/>
                <w:bCs w:val="1"/>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rPr>
              <w:t xml:space="preserve">(1,228 </w:t>
            </w:r>
            <w:r>
              <w:rPr>
                <w:rFonts w:ascii="Arial" w:cs="Arial" w:eastAsia="Arial" w:hAnsi="Arial"/>
                <w:sz w:val="12"/>
                <w:szCs w:val="12"/>
                <w:color w:val="auto"/>
              </w:rPr>
              <w:t>)</w:t>
            </w:r>
          </w:p>
        </w:tc>
        <w:tc>
          <w:tcPr>
            <w:tcW w:w="920" w:type="dxa"/>
            <w:vAlign w:val="bottom"/>
          </w:tcPr>
          <w:p>
            <w:pPr>
              <w:jc w:val="right"/>
              <w:ind w:right="808"/>
              <w:spacing w:after="0"/>
              <w:rPr>
                <w:sz w:val="20"/>
                <w:szCs w:val="20"/>
                <w:color w:val="auto"/>
              </w:rPr>
            </w:pPr>
            <w:r>
              <w:rPr>
                <w:rFonts w:ascii="Arial" w:cs="Arial" w:eastAsia="Arial" w:hAnsi="Arial"/>
                <w:sz w:val="10"/>
                <w:szCs w:val="10"/>
                <w:b w:val="1"/>
                <w:bCs w:val="1"/>
                <w:color w:val="auto"/>
                <w:w w:val="71"/>
              </w:rPr>
              <w:t>$</w:t>
            </w:r>
          </w:p>
        </w:tc>
        <w:tc>
          <w:tcPr>
            <w:tcW w:w="460" w:type="dxa"/>
            <w:vAlign w:val="bottom"/>
          </w:tcPr>
          <w:p>
            <w:pPr>
              <w:jc w:val="right"/>
              <w:spacing w:after="0"/>
              <w:rPr>
                <w:sz w:val="20"/>
                <w:szCs w:val="20"/>
                <w:color w:val="auto"/>
              </w:rPr>
            </w:pPr>
            <w:r>
              <w:rPr>
                <w:rFonts w:ascii="Arial" w:cs="Arial" w:eastAsia="Arial" w:hAnsi="Arial"/>
                <w:sz w:val="12"/>
                <w:szCs w:val="12"/>
                <w:b w:val="1"/>
                <w:bCs w:val="1"/>
                <w:color w:val="auto"/>
              </w:rPr>
              <w:t>29</w:t>
            </w:r>
          </w:p>
        </w:tc>
        <w:tc>
          <w:tcPr>
            <w:tcW w:w="240" w:type="dxa"/>
            <w:vAlign w:val="bottom"/>
          </w:tcPr>
          <w:p>
            <w:pPr>
              <w:spacing w:after="0"/>
              <w:rPr>
                <w:sz w:val="12"/>
                <w:szCs w:val="12"/>
                <w:color w:val="auto"/>
              </w:rPr>
            </w:pPr>
          </w:p>
        </w:tc>
        <w:tc>
          <w:tcPr>
            <w:tcW w:w="280" w:type="dxa"/>
            <w:vAlign w:val="bottom"/>
          </w:tcPr>
          <w:p>
            <w:pPr>
              <w:jc w:val="right"/>
              <w:ind w:right="170"/>
              <w:spacing w:after="0"/>
              <w:rPr>
                <w:sz w:val="20"/>
                <w:szCs w:val="20"/>
                <w:color w:val="auto"/>
              </w:rPr>
            </w:pPr>
            <w:r>
              <w:rPr>
                <w:rFonts w:ascii="Arial" w:cs="Arial" w:eastAsia="Arial" w:hAnsi="Arial"/>
                <w:sz w:val="10"/>
                <w:szCs w:val="10"/>
                <w:b w:val="1"/>
                <w:bCs w:val="1"/>
                <w:color w:val="auto"/>
                <w:w w:val="71"/>
              </w:rPr>
              <w:t>$</w:t>
            </w:r>
          </w:p>
        </w:tc>
        <w:tc>
          <w:tcPr>
            <w:tcW w:w="130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rPr>
              <w:t xml:space="preserve">(2,399 </w:t>
            </w:r>
            <w:r>
              <w:rPr>
                <w:rFonts w:ascii="Arial" w:cs="Arial" w:eastAsia="Arial" w:hAnsi="Arial"/>
                <w:sz w:val="12"/>
                <w:szCs w:val="12"/>
                <w:color w:val="auto"/>
              </w:rPr>
              <w:t>)</w:t>
            </w:r>
          </w:p>
        </w:tc>
        <w:tc>
          <w:tcPr>
            <w:tcW w:w="480" w:type="dxa"/>
            <w:vAlign w:val="bottom"/>
          </w:tcPr>
          <w:p>
            <w:pPr>
              <w:jc w:val="right"/>
              <w:ind w:right="370"/>
              <w:spacing w:after="0"/>
              <w:rPr>
                <w:sz w:val="20"/>
                <w:szCs w:val="20"/>
                <w:color w:val="auto"/>
              </w:rPr>
            </w:pPr>
            <w:r>
              <w:rPr>
                <w:rFonts w:ascii="Arial" w:cs="Arial" w:eastAsia="Arial" w:hAnsi="Arial"/>
                <w:sz w:val="10"/>
                <w:szCs w:val="10"/>
                <w:b w:val="1"/>
                <w:bCs w:val="1"/>
                <w:color w:val="auto"/>
                <w:w w:val="71"/>
              </w:rPr>
              <w:t>$</w:t>
            </w:r>
          </w:p>
        </w:tc>
        <w:tc>
          <w:tcPr>
            <w:tcW w:w="100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rPr>
              <w:t xml:space="preserve">(4 </w:t>
            </w: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vMerge w:val="restart"/>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3040" w:type="dxa"/>
            <w:vAlign w:val="bottom"/>
            <w:shd w:val="clear" w:color="auto" w:fill="CCEEFF"/>
          </w:tcPr>
          <w:p>
            <w:pPr>
              <w:spacing w:after="0"/>
              <w:rPr>
                <w:sz w:val="10"/>
                <w:szCs w:val="10"/>
                <w:color w:val="auto"/>
              </w:rPr>
            </w:pPr>
          </w:p>
        </w:tc>
        <w:tc>
          <w:tcPr>
            <w:tcW w:w="14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700" w:type="dxa"/>
            <w:vAlign w:val="bottom"/>
            <w:gridSpan w:val="2"/>
          </w:tcPr>
          <w:p>
            <w:pPr>
              <w:spacing w:after="0"/>
              <w:rPr>
                <w:sz w:val="20"/>
                <w:szCs w:val="20"/>
                <w:color w:val="auto"/>
              </w:rPr>
            </w:pPr>
            <w:r>
              <w:rPr>
                <w:rFonts w:ascii="Arial" w:cs="Arial" w:eastAsia="Arial" w:hAnsi="Arial"/>
                <w:sz w:val="12"/>
                <w:szCs w:val="12"/>
                <w:b w:val="1"/>
                <w:bCs w:val="1"/>
                <w:color w:val="auto"/>
              </w:rPr>
              <w:t>Basic (Loss)/Income Per Share</w:t>
            </w:r>
          </w:p>
        </w:tc>
        <w:tc>
          <w:tcPr>
            <w:tcW w:w="2340" w:type="dxa"/>
            <w:vAlign w:val="bottom"/>
            <w:gridSpan w:val="2"/>
          </w:tcPr>
          <w:p>
            <w:pPr>
              <w:jc w:val="right"/>
              <w:ind w:right="760"/>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2"/>
                <w:szCs w:val="12"/>
                <w:color w:val="auto"/>
              </w:rPr>
              <w:t>(0.23 )</w:t>
            </w:r>
          </w:p>
        </w:tc>
        <w:tc>
          <w:tcPr>
            <w:tcW w:w="920" w:type="dxa"/>
            <w:vAlign w:val="bottom"/>
          </w:tcPr>
          <w:p>
            <w:pPr>
              <w:jc w:val="right"/>
              <w:ind w:right="808"/>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2"/>
                <w:szCs w:val="12"/>
                <w:color w:val="auto"/>
              </w:rPr>
              <w:t>0.01</w:t>
            </w:r>
          </w:p>
        </w:tc>
        <w:tc>
          <w:tcPr>
            <w:tcW w:w="240" w:type="dxa"/>
            <w:vAlign w:val="bottom"/>
          </w:tcPr>
          <w:p>
            <w:pPr>
              <w:spacing w:after="0"/>
              <w:rPr>
                <w:sz w:val="12"/>
                <w:szCs w:val="12"/>
                <w:color w:val="auto"/>
              </w:rPr>
            </w:pP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1300" w:type="dxa"/>
            <w:vAlign w:val="bottom"/>
            <w:gridSpan w:val="2"/>
          </w:tcPr>
          <w:p>
            <w:pPr>
              <w:jc w:val="right"/>
              <w:ind w:right="180"/>
              <w:spacing w:after="0"/>
              <w:rPr>
                <w:sz w:val="20"/>
                <w:szCs w:val="20"/>
                <w:color w:val="auto"/>
              </w:rPr>
            </w:pPr>
            <w:r>
              <w:rPr>
                <w:rFonts w:ascii="Arial" w:cs="Arial" w:eastAsia="Arial" w:hAnsi="Arial"/>
                <w:sz w:val="12"/>
                <w:szCs w:val="12"/>
                <w:color w:val="auto"/>
              </w:rPr>
              <w:t>(0.48 )</w:t>
            </w:r>
          </w:p>
        </w:tc>
        <w:tc>
          <w:tcPr>
            <w:tcW w:w="480" w:type="dxa"/>
            <w:vAlign w:val="bottom"/>
          </w:tcPr>
          <w:p>
            <w:pPr>
              <w:jc w:val="right"/>
              <w:ind w:right="370"/>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80"/>
              <w:spacing w:after="0"/>
              <w:rPr>
                <w:sz w:val="20"/>
                <w:szCs w:val="20"/>
                <w:color w:val="auto"/>
              </w:rPr>
            </w:pPr>
            <w:r>
              <w:rPr>
                <w:rFonts w:ascii="Arial" w:cs="Arial" w:eastAsia="Arial" w:hAnsi="Arial"/>
                <w:sz w:val="12"/>
                <w:szCs w:val="12"/>
                <w:color w:val="auto"/>
              </w:rPr>
              <w:t>(0.00 )</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Diluted (Loss)/Income Per Share</w:t>
            </w:r>
          </w:p>
        </w:tc>
        <w:tc>
          <w:tcPr>
            <w:tcW w:w="2340" w:type="dxa"/>
            <w:vAlign w:val="bottom"/>
            <w:gridSpan w:val="2"/>
            <w:shd w:val="clear" w:color="auto" w:fill="CCEEFF"/>
          </w:tcPr>
          <w:p>
            <w:pPr>
              <w:jc w:val="right"/>
              <w:ind w:right="760"/>
              <w:spacing w:after="0"/>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(0.23 )</w:t>
            </w:r>
          </w:p>
        </w:tc>
        <w:tc>
          <w:tcPr>
            <w:tcW w:w="920" w:type="dxa"/>
            <w:vAlign w:val="bottom"/>
            <w:shd w:val="clear" w:color="auto" w:fill="CCEEFF"/>
          </w:tcPr>
          <w:p>
            <w:pPr>
              <w:jc w:val="right"/>
              <w:ind w:right="808"/>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0.01</w:t>
            </w: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70"/>
              <w:spacing w:after="0"/>
              <w:rPr>
                <w:sz w:val="20"/>
                <w:szCs w:val="20"/>
                <w:color w:val="auto"/>
              </w:rPr>
            </w:pPr>
            <w:r>
              <w:rPr>
                <w:rFonts w:ascii="Arial" w:cs="Arial" w:eastAsia="Arial" w:hAnsi="Arial"/>
                <w:sz w:val="10"/>
                <w:szCs w:val="10"/>
                <w:color w:val="auto"/>
                <w:w w:val="71"/>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(0.48 )</w:t>
            </w:r>
          </w:p>
        </w:tc>
        <w:tc>
          <w:tcPr>
            <w:tcW w:w="480" w:type="dxa"/>
            <w:vAlign w:val="bottom"/>
            <w:shd w:val="clear" w:color="auto" w:fill="CCEEFF"/>
          </w:tcPr>
          <w:p>
            <w:pPr>
              <w:jc w:val="right"/>
              <w:ind w:right="370"/>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(0.00 )</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66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Shares Used In Computing Basic (Loss)/Income Per Share</w:t>
            </w:r>
          </w:p>
        </w:tc>
        <w:tc>
          <w:tcPr>
            <w:tcW w:w="14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5,245</w:t>
            </w: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4,627</w:t>
            </w: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4,976</w:t>
            </w: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4,627</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700" w:type="dxa"/>
            <w:vAlign w:val="bottom"/>
            <w:gridSpan w:val="2"/>
          </w:tcPr>
          <w:p>
            <w:pPr>
              <w:spacing w:after="0"/>
              <w:rPr>
                <w:sz w:val="20"/>
                <w:szCs w:val="20"/>
                <w:color w:val="auto"/>
              </w:rPr>
            </w:pPr>
            <w:r>
              <w:rPr>
                <w:rFonts w:ascii="Arial" w:cs="Arial" w:eastAsia="Arial" w:hAnsi="Arial"/>
                <w:sz w:val="12"/>
                <w:szCs w:val="12"/>
                <w:b w:val="1"/>
                <w:bCs w:val="1"/>
                <w:color w:val="auto"/>
              </w:rPr>
              <w:t>Shares Used In Computing Diluted (Loss)/Income Per Share</w:t>
            </w:r>
          </w:p>
        </w:tc>
        <w:tc>
          <w:tcPr>
            <w:tcW w:w="14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5,245</w:t>
            </w: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4,641</w:t>
            </w: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4,976</w:t>
            </w: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4,627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The accompanying notes are an integral part of these condensed consolidated financial statements.</w:t>
      </w:r>
    </w:p>
    <w:p>
      <w:pPr>
        <w:spacing w:after="0" w:line="249"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15" w:right="19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15"/>
        </w:trPr>
        <w:tc>
          <w:tcPr>
            <w:tcW w:w="3000" w:type="dxa"/>
            <w:vAlign w:val="bottom"/>
            <w:gridSpan w:val="3"/>
          </w:tcPr>
          <w:p>
            <w:pPr>
              <w:spacing w:after="0"/>
              <w:rPr>
                <w:rFonts w:ascii="Arial" w:cs="Arial" w:eastAsia="Arial" w:hAnsi="Arial"/>
                <w:sz w:val="10"/>
                <w:szCs w:val="10"/>
                <w:color w:val="0000EE"/>
              </w:rPr>
            </w:pPr>
            <w:hyperlink w:anchor="page2">
              <w:r>
                <w:rPr>
                  <w:rFonts w:ascii="Arial" w:cs="Arial" w:eastAsia="Arial" w:hAnsi="Arial"/>
                  <w:sz w:val="10"/>
                  <w:szCs w:val="10"/>
                  <w:color w:val="0000EE"/>
                </w:rPr>
                <w:t>Table of Contents</w:t>
              </w:r>
            </w:hyperlink>
          </w:p>
        </w:tc>
        <w:tc>
          <w:tcPr>
            <w:tcW w:w="2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660" w:type="dxa"/>
            <w:vAlign w:val="bottom"/>
            <w:tcBorders>
              <w:top w:val="single" w:sz="8" w:color="0000EE"/>
            </w:tcBorders>
          </w:tcPr>
          <w:p>
            <w:pPr>
              <w:spacing w:after="0"/>
              <w:rPr>
                <w:sz w:val="22"/>
                <w:szCs w:val="22"/>
                <w:color w:val="auto"/>
              </w:rPr>
            </w:pPr>
          </w:p>
        </w:tc>
        <w:tc>
          <w:tcPr>
            <w:tcW w:w="2320" w:type="dxa"/>
            <w:vAlign w:val="bottom"/>
          </w:tcPr>
          <w:p>
            <w:pPr>
              <w:spacing w:after="0"/>
              <w:rPr>
                <w:sz w:val="22"/>
                <w:szCs w:val="22"/>
                <w:color w:val="auto"/>
              </w:rPr>
            </w:pPr>
          </w:p>
        </w:tc>
        <w:tc>
          <w:tcPr>
            <w:tcW w:w="4780" w:type="dxa"/>
            <w:vAlign w:val="bottom"/>
            <w:gridSpan w:val="5"/>
          </w:tcPr>
          <w:p>
            <w:pPr>
              <w:jc w:val="center"/>
              <w:ind w:left="660"/>
              <w:spacing w:after="0"/>
              <w:rPr>
                <w:sz w:val="20"/>
                <w:szCs w:val="20"/>
                <w:color w:val="auto"/>
              </w:rPr>
            </w:pPr>
            <w:r>
              <w:rPr>
                <w:rFonts w:ascii="Arial" w:cs="Arial" w:eastAsia="Arial" w:hAnsi="Arial"/>
                <w:sz w:val="12"/>
                <w:szCs w:val="12"/>
                <w:b w:val="1"/>
                <w:bCs w:val="1"/>
                <w:color w:val="auto"/>
                <w:w w:val="98"/>
              </w:rPr>
              <w:t>ASURE SOFTWARE , INC.</w:t>
            </w:r>
          </w:p>
        </w:tc>
        <w:tc>
          <w:tcPr>
            <w:tcW w:w="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4780" w:type="dxa"/>
            <w:vAlign w:val="bottom"/>
            <w:gridSpan w:val="5"/>
          </w:tcPr>
          <w:p>
            <w:pPr>
              <w:jc w:val="center"/>
              <w:ind w:left="700"/>
              <w:spacing w:after="0"/>
              <w:rPr>
                <w:sz w:val="20"/>
                <w:szCs w:val="20"/>
                <w:color w:val="auto"/>
              </w:rPr>
            </w:pPr>
            <w:r>
              <w:rPr>
                <w:rFonts w:ascii="Arial" w:cs="Arial" w:eastAsia="Arial" w:hAnsi="Arial"/>
                <w:sz w:val="12"/>
                <w:szCs w:val="12"/>
                <w:b w:val="1"/>
                <w:bCs w:val="1"/>
                <w:color w:val="auto"/>
                <w:w w:val="88"/>
              </w:rPr>
              <w:t>Condensed Consolidated Statements of Comprehensive Income (Loss)</w:t>
            </w: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920" w:type="dxa"/>
            <w:vAlign w:val="bottom"/>
          </w:tcPr>
          <w:p>
            <w:pPr>
              <w:jc w:val="center"/>
              <w:ind w:left="120"/>
              <w:spacing w:after="0"/>
              <w:rPr>
                <w:sz w:val="20"/>
                <w:szCs w:val="20"/>
                <w:color w:val="auto"/>
              </w:rPr>
            </w:pPr>
            <w:r>
              <w:rPr>
                <w:rFonts w:ascii="Arial" w:cs="Arial" w:eastAsia="Arial" w:hAnsi="Arial"/>
                <w:sz w:val="12"/>
                <w:szCs w:val="12"/>
                <w:color w:val="auto"/>
                <w:w w:val="91"/>
              </w:rPr>
              <w:t>(In thousands)</w:t>
            </w: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920" w:type="dxa"/>
            <w:vAlign w:val="bottom"/>
          </w:tcPr>
          <w:p>
            <w:pPr>
              <w:jc w:val="center"/>
              <w:ind w:left="120"/>
              <w:spacing w:after="0"/>
              <w:rPr>
                <w:sz w:val="20"/>
                <w:szCs w:val="20"/>
                <w:color w:val="auto"/>
              </w:rPr>
            </w:pPr>
            <w:r>
              <w:rPr>
                <w:rFonts w:ascii="Arial" w:cs="Arial" w:eastAsia="Arial" w:hAnsi="Arial"/>
                <w:sz w:val="12"/>
                <w:szCs w:val="12"/>
                <w:color w:val="auto"/>
                <w:w w:val="92"/>
              </w:rPr>
              <w:t>(Unaudited)</w:t>
            </w: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320" w:type="dxa"/>
            <w:vAlign w:val="bottom"/>
          </w:tcPr>
          <w:p>
            <w:pPr>
              <w:spacing w:after="0"/>
              <w:rPr>
                <w:sz w:val="23"/>
                <w:szCs w:val="23"/>
                <w:color w:val="auto"/>
              </w:rPr>
            </w:pPr>
          </w:p>
        </w:tc>
        <w:tc>
          <w:tcPr>
            <w:tcW w:w="2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680" w:type="dxa"/>
            <w:vAlign w:val="bottom"/>
            <w:gridSpan w:val="3"/>
          </w:tcPr>
          <w:p>
            <w:pPr>
              <w:jc w:val="center"/>
              <w:ind w:right="680"/>
              <w:spacing w:after="0"/>
              <w:rPr>
                <w:sz w:val="20"/>
                <w:szCs w:val="20"/>
                <w:color w:val="auto"/>
              </w:rPr>
            </w:pPr>
            <w:r>
              <w:rPr>
                <w:rFonts w:ascii="Arial" w:cs="Arial" w:eastAsia="Arial" w:hAnsi="Arial"/>
                <w:sz w:val="12"/>
                <w:szCs w:val="12"/>
                <w:b w:val="1"/>
                <w:bCs w:val="1"/>
                <w:color w:val="auto"/>
              </w:rPr>
              <w:t>FOR THE</w:t>
            </w:r>
          </w:p>
        </w:tc>
        <w:tc>
          <w:tcPr>
            <w:tcW w:w="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780" w:type="dxa"/>
            <w:vAlign w:val="bottom"/>
            <w:gridSpan w:val="3"/>
          </w:tcPr>
          <w:p>
            <w:pPr>
              <w:jc w:val="center"/>
              <w:ind w:left="340"/>
              <w:spacing w:after="0"/>
              <w:rPr>
                <w:sz w:val="20"/>
                <w:szCs w:val="20"/>
                <w:color w:val="auto"/>
              </w:rPr>
            </w:pPr>
            <w:r>
              <w:rPr>
                <w:rFonts w:ascii="Arial" w:cs="Arial" w:eastAsia="Arial" w:hAnsi="Arial"/>
                <w:sz w:val="12"/>
                <w:szCs w:val="12"/>
                <w:b w:val="1"/>
                <w:bCs w:val="1"/>
                <w:color w:val="auto"/>
              </w:rPr>
              <w:t>FOR THE</w:t>
            </w: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600" w:type="dxa"/>
            <w:vAlign w:val="bottom"/>
            <w:gridSpan w:val="4"/>
          </w:tcPr>
          <w:p>
            <w:pPr>
              <w:jc w:val="center"/>
              <w:ind w:left="120"/>
              <w:spacing w:after="0"/>
              <w:rPr>
                <w:sz w:val="20"/>
                <w:szCs w:val="20"/>
                <w:color w:val="auto"/>
              </w:rPr>
            </w:pPr>
            <w:r>
              <w:rPr>
                <w:rFonts w:ascii="Arial" w:cs="Arial" w:eastAsia="Arial" w:hAnsi="Arial"/>
                <w:sz w:val="12"/>
                <w:szCs w:val="12"/>
                <w:b w:val="1"/>
                <w:bCs w:val="1"/>
                <w:color w:val="auto"/>
              </w:rPr>
              <w:t>THREE MONTHS ENDED</w:t>
            </w: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80" w:type="dxa"/>
            <w:vAlign w:val="bottom"/>
            <w:gridSpan w:val="3"/>
          </w:tcPr>
          <w:p>
            <w:pPr>
              <w:jc w:val="center"/>
              <w:ind w:left="320"/>
              <w:spacing w:after="0"/>
              <w:rPr>
                <w:sz w:val="20"/>
                <w:szCs w:val="20"/>
                <w:color w:val="auto"/>
              </w:rPr>
            </w:pPr>
            <w:r>
              <w:rPr>
                <w:rFonts w:ascii="Arial" w:cs="Arial" w:eastAsia="Arial" w:hAnsi="Arial"/>
                <w:sz w:val="12"/>
                <w:szCs w:val="12"/>
                <w:b w:val="1"/>
                <w:bCs w:val="1"/>
                <w:color w:val="auto"/>
              </w:rPr>
              <w:t>NINE MONTHS ENDED</w:t>
            </w: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3"/>
          </w:tcPr>
          <w:p>
            <w:pPr>
              <w:jc w:val="center"/>
              <w:ind w:right="660"/>
              <w:spacing w:after="0"/>
              <w:rPr>
                <w:sz w:val="20"/>
                <w:szCs w:val="20"/>
                <w:color w:val="auto"/>
              </w:rPr>
            </w:pPr>
            <w:r>
              <w:rPr>
                <w:rFonts w:ascii="Arial" w:cs="Arial" w:eastAsia="Arial" w:hAnsi="Arial"/>
                <w:sz w:val="12"/>
                <w:szCs w:val="12"/>
                <w:b w:val="1"/>
                <w:bCs w:val="1"/>
                <w:color w:val="auto"/>
                <w:w w:val="97"/>
              </w:rPr>
              <w:t>SEPTEMBER 30,</w:t>
            </w:r>
          </w:p>
        </w:tc>
        <w:tc>
          <w:tcPr>
            <w:tcW w:w="40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3"/>
          </w:tcPr>
          <w:p>
            <w:pPr>
              <w:jc w:val="center"/>
              <w:ind w:left="320"/>
              <w:spacing w:after="0"/>
              <w:rPr>
                <w:sz w:val="20"/>
                <w:szCs w:val="20"/>
                <w:color w:val="auto"/>
              </w:rPr>
            </w:pPr>
            <w:r>
              <w:rPr>
                <w:rFonts w:ascii="Arial" w:cs="Arial" w:eastAsia="Arial" w:hAnsi="Arial"/>
                <w:sz w:val="12"/>
                <w:szCs w:val="12"/>
                <w:b w:val="1"/>
                <w:bCs w:val="1"/>
                <w:color w:val="auto"/>
                <w:w w:val="97"/>
              </w:rPr>
              <w:t>SEPTEMBER 30,</w:t>
            </w:r>
          </w:p>
        </w:tc>
        <w:tc>
          <w:tcPr>
            <w:tcW w:w="8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b w:val="1"/>
                <w:bCs w:val="1"/>
                <w:color w:val="auto"/>
              </w:rPr>
              <w:t>2012</w:t>
            </w:r>
          </w:p>
        </w:tc>
        <w:tc>
          <w:tcPr>
            <w:tcW w:w="46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b w:val="1"/>
                <w:bCs w:val="1"/>
                <w:color w:val="auto"/>
              </w:rPr>
              <w:t>2011</w:t>
            </w:r>
          </w:p>
        </w:tc>
        <w:tc>
          <w:tcPr>
            <w:tcW w:w="40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40"/>
              <w:spacing w:after="0"/>
              <w:rPr>
                <w:sz w:val="20"/>
                <w:szCs w:val="20"/>
                <w:color w:val="auto"/>
              </w:rPr>
            </w:pPr>
            <w:r>
              <w:rPr>
                <w:rFonts w:ascii="Arial" w:cs="Arial" w:eastAsia="Arial" w:hAnsi="Arial"/>
                <w:sz w:val="12"/>
                <w:szCs w:val="12"/>
                <w:b w:val="1"/>
                <w:bCs w:val="1"/>
                <w:color w:val="auto"/>
              </w:rPr>
              <w:t>2012</w:t>
            </w:r>
          </w:p>
        </w:tc>
        <w:tc>
          <w:tcPr>
            <w:tcW w:w="22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540"/>
              <w:spacing w:after="0"/>
              <w:rPr>
                <w:sz w:val="20"/>
                <w:szCs w:val="20"/>
                <w:color w:val="auto"/>
              </w:rPr>
            </w:pPr>
            <w:r>
              <w:rPr>
                <w:rFonts w:ascii="Arial" w:cs="Arial" w:eastAsia="Arial" w:hAnsi="Arial"/>
                <w:sz w:val="12"/>
                <w:szCs w:val="12"/>
                <w:b w:val="1"/>
                <w:bCs w:val="1"/>
                <w:color w:val="auto"/>
                <w:w w:val="97"/>
              </w:rPr>
              <w:t>2011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Net (Loss)/Income</w:t>
            </w:r>
          </w:p>
        </w:tc>
        <w:tc>
          <w:tcPr>
            <w:tcW w:w="3100" w:type="dxa"/>
            <w:vAlign w:val="bottom"/>
            <w:gridSpan w:val="2"/>
            <w:shd w:val="clear" w:color="auto" w:fill="CCEEFF"/>
          </w:tcPr>
          <w:p>
            <w:pPr>
              <w:jc w:val="right"/>
              <w:ind w:right="800"/>
              <w:spacing w:after="0"/>
              <w:rPr>
                <w:sz w:val="20"/>
                <w:szCs w:val="20"/>
                <w:color w:val="auto"/>
              </w:rPr>
            </w:pPr>
            <w:r>
              <w:rPr>
                <w:rFonts w:ascii="Arial" w:cs="Arial" w:eastAsia="Arial" w:hAnsi="Arial"/>
                <w:sz w:val="12"/>
                <w:szCs w:val="12"/>
                <w:color w:val="auto"/>
              </w:rPr>
              <w:t>$</w:t>
            </w:r>
          </w:p>
        </w:tc>
        <w:tc>
          <w:tcPr>
            <w:tcW w:w="1680" w:type="dxa"/>
            <w:vAlign w:val="bottom"/>
            <w:gridSpan w:val="3"/>
            <w:shd w:val="clear" w:color="auto" w:fill="CCEEFF"/>
          </w:tcPr>
          <w:p>
            <w:pPr>
              <w:jc w:val="right"/>
              <w:ind w:right="860"/>
              <w:spacing w:after="0"/>
              <w:rPr>
                <w:sz w:val="20"/>
                <w:szCs w:val="20"/>
                <w:color w:val="auto"/>
              </w:rPr>
            </w:pPr>
            <w:r>
              <w:rPr>
                <w:rFonts w:ascii="Arial" w:cs="Arial" w:eastAsia="Arial" w:hAnsi="Arial"/>
                <w:sz w:val="12"/>
                <w:szCs w:val="12"/>
                <w:color w:val="auto"/>
              </w:rPr>
              <w:t>(1,228 )   $</w:t>
            </w: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w:t>
            </w: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70"/>
              <w:spacing w:after="0"/>
              <w:rPr>
                <w:sz w:val="20"/>
                <w:szCs w:val="20"/>
                <w:color w:val="auto"/>
              </w:rPr>
            </w:pPr>
            <w:r>
              <w:rPr>
                <w:rFonts w:ascii="Arial" w:cs="Arial" w:eastAsia="Arial" w:hAnsi="Arial"/>
                <w:sz w:val="10"/>
                <w:szCs w:val="10"/>
                <w:color w:val="auto"/>
                <w:w w:val="71"/>
              </w:rPr>
              <w:t>$</w:t>
            </w:r>
          </w:p>
        </w:tc>
        <w:tc>
          <w:tcPr>
            <w:tcW w:w="1780" w:type="dxa"/>
            <w:vAlign w:val="bottom"/>
            <w:gridSpan w:val="3"/>
            <w:shd w:val="clear" w:color="auto" w:fill="CCEEFF"/>
          </w:tcPr>
          <w:p>
            <w:pPr>
              <w:jc w:val="right"/>
              <w:ind w:right="420"/>
              <w:spacing w:after="0"/>
              <w:rPr>
                <w:sz w:val="20"/>
                <w:szCs w:val="20"/>
                <w:color w:val="auto"/>
              </w:rPr>
            </w:pPr>
            <w:r>
              <w:rPr>
                <w:rFonts w:ascii="Arial" w:cs="Arial" w:eastAsia="Arial" w:hAnsi="Arial"/>
                <w:sz w:val="12"/>
                <w:szCs w:val="12"/>
                <w:color w:val="auto"/>
              </w:rPr>
              <w:t>(2,399 )   $</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(4 )</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980" w:type="dxa"/>
            <w:vAlign w:val="bottom"/>
            <w:gridSpan w:val="2"/>
          </w:tcPr>
          <w:p>
            <w:pPr>
              <w:spacing w:after="0"/>
              <w:rPr>
                <w:sz w:val="20"/>
                <w:szCs w:val="20"/>
                <w:color w:val="auto"/>
              </w:rPr>
            </w:pPr>
            <w:r>
              <w:rPr>
                <w:rFonts w:ascii="Arial" w:cs="Arial" w:eastAsia="Arial" w:hAnsi="Arial"/>
                <w:sz w:val="12"/>
                <w:szCs w:val="12"/>
                <w:color w:val="auto"/>
              </w:rPr>
              <w:t>Other comprehensive (Loss)/Income:</w:t>
            </w:r>
          </w:p>
        </w:tc>
        <w:tc>
          <w:tcPr>
            <w:tcW w:w="2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98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Foreign currency translation (loss)/Gain</w:t>
            </w:r>
          </w:p>
        </w:tc>
        <w:tc>
          <w:tcPr>
            <w:tcW w:w="21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(2 )</w:t>
            </w:r>
          </w:p>
        </w:tc>
        <w:tc>
          <w:tcPr>
            <w:tcW w:w="9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(74 )</w:t>
            </w:r>
          </w:p>
        </w:tc>
        <w:tc>
          <w:tcPr>
            <w:tcW w:w="2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w:t>
            </w: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(65 )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320" w:type="dxa"/>
            <w:vAlign w:val="bottom"/>
            <w:shd w:val="clear" w:color="auto" w:fill="CCEEFF"/>
          </w:tcPr>
          <w:p>
            <w:pPr>
              <w:spacing w:after="0" w:line="20" w:lineRule="exact"/>
              <w:rPr>
                <w:sz w:val="1"/>
                <w:szCs w:val="1"/>
                <w:color w:val="auto"/>
              </w:rPr>
            </w:pPr>
          </w:p>
        </w:tc>
        <w:tc>
          <w:tcPr>
            <w:tcW w:w="218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vMerge w:val="continue"/>
          </w:tcPr>
          <w:p>
            <w:pPr>
              <w:spacing w:after="0"/>
              <w:rPr>
                <w:sz w:val="13"/>
                <w:szCs w:val="13"/>
                <w:color w:val="auto"/>
              </w:rPr>
            </w:pPr>
          </w:p>
        </w:tc>
        <w:tc>
          <w:tcPr>
            <w:tcW w:w="2980" w:type="dxa"/>
            <w:vAlign w:val="bottom"/>
            <w:gridSpan w:val="2"/>
          </w:tcPr>
          <w:p>
            <w:pPr>
              <w:spacing w:after="0"/>
              <w:rPr>
                <w:sz w:val="20"/>
                <w:szCs w:val="20"/>
                <w:color w:val="auto"/>
              </w:rPr>
            </w:pPr>
            <w:r>
              <w:rPr>
                <w:rFonts w:ascii="Arial" w:cs="Arial" w:eastAsia="Arial" w:hAnsi="Arial"/>
                <w:sz w:val="12"/>
                <w:szCs w:val="12"/>
                <w:b w:val="1"/>
                <w:bCs w:val="1"/>
                <w:color w:val="auto"/>
              </w:rPr>
              <w:t>Comprehensive Loss</w:t>
            </w:r>
          </w:p>
        </w:tc>
        <w:tc>
          <w:tcPr>
            <w:tcW w:w="2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rPr>
              <w:t>(1,230 )</w:t>
            </w:r>
          </w:p>
        </w:tc>
        <w:tc>
          <w:tcPr>
            <w:tcW w:w="980" w:type="dxa"/>
            <w:vAlign w:val="bottom"/>
          </w:tcPr>
          <w:p>
            <w:pPr>
              <w:spacing w:after="0"/>
              <w:rPr>
                <w:sz w:val="13"/>
                <w:szCs w:val="13"/>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rPr>
              <w:t>(45 )</w:t>
            </w:r>
          </w:p>
        </w:tc>
        <w:tc>
          <w:tcPr>
            <w:tcW w:w="280" w:type="dxa"/>
            <w:vAlign w:val="bottom"/>
          </w:tcPr>
          <w:p>
            <w:pPr>
              <w:spacing w:after="0"/>
              <w:rPr>
                <w:sz w:val="13"/>
                <w:szCs w:val="13"/>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rPr>
              <w:t>(2,375 )</w:t>
            </w:r>
          </w:p>
        </w:tc>
        <w:tc>
          <w:tcPr>
            <w:tcW w:w="480" w:type="dxa"/>
            <w:vAlign w:val="bottom"/>
          </w:tcPr>
          <w:p>
            <w:pPr>
              <w:spacing w:after="0"/>
              <w:rPr>
                <w:sz w:val="13"/>
                <w:szCs w:val="13"/>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rPr>
              <w:t>(69 )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The accompanying notes are an integral part of these condensed consolidated financial statements.</w:t>
      </w:r>
    </w:p>
    <w:p>
      <w:pPr>
        <w:spacing w:after="0" w:line="267"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15" w:right="19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15"/>
        </w:trPr>
        <w:tc>
          <w:tcPr>
            <w:tcW w:w="8380" w:type="dxa"/>
            <w:vAlign w:val="bottom"/>
            <w:gridSpan w:val="3"/>
          </w:tcPr>
          <w:p>
            <w:pPr>
              <w:spacing w:after="0"/>
              <w:rPr>
                <w:rFonts w:ascii="Arial" w:cs="Arial" w:eastAsia="Arial" w:hAnsi="Arial"/>
                <w:sz w:val="10"/>
                <w:szCs w:val="10"/>
                <w:color w:val="0000EE"/>
              </w:rPr>
            </w:pPr>
            <w:hyperlink w:anchor="page2">
              <w:r>
                <w:rPr>
                  <w:rFonts w:ascii="Arial" w:cs="Arial" w:eastAsia="Arial" w:hAnsi="Arial"/>
                  <w:sz w:val="10"/>
                  <w:szCs w:val="10"/>
                  <w:color w:val="0000EE"/>
                </w:rPr>
                <w:t>Table of Contents</w:t>
              </w:r>
            </w:hyperlink>
          </w:p>
        </w:tc>
        <w:tc>
          <w:tcPr>
            <w:tcW w:w="8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660" w:type="dxa"/>
            <w:vAlign w:val="bottom"/>
            <w:tcBorders>
              <w:top w:val="single" w:sz="8" w:color="0000EE"/>
            </w:tcBorders>
          </w:tcPr>
          <w:p>
            <w:pPr>
              <w:spacing w:after="0"/>
              <w:rPr>
                <w:sz w:val="22"/>
                <w:szCs w:val="22"/>
                <w:color w:val="auto"/>
              </w:rPr>
            </w:pPr>
          </w:p>
        </w:tc>
        <w:tc>
          <w:tcPr>
            <w:tcW w:w="7700" w:type="dxa"/>
            <w:vAlign w:val="bottom"/>
          </w:tcPr>
          <w:p>
            <w:pPr>
              <w:jc w:val="center"/>
              <w:ind w:left="2380"/>
              <w:spacing w:after="0"/>
              <w:rPr>
                <w:sz w:val="20"/>
                <w:szCs w:val="20"/>
                <w:color w:val="auto"/>
              </w:rPr>
            </w:pPr>
            <w:r>
              <w:rPr>
                <w:rFonts w:ascii="Arial" w:cs="Arial" w:eastAsia="Arial" w:hAnsi="Arial"/>
                <w:sz w:val="12"/>
                <w:szCs w:val="12"/>
                <w:b w:val="1"/>
                <w:bCs w:val="1"/>
                <w:color w:val="auto"/>
                <w:w w:val="98"/>
              </w:rPr>
              <w:t>ASURE SOFTWARE, INC.</w:t>
            </w:r>
          </w:p>
        </w:tc>
        <w:tc>
          <w:tcPr>
            <w:tcW w:w="8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700" w:type="dxa"/>
            <w:vAlign w:val="bottom"/>
          </w:tcPr>
          <w:p>
            <w:pPr>
              <w:jc w:val="center"/>
              <w:ind w:left="2380"/>
              <w:spacing w:after="0"/>
              <w:rPr>
                <w:sz w:val="20"/>
                <w:szCs w:val="20"/>
                <w:color w:val="auto"/>
              </w:rPr>
            </w:pPr>
            <w:r>
              <w:rPr>
                <w:rFonts w:ascii="Arial" w:cs="Arial" w:eastAsia="Arial" w:hAnsi="Arial"/>
                <w:sz w:val="12"/>
                <w:szCs w:val="12"/>
                <w:b w:val="1"/>
                <w:bCs w:val="1"/>
                <w:color w:val="auto"/>
                <w:w w:val="99"/>
              </w:rPr>
              <w:t>CONDENSED CONSOLIDATED STATEMENTS OF CASH FLOWS</w:t>
            </w:r>
          </w:p>
        </w:tc>
        <w:tc>
          <w:tcPr>
            <w:tcW w:w="8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700" w:type="dxa"/>
            <w:vAlign w:val="bottom"/>
          </w:tcPr>
          <w:p>
            <w:pPr>
              <w:jc w:val="center"/>
              <w:ind w:left="2340"/>
              <w:spacing w:after="0"/>
              <w:rPr>
                <w:sz w:val="20"/>
                <w:szCs w:val="20"/>
                <w:color w:val="auto"/>
              </w:rPr>
            </w:pPr>
            <w:r>
              <w:rPr>
                <w:rFonts w:ascii="Arial" w:cs="Arial" w:eastAsia="Arial" w:hAnsi="Arial"/>
                <w:sz w:val="12"/>
                <w:szCs w:val="12"/>
                <w:color w:val="auto"/>
                <w:w w:val="88"/>
              </w:rPr>
              <w:t>(Amounts in thousands, except per share data)</w:t>
            </w:r>
          </w:p>
        </w:tc>
        <w:tc>
          <w:tcPr>
            <w:tcW w:w="8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700" w:type="dxa"/>
            <w:vAlign w:val="bottom"/>
          </w:tcPr>
          <w:p>
            <w:pPr>
              <w:jc w:val="center"/>
              <w:ind w:left="2340"/>
              <w:spacing w:after="0"/>
              <w:rPr>
                <w:sz w:val="20"/>
                <w:szCs w:val="20"/>
                <w:color w:val="auto"/>
              </w:rPr>
            </w:pPr>
            <w:r>
              <w:rPr>
                <w:rFonts w:ascii="Arial" w:cs="Arial" w:eastAsia="Arial" w:hAnsi="Arial"/>
                <w:sz w:val="12"/>
                <w:szCs w:val="12"/>
                <w:color w:val="auto"/>
                <w:w w:val="92"/>
              </w:rPr>
              <w:t>(Unaudited)</w:t>
            </w:r>
          </w:p>
        </w:tc>
        <w:tc>
          <w:tcPr>
            <w:tcW w:w="8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7700" w:type="dxa"/>
            <w:vAlign w:val="bottom"/>
          </w:tcPr>
          <w:p>
            <w:pPr>
              <w:spacing w:after="0"/>
              <w:rPr>
                <w:sz w:val="23"/>
                <w:szCs w:val="23"/>
                <w:color w:val="auto"/>
              </w:rPr>
            </w:pPr>
          </w:p>
        </w:tc>
        <w:tc>
          <w:tcPr>
            <w:tcW w:w="2100" w:type="dxa"/>
            <w:vAlign w:val="bottom"/>
            <w:gridSpan w:val="5"/>
          </w:tcPr>
          <w:p>
            <w:pPr>
              <w:jc w:val="center"/>
              <w:ind w:left="526"/>
              <w:spacing w:after="0"/>
              <w:rPr>
                <w:sz w:val="20"/>
                <w:szCs w:val="20"/>
                <w:color w:val="auto"/>
              </w:rPr>
            </w:pPr>
            <w:r>
              <w:rPr>
                <w:rFonts w:ascii="Arial" w:cs="Arial" w:eastAsia="Arial" w:hAnsi="Arial"/>
                <w:sz w:val="12"/>
                <w:szCs w:val="12"/>
                <w:b w:val="1"/>
                <w:bCs w:val="1"/>
                <w:color w:val="auto"/>
              </w:rPr>
              <w:t>FOR THE NINE MONTHS</w:t>
            </w: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60" w:type="dxa"/>
            <w:vAlign w:val="bottom"/>
            <w:gridSpan w:val="4"/>
          </w:tcPr>
          <w:p>
            <w:pPr>
              <w:jc w:val="center"/>
              <w:ind w:right="240"/>
              <w:spacing w:after="0"/>
              <w:rPr>
                <w:sz w:val="20"/>
                <w:szCs w:val="20"/>
                <w:color w:val="auto"/>
              </w:rPr>
            </w:pPr>
            <w:r>
              <w:rPr>
                <w:rFonts w:ascii="Arial" w:cs="Arial" w:eastAsia="Arial" w:hAnsi="Arial"/>
                <w:sz w:val="12"/>
                <w:szCs w:val="12"/>
                <w:b w:val="1"/>
                <w:bCs w:val="1"/>
                <w:color w:val="auto"/>
                <w:w w:val="99"/>
              </w:rPr>
              <w:t>ENDED</w:t>
            </w: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70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4"/>
          </w:tcPr>
          <w:p>
            <w:pPr>
              <w:jc w:val="center"/>
              <w:ind w:right="220"/>
              <w:spacing w:after="0"/>
              <w:rPr>
                <w:sz w:val="20"/>
                <w:szCs w:val="20"/>
                <w:color w:val="auto"/>
              </w:rPr>
            </w:pPr>
            <w:r>
              <w:rPr>
                <w:rFonts w:ascii="Arial" w:cs="Arial" w:eastAsia="Arial" w:hAnsi="Arial"/>
                <w:sz w:val="12"/>
                <w:szCs w:val="12"/>
                <w:b w:val="1"/>
                <w:bCs w:val="1"/>
                <w:color w:val="auto"/>
                <w:w w:val="97"/>
              </w:rPr>
              <w:t>SEPTEMBER 30,</w:t>
            </w:r>
          </w:p>
        </w:tc>
        <w:tc>
          <w:tcPr>
            <w:tcW w:w="8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700" w:type="dxa"/>
            <w:vAlign w:val="bottom"/>
          </w:tcPr>
          <w:p>
            <w:pPr>
              <w:spacing w:after="0"/>
              <w:rPr>
                <w:sz w:val="12"/>
                <w:szCs w:val="12"/>
                <w:color w:val="auto"/>
              </w:rPr>
            </w:pPr>
          </w:p>
        </w:tc>
        <w:tc>
          <w:tcPr>
            <w:tcW w:w="840" w:type="dxa"/>
            <w:vAlign w:val="bottom"/>
            <w:tcBorders>
              <w:bottom w:val="single" w:sz="8" w:color="auto"/>
            </w:tcBorders>
          </w:tcPr>
          <w:p>
            <w:pPr>
              <w:jc w:val="right"/>
              <w:ind w:right="6"/>
              <w:spacing w:after="0"/>
              <w:rPr>
                <w:sz w:val="20"/>
                <w:szCs w:val="20"/>
                <w:color w:val="auto"/>
              </w:rPr>
            </w:pPr>
            <w:r>
              <w:rPr>
                <w:rFonts w:ascii="Arial" w:cs="Arial" w:eastAsia="Arial" w:hAnsi="Arial"/>
                <w:sz w:val="12"/>
                <w:szCs w:val="12"/>
                <w:b w:val="1"/>
                <w:bCs w:val="1"/>
                <w:color w:val="auto"/>
              </w:rPr>
              <w:t>2012</w:t>
            </w:r>
          </w:p>
        </w:tc>
        <w:tc>
          <w:tcPr>
            <w:tcW w:w="5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540"/>
              <w:spacing w:after="0"/>
              <w:rPr>
                <w:sz w:val="20"/>
                <w:szCs w:val="20"/>
                <w:color w:val="auto"/>
              </w:rPr>
            </w:pPr>
            <w:r>
              <w:rPr>
                <w:rFonts w:ascii="Arial" w:cs="Arial" w:eastAsia="Arial" w:hAnsi="Arial"/>
                <w:sz w:val="12"/>
                <w:szCs w:val="12"/>
                <w:b w:val="1"/>
                <w:bCs w:val="1"/>
                <w:color w:val="auto"/>
                <w:w w:val="97"/>
              </w:rPr>
              <w:t>2011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380" w:type="dxa"/>
            <w:vAlign w:val="bottom"/>
            <w:gridSpan w:val="3"/>
          </w:tcPr>
          <w:p>
            <w:pPr>
              <w:spacing w:after="0"/>
              <w:rPr>
                <w:sz w:val="20"/>
                <w:szCs w:val="20"/>
                <w:color w:val="auto"/>
              </w:rPr>
            </w:pPr>
            <w:r>
              <w:rPr>
                <w:rFonts w:ascii="Arial" w:cs="Arial" w:eastAsia="Arial" w:hAnsi="Arial"/>
                <w:sz w:val="12"/>
                <w:szCs w:val="12"/>
                <w:b w:val="1"/>
                <w:bCs w:val="1"/>
                <w:color w:val="auto"/>
              </w:rPr>
              <w:t>CASH FLOWS FROM OPERATING ACTIVITIES:</w:t>
            </w:r>
          </w:p>
        </w:tc>
        <w:tc>
          <w:tcPr>
            <w:tcW w:w="8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36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Net loss</w:t>
            </w:r>
          </w:p>
        </w:tc>
        <w:tc>
          <w:tcPr>
            <w:tcW w:w="840" w:type="dxa"/>
            <w:vAlign w:val="bottom"/>
            <w:shd w:val="clear" w:color="auto" w:fill="CCEEFF"/>
          </w:tcPr>
          <w:p>
            <w:pPr>
              <w:jc w:val="right"/>
              <w:ind w:right="726"/>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(2,399</w:t>
            </w:r>
          </w:p>
        </w:tc>
        <w:tc>
          <w:tcPr>
            <w:tcW w:w="72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   $</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(4 )</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360" w:type="dxa"/>
            <w:vAlign w:val="bottom"/>
            <w:gridSpan w:val="2"/>
          </w:tcPr>
          <w:p>
            <w:pPr>
              <w:ind w:left="80"/>
              <w:spacing w:after="0"/>
              <w:rPr>
                <w:sz w:val="20"/>
                <w:szCs w:val="20"/>
                <w:color w:val="auto"/>
              </w:rPr>
            </w:pPr>
            <w:r>
              <w:rPr>
                <w:rFonts w:ascii="Arial" w:cs="Arial" w:eastAsia="Arial" w:hAnsi="Arial"/>
                <w:sz w:val="12"/>
                <w:szCs w:val="12"/>
                <w:color w:val="auto"/>
              </w:rPr>
              <w:t>Adjustments to reconcile net loss to net cash provided by operations:</w:t>
            </w:r>
          </w:p>
        </w:tc>
        <w:tc>
          <w:tcPr>
            <w:tcW w:w="8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360" w:type="dxa"/>
            <w:vAlign w:val="bottom"/>
            <w:gridSpan w:val="2"/>
            <w:shd w:val="clear" w:color="auto" w:fill="CCEEFF"/>
          </w:tcPr>
          <w:p>
            <w:pPr>
              <w:ind w:left="160"/>
              <w:spacing w:after="0"/>
              <w:rPr>
                <w:sz w:val="20"/>
                <w:szCs w:val="20"/>
                <w:color w:val="auto"/>
              </w:rPr>
            </w:pPr>
            <w:r>
              <w:rPr>
                <w:rFonts w:ascii="Arial" w:cs="Arial" w:eastAsia="Arial" w:hAnsi="Arial"/>
                <w:sz w:val="12"/>
                <w:szCs w:val="12"/>
                <w:color w:val="auto"/>
              </w:rPr>
              <w:t>Depreciation and amortization</w:t>
            </w:r>
          </w:p>
        </w:tc>
        <w:tc>
          <w:tcPr>
            <w:tcW w:w="8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1,574</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702</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360" w:type="dxa"/>
            <w:vAlign w:val="bottom"/>
            <w:gridSpan w:val="2"/>
          </w:tcPr>
          <w:p>
            <w:pPr>
              <w:ind w:left="160"/>
              <w:spacing w:after="0"/>
              <w:rPr>
                <w:sz w:val="20"/>
                <w:szCs w:val="20"/>
                <w:color w:val="auto"/>
              </w:rPr>
            </w:pPr>
            <w:r>
              <w:rPr>
                <w:rFonts w:ascii="Arial" w:cs="Arial" w:eastAsia="Arial" w:hAnsi="Arial"/>
                <w:sz w:val="12"/>
                <w:szCs w:val="12"/>
                <w:color w:val="auto"/>
              </w:rPr>
              <w:t>Provision for doubtful accounts</w:t>
            </w:r>
          </w:p>
        </w:tc>
        <w:tc>
          <w:tcPr>
            <w:tcW w:w="8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(16</w:t>
            </w:r>
          </w:p>
        </w:tc>
        <w:tc>
          <w:tcPr>
            <w:tcW w:w="240" w:type="dxa"/>
            <w:vAlign w:val="bottom"/>
            <w:gridSpan w:val="2"/>
          </w:tcPr>
          <w:p>
            <w:pPr>
              <w:ind w:left="20"/>
              <w:spacing w:after="0"/>
              <w:rPr>
                <w:sz w:val="20"/>
                <w:szCs w:val="20"/>
                <w:color w:val="auto"/>
              </w:rPr>
            </w:pPr>
            <w:r>
              <w:rPr>
                <w:rFonts w:ascii="Arial" w:cs="Arial" w:eastAsia="Arial" w:hAnsi="Arial"/>
                <w:sz w:val="12"/>
                <w:szCs w:val="12"/>
                <w:color w:val="auto"/>
              </w:rPr>
              <w:t>)</w:t>
            </w:r>
          </w:p>
        </w:tc>
        <w:tc>
          <w:tcPr>
            <w:tcW w:w="4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(29</w:t>
            </w:r>
          </w:p>
        </w:tc>
        <w:tc>
          <w:tcPr>
            <w:tcW w:w="120" w:type="dxa"/>
            <w:vAlign w:val="bottom"/>
          </w:tcPr>
          <w:p>
            <w:pPr>
              <w:jc w:val="right"/>
              <w:ind w:right="40"/>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360" w:type="dxa"/>
            <w:vAlign w:val="bottom"/>
            <w:gridSpan w:val="2"/>
            <w:shd w:val="clear" w:color="auto" w:fill="CCEEFF"/>
          </w:tcPr>
          <w:p>
            <w:pPr>
              <w:ind w:left="160"/>
              <w:spacing w:after="0"/>
              <w:rPr>
                <w:sz w:val="20"/>
                <w:szCs w:val="20"/>
                <w:color w:val="auto"/>
              </w:rPr>
            </w:pPr>
            <w:r>
              <w:rPr>
                <w:rFonts w:ascii="Arial" w:cs="Arial" w:eastAsia="Arial" w:hAnsi="Arial"/>
                <w:sz w:val="12"/>
                <w:szCs w:val="12"/>
                <w:color w:val="auto"/>
              </w:rPr>
              <w:t>Share-based compensation</w:t>
            </w:r>
          </w:p>
        </w:tc>
        <w:tc>
          <w:tcPr>
            <w:tcW w:w="8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67</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55</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360" w:type="dxa"/>
            <w:vAlign w:val="bottom"/>
            <w:gridSpan w:val="2"/>
          </w:tcPr>
          <w:p>
            <w:pPr>
              <w:ind w:left="160"/>
              <w:spacing w:after="0"/>
              <w:rPr>
                <w:sz w:val="20"/>
                <w:szCs w:val="20"/>
                <w:color w:val="auto"/>
              </w:rPr>
            </w:pPr>
            <w:r>
              <w:rPr>
                <w:rFonts w:ascii="Arial" w:cs="Arial" w:eastAsia="Arial" w:hAnsi="Arial"/>
                <w:sz w:val="12"/>
                <w:szCs w:val="12"/>
                <w:color w:val="auto"/>
              </w:rPr>
              <w:t>Interest expense – amortization of OID and derivative mark-to-market</w:t>
            </w:r>
          </w:p>
        </w:tc>
        <w:tc>
          <w:tcPr>
            <w:tcW w:w="8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651</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360" w:type="dxa"/>
            <w:vAlign w:val="bottom"/>
            <w:gridSpan w:val="2"/>
            <w:shd w:val="clear" w:color="auto" w:fill="CCEEFF"/>
          </w:tcPr>
          <w:p>
            <w:pPr>
              <w:ind w:left="160"/>
              <w:spacing w:after="0"/>
              <w:rPr>
                <w:sz w:val="20"/>
                <w:szCs w:val="20"/>
                <w:color w:val="auto"/>
              </w:rPr>
            </w:pPr>
            <w:r>
              <w:rPr>
                <w:rFonts w:ascii="Arial" w:cs="Arial" w:eastAsia="Arial" w:hAnsi="Arial"/>
                <w:sz w:val="12"/>
                <w:szCs w:val="12"/>
                <w:color w:val="auto"/>
              </w:rPr>
              <w:t>Loss on sale/disposal of assets</w:t>
            </w:r>
          </w:p>
        </w:tc>
        <w:tc>
          <w:tcPr>
            <w:tcW w:w="8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360" w:type="dxa"/>
            <w:vAlign w:val="bottom"/>
            <w:gridSpan w:val="2"/>
          </w:tcPr>
          <w:p>
            <w:pPr>
              <w:ind w:left="160"/>
              <w:spacing w:after="0"/>
              <w:rPr>
                <w:sz w:val="20"/>
                <w:szCs w:val="20"/>
                <w:color w:val="auto"/>
              </w:rPr>
            </w:pPr>
            <w:r>
              <w:rPr>
                <w:rFonts w:ascii="Arial" w:cs="Arial" w:eastAsia="Arial" w:hAnsi="Arial"/>
                <w:sz w:val="12"/>
                <w:szCs w:val="12"/>
                <w:color w:val="auto"/>
              </w:rPr>
              <w:t>Loss on debt conversion</w:t>
            </w:r>
          </w:p>
        </w:tc>
        <w:tc>
          <w:tcPr>
            <w:tcW w:w="8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198</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36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Changes in operating assets and liabilities:</w:t>
            </w:r>
          </w:p>
        </w:tc>
        <w:tc>
          <w:tcPr>
            <w:tcW w:w="8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360" w:type="dxa"/>
            <w:vAlign w:val="bottom"/>
            <w:gridSpan w:val="2"/>
          </w:tcPr>
          <w:p>
            <w:pPr>
              <w:ind w:left="300"/>
              <w:spacing w:after="0"/>
              <w:rPr>
                <w:sz w:val="20"/>
                <w:szCs w:val="20"/>
                <w:color w:val="auto"/>
              </w:rPr>
            </w:pPr>
            <w:r>
              <w:rPr>
                <w:rFonts w:ascii="Arial" w:cs="Arial" w:eastAsia="Arial" w:hAnsi="Arial"/>
                <w:sz w:val="12"/>
                <w:szCs w:val="12"/>
                <w:color w:val="auto"/>
              </w:rPr>
              <w:t>Notes receivable</w:t>
            </w:r>
          </w:p>
        </w:tc>
        <w:tc>
          <w:tcPr>
            <w:tcW w:w="8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360" w:type="dxa"/>
            <w:vAlign w:val="bottom"/>
            <w:gridSpan w:val="2"/>
            <w:shd w:val="clear" w:color="auto" w:fill="CCEEFF"/>
          </w:tcPr>
          <w:p>
            <w:pPr>
              <w:ind w:left="300"/>
              <w:spacing w:after="0"/>
              <w:rPr>
                <w:sz w:val="20"/>
                <w:szCs w:val="20"/>
                <w:color w:val="auto"/>
              </w:rPr>
            </w:pPr>
            <w:r>
              <w:rPr>
                <w:rFonts w:ascii="Arial" w:cs="Arial" w:eastAsia="Arial" w:hAnsi="Arial"/>
                <w:sz w:val="12"/>
                <w:szCs w:val="12"/>
                <w:color w:val="auto"/>
              </w:rPr>
              <w:t>Accounts receivable</w:t>
            </w:r>
          </w:p>
        </w:tc>
        <w:tc>
          <w:tcPr>
            <w:tcW w:w="8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435</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289</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360" w:type="dxa"/>
            <w:vAlign w:val="bottom"/>
            <w:gridSpan w:val="2"/>
          </w:tcPr>
          <w:p>
            <w:pPr>
              <w:ind w:left="300"/>
              <w:spacing w:after="0"/>
              <w:rPr>
                <w:sz w:val="20"/>
                <w:szCs w:val="20"/>
                <w:color w:val="auto"/>
              </w:rPr>
            </w:pPr>
            <w:r>
              <w:rPr>
                <w:rFonts w:ascii="Arial" w:cs="Arial" w:eastAsia="Arial" w:hAnsi="Arial"/>
                <w:sz w:val="12"/>
                <w:szCs w:val="12"/>
                <w:color w:val="auto"/>
              </w:rPr>
              <w:t>Inventory</w:t>
            </w:r>
          </w:p>
        </w:tc>
        <w:tc>
          <w:tcPr>
            <w:tcW w:w="840" w:type="dxa"/>
            <w:vAlign w:val="bottom"/>
          </w:tcPr>
          <w:p>
            <w:pPr>
              <w:spacing w:after="0"/>
              <w:rPr>
                <w:sz w:val="12"/>
                <w:szCs w:val="12"/>
                <w:color w:val="auto"/>
              </w:rPr>
            </w:pPr>
          </w:p>
        </w:tc>
        <w:tc>
          <w:tcPr>
            <w:tcW w:w="780" w:type="dxa"/>
            <w:vAlign w:val="bottom"/>
            <w:gridSpan w:val="3"/>
          </w:tcPr>
          <w:p>
            <w:pPr>
              <w:jc w:val="right"/>
              <w:ind w:right="180"/>
              <w:spacing w:after="0"/>
              <w:rPr>
                <w:sz w:val="20"/>
                <w:szCs w:val="20"/>
                <w:color w:val="auto"/>
              </w:rPr>
            </w:pPr>
            <w:r>
              <w:rPr>
                <w:rFonts w:ascii="Arial" w:cs="Arial" w:eastAsia="Arial" w:hAnsi="Arial"/>
                <w:sz w:val="12"/>
                <w:szCs w:val="12"/>
                <w:color w:val="auto"/>
              </w:rPr>
              <w:t>(58 )</w:t>
            </w:r>
          </w:p>
        </w:tc>
        <w:tc>
          <w:tcPr>
            <w:tcW w:w="4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360" w:type="dxa"/>
            <w:vAlign w:val="bottom"/>
            <w:gridSpan w:val="2"/>
            <w:shd w:val="clear" w:color="auto" w:fill="CCEEFF"/>
          </w:tcPr>
          <w:p>
            <w:pPr>
              <w:ind w:left="300"/>
              <w:spacing w:after="0"/>
              <w:rPr>
                <w:sz w:val="20"/>
                <w:szCs w:val="20"/>
                <w:color w:val="auto"/>
              </w:rPr>
            </w:pPr>
            <w:r>
              <w:rPr>
                <w:rFonts w:ascii="Arial" w:cs="Arial" w:eastAsia="Arial" w:hAnsi="Arial"/>
                <w:sz w:val="12"/>
                <w:szCs w:val="12"/>
                <w:color w:val="auto"/>
              </w:rPr>
              <w:t>Prepaid expenses and other current assets</w:t>
            </w:r>
          </w:p>
        </w:tc>
        <w:tc>
          <w:tcPr>
            <w:tcW w:w="84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(187 )</w:t>
            </w:r>
          </w:p>
        </w:tc>
        <w:tc>
          <w:tcPr>
            <w:tcW w:w="4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360" w:type="dxa"/>
            <w:vAlign w:val="bottom"/>
            <w:gridSpan w:val="2"/>
          </w:tcPr>
          <w:p>
            <w:pPr>
              <w:ind w:left="300"/>
              <w:spacing w:after="0"/>
              <w:rPr>
                <w:sz w:val="20"/>
                <w:szCs w:val="20"/>
                <w:color w:val="auto"/>
              </w:rPr>
            </w:pPr>
            <w:r>
              <w:rPr>
                <w:rFonts w:ascii="Arial" w:cs="Arial" w:eastAsia="Arial" w:hAnsi="Arial"/>
                <w:sz w:val="12"/>
                <w:szCs w:val="12"/>
                <w:color w:val="auto"/>
              </w:rPr>
              <w:t>Accounts payable</w:t>
            </w:r>
          </w:p>
        </w:tc>
        <w:tc>
          <w:tcPr>
            <w:tcW w:w="8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229</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126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360" w:type="dxa"/>
            <w:vAlign w:val="bottom"/>
            <w:gridSpan w:val="2"/>
            <w:shd w:val="clear" w:color="auto" w:fill="CCEEFF"/>
          </w:tcPr>
          <w:p>
            <w:pPr>
              <w:ind w:left="300"/>
              <w:spacing w:after="0"/>
              <w:rPr>
                <w:sz w:val="20"/>
                <w:szCs w:val="20"/>
                <w:color w:val="auto"/>
              </w:rPr>
            </w:pPr>
            <w:r>
              <w:rPr>
                <w:rFonts w:ascii="Arial" w:cs="Arial" w:eastAsia="Arial" w:hAnsi="Arial"/>
                <w:sz w:val="12"/>
                <w:szCs w:val="12"/>
                <w:color w:val="auto"/>
              </w:rPr>
              <w:t>Accrued expenses and other long-term obligations</w:t>
            </w:r>
          </w:p>
        </w:tc>
        <w:tc>
          <w:tcPr>
            <w:tcW w:w="84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(297 )</w:t>
            </w:r>
          </w:p>
        </w:tc>
        <w:tc>
          <w:tcPr>
            <w:tcW w:w="4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360" w:type="dxa"/>
            <w:vAlign w:val="bottom"/>
            <w:gridSpan w:val="2"/>
          </w:tcPr>
          <w:p>
            <w:pPr>
              <w:ind w:left="300"/>
              <w:spacing w:after="0"/>
              <w:rPr>
                <w:sz w:val="20"/>
                <w:szCs w:val="20"/>
                <w:color w:val="auto"/>
              </w:rPr>
            </w:pPr>
            <w:r>
              <w:rPr>
                <w:rFonts w:ascii="Arial" w:cs="Arial" w:eastAsia="Arial" w:hAnsi="Arial"/>
                <w:sz w:val="12"/>
                <w:szCs w:val="12"/>
                <w:color w:val="auto"/>
              </w:rPr>
              <w:t>Deferred revenue</w:t>
            </w:r>
          </w:p>
        </w:tc>
        <w:tc>
          <w:tcPr>
            <w:tcW w:w="8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1,184</w:t>
            </w:r>
          </w:p>
        </w:tc>
        <w:tc>
          <w:tcPr>
            <w:tcW w:w="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601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60" w:type="dxa"/>
            <w:vAlign w:val="bottom"/>
            <w:gridSpan w:val="2"/>
            <w:shd w:val="clear" w:color="auto" w:fill="CCEEFF"/>
          </w:tcPr>
          <w:p>
            <w:pPr>
              <w:ind w:left="520"/>
              <w:spacing w:after="0"/>
              <w:rPr>
                <w:sz w:val="20"/>
                <w:szCs w:val="20"/>
                <w:color w:val="auto"/>
              </w:rPr>
            </w:pPr>
            <w:r>
              <w:rPr>
                <w:rFonts w:ascii="Arial" w:cs="Arial" w:eastAsia="Arial" w:hAnsi="Arial"/>
                <w:sz w:val="12"/>
                <w:szCs w:val="12"/>
                <w:color w:val="auto"/>
              </w:rPr>
              <w:t>Net cash provided by operating activities</w:t>
            </w:r>
          </w:p>
        </w:tc>
        <w:tc>
          <w:tcPr>
            <w:tcW w:w="8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1,417</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1,819</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660" w:type="dxa"/>
            <w:vAlign w:val="bottom"/>
          </w:tcPr>
          <w:p>
            <w:pPr>
              <w:spacing w:after="0"/>
              <w:rPr>
                <w:sz w:val="12"/>
                <w:szCs w:val="12"/>
                <w:color w:val="auto"/>
              </w:rPr>
            </w:pPr>
          </w:p>
        </w:tc>
        <w:tc>
          <w:tcPr>
            <w:tcW w:w="7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36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CASH FLOWS FROM INVESTING ACTIVITIES:</w:t>
            </w:r>
          </w:p>
        </w:tc>
        <w:tc>
          <w:tcPr>
            <w:tcW w:w="8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60" w:type="dxa"/>
            <w:vAlign w:val="bottom"/>
            <w:gridSpan w:val="2"/>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36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Net purchases of property and equipment</w:t>
            </w:r>
          </w:p>
        </w:tc>
        <w:tc>
          <w:tcPr>
            <w:tcW w:w="84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(167 )</w:t>
            </w:r>
          </w:p>
        </w:tc>
        <w:tc>
          <w:tcPr>
            <w:tcW w:w="4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(60 )</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360" w:type="dxa"/>
            <w:vAlign w:val="bottom"/>
            <w:gridSpan w:val="2"/>
          </w:tcPr>
          <w:p>
            <w:pPr>
              <w:ind w:left="180"/>
              <w:spacing w:after="0"/>
              <w:rPr>
                <w:sz w:val="20"/>
                <w:szCs w:val="20"/>
                <w:color w:val="auto"/>
              </w:rPr>
            </w:pPr>
            <w:r>
              <w:rPr>
                <w:rFonts w:ascii="Arial" w:cs="Arial" w:eastAsia="Arial" w:hAnsi="Arial"/>
                <w:sz w:val="12"/>
                <w:szCs w:val="12"/>
                <w:color w:val="auto"/>
              </w:rPr>
              <w:t>Acquisition of PeopleCube, net of cash required</w:t>
            </w:r>
          </w:p>
        </w:tc>
        <w:tc>
          <w:tcPr>
            <w:tcW w:w="840" w:type="dxa"/>
            <w:vAlign w:val="bottom"/>
          </w:tcPr>
          <w:p>
            <w:pPr>
              <w:spacing w:after="0"/>
              <w:rPr>
                <w:sz w:val="12"/>
                <w:szCs w:val="12"/>
                <w:color w:val="auto"/>
              </w:rPr>
            </w:pPr>
          </w:p>
        </w:tc>
        <w:tc>
          <w:tcPr>
            <w:tcW w:w="780" w:type="dxa"/>
            <w:vAlign w:val="bottom"/>
            <w:gridSpan w:val="3"/>
          </w:tcPr>
          <w:p>
            <w:pPr>
              <w:jc w:val="right"/>
              <w:ind w:right="180"/>
              <w:spacing w:after="0"/>
              <w:rPr>
                <w:sz w:val="20"/>
                <w:szCs w:val="20"/>
                <w:color w:val="auto"/>
              </w:rPr>
            </w:pPr>
            <w:r>
              <w:rPr>
                <w:rFonts w:ascii="Arial" w:cs="Arial" w:eastAsia="Arial" w:hAnsi="Arial"/>
                <w:sz w:val="12"/>
                <w:szCs w:val="12"/>
                <w:color w:val="auto"/>
              </w:rPr>
              <w:t>(9,316 )</w:t>
            </w:r>
          </w:p>
        </w:tc>
        <w:tc>
          <w:tcPr>
            <w:tcW w:w="4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2"/>
                <w:szCs w:val="12"/>
                <w:color w:val="auto"/>
              </w:rPr>
              <w:t>Collection of note receivable</w:t>
            </w:r>
          </w:p>
        </w:tc>
        <w:tc>
          <w:tcPr>
            <w:tcW w:w="84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72</w:t>
            </w:r>
          </w:p>
        </w:tc>
        <w:tc>
          <w:tcPr>
            <w:tcW w:w="20" w:type="dxa"/>
            <w:vAlign w:val="bottom"/>
            <w:tcBorders>
              <w:bottom w:val="single" w:sz="8" w:color="auto"/>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60" w:type="dxa"/>
            <w:vAlign w:val="bottom"/>
            <w:gridSpan w:val="2"/>
          </w:tcPr>
          <w:p>
            <w:pPr>
              <w:ind w:left="520"/>
              <w:spacing w:after="0"/>
              <w:rPr>
                <w:sz w:val="20"/>
                <w:szCs w:val="20"/>
                <w:color w:val="auto"/>
              </w:rPr>
            </w:pPr>
            <w:r>
              <w:rPr>
                <w:rFonts w:ascii="Arial" w:cs="Arial" w:eastAsia="Arial" w:hAnsi="Arial"/>
                <w:sz w:val="12"/>
                <w:szCs w:val="12"/>
                <w:color w:val="auto"/>
              </w:rPr>
              <w:t>Net used in investing activities</w:t>
            </w:r>
          </w:p>
        </w:tc>
        <w:tc>
          <w:tcPr>
            <w:tcW w:w="8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(9,411</w:t>
            </w:r>
          </w:p>
        </w:tc>
        <w:tc>
          <w:tcPr>
            <w:tcW w:w="240" w:type="dxa"/>
            <w:vAlign w:val="bottom"/>
            <w:gridSpan w:val="2"/>
          </w:tcPr>
          <w:p>
            <w:pPr>
              <w:ind w:left="20"/>
              <w:spacing w:after="0"/>
              <w:rPr>
                <w:sz w:val="20"/>
                <w:szCs w:val="20"/>
                <w:color w:val="auto"/>
              </w:rPr>
            </w:pPr>
            <w:r>
              <w:rPr>
                <w:rFonts w:ascii="Arial" w:cs="Arial" w:eastAsia="Arial" w:hAnsi="Arial"/>
                <w:sz w:val="12"/>
                <w:szCs w:val="12"/>
                <w:color w:val="auto"/>
              </w:rPr>
              <w:t>)</w:t>
            </w:r>
          </w:p>
        </w:tc>
        <w:tc>
          <w:tcPr>
            <w:tcW w:w="4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(60</w:t>
            </w:r>
          </w:p>
        </w:tc>
        <w:tc>
          <w:tcPr>
            <w:tcW w:w="120" w:type="dxa"/>
            <w:vAlign w:val="bottom"/>
          </w:tcPr>
          <w:p>
            <w:pPr>
              <w:jc w:val="right"/>
              <w:ind w:right="40"/>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77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360" w:type="dxa"/>
            <w:vAlign w:val="bottom"/>
            <w:gridSpan w:val="2"/>
          </w:tcPr>
          <w:p>
            <w:pPr>
              <w:spacing w:after="0"/>
              <w:rPr>
                <w:sz w:val="20"/>
                <w:szCs w:val="20"/>
                <w:color w:val="auto"/>
              </w:rPr>
            </w:pPr>
            <w:r>
              <w:rPr>
                <w:rFonts w:ascii="Arial" w:cs="Arial" w:eastAsia="Arial" w:hAnsi="Arial"/>
                <w:sz w:val="12"/>
                <w:szCs w:val="12"/>
                <w:b w:val="1"/>
                <w:bCs w:val="1"/>
                <w:color w:val="auto"/>
              </w:rPr>
              <w:t>CASH FLOWS FROM FINANCING ACTIVITIES:</w:t>
            </w:r>
          </w:p>
        </w:tc>
        <w:tc>
          <w:tcPr>
            <w:tcW w:w="8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36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Payments on capital leases</w:t>
            </w:r>
          </w:p>
        </w:tc>
        <w:tc>
          <w:tcPr>
            <w:tcW w:w="8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w:t>
            </w:r>
          </w:p>
        </w:tc>
        <w:tc>
          <w:tcPr>
            <w:tcW w:w="120" w:type="dxa"/>
            <w:vAlign w:val="bottom"/>
            <w:shd w:val="clear" w:color="auto" w:fill="CCEEFF"/>
          </w:tcPr>
          <w:p>
            <w:pPr>
              <w:jc w:val="right"/>
              <w:ind w:right="40"/>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360" w:type="dxa"/>
            <w:vAlign w:val="bottom"/>
            <w:gridSpan w:val="2"/>
          </w:tcPr>
          <w:p>
            <w:pPr>
              <w:ind w:left="180"/>
              <w:spacing w:after="0"/>
              <w:rPr>
                <w:sz w:val="20"/>
                <w:szCs w:val="20"/>
                <w:color w:val="auto"/>
              </w:rPr>
            </w:pPr>
            <w:r>
              <w:rPr>
                <w:rFonts w:ascii="Arial" w:cs="Arial" w:eastAsia="Arial" w:hAnsi="Arial"/>
                <w:sz w:val="12"/>
                <w:szCs w:val="12"/>
                <w:color w:val="auto"/>
              </w:rPr>
              <w:t>(Payments to) /proceeds from a line of credit, subordinated notes and convertibles notes payable</w:t>
            </w:r>
          </w:p>
        </w:tc>
        <w:tc>
          <w:tcPr>
            <w:tcW w:w="8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(4,192</w:t>
            </w:r>
          </w:p>
        </w:tc>
        <w:tc>
          <w:tcPr>
            <w:tcW w:w="240" w:type="dxa"/>
            <w:vAlign w:val="bottom"/>
            <w:gridSpan w:val="2"/>
          </w:tcPr>
          <w:p>
            <w:pPr>
              <w:ind w:left="20"/>
              <w:spacing w:after="0"/>
              <w:rPr>
                <w:sz w:val="20"/>
                <w:szCs w:val="20"/>
                <w:color w:val="auto"/>
              </w:rPr>
            </w:pPr>
            <w:r>
              <w:rPr>
                <w:rFonts w:ascii="Arial" w:cs="Arial" w:eastAsia="Arial" w:hAnsi="Arial"/>
                <w:sz w:val="12"/>
                <w:szCs w:val="12"/>
                <w:color w:val="auto"/>
              </w:rPr>
              <w:t>)</w:t>
            </w:r>
          </w:p>
        </w:tc>
        <w:tc>
          <w:tcPr>
            <w:tcW w:w="4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3,350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36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Proceeds from notes payable</w:t>
            </w:r>
          </w:p>
        </w:tc>
        <w:tc>
          <w:tcPr>
            <w:tcW w:w="8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14,500</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360" w:type="dxa"/>
            <w:vAlign w:val="bottom"/>
            <w:gridSpan w:val="2"/>
          </w:tcPr>
          <w:p>
            <w:pPr>
              <w:ind w:left="180"/>
              <w:spacing w:after="0"/>
              <w:rPr>
                <w:sz w:val="20"/>
                <w:szCs w:val="20"/>
                <w:color w:val="auto"/>
              </w:rPr>
            </w:pPr>
            <w:r>
              <w:rPr>
                <w:rFonts w:ascii="Arial" w:cs="Arial" w:eastAsia="Arial" w:hAnsi="Arial"/>
                <w:sz w:val="12"/>
                <w:szCs w:val="12"/>
                <w:color w:val="auto"/>
              </w:rPr>
              <w:t>Debt financing fees</w:t>
            </w:r>
          </w:p>
        </w:tc>
        <w:tc>
          <w:tcPr>
            <w:tcW w:w="840" w:type="dxa"/>
            <w:vAlign w:val="bottom"/>
          </w:tcPr>
          <w:p>
            <w:pPr>
              <w:spacing w:after="0"/>
              <w:rPr>
                <w:sz w:val="12"/>
                <w:szCs w:val="12"/>
                <w:color w:val="auto"/>
              </w:rPr>
            </w:pPr>
          </w:p>
        </w:tc>
        <w:tc>
          <w:tcPr>
            <w:tcW w:w="780" w:type="dxa"/>
            <w:vAlign w:val="bottom"/>
            <w:gridSpan w:val="3"/>
          </w:tcPr>
          <w:p>
            <w:pPr>
              <w:jc w:val="right"/>
              <w:ind w:right="180"/>
              <w:spacing w:after="0"/>
              <w:rPr>
                <w:sz w:val="20"/>
                <w:szCs w:val="20"/>
                <w:color w:val="auto"/>
              </w:rPr>
            </w:pPr>
            <w:r>
              <w:rPr>
                <w:rFonts w:ascii="Arial" w:cs="Arial" w:eastAsia="Arial" w:hAnsi="Arial"/>
                <w:sz w:val="12"/>
                <w:szCs w:val="12"/>
                <w:color w:val="auto"/>
              </w:rPr>
              <w:t>(680 )</w:t>
            </w: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2"/>
                <w:szCs w:val="12"/>
                <w:color w:val="auto"/>
              </w:rPr>
              <w:t>Net proceeds from exercise of options</w:t>
            </w:r>
          </w:p>
        </w:tc>
        <w:tc>
          <w:tcPr>
            <w:tcW w:w="84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19</w:t>
            </w:r>
          </w:p>
        </w:tc>
        <w:tc>
          <w:tcPr>
            <w:tcW w:w="20" w:type="dxa"/>
            <w:vAlign w:val="bottom"/>
            <w:tcBorders>
              <w:bottom w:val="single" w:sz="8" w:color="auto"/>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60" w:type="dxa"/>
            <w:vAlign w:val="bottom"/>
            <w:gridSpan w:val="2"/>
          </w:tcPr>
          <w:p>
            <w:pPr>
              <w:ind w:left="520"/>
              <w:spacing w:after="0"/>
              <w:rPr>
                <w:sz w:val="20"/>
                <w:szCs w:val="20"/>
                <w:color w:val="auto"/>
              </w:rPr>
            </w:pPr>
            <w:r>
              <w:rPr>
                <w:rFonts w:ascii="Arial" w:cs="Arial" w:eastAsia="Arial" w:hAnsi="Arial"/>
                <w:sz w:val="12"/>
                <w:szCs w:val="12"/>
                <w:color w:val="auto"/>
              </w:rPr>
              <w:t>Net cash provided by financing activities</w:t>
            </w:r>
          </w:p>
        </w:tc>
        <w:tc>
          <w:tcPr>
            <w:tcW w:w="8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9,647</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3,314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77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360" w:type="dxa"/>
            <w:vAlign w:val="bottom"/>
            <w:gridSpan w:val="2"/>
          </w:tcPr>
          <w:p>
            <w:pPr>
              <w:spacing w:after="0"/>
              <w:rPr>
                <w:sz w:val="20"/>
                <w:szCs w:val="20"/>
                <w:color w:val="auto"/>
              </w:rPr>
            </w:pPr>
            <w:r>
              <w:rPr>
                <w:rFonts w:ascii="Arial" w:cs="Arial" w:eastAsia="Arial" w:hAnsi="Arial"/>
                <w:sz w:val="12"/>
                <w:szCs w:val="12"/>
                <w:color w:val="auto"/>
              </w:rPr>
              <w:t>Effect of translation exchange rates</w:t>
            </w:r>
          </w:p>
        </w:tc>
        <w:tc>
          <w:tcPr>
            <w:tcW w:w="8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26</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(61</w:t>
            </w:r>
          </w:p>
        </w:tc>
        <w:tc>
          <w:tcPr>
            <w:tcW w:w="120" w:type="dxa"/>
            <w:vAlign w:val="bottom"/>
          </w:tcPr>
          <w:p>
            <w:pPr>
              <w:jc w:val="right"/>
              <w:ind w:right="40"/>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77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360" w:type="dxa"/>
            <w:vAlign w:val="bottom"/>
            <w:gridSpan w:val="2"/>
          </w:tcPr>
          <w:p>
            <w:pPr>
              <w:spacing w:after="0"/>
              <w:rPr>
                <w:sz w:val="20"/>
                <w:szCs w:val="20"/>
                <w:color w:val="auto"/>
              </w:rPr>
            </w:pPr>
            <w:r>
              <w:rPr>
                <w:rFonts w:ascii="Arial" w:cs="Arial" w:eastAsia="Arial" w:hAnsi="Arial"/>
                <w:sz w:val="12"/>
                <w:szCs w:val="12"/>
                <w:b w:val="1"/>
                <w:bCs w:val="1"/>
                <w:color w:val="auto"/>
              </w:rPr>
              <w:t>Net increase in cash and equivalents</w:t>
            </w:r>
          </w:p>
        </w:tc>
        <w:tc>
          <w:tcPr>
            <w:tcW w:w="8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b w:val="1"/>
                <w:bCs w:val="1"/>
                <w:color w:val="auto"/>
              </w:rPr>
              <w:t>1,679</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b w:val="1"/>
                <w:bCs w:val="1"/>
                <w:color w:val="auto"/>
              </w:rPr>
              <w:t>5,012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2"/>
                <w:szCs w:val="12"/>
                <w:b w:val="1"/>
                <w:bCs w:val="1"/>
                <w:color w:val="auto"/>
              </w:rPr>
              <w:t>Cash and equivalents at beginning of period</w:t>
            </w:r>
          </w:p>
        </w:tc>
        <w:tc>
          <w:tcPr>
            <w:tcW w:w="84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1,067</w:t>
            </w:r>
          </w:p>
        </w:tc>
        <w:tc>
          <w:tcPr>
            <w:tcW w:w="20" w:type="dxa"/>
            <w:vAlign w:val="bottom"/>
            <w:tcBorders>
              <w:bottom w:val="single" w:sz="8" w:color="auto"/>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1,070</w:t>
            </w:r>
          </w:p>
        </w:tc>
        <w:tc>
          <w:tcPr>
            <w:tcW w:w="1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60" w:type="dxa"/>
            <w:vAlign w:val="bottom"/>
            <w:gridSpan w:val="2"/>
          </w:tcPr>
          <w:p>
            <w:pPr>
              <w:spacing w:after="0"/>
              <w:rPr>
                <w:sz w:val="20"/>
                <w:szCs w:val="20"/>
                <w:color w:val="auto"/>
              </w:rPr>
            </w:pPr>
            <w:r>
              <w:rPr>
                <w:rFonts w:ascii="Arial" w:cs="Arial" w:eastAsia="Arial" w:hAnsi="Arial"/>
                <w:sz w:val="12"/>
                <w:szCs w:val="12"/>
                <w:b w:val="1"/>
                <w:bCs w:val="1"/>
                <w:color w:val="auto"/>
              </w:rPr>
              <w:t>Cash and equivalents at end of period</w:t>
            </w:r>
          </w:p>
        </w:tc>
        <w:tc>
          <w:tcPr>
            <w:tcW w:w="840" w:type="dxa"/>
            <w:vAlign w:val="bottom"/>
          </w:tcPr>
          <w:p>
            <w:pPr>
              <w:jc w:val="right"/>
              <w:ind w:right="726"/>
              <w:spacing w:after="0"/>
              <w:rPr>
                <w:sz w:val="20"/>
                <w:szCs w:val="20"/>
                <w:color w:val="auto"/>
              </w:rPr>
            </w:pPr>
            <w:r>
              <w:rPr>
                <w:rFonts w:ascii="Arial" w:cs="Arial" w:eastAsia="Arial" w:hAnsi="Arial"/>
                <w:sz w:val="10"/>
                <w:szCs w:val="10"/>
                <w:b w:val="1"/>
                <w:bCs w:val="1"/>
                <w:color w:val="auto"/>
                <w:w w:val="71"/>
              </w:rPr>
              <w:t>$</w:t>
            </w:r>
          </w:p>
        </w:tc>
        <w:tc>
          <w:tcPr>
            <w:tcW w:w="540" w:type="dxa"/>
            <w:vAlign w:val="bottom"/>
          </w:tcPr>
          <w:p>
            <w:pPr>
              <w:jc w:val="right"/>
              <w:spacing w:after="0"/>
              <w:rPr>
                <w:sz w:val="20"/>
                <w:szCs w:val="20"/>
                <w:color w:val="auto"/>
              </w:rPr>
            </w:pPr>
            <w:r>
              <w:rPr>
                <w:rFonts w:ascii="Arial" w:cs="Arial" w:eastAsia="Arial" w:hAnsi="Arial"/>
                <w:sz w:val="12"/>
                <w:szCs w:val="12"/>
                <w:b w:val="1"/>
                <w:bCs w:val="1"/>
                <w:color w:val="auto"/>
              </w:rPr>
              <w:t>2,746</w:t>
            </w:r>
          </w:p>
        </w:tc>
        <w:tc>
          <w:tcPr>
            <w:tcW w:w="720" w:type="dxa"/>
            <w:vAlign w:val="bottom"/>
            <w:gridSpan w:val="3"/>
          </w:tcPr>
          <w:p>
            <w:pPr>
              <w:ind w:left="240"/>
              <w:spacing w:after="0"/>
              <w:rPr>
                <w:sz w:val="20"/>
                <w:szCs w:val="20"/>
                <w:color w:val="auto"/>
              </w:rPr>
            </w:pPr>
            <w:r>
              <w:rPr>
                <w:rFonts w:ascii="Arial" w:cs="Arial" w:eastAsia="Arial" w:hAnsi="Arial"/>
                <w:sz w:val="12"/>
                <w:szCs w:val="12"/>
                <w:b w:val="1"/>
                <w:bCs w:val="1"/>
                <w:color w:val="auto"/>
              </w:rPr>
              <w:t>$</w:t>
            </w:r>
          </w:p>
        </w:tc>
        <w:tc>
          <w:tcPr>
            <w:tcW w:w="880" w:type="dxa"/>
            <w:vAlign w:val="bottom"/>
          </w:tcPr>
          <w:p>
            <w:pPr>
              <w:jc w:val="right"/>
              <w:spacing w:after="0"/>
              <w:rPr>
                <w:sz w:val="20"/>
                <w:szCs w:val="20"/>
                <w:color w:val="auto"/>
              </w:rPr>
            </w:pPr>
            <w:r>
              <w:rPr>
                <w:rFonts w:ascii="Arial" w:cs="Arial" w:eastAsia="Arial" w:hAnsi="Arial"/>
                <w:sz w:val="12"/>
                <w:szCs w:val="12"/>
                <w:b w:val="1"/>
                <w:bCs w:val="1"/>
                <w:color w:val="auto"/>
              </w:rPr>
              <w:t>6,082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vMerge w:val="restart"/>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77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360" w:type="dxa"/>
            <w:vAlign w:val="bottom"/>
            <w:gridSpan w:val="2"/>
          </w:tcPr>
          <w:p>
            <w:pPr>
              <w:spacing w:after="0"/>
              <w:rPr>
                <w:sz w:val="20"/>
                <w:szCs w:val="20"/>
                <w:color w:val="auto"/>
              </w:rPr>
            </w:pPr>
            <w:r>
              <w:rPr>
                <w:rFonts w:ascii="Arial" w:cs="Arial" w:eastAsia="Arial" w:hAnsi="Arial"/>
                <w:sz w:val="12"/>
                <w:szCs w:val="12"/>
                <w:b w:val="1"/>
                <w:bCs w:val="1"/>
                <w:color w:val="auto"/>
              </w:rPr>
              <w:t>SUPPLEMENTAL INFORMATION:</w:t>
            </w:r>
          </w:p>
        </w:tc>
        <w:tc>
          <w:tcPr>
            <w:tcW w:w="8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3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Interest Paid</w:t>
            </w:r>
          </w:p>
        </w:tc>
        <w:tc>
          <w:tcPr>
            <w:tcW w:w="840" w:type="dxa"/>
            <w:vAlign w:val="bottom"/>
            <w:shd w:val="clear" w:color="auto" w:fill="CCEEFF"/>
          </w:tcPr>
          <w:p>
            <w:pPr>
              <w:jc w:val="right"/>
              <w:ind w:right="726"/>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437</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360" w:type="dxa"/>
            <w:vAlign w:val="bottom"/>
            <w:gridSpan w:val="2"/>
          </w:tcPr>
          <w:p>
            <w:pPr>
              <w:spacing w:after="0"/>
              <w:rPr>
                <w:sz w:val="20"/>
                <w:szCs w:val="20"/>
                <w:color w:val="auto"/>
              </w:rPr>
            </w:pPr>
            <w:r>
              <w:rPr>
                <w:rFonts w:ascii="Arial" w:cs="Arial" w:eastAsia="Arial" w:hAnsi="Arial"/>
                <w:sz w:val="12"/>
                <w:szCs w:val="12"/>
                <w:color w:val="auto"/>
              </w:rPr>
              <w:t>Payments of accelerated interest on subordinated convertible notes payable on conversion</w:t>
            </w:r>
          </w:p>
        </w:tc>
        <w:tc>
          <w:tcPr>
            <w:tcW w:w="8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211</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3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Non-Cash Financing Activity – conversion of subordinated convertible notes payable to equity</w:t>
            </w:r>
          </w:p>
        </w:tc>
        <w:tc>
          <w:tcPr>
            <w:tcW w:w="8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969</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The accompanying notes are an integral part of these condensed consolidated financial statements.</w:t>
      </w:r>
    </w:p>
    <w:p>
      <w:pPr>
        <w:spacing w:after="0" w:line="249"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15" w:right="199" w:bottom="1440" w:gutter="0" w:footer="0" w:header="0"/>
        </w:sectPr>
      </w:pPr>
    </w:p>
    <w:bookmarkStart w:id="6" w:name="page7"/>
    <w:bookmarkEnd w:id="6"/>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ASURE SOFTWARE, INC.</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NOTES TO THE CONDENSED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(Amounts in thousands, except per share data unless otherwise noted)</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 – GENERAL AND BASIS OF FINANCIAL STATEMENTS</w:t>
      </w:r>
    </w:p>
    <w:p>
      <w:pPr>
        <w:spacing w:after="0" w:line="154" w:lineRule="exact"/>
        <w:rPr>
          <w:sz w:val="20"/>
          <w:szCs w:val="20"/>
          <w:color w:val="auto"/>
        </w:rPr>
      </w:pPr>
    </w:p>
    <w:p>
      <w:pPr>
        <w:jc w:val="both"/>
        <w:ind w:firstLine="649"/>
        <w:spacing w:after="0" w:line="255" w:lineRule="auto"/>
        <w:rPr>
          <w:sz w:val="20"/>
          <w:szCs w:val="20"/>
          <w:color w:val="auto"/>
        </w:rPr>
      </w:pPr>
      <w:r>
        <w:rPr>
          <w:rFonts w:ascii="Arial" w:cs="Arial" w:eastAsia="Arial" w:hAnsi="Arial"/>
          <w:sz w:val="12"/>
          <w:szCs w:val="12"/>
          <w:color w:val="auto"/>
        </w:rPr>
        <w:t>The accompanying unaudited condensed consolidated financial statements have been prepared in accordance with the rules and regulations of the Securities and Exchange Commission and accordingly, do not include all information and footnotes required under U.S. generally accepted accounting principles for complete financial statements. In the opinion of management, these interim financial statements contain all adjustments, consisting of normal, recurring adjustments, necessary for a fair presentation of the financial position of Asure Software, Inc. (“Asure” or the “Company”) as of September 30, 2012 and December 31, 2011, the results of operations for the three and nine months ended September 30, 2012 and 2011, and the cash flows for the nine months ended September 30, 2012 and 2011. These condensed consolidated financial statements should be read in conjunction with the Company’s audited consolidated financial statements and notes thereto filed with the Securities and Exchange Commission in the Company’s annual report on Form 10-K for the fiscal year ended December 31, 2011. The results for the interim periods are not necessarily indicative of results for a full fiscal year.</w:t>
      </w:r>
    </w:p>
    <w:p>
      <w:pPr>
        <w:spacing w:after="0" w:line="129" w:lineRule="exact"/>
        <w:rPr>
          <w:sz w:val="20"/>
          <w:szCs w:val="20"/>
          <w:color w:val="auto"/>
        </w:rPr>
      </w:pPr>
    </w:p>
    <w:p>
      <w:pPr>
        <w:jc w:val="both"/>
        <w:ind w:firstLine="649"/>
        <w:spacing w:after="0" w:line="380" w:lineRule="auto"/>
        <w:rPr>
          <w:sz w:val="20"/>
          <w:szCs w:val="20"/>
          <w:color w:val="auto"/>
        </w:rPr>
      </w:pPr>
      <w:r>
        <w:rPr>
          <w:rFonts w:ascii="Arial" w:cs="Arial" w:eastAsia="Arial" w:hAnsi="Arial"/>
          <w:sz w:val="10"/>
          <w:szCs w:val="10"/>
          <w:color w:val="auto"/>
        </w:rPr>
        <w:t>On March 27, 2012, the Board of Directors declared a 3-for-2 stock split, payable April 30, 2012 to the holders of record of the Company’s common stock as of the close of business on April 23, 2012. The Company made cash payments based upon the closing price of the Company’s shares on the record date in lieu of the issuance of fractional shares. Share and per share information in these financial statements reflect the impact of the 3 for 2 stock split.</w:t>
      </w:r>
    </w:p>
    <w:p>
      <w:pPr>
        <w:spacing w:after="0" w:line="86" w:lineRule="exact"/>
        <w:rPr>
          <w:sz w:val="20"/>
          <w:szCs w:val="20"/>
          <w:color w:val="auto"/>
        </w:rPr>
      </w:pPr>
    </w:p>
    <w:p>
      <w:pPr>
        <w:jc w:val="both"/>
        <w:ind w:firstLine="649"/>
        <w:spacing w:after="0" w:line="263" w:lineRule="auto"/>
        <w:rPr>
          <w:sz w:val="20"/>
          <w:szCs w:val="20"/>
          <w:color w:val="auto"/>
        </w:rPr>
      </w:pPr>
      <w:r>
        <w:rPr>
          <w:rFonts w:ascii="Arial" w:cs="Arial" w:eastAsia="Arial" w:hAnsi="Arial"/>
          <w:sz w:val="12"/>
          <w:szCs w:val="12"/>
          <w:color w:val="auto"/>
        </w:rPr>
        <w:t>Effective July 1, 2012, Asure entered into a stock purchase agreement to acquire Meeting Maker – United States, Inc., doing business as PeopleCube (“PeopleCube”) for a combination of cash and stock. The purchase price was composed of $9,800 cash paid at closing; a $3,000, two-year seller’s note; and the issuance of 255,000 shares of common stock, representing just under five percent of Asure’s outstanding shares (see Note 9 - Aquisition for further details).</w:t>
      </w:r>
    </w:p>
    <w:p>
      <w:pPr>
        <w:spacing w:after="0" w:line="141" w:lineRule="exact"/>
        <w:rPr>
          <w:sz w:val="20"/>
          <w:szCs w:val="20"/>
          <w:color w:val="auto"/>
        </w:rPr>
      </w:pPr>
    </w:p>
    <w:p>
      <w:pPr>
        <w:jc w:val="both"/>
        <w:ind w:firstLine="649"/>
        <w:spacing w:after="0" w:line="263" w:lineRule="auto"/>
        <w:rPr>
          <w:sz w:val="20"/>
          <w:szCs w:val="20"/>
          <w:color w:val="auto"/>
        </w:rPr>
      </w:pPr>
      <w:r>
        <w:rPr>
          <w:rFonts w:ascii="Arial" w:cs="Arial" w:eastAsia="Arial" w:hAnsi="Arial"/>
          <w:sz w:val="12"/>
          <w:szCs w:val="12"/>
          <w:color w:val="auto"/>
        </w:rPr>
        <w:t>As of September 30, 2012, Asure’s principal source of liquidity consisted of $2,746 of current cash and cash equivalents as well as future cash generated from operations. The Company believes that it has and/or will generate sufficient cash for its short and long term needs. The Company is continuing to reduce expenses and thus may utilize its cash balances in the short-term to reduce long-term costs. The Company expects that it will be able to generate positive cash flows from operating activities for the remainder of 2012.</w:t>
      </w:r>
    </w:p>
    <w:p>
      <w:pPr>
        <w:spacing w:after="0" w:line="123" w:lineRule="exact"/>
        <w:rPr>
          <w:sz w:val="20"/>
          <w:szCs w:val="20"/>
          <w:color w:val="auto"/>
        </w:rPr>
      </w:pPr>
    </w:p>
    <w:p>
      <w:pPr>
        <w:jc w:val="both"/>
        <w:ind w:firstLine="649"/>
        <w:spacing w:after="0" w:line="276" w:lineRule="auto"/>
        <w:rPr>
          <w:sz w:val="20"/>
          <w:szCs w:val="20"/>
          <w:color w:val="auto"/>
        </w:rPr>
      </w:pPr>
      <w:r>
        <w:rPr>
          <w:rFonts w:ascii="Arial" w:cs="Arial" w:eastAsia="Arial" w:hAnsi="Arial"/>
          <w:sz w:val="12"/>
          <w:szCs w:val="12"/>
          <w:color w:val="auto"/>
        </w:rPr>
        <w:t>Management is focused on growing its existing software operations and looking to make strategic acquisitions in the near future, although it has no agreements to do so at this time. In the short-term, any acquisitions will be funded with equity, cash on the balance sheet, cash from operations, or cash or debt raised from outside sources.</w:t>
      </w:r>
    </w:p>
    <w:p>
      <w:pPr>
        <w:spacing w:after="0" w:line="115" w:lineRule="exact"/>
        <w:rPr>
          <w:sz w:val="20"/>
          <w:szCs w:val="20"/>
          <w:color w:val="auto"/>
        </w:rPr>
      </w:pPr>
    </w:p>
    <w:p>
      <w:pPr>
        <w:jc w:val="both"/>
        <w:ind w:firstLine="649"/>
        <w:spacing w:after="0" w:line="259" w:lineRule="auto"/>
        <w:rPr>
          <w:sz w:val="20"/>
          <w:szCs w:val="20"/>
          <w:color w:val="auto"/>
        </w:rPr>
      </w:pPr>
      <w:r>
        <w:rPr>
          <w:rFonts w:ascii="Arial" w:cs="Arial" w:eastAsia="Arial" w:hAnsi="Arial"/>
          <w:sz w:val="12"/>
          <w:szCs w:val="12"/>
          <w:color w:val="auto"/>
        </w:rPr>
        <w:t>There is no assurance that the Company will be able to grow its cash balances or limit its cash consumption and thus maintain sufficient cash balances, and it is possible that the Company’s future business demands may lead to cash utilization at levels greater than recently experienced. Management believes that the Company has sufficient capital and liquidity to fund and cultivate the growth of its current and future operations for the next 12 months and thereafter. However, due to uncertainties related to the timing and costs of these efforts, Asure may need to raise additional capital in the future. Yet, there is no assurance that the Company will be able to raise additional capital if and when it is needed.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7" w:name="page8"/>
    <w:bookmarkEnd w:id="7"/>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ASURE SOFTWARE,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THE CONDENSED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(Amounts in thousands, except per share data unless otherwise noted)</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2 – INTANGIBLE ASSETS</w:t>
      </w:r>
    </w:p>
    <w:p>
      <w:pPr>
        <w:spacing w:after="0" w:line="154" w:lineRule="exact"/>
        <w:rPr>
          <w:sz w:val="20"/>
          <w:szCs w:val="20"/>
          <w:color w:val="auto"/>
        </w:rPr>
      </w:pPr>
    </w:p>
    <w:p>
      <w:pPr>
        <w:jc w:val="both"/>
        <w:ind w:firstLine="649"/>
        <w:spacing w:after="0" w:line="298" w:lineRule="auto"/>
        <w:rPr>
          <w:sz w:val="20"/>
          <w:szCs w:val="20"/>
          <w:color w:val="auto"/>
        </w:rPr>
      </w:pPr>
      <w:r>
        <w:rPr>
          <w:rFonts w:ascii="Arial" w:cs="Arial" w:eastAsia="Arial" w:hAnsi="Arial"/>
          <w:sz w:val="11"/>
          <w:szCs w:val="11"/>
          <w:color w:val="auto"/>
        </w:rPr>
        <w:t xml:space="preserve">Asure accounted for its historical acquisitions in accordance with ASC 805, </w:t>
      </w:r>
      <w:r>
        <w:rPr>
          <w:rFonts w:ascii="Arial" w:cs="Arial" w:eastAsia="Arial" w:hAnsi="Arial"/>
          <w:sz w:val="11"/>
          <w:szCs w:val="11"/>
          <w:i w:val="1"/>
          <w:iCs w:val="1"/>
          <w:color w:val="auto"/>
        </w:rPr>
        <w:t>Business Combinations</w:t>
      </w:r>
      <w:r>
        <w:rPr>
          <w:rFonts w:ascii="Arial" w:cs="Arial" w:eastAsia="Arial" w:hAnsi="Arial"/>
          <w:sz w:val="11"/>
          <w:szCs w:val="11"/>
          <w:color w:val="auto"/>
        </w:rPr>
        <w:t xml:space="preserve"> . The Company recorded the amount exceeding the fair value of net assets acquired at the date of acquisition as goodwill. The Company recorded intangible assets apart from goodwill if the assets had contractual or other legal rights or if the assets could be separated and sold, transferred, licensed, rented or exchanged. Asure’s goodwill relates to the acquisitions of ADI Time and Legiant in 2011 and PeopleCube in July 2012. Asure’s intangible assets relate to acquisitions of iSarla, Inc., ADI Time, Legiant and PeopleCube.</w:t>
      </w:r>
    </w:p>
    <w:p>
      <w:pPr>
        <w:spacing w:after="0" w:line="123" w:lineRule="exact"/>
        <w:rPr>
          <w:sz w:val="20"/>
          <w:szCs w:val="20"/>
          <w:color w:val="auto"/>
        </w:rPr>
      </w:pPr>
    </w:p>
    <w:p>
      <w:pPr>
        <w:jc w:val="both"/>
        <w:ind w:firstLine="649"/>
        <w:spacing w:after="0" w:line="259" w:lineRule="auto"/>
        <w:rPr>
          <w:sz w:val="20"/>
          <w:szCs w:val="20"/>
          <w:color w:val="auto"/>
        </w:rPr>
      </w:pPr>
      <w:r>
        <w:rPr>
          <w:rFonts w:ascii="Arial" w:cs="Arial" w:eastAsia="Arial" w:hAnsi="Arial"/>
          <w:sz w:val="12"/>
          <w:szCs w:val="12"/>
          <w:color w:val="auto"/>
        </w:rPr>
        <w:t>In accordance with FASB ASC 350, Asure reviews and evaluates its long-lived assets for impairment whenever events or changes in circumstances indicate that their net book value may not be recoverable. When such factors and circumstances exist, including those noted above, the Company compares the assets’ carrying amounts against the estimated undiscounted cash flows to be generated by those assets over their estimated useful lives. If the carrying amounts are greater than the undiscounted cash flows, the fair values of those assets are estimated by discounting the projected cash flows. Any excess of the carrying amounts over the fair values are recorded as impairments in that fiscal period.</w:t>
      </w:r>
    </w:p>
    <w:p>
      <w:pPr>
        <w:spacing w:after="0" w:line="125" w:lineRule="exact"/>
        <w:rPr>
          <w:sz w:val="20"/>
          <w:szCs w:val="20"/>
          <w:color w:val="auto"/>
        </w:rPr>
      </w:pPr>
    </w:p>
    <w:p>
      <w:pPr>
        <w:ind w:left="640"/>
        <w:spacing w:after="0"/>
        <w:rPr>
          <w:sz w:val="20"/>
          <w:szCs w:val="20"/>
          <w:color w:val="auto"/>
        </w:rPr>
      </w:pPr>
      <w:r>
        <w:rPr>
          <w:rFonts w:ascii="Arial" w:cs="Arial" w:eastAsia="Arial" w:hAnsi="Arial"/>
          <w:sz w:val="12"/>
          <w:szCs w:val="12"/>
          <w:color w:val="auto"/>
        </w:rPr>
        <w:t>The gross carrying amount and accumulated amortization of the Company’s intangible assets as of September 30, 2012 and December 31, 2011 are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3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gridSpan w:val="6"/>
          </w:tcPr>
          <w:p>
            <w:pPr>
              <w:jc w:val="right"/>
              <w:ind w:right="620"/>
              <w:spacing w:after="0"/>
              <w:rPr>
                <w:sz w:val="20"/>
                <w:szCs w:val="20"/>
                <w:color w:val="auto"/>
              </w:rPr>
            </w:pPr>
            <w:r>
              <w:rPr>
                <w:rFonts w:ascii="Arial" w:cs="Arial" w:eastAsia="Arial" w:hAnsi="Arial"/>
                <w:sz w:val="12"/>
                <w:szCs w:val="12"/>
                <w:b w:val="1"/>
                <w:bCs w:val="1"/>
                <w:color w:val="auto"/>
                <w:w w:val="96"/>
              </w:rPr>
              <w:t>September 30, 2012</w:t>
            </w:r>
          </w:p>
        </w:tc>
        <w:tc>
          <w:tcPr>
            <w:tcW w:w="1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60" w:type="dxa"/>
            <w:vAlign w:val="bottom"/>
          </w:tcPr>
          <w:p>
            <w:pPr>
              <w:jc w:val="center"/>
              <w:ind w:right="40"/>
              <w:spacing w:after="0" w:line="129" w:lineRule="exact"/>
              <w:rPr>
                <w:sz w:val="20"/>
                <w:szCs w:val="20"/>
                <w:color w:val="auto"/>
              </w:rPr>
            </w:pPr>
            <w:r>
              <w:rPr>
                <w:rFonts w:ascii="Arial" w:cs="Arial" w:eastAsia="Arial" w:hAnsi="Arial"/>
                <w:sz w:val="12"/>
                <w:szCs w:val="12"/>
                <w:b w:val="1"/>
                <w:bCs w:val="1"/>
                <w:color w:val="auto"/>
                <w:w w:val="95"/>
              </w:rPr>
              <w:t>Amortization</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gridSpan w:val="3"/>
          </w:tcPr>
          <w:p>
            <w:pPr>
              <w:jc w:val="right"/>
              <w:ind w:right="580"/>
              <w:spacing w:after="0" w:line="129" w:lineRule="exact"/>
              <w:rPr>
                <w:sz w:val="20"/>
                <w:szCs w:val="20"/>
                <w:color w:val="auto"/>
              </w:rPr>
            </w:pPr>
            <w:r>
              <w:rPr>
                <w:rFonts w:ascii="Arial" w:cs="Arial" w:eastAsia="Arial" w:hAnsi="Arial"/>
                <w:sz w:val="12"/>
                <w:szCs w:val="12"/>
                <w:b w:val="1"/>
                <w:bCs w:val="1"/>
                <w:color w:val="auto"/>
                <w:w w:val="92"/>
              </w:rPr>
              <w:t>Accumulated</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360" w:type="dxa"/>
            <w:vAlign w:val="bottom"/>
          </w:tcPr>
          <w:p>
            <w:pPr>
              <w:spacing w:after="0"/>
              <w:rPr>
                <w:sz w:val="13"/>
                <w:szCs w:val="13"/>
                <w:color w:val="auto"/>
              </w:rPr>
            </w:pPr>
          </w:p>
        </w:tc>
        <w:tc>
          <w:tcPr>
            <w:tcW w:w="860" w:type="dxa"/>
            <w:vAlign w:val="bottom"/>
          </w:tcPr>
          <w:p>
            <w:pPr>
              <w:spacing w:after="0"/>
              <w:rPr>
                <w:sz w:val="20"/>
                <w:szCs w:val="20"/>
                <w:color w:val="auto"/>
              </w:rPr>
            </w:pPr>
            <w:r>
              <w:rPr>
                <w:rFonts w:ascii="Arial" w:cs="Arial" w:eastAsia="Arial" w:hAnsi="Arial"/>
                <w:sz w:val="12"/>
                <w:szCs w:val="12"/>
                <w:b w:val="1"/>
                <w:bCs w:val="1"/>
                <w:color w:val="auto"/>
                <w:w w:val="90"/>
              </w:rPr>
              <w:t>Intangible Asset</w:t>
            </w: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360" w:type="dxa"/>
            <w:vAlign w:val="bottom"/>
          </w:tcPr>
          <w:p>
            <w:pPr>
              <w:jc w:val="center"/>
              <w:ind w:right="40"/>
              <w:spacing w:after="0"/>
              <w:rPr>
                <w:sz w:val="20"/>
                <w:szCs w:val="20"/>
                <w:color w:val="auto"/>
              </w:rPr>
            </w:pPr>
            <w:r>
              <w:rPr>
                <w:rFonts w:ascii="Arial" w:cs="Arial" w:eastAsia="Arial" w:hAnsi="Arial"/>
                <w:sz w:val="12"/>
                <w:szCs w:val="12"/>
                <w:b w:val="1"/>
                <w:bCs w:val="1"/>
                <w:color w:val="auto"/>
                <w:w w:val="90"/>
              </w:rPr>
              <w:t>Period (Years)</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gridSpan w:val="4"/>
          </w:tcPr>
          <w:p>
            <w:pPr>
              <w:jc w:val="right"/>
              <w:ind w:right="920"/>
              <w:spacing w:after="0"/>
              <w:rPr>
                <w:sz w:val="20"/>
                <w:szCs w:val="20"/>
                <w:color w:val="auto"/>
              </w:rPr>
            </w:pPr>
            <w:r>
              <w:rPr>
                <w:rFonts w:ascii="Arial" w:cs="Arial" w:eastAsia="Arial" w:hAnsi="Arial"/>
                <w:sz w:val="12"/>
                <w:szCs w:val="12"/>
                <w:b w:val="1"/>
                <w:bCs w:val="1"/>
                <w:color w:val="auto"/>
              </w:rPr>
              <w:t>Gross</w:t>
            </w: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gridSpan w:val="3"/>
          </w:tcPr>
          <w:p>
            <w:pPr>
              <w:jc w:val="right"/>
              <w:ind w:right="580"/>
              <w:spacing w:after="0"/>
              <w:rPr>
                <w:sz w:val="20"/>
                <w:szCs w:val="20"/>
                <w:color w:val="auto"/>
              </w:rPr>
            </w:pPr>
            <w:r>
              <w:rPr>
                <w:rFonts w:ascii="Arial" w:cs="Arial" w:eastAsia="Arial" w:hAnsi="Arial"/>
                <w:sz w:val="12"/>
                <w:szCs w:val="12"/>
                <w:b w:val="1"/>
                <w:bCs w:val="1"/>
                <w:color w:val="auto"/>
                <w:w w:val="95"/>
              </w:rPr>
              <w:t>Amortization</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60" w:type="dxa"/>
            <w:vAlign w:val="bottom"/>
            <w:gridSpan w:val="4"/>
          </w:tcPr>
          <w:p>
            <w:pPr>
              <w:jc w:val="right"/>
              <w:ind w:right="1140"/>
              <w:spacing w:after="0"/>
              <w:rPr>
                <w:sz w:val="20"/>
                <w:szCs w:val="20"/>
                <w:color w:val="auto"/>
              </w:rPr>
            </w:pPr>
            <w:r>
              <w:rPr>
                <w:rFonts w:ascii="Arial" w:cs="Arial" w:eastAsia="Arial" w:hAnsi="Arial"/>
                <w:sz w:val="12"/>
                <w:szCs w:val="12"/>
                <w:b w:val="1"/>
                <w:bCs w:val="1"/>
                <w:color w:val="auto"/>
              </w:rPr>
              <w:t>Net</w:t>
            </w: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6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60" w:type="dxa"/>
            <w:vAlign w:val="bottom"/>
          </w:tcPr>
          <w:p>
            <w:pPr>
              <w:spacing w:after="0"/>
              <w:rPr>
                <w:sz w:val="11"/>
                <w:szCs w:val="11"/>
                <w:color w:val="auto"/>
              </w:rPr>
            </w:pPr>
          </w:p>
        </w:tc>
        <w:tc>
          <w:tcPr>
            <w:tcW w:w="86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Developed</w:t>
            </w:r>
          </w:p>
        </w:tc>
        <w:tc>
          <w:tcPr>
            <w:tcW w:w="2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60" w:type="dxa"/>
            <w:vAlign w:val="bottom"/>
          </w:tcPr>
          <w:p>
            <w:pPr>
              <w:spacing w:after="0"/>
              <w:rPr>
                <w:sz w:val="13"/>
                <w:szCs w:val="13"/>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2"/>
                <w:szCs w:val="12"/>
                <w:color w:val="auto"/>
              </w:rPr>
              <w:t>Technology</w:t>
            </w:r>
          </w:p>
        </w:tc>
        <w:tc>
          <w:tcPr>
            <w:tcW w:w="2060" w:type="dxa"/>
            <w:vAlign w:val="bottom"/>
            <w:gridSpan w:val="3"/>
            <w:shd w:val="clear" w:color="auto" w:fill="CCEEFF"/>
          </w:tcPr>
          <w:p>
            <w:pPr>
              <w:jc w:val="center"/>
              <w:ind w:left="1320"/>
              <w:spacing w:after="0"/>
              <w:rPr>
                <w:sz w:val="20"/>
                <w:szCs w:val="20"/>
                <w:color w:val="auto"/>
              </w:rPr>
            </w:pPr>
            <w:r>
              <w:rPr>
                <w:rFonts w:ascii="Arial" w:cs="Arial" w:eastAsia="Arial" w:hAnsi="Arial"/>
                <w:sz w:val="12"/>
                <w:szCs w:val="12"/>
                <w:color w:val="auto"/>
                <w:w w:val="91"/>
              </w:rPr>
              <w:t>5-9</w:t>
            </w:r>
          </w:p>
        </w:tc>
        <w:tc>
          <w:tcPr>
            <w:tcW w:w="1560" w:type="dxa"/>
            <w:vAlign w:val="bottom"/>
            <w:gridSpan w:val="4"/>
            <w:shd w:val="clear" w:color="auto" w:fill="CCEEFF"/>
          </w:tcPr>
          <w:p>
            <w:pPr>
              <w:jc w:val="right"/>
              <w:ind w:right="90"/>
              <w:spacing w:after="0"/>
              <w:rPr>
                <w:sz w:val="20"/>
                <w:szCs w:val="20"/>
                <w:color w:val="auto"/>
              </w:rPr>
            </w:pPr>
            <w:r>
              <w:rPr>
                <w:rFonts w:ascii="Arial" w:cs="Arial" w:eastAsia="Arial" w:hAnsi="Arial"/>
                <w:sz w:val="12"/>
                <w:szCs w:val="12"/>
                <w:color w:val="auto"/>
              </w:rPr>
              <w:t>$</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3,428</w:t>
            </w:r>
          </w:p>
        </w:tc>
        <w:tc>
          <w:tcPr>
            <w:tcW w:w="5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2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(1,049)</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560" w:type="dxa"/>
            <w:vAlign w:val="bottom"/>
            <w:gridSpan w:val="4"/>
            <w:shd w:val="clear" w:color="auto" w:fill="CCEEFF"/>
          </w:tcPr>
          <w:p>
            <w:pPr>
              <w:jc w:val="right"/>
              <w:ind w:right="680"/>
              <w:spacing w:after="0"/>
              <w:rPr>
                <w:sz w:val="20"/>
                <w:szCs w:val="20"/>
                <w:color w:val="auto"/>
              </w:rPr>
            </w:pPr>
            <w:r>
              <w:rPr>
                <w:rFonts w:ascii="Arial" w:cs="Arial" w:eastAsia="Arial" w:hAnsi="Arial"/>
                <w:sz w:val="12"/>
                <w:szCs w:val="12"/>
                <w:color w:val="auto"/>
              </w:rPr>
              <w:t>2,379</w:t>
            </w: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60" w:type="dxa"/>
            <w:vAlign w:val="bottom"/>
          </w:tcPr>
          <w:p>
            <w:pPr>
              <w:spacing w:after="0"/>
              <w:rPr>
                <w:sz w:val="11"/>
                <w:szCs w:val="11"/>
                <w:color w:val="auto"/>
              </w:rPr>
            </w:pPr>
          </w:p>
        </w:tc>
        <w:tc>
          <w:tcPr>
            <w:tcW w:w="860" w:type="dxa"/>
            <w:vAlign w:val="bottom"/>
          </w:tcPr>
          <w:p>
            <w:pPr>
              <w:spacing w:after="0" w:line="136" w:lineRule="exact"/>
              <w:rPr>
                <w:sz w:val="20"/>
                <w:szCs w:val="20"/>
                <w:color w:val="auto"/>
              </w:rPr>
            </w:pPr>
            <w:r>
              <w:rPr>
                <w:rFonts w:ascii="Arial" w:cs="Arial" w:eastAsia="Arial" w:hAnsi="Arial"/>
                <w:sz w:val="12"/>
                <w:szCs w:val="12"/>
                <w:color w:val="auto"/>
              </w:rPr>
              <w:t>Customer</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60" w:type="dxa"/>
            <w:vAlign w:val="bottom"/>
          </w:tcPr>
          <w:p>
            <w:pPr>
              <w:spacing w:after="0"/>
              <w:rPr>
                <w:sz w:val="13"/>
                <w:szCs w:val="13"/>
                <w:color w:val="auto"/>
              </w:rPr>
            </w:pPr>
          </w:p>
        </w:tc>
        <w:tc>
          <w:tcPr>
            <w:tcW w:w="860" w:type="dxa"/>
            <w:vAlign w:val="bottom"/>
          </w:tcPr>
          <w:p>
            <w:pPr>
              <w:spacing w:after="0"/>
              <w:rPr>
                <w:sz w:val="20"/>
                <w:szCs w:val="20"/>
                <w:color w:val="auto"/>
              </w:rPr>
            </w:pPr>
            <w:r>
              <w:rPr>
                <w:rFonts w:ascii="Arial" w:cs="Arial" w:eastAsia="Arial" w:hAnsi="Arial"/>
                <w:sz w:val="12"/>
                <w:szCs w:val="12"/>
                <w:color w:val="auto"/>
              </w:rPr>
              <w:t>Relationships</w:t>
            </w:r>
          </w:p>
        </w:tc>
        <w:tc>
          <w:tcPr>
            <w:tcW w:w="2060" w:type="dxa"/>
            <w:vAlign w:val="bottom"/>
            <w:gridSpan w:val="3"/>
          </w:tcPr>
          <w:p>
            <w:pPr>
              <w:jc w:val="center"/>
              <w:ind w:left="1320"/>
              <w:spacing w:after="0"/>
              <w:rPr>
                <w:sz w:val="20"/>
                <w:szCs w:val="20"/>
                <w:color w:val="auto"/>
              </w:rPr>
            </w:pPr>
            <w:r>
              <w:rPr>
                <w:rFonts w:ascii="Arial" w:cs="Arial" w:eastAsia="Arial" w:hAnsi="Arial"/>
                <w:sz w:val="12"/>
                <w:szCs w:val="12"/>
                <w:color w:val="auto"/>
                <w:w w:val="91"/>
              </w:rPr>
              <w:t>7-8</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gridSpan w:val="4"/>
          </w:tcPr>
          <w:p>
            <w:pPr>
              <w:jc w:val="right"/>
              <w:ind w:right="520"/>
              <w:spacing w:after="0"/>
              <w:rPr>
                <w:sz w:val="20"/>
                <w:szCs w:val="20"/>
                <w:color w:val="auto"/>
              </w:rPr>
            </w:pPr>
            <w:r>
              <w:rPr>
                <w:rFonts w:ascii="Arial" w:cs="Arial" w:eastAsia="Arial" w:hAnsi="Arial"/>
                <w:sz w:val="12"/>
                <w:szCs w:val="12"/>
                <w:color w:val="auto"/>
              </w:rPr>
              <w:t>12,009</w:t>
            </w: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2"/>
                <w:szCs w:val="12"/>
                <w:color w:val="auto"/>
              </w:rPr>
              <w:t>(3,067)</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60" w:type="dxa"/>
            <w:vAlign w:val="bottom"/>
            <w:gridSpan w:val="4"/>
          </w:tcPr>
          <w:p>
            <w:pPr>
              <w:jc w:val="right"/>
              <w:ind w:right="680"/>
              <w:spacing w:after="0"/>
              <w:rPr>
                <w:sz w:val="20"/>
                <w:szCs w:val="20"/>
                <w:color w:val="auto"/>
              </w:rPr>
            </w:pPr>
            <w:r>
              <w:rPr>
                <w:rFonts w:ascii="Arial" w:cs="Arial" w:eastAsia="Arial" w:hAnsi="Arial"/>
                <w:sz w:val="12"/>
                <w:szCs w:val="12"/>
                <w:color w:val="auto"/>
              </w:rPr>
              <w:t>8,942</w:t>
            </w: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60" w:type="dxa"/>
            <w:vAlign w:val="bottom"/>
          </w:tcPr>
          <w:p>
            <w:pPr>
              <w:spacing w:after="0"/>
              <w:rPr>
                <w:sz w:val="11"/>
                <w:szCs w:val="11"/>
                <w:color w:val="auto"/>
              </w:rPr>
            </w:pPr>
          </w:p>
        </w:tc>
        <w:tc>
          <w:tcPr>
            <w:tcW w:w="86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Reseller</w:t>
            </w:r>
          </w:p>
        </w:tc>
        <w:tc>
          <w:tcPr>
            <w:tcW w:w="2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60" w:type="dxa"/>
            <w:vAlign w:val="bottom"/>
          </w:tcPr>
          <w:p>
            <w:pPr>
              <w:spacing w:after="0"/>
              <w:rPr>
                <w:sz w:val="13"/>
                <w:szCs w:val="13"/>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2"/>
                <w:szCs w:val="12"/>
                <w:color w:val="auto"/>
              </w:rPr>
              <w:t>Relationships</w:t>
            </w:r>
          </w:p>
        </w:tc>
        <w:tc>
          <w:tcPr>
            <w:tcW w:w="2060" w:type="dxa"/>
            <w:vAlign w:val="bottom"/>
            <w:gridSpan w:val="3"/>
            <w:shd w:val="clear" w:color="auto" w:fill="CCEEFF"/>
          </w:tcPr>
          <w:p>
            <w:pPr>
              <w:jc w:val="center"/>
              <w:ind w:left="1300"/>
              <w:spacing w:after="0"/>
              <w:rPr>
                <w:sz w:val="20"/>
                <w:szCs w:val="20"/>
                <w:color w:val="auto"/>
              </w:rPr>
            </w:pPr>
            <w:r>
              <w:rPr>
                <w:rFonts w:ascii="Arial" w:cs="Arial" w:eastAsia="Arial" w:hAnsi="Arial"/>
                <w:sz w:val="12"/>
                <w:szCs w:val="12"/>
                <w:color w:val="auto"/>
                <w:w w:val="89"/>
              </w:rPr>
              <w:t>7</w:t>
            </w: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0" w:type="dxa"/>
            <w:vAlign w:val="bottom"/>
            <w:gridSpan w:val="4"/>
            <w:shd w:val="clear" w:color="auto" w:fill="CCEEFF"/>
          </w:tcPr>
          <w:p>
            <w:pPr>
              <w:jc w:val="right"/>
              <w:ind w:right="520"/>
              <w:spacing w:after="0"/>
              <w:rPr>
                <w:sz w:val="20"/>
                <w:szCs w:val="20"/>
                <w:color w:val="auto"/>
              </w:rPr>
            </w:pPr>
            <w:r>
              <w:rPr>
                <w:rFonts w:ascii="Arial" w:cs="Arial" w:eastAsia="Arial" w:hAnsi="Arial"/>
                <w:sz w:val="12"/>
                <w:szCs w:val="12"/>
                <w:color w:val="auto"/>
              </w:rPr>
              <w:t>853</w:t>
            </w:r>
          </w:p>
        </w:tc>
        <w:tc>
          <w:tcPr>
            <w:tcW w:w="4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(122)</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560" w:type="dxa"/>
            <w:vAlign w:val="bottom"/>
            <w:gridSpan w:val="4"/>
            <w:shd w:val="clear" w:color="auto" w:fill="CCEEFF"/>
          </w:tcPr>
          <w:p>
            <w:pPr>
              <w:jc w:val="right"/>
              <w:ind w:right="680"/>
              <w:spacing w:after="0"/>
              <w:rPr>
                <w:sz w:val="20"/>
                <w:szCs w:val="20"/>
                <w:color w:val="auto"/>
              </w:rPr>
            </w:pPr>
            <w:r>
              <w:rPr>
                <w:rFonts w:ascii="Arial" w:cs="Arial" w:eastAsia="Arial" w:hAnsi="Arial"/>
                <w:sz w:val="12"/>
                <w:szCs w:val="12"/>
                <w:color w:val="auto"/>
              </w:rPr>
              <w:t>731</w:t>
            </w: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60" w:type="dxa"/>
            <w:vAlign w:val="bottom"/>
          </w:tcPr>
          <w:p>
            <w:pPr>
              <w:spacing w:after="0"/>
              <w:rPr>
                <w:sz w:val="12"/>
                <w:szCs w:val="12"/>
                <w:color w:val="auto"/>
              </w:rPr>
            </w:pPr>
          </w:p>
        </w:tc>
        <w:tc>
          <w:tcPr>
            <w:tcW w:w="860" w:type="dxa"/>
            <w:vAlign w:val="bottom"/>
          </w:tcPr>
          <w:p>
            <w:pPr>
              <w:spacing w:after="0"/>
              <w:rPr>
                <w:sz w:val="20"/>
                <w:szCs w:val="20"/>
                <w:color w:val="auto"/>
              </w:rPr>
            </w:pPr>
            <w:r>
              <w:rPr>
                <w:rFonts w:ascii="Arial" w:cs="Arial" w:eastAsia="Arial" w:hAnsi="Arial"/>
                <w:sz w:val="12"/>
                <w:szCs w:val="12"/>
                <w:color w:val="auto"/>
              </w:rPr>
              <w:t>Trade Names</w:t>
            </w:r>
          </w:p>
        </w:tc>
        <w:tc>
          <w:tcPr>
            <w:tcW w:w="2060" w:type="dxa"/>
            <w:vAlign w:val="bottom"/>
            <w:gridSpan w:val="3"/>
          </w:tcPr>
          <w:p>
            <w:pPr>
              <w:jc w:val="center"/>
              <w:ind w:left="1320"/>
              <w:spacing w:after="0"/>
              <w:rPr>
                <w:sz w:val="20"/>
                <w:szCs w:val="20"/>
                <w:color w:val="auto"/>
              </w:rPr>
            </w:pPr>
            <w:r>
              <w:rPr>
                <w:rFonts w:ascii="Arial" w:cs="Arial" w:eastAsia="Arial" w:hAnsi="Arial"/>
                <w:sz w:val="12"/>
                <w:szCs w:val="12"/>
                <w:color w:val="auto"/>
                <w:w w:val="91"/>
              </w:rPr>
              <w:t>1-5</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4"/>
          </w:tcPr>
          <w:p>
            <w:pPr>
              <w:jc w:val="right"/>
              <w:ind w:right="520"/>
              <w:spacing w:after="0"/>
              <w:rPr>
                <w:sz w:val="20"/>
                <w:szCs w:val="20"/>
                <w:color w:val="auto"/>
              </w:rPr>
            </w:pPr>
            <w:r>
              <w:rPr>
                <w:rFonts w:ascii="Arial" w:cs="Arial" w:eastAsia="Arial" w:hAnsi="Arial"/>
                <w:sz w:val="12"/>
                <w:szCs w:val="12"/>
                <w:color w:val="auto"/>
              </w:rPr>
              <w:t>663</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2"/>
                <w:szCs w:val="12"/>
                <w:color w:val="auto"/>
              </w:rPr>
              <w:t>(410)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4"/>
          </w:tcPr>
          <w:p>
            <w:pPr>
              <w:jc w:val="right"/>
              <w:ind w:right="680"/>
              <w:spacing w:after="0"/>
              <w:rPr>
                <w:sz w:val="20"/>
                <w:szCs w:val="20"/>
                <w:color w:val="auto"/>
              </w:rPr>
            </w:pPr>
            <w:r>
              <w:rPr>
                <w:rFonts w:ascii="Arial" w:cs="Arial" w:eastAsia="Arial" w:hAnsi="Arial"/>
                <w:sz w:val="12"/>
                <w:szCs w:val="12"/>
                <w:color w:val="auto"/>
              </w:rPr>
              <w:t>253</w:t>
            </w: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60" w:type="dxa"/>
            <w:vAlign w:val="bottom"/>
          </w:tcPr>
          <w:p>
            <w:pPr>
              <w:spacing w:after="0"/>
              <w:rPr>
                <w:sz w:val="11"/>
                <w:szCs w:val="11"/>
                <w:color w:val="auto"/>
              </w:rPr>
            </w:pPr>
          </w:p>
        </w:tc>
        <w:tc>
          <w:tcPr>
            <w:tcW w:w="86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w w:val="93"/>
              </w:rPr>
              <w:t>Covenant not-to-</w:t>
            </w:r>
          </w:p>
        </w:tc>
        <w:tc>
          <w:tcPr>
            <w:tcW w:w="2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60" w:type="dxa"/>
            <w:vAlign w:val="bottom"/>
          </w:tcPr>
          <w:p>
            <w:pPr>
              <w:spacing w:after="0"/>
              <w:rPr>
                <w:sz w:val="13"/>
                <w:szCs w:val="13"/>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2"/>
                <w:szCs w:val="12"/>
                <w:color w:val="auto"/>
              </w:rPr>
              <w:t>compete</w:t>
            </w:r>
          </w:p>
        </w:tc>
        <w:tc>
          <w:tcPr>
            <w:tcW w:w="2060" w:type="dxa"/>
            <w:vAlign w:val="bottom"/>
            <w:gridSpan w:val="3"/>
            <w:shd w:val="clear" w:color="auto" w:fill="CCEEFF"/>
          </w:tcPr>
          <w:p>
            <w:pPr>
              <w:jc w:val="center"/>
              <w:ind w:left="1320"/>
              <w:spacing w:after="0"/>
              <w:rPr>
                <w:sz w:val="20"/>
                <w:szCs w:val="20"/>
                <w:color w:val="auto"/>
              </w:rPr>
            </w:pPr>
            <w:r>
              <w:rPr>
                <w:rFonts w:ascii="Arial" w:cs="Arial" w:eastAsia="Arial" w:hAnsi="Arial"/>
                <w:sz w:val="12"/>
                <w:szCs w:val="12"/>
                <w:color w:val="auto"/>
                <w:w w:val="91"/>
              </w:rPr>
              <w:t>2-4</w:t>
            </w: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0" w:type="dxa"/>
            <w:vAlign w:val="bottom"/>
            <w:gridSpan w:val="4"/>
            <w:shd w:val="clear" w:color="auto" w:fill="CCEEFF"/>
          </w:tcPr>
          <w:p>
            <w:pPr>
              <w:jc w:val="right"/>
              <w:ind w:right="520"/>
              <w:spacing w:after="0"/>
              <w:rPr>
                <w:sz w:val="20"/>
                <w:szCs w:val="20"/>
                <w:color w:val="auto"/>
              </w:rPr>
            </w:pPr>
            <w:r>
              <w:rPr>
                <w:rFonts w:ascii="Arial" w:cs="Arial" w:eastAsia="Arial" w:hAnsi="Arial"/>
                <w:sz w:val="12"/>
                <w:szCs w:val="12"/>
                <w:color w:val="auto"/>
              </w:rPr>
              <w:t>205</w:t>
            </w:r>
          </w:p>
        </w:tc>
        <w:tc>
          <w:tcPr>
            <w:tcW w:w="4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(171)</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560" w:type="dxa"/>
            <w:vAlign w:val="bottom"/>
            <w:gridSpan w:val="4"/>
            <w:shd w:val="clear" w:color="auto" w:fill="CCEEFF"/>
          </w:tcPr>
          <w:p>
            <w:pPr>
              <w:jc w:val="right"/>
              <w:ind w:right="680"/>
              <w:spacing w:after="0"/>
              <w:rPr>
                <w:sz w:val="20"/>
                <w:szCs w:val="20"/>
                <w:color w:val="auto"/>
              </w:rPr>
            </w:pPr>
            <w:r>
              <w:rPr>
                <w:rFonts w:ascii="Arial" w:cs="Arial" w:eastAsia="Arial" w:hAnsi="Arial"/>
                <w:sz w:val="12"/>
                <w:szCs w:val="12"/>
                <w:color w:val="auto"/>
              </w:rPr>
              <w:t>34</w:t>
            </w: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36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360" w:type="dxa"/>
            <w:vAlign w:val="bottom"/>
            <w:gridSpan w:val="3"/>
          </w:tcPr>
          <w:p>
            <w:pPr>
              <w:spacing w:after="0"/>
              <w:rPr>
                <w:sz w:val="12"/>
                <w:szCs w:val="12"/>
                <w:color w:val="auto"/>
              </w:rPr>
            </w:pPr>
          </w:p>
        </w:tc>
        <w:tc>
          <w:tcPr>
            <w:tcW w:w="200" w:type="dxa"/>
            <w:vAlign w:val="bottom"/>
          </w:tcPr>
          <w:p>
            <w:pPr>
              <w:jc w:val="right"/>
              <w:ind w:right="90"/>
              <w:spacing w:after="0"/>
              <w:rPr>
                <w:sz w:val="20"/>
                <w:szCs w:val="20"/>
                <w:color w:val="auto"/>
              </w:rPr>
            </w:pPr>
            <w:r>
              <w:rPr>
                <w:rFonts w:ascii="Arial" w:cs="Arial" w:eastAsia="Arial" w:hAnsi="Arial"/>
                <w:sz w:val="10"/>
                <w:szCs w:val="10"/>
                <w:b w:val="1"/>
                <w:bCs w:val="1"/>
                <w:color w:val="auto"/>
                <w:w w:val="71"/>
              </w:rPr>
              <w:t>$</w:t>
            </w:r>
          </w:p>
        </w:tc>
        <w:tc>
          <w:tcPr>
            <w:tcW w:w="1400" w:type="dxa"/>
            <w:vAlign w:val="bottom"/>
            <w:gridSpan w:val="4"/>
          </w:tcPr>
          <w:p>
            <w:pPr>
              <w:jc w:val="right"/>
              <w:ind w:right="520"/>
              <w:spacing w:after="0"/>
              <w:rPr>
                <w:sz w:val="20"/>
                <w:szCs w:val="20"/>
                <w:color w:val="auto"/>
              </w:rPr>
            </w:pPr>
            <w:r>
              <w:rPr>
                <w:rFonts w:ascii="Arial" w:cs="Arial" w:eastAsia="Arial" w:hAnsi="Arial"/>
                <w:sz w:val="12"/>
                <w:szCs w:val="12"/>
                <w:b w:val="1"/>
                <w:bCs w:val="1"/>
                <w:color w:val="auto"/>
              </w:rPr>
              <w:t>17,158</w:t>
            </w:r>
          </w:p>
        </w:tc>
        <w:tc>
          <w:tcPr>
            <w:tcW w:w="460" w:type="dxa"/>
            <w:vAlign w:val="bottom"/>
          </w:tcPr>
          <w:p>
            <w:pPr>
              <w:spacing w:after="0"/>
              <w:rPr>
                <w:sz w:val="12"/>
                <w:szCs w:val="12"/>
                <w:color w:val="auto"/>
              </w:rPr>
            </w:pPr>
          </w:p>
        </w:tc>
        <w:tc>
          <w:tcPr>
            <w:tcW w:w="420" w:type="dxa"/>
            <w:vAlign w:val="bottom"/>
            <w:gridSpan w:val="3"/>
          </w:tcPr>
          <w:p>
            <w:pPr>
              <w:jc w:val="right"/>
              <w:ind w:right="20"/>
              <w:spacing w:after="0"/>
              <w:rPr>
                <w:sz w:val="20"/>
                <w:szCs w:val="20"/>
                <w:color w:val="auto"/>
              </w:rPr>
            </w:pPr>
            <w:r>
              <w:rPr>
                <w:rFonts w:ascii="Arial" w:cs="Arial" w:eastAsia="Arial" w:hAnsi="Arial"/>
                <w:sz w:val="12"/>
                <w:szCs w:val="12"/>
                <w:b w:val="1"/>
                <w:bCs w:val="1"/>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(4,819)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rPr>
              <w:t>$</w:t>
            </w:r>
          </w:p>
        </w:tc>
        <w:tc>
          <w:tcPr>
            <w:tcW w:w="1560" w:type="dxa"/>
            <w:vAlign w:val="bottom"/>
            <w:gridSpan w:val="4"/>
          </w:tcPr>
          <w:p>
            <w:pPr>
              <w:jc w:val="right"/>
              <w:ind w:right="680"/>
              <w:spacing w:after="0"/>
              <w:rPr>
                <w:sz w:val="20"/>
                <w:szCs w:val="20"/>
                <w:color w:val="auto"/>
              </w:rPr>
            </w:pPr>
            <w:r>
              <w:rPr>
                <w:rFonts w:ascii="Arial" w:cs="Arial" w:eastAsia="Arial" w:hAnsi="Arial"/>
                <w:sz w:val="12"/>
                <w:szCs w:val="12"/>
                <w:b w:val="1"/>
                <w:bCs w:val="1"/>
                <w:color w:val="auto"/>
              </w:rPr>
              <w:t>12,339</w:t>
            </w: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gridSpan w:val="6"/>
          </w:tcPr>
          <w:p>
            <w:pPr>
              <w:ind w:left="200"/>
              <w:spacing w:after="0"/>
              <w:rPr>
                <w:sz w:val="20"/>
                <w:szCs w:val="20"/>
                <w:color w:val="auto"/>
              </w:rPr>
            </w:pPr>
            <w:r>
              <w:rPr>
                <w:rFonts w:ascii="Arial" w:cs="Arial" w:eastAsia="Arial" w:hAnsi="Arial"/>
                <w:sz w:val="12"/>
                <w:szCs w:val="12"/>
                <w:b w:val="1"/>
                <w:bCs w:val="1"/>
                <w:color w:val="auto"/>
              </w:rPr>
              <w:t>December 31, 2011</w:t>
            </w: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9"/>
        </w:trPr>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right"/>
              <w:ind w:right="90"/>
              <w:spacing w:after="0" w:line="129" w:lineRule="exact"/>
              <w:rPr>
                <w:sz w:val="20"/>
                <w:szCs w:val="20"/>
                <w:color w:val="auto"/>
              </w:rPr>
            </w:pPr>
            <w:r>
              <w:rPr>
                <w:rFonts w:ascii="Arial" w:cs="Arial" w:eastAsia="Arial" w:hAnsi="Arial"/>
                <w:sz w:val="12"/>
                <w:szCs w:val="12"/>
                <w:b w:val="1"/>
                <w:bCs w:val="1"/>
                <w:color w:val="auto"/>
              </w:rPr>
              <w:t>Amortization</w:t>
            </w: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gridSpan w:val="3"/>
          </w:tcPr>
          <w:p>
            <w:pPr>
              <w:jc w:val="right"/>
              <w:ind w:right="520"/>
              <w:spacing w:after="0" w:line="129" w:lineRule="exact"/>
              <w:rPr>
                <w:sz w:val="20"/>
                <w:szCs w:val="20"/>
                <w:color w:val="auto"/>
              </w:rPr>
            </w:pPr>
            <w:r>
              <w:rPr>
                <w:rFonts w:ascii="Arial" w:cs="Arial" w:eastAsia="Arial" w:hAnsi="Arial"/>
                <w:sz w:val="12"/>
                <w:szCs w:val="12"/>
                <w:b w:val="1"/>
                <w:bCs w:val="1"/>
                <w:color w:val="auto"/>
              </w:rPr>
              <w:t>Accumulated</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3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60" w:type="dxa"/>
            <w:vAlign w:val="bottom"/>
            <w:gridSpan w:val="3"/>
          </w:tcPr>
          <w:p>
            <w:pPr>
              <w:ind w:left="200"/>
              <w:spacing w:after="0"/>
              <w:rPr>
                <w:sz w:val="20"/>
                <w:szCs w:val="20"/>
                <w:color w:val="auto"/>
              </w:rPr>
            </w:pPr>
            <w:r>
              <w:rPr>
                <w:rFonts w:ascii="Arial" w:cs="Arial" w:eastAsia="Arial" w:hAnsi="Arial"/>
                <w:sz w:val="12"/>
                <w:szCs w:val="12"/>
                <w:b w:val="1"/>
                <w:bCs w:val="1"/>
                <w:color w:val="auto"/>
              </w:rPr>
              <w:t>Intangible Asset</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right"/>
              <w:ind w:right="70"/>
              <w:spacing w:after="0"/>
              <w:rPr>
                <w:sz w:val="20"/>
                <w:szCs w:val="20"/>
                <w:color w:val="auto"/>
              </w:rPr>
            </w:pPr>
            <w:r>
              <w:rPr>
                <w:rFonts w:ascii="Arial" w:cs="Arial" w:eastAsia="Arial" w:hAnsi="Arial"/>
                <w:sz w:val="12"/>
                <w:szCs w:val="12"/>
                <w:b w:val="1"/>
                <w:bCs w:val="1"/>
                <w:color w:val="auto"/>
              </w:rPr>
              <w:t>Period (Years)</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80" w:type="dxa"/>
            <w:vAlign w:val="bottom"/>
          </w:tcPr>
          <w:p>
            <w:pPr>
              <w:jc w:val="right"/>
              <w:ind w:right="80"/>
              <w:spacing w:after="0"/>
              <w:rPr>
                <w:sz w:val="20"/>
                <w:szCs w:val="20"/>
                <w:color w:val="auto"/>
              </w:rPr>
            </w:pPr>
            <w:r>
              <w:rPr>
                <w:rFonts w:ascii="Arial" w:cs="Arial" w:eastAsia="Arial" w:hAnsi="Arial"/>
                <w:sz w:val="12"/>
                <w:szCs w:val="12"/>
                <w:b w:val="1"/>
                <w:bCs w:val="1"/>
                <w:color w:val="auto"/>
              </w:rPr>
              <w:t>Gross</w:t>
            </w: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gridSpan w:val="3"/>
          </w:tcPr>
          <w:p>
            <w:pPr>
              <w:jc w:val="right"/>
              <w:ind w:right="520"/>
              <w:spacing w:after="0"/>
              <w:rPr>
                <w:sz w:val="20"/>
                <w:szCs w:val="20"/>
                <w:color w:val="auto"/>
              </w:rPr>
            </w:pPr>
            <w:r>
              <w:rPr>
                <w:rFonts w:ascii="Arial" w:cs="Arial" w:eastAsia="Arial" w:hAnsi="Arial"/>
                <w:sz w:val="12"/>
                <w:szCs w:val="12"/>
                <w:b w:val="1"/>
                <w:bCs w:val="1"/>
                <w:color w:val="auto"/>
              </w:rPr>
              <w:t>Amortization</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2"/>
                <w:szCs w:val="12"/>
                <w:b w:val="1"/>
                <w:bCs w:val="1"/>
                <w:color w:val="auto"/>
              </w:rPr>
              <w:t>Net</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vMerge w:val="restart"/>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18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Developed Technology</w:t>
            </w:r>
          </w:p>
        </w:tc>
        <w:tc>
          <w:tcPr>
            <w:tcW w:w="136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5</w:t>
            </w:r>
          </w:p>
        </w:tc>
        <w:tc>
          <w:tcPr>
            <w:tcW w:w="20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250"/>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1,586</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130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(794 )</w:t>
            </w: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792</w:t>
            </w:r>
          </w:p>
        </w:tc>
        <w:tc>
          <w:tcPr>
            <w:tcW w:w="120" w:type="dxa"/>
            <w:vAlign w:val="bottom"/>
            <w:shd w:val="clear" w:color="auto" w:fill="CCEEFF"/>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40" w:type="dxa"/>
            <w:vAlign w:val="bottom"/>
            <w:gridSpan w:val="2"/>
          </w:tcPr>
          <w:p>
            <w:pPr>
              <w:spacing w:after="0"/>
              <w:rPr>
                <w:sz w:val="20"/>
                <w:szCs w:val="20"/>
                <w:color w:val="auto"/>
              </w:rPr>
            </w:pPr>
            <w:r>
              <w:rPr>
                <w:rFonts w:ascii="Arial" w:cs="Arial" w:eastAsia="Arial" w:hAnsi="Arial"/>
                <w:sz w:val="12"/>
                <w:szCs w:val="12"/>
                <w:color w:val="auto"/>
              </w:rPr>
              <w:t>Customer Relationships</w:t>
            </w:r>
          </w:p>
        </w:tc>
        <w:tc>
          <w:tcPr>
            <w:tcW w:w="1360" w:type="dxa"/>
            <w:vAlign w:val="bottom"/>
            <w:gridSpan w:val="3"/>
          </w:tcPr>
          <w:p>
            <w:pPr>
              <w:jc w:val="right"/>
              <w:ind w:right="120"/>
              <w:spacing w:after="0"/>
              <w:rPr>
                <w:sz w:val="20"/>
                <w:szCs w:val="20"/>
                <w:color w:val="auto"/>
              </w:rPr>
            </w:pPr>
            <w:r>
              <w:rPr>
                <w:rFonts w:ascii="Arial" w:cs="Arial" w:eastAsia="Arial" w:hAnsi="Arial"/>
                <w:sz w:val="12"/>
                <w:szCs w:val="12"/>
                <w:color w:val="auto"/>
              </w:rPr>
              <w:t>8</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6,767</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3"/>
          </w:tcPr>
          <w:p>
            <w:pPr>
              <w:jc w:val="right"/>
              <w:ind w:right="80"/>
              <w:spacing w:after="0"/>
              <w:rPr>
                <w:sz w:val="20"/>
                <w:szCs w:val="20"/>
                <w:color w:val="auto"/>
              </w:rPr>
            </w:pPr>
            <w:r>
              <w:rPr>
                <w:rFonts w:ascii="Arial" w:cs="Arial" w:eastAsia="Arial" w:hAnsi="Arial"/>
                <w:sz w:val="12"/>
                <w:szCs w:val="12"/>
                <w:color w:val="auto"/>
              </w:rPr>
              <w:t>(2,175 )</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4,592</w:t>
            </w: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Reseller Relationships</w:t>
            </w:r>
          </w:p>
        </w:tc>
        <w:tc>
          <w:tcPr>
            <w:tcW w:w="136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7</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853</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0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(30 )</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823</w:t>
            </w:r>
          </w:p>
        </w:tc>
        <w:tc>
          <w:tcPr>
            <w:tcW w:w="120" w:type="dxa"/>
            <w:vAlign w:val="bottom"/>
            <w:shd w:val="clear" w:color="auto" w:fill="CCEEFF"/>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40" w:type="dxa"/>
            <w:vAlign w:val="bottom"/>
            <w:gridSpan w:val="2"/>
          </w:tcPr>
          <w:p>
            <w:pPr>
              <w:spacing w:after="0"/>
              <w:rPr>
                <w:sz w:val="20"/>
                <w:szCs w:val="20"/>
                <w:color w:val="auto"/>
              </w:rPr>
            </w:pPr>
            <w:r>
              <w:rPr>
                <w:rFonts w:ascii="Arial" w:cs="Arial" w:eastAsia="Arial" w:hAnsi="Arial"/>
                <w:sz w:val="12"/>
                <w:szCs w:val="12"/>
                <w:color w:val="auto"/>
              </w:rPr>
              <w:t>Trade Names</w:t>
            </w:r>
          </w:p>
        </w:tc>
        <w:tc>
          <w:tcPr>
            <w:tcW w:w="1360" w:type="dxa"/>
            <w:vAlign w:val="bottom"/>
            <w:gridSpan w:val="3"/>
          </w:tcPr>
          <w:p>
            <w:pPr>
              <w:jc w:val="right"/>
              <w:ind w:right="120"/>
              <w:spacing w:after="0"/>
              <w:rPr>
                <w:sz w:val="20"/>
                <w:szCs w:val="20"/>
                <w:color w:val="auto"/>
              </w:rPr>
            </w:pPr>
            <w:r>
              <w:rPr>
                <w:rFonts w:ascii="Arial" w:cs="Arial" w:eastAsia="Arial" w:hAnsi="Arial"/>
                <w:sz w:val="12"/>
                <w:szCs w:val="12"/>
                <w:color w:val="auto"/>
              </w:rPr>
              <w:t>5</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325</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3"/>
          </w:tcPr>
          <w:p>
            <w:pPr>
              <w:jc w:val="right"/>
              <w:ind w:right="80"/>
              <w:spacing w:after="0"/>
              <w:rPr>
                <w:sz w:val="20"/>
                <w:szCs w:val="20"/>
                <w:color w:val="auto"/>
              </w:rPr>
            </w:pPr>
            <w:r>
              <w:rPr>
                <w:rFonts w:ascii="Arial" w:cs="Arial" w:eastAsia="Arial" w:hAnsi="Arial"/>
                <w:sz w:val="12"/>
                <w:szCs w:val="12"/>
                <w:color w:val="auto"/>
              </w:rPr>
              <w:t>(253 )</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72</w:t>
            </w: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Covenant not-to-compete</w:t>
            </w:r>
          </w:p>
        </w:tc>
        <w:tc>
          <w:tcPr>
            <w:tcW w:w="136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4</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182</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0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(154 )</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w:t>
            </w:r>
          </w:p>
        </w:tc>
        <w:tc>
          <w:tcPr>
            <w:tcW w:w="120" w:type="dxa"/>
            <w:vAlign w:val="bottom"/>
            <w:shd w:val="clear" w:color="auto" w:fill="CCEEFF"/>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36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gridSpan w:val="2"/>
          </w:tcPr>
          <w:p>
            <w:pPr>
              <w:spacing w:after="0"/>
              <w:rPr>
                <w:sz w:val="12"/>
                <w:szCs w:val="12"/>
                <w:color w:val="auto"/>
              </w:rPr>
            </w:pPr>
          </w:p>
        </w:tc>
        <w:tc>
          <w:tcPr>
            <w:tcW w:w="360" w:type="dxa"/>
            <w:vAlign w:val="bottom"/>
          </w:tcPr>
          <w:p>
            <w:pPr>
              <w:jc w:val="right"/>
              <w:ind w:right="250"/>
              <w:spacing w:after="0"/>
              <w:rPr>
                <w:sz w:val="20"/>
                <w:szCs w:val="20"/>
                <w:color w:val="auto"/>
              </w:rPr>
            </w:pPr>
            <w:r>
              <w:rPr>
                <w:rFonts w:ascii="Arial" w:cs="Arial" w:eastAsia="Arial" w:hAnsi="Arial"/>
                <w:sz w:val="10"/>
                <w:szCs w:val="10"/>
                <w:b w:val="1"/>
                <w:bCs w:val="1"/>
                <w:color w:val="auto"/>
                <w:w w:val="71"/>
              </w:rPr>
              <w:t>$</w:t>
            </w:r>
          </w:p>
        </w:tc>
        <w:tc>
          <w:tcPr>
            <w:tcW w:w="5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b w:val="1"/>
                <w:bCs w:val="1"/>
                <w:color w:val="auto"/>
              </w:rPr>
              <w:t>9,713</w:t>
            </w:r>
          </w:p>
        </w:tc>
        <w:tc>
          <w:tcPr>
            <w:tcW w:w="200" w:type="dxa"/>
            <w:vAlign w:val="bottom"/>
          </w:tcPr>
          <w:p>
            <w:pPr>
              <w:spacing w:after="0"/>
              <w:rPr>
                <w:sz w:val="12"/>
                <w:szCs w:val="12"/>
                <w:color w:val="auto"/>
              </w:rPr>
            </w:pPr>
          </w:p>
        </w:tc>
        <w:tc>
          <w:tcPr>
            <w:tcW w:w="140" w:type="dxa"/>
            <w:vAlign w:val="bottom"/>
          </w:tcPr>
          <w:p>
            <w:pPr>
              <w:spacing w:after="0"/>
              <w:rPr>
                <w:sz w:val="20"/>
                <w:szCs w:val="20"/>
                <w:color w:val="auto"/>
              </w:rPr>
            </w:pPr>
            <w:r>
              <w:rPr>
                <w:rFonts w:ascii="Arial" w:cs="Arial" w:eastAsia="Arial" w:hAnsi="Arial"/>
                <w:sz w:val="12"/>
                <w:szCs w:val="12"/>
                <w:b w:val="1"/>
                <w:bCs w:val="1"/>
                <w:color w:val="auto"/>
              </w:rPr>
              <w:t>$</w:t>
            </w:r>
          </w:p>
        </w:tc>
        <w:tc>
          <w:tcPr>
            <w:tcW w:w="80" w:type="dxa"/>
            <w:vAlign w:val="bottom"/>
          </w:tcPr>
          <w:p>
            <w:pPr>
              <w:spacing w:after="0"/>
              <w:rPr>
                <w:sz w:val="12"/>
                <w:szCs w:val="12"/>
                <w:color w:val="auto"/>
              </w:rPr>
            </w:pPr>
          </w:p>
        </w:tc>
        <w:tc>
          <w:tcPr>
            <w:tcW w:w="1300" w:type="dxa"/>
            <w:vAlign w:val="bottom"/>
            <w:gridSpan w:val="3"/>
          </w:tcPr>
          <w:p>
            <w:pPr>
              <w:jc w:val="right"/>
              <w:ind w:right="80"/>
              <w:spacing w:after="0"/>
              <w:rPr>
                <w:sz w:val="20"/>
                <w:szCs w:val="20"/>
                <w:color w:val="auto"/>
              </w:rPr>
            </w:pPr>
            <w:r>
              <w:rPr>
                <w:rFonts w:ascii="Arial" w:cs="Arial" w:eastAsia="Arial" w:hAnsi="Arial"/>
                <w:sz w:val="12"/>
                <w:szCs w:val="12"/>
                <w:b w:val="1"/>
                <w:bCs w:val="1"/>
                <w:color w:val="auto"/>
              </w:rPr>
              <w:t>(3,406 )</w:t>
            </w:r>
          </w:p>
        </w:tc>
        <w:tc>
          <w:tcPr>
            <w:tcW w:w="42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rPr>
              <w:t>$</w:t>
            </w: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2"/>
                <w:szCs w:val="12"/>
                <w:b w:val="1"/>
                <w:bCs w:val="1"/>
                <w:color w:val="auto"/>
              </w:rPr>
              <w:t>6,307</w:t>
            </w: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940" w:type="dxa"/>
            <w:vAlign w:val="bottom"/>
            <w:tcBorders>
              <w:top w:val="single" w:sz="8" w:color="auto"/>
              <w:bottom w:val="single" w:sz="8" w:color="auto"/>
            </w:tcBorders>
            <w:gridSpan w:val="2"/>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gridSpan w:val="4"/>
          </w:tcPr>
          <w:p>
            <w:pPr>
              <w:jc w:val="right"/>
              <w:ind w:right="420"/>
              <w:spacing w:after="0"/>
              <w:rPr>
                <w:sz w:val="20"/>
                <w:szCs w:val="20"/>
                <w:color w:val="auto"/>
              </w:rPr>
            </w:pPr>
            <w:r>
              <w:rPr>
                <w:rFonts w:ascii="Arial" w:cs="Arial" w:eastAsia="Arial" w:hAnsi="Arial"/>
                <w:sz w:val="12"/>
                <w:szCs w:val="12"/>
                <w:color w:val="auto"/>
              </w:rPr>
              <w:t>8</w:t>
            </w: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360" w:type="dxa"/>
            <w:vAlign w:val="bottom"/>
            <w:tcBorders>
              <w:bottom w:val="single" w:sz="8" w:color="808080"/>
            </w:tcBorders>
          </w:tcPr>
          <w:p>
            <w:pPr>
              <w:spacing w:after="0"/>
              <w:rPr>
                <w:sz w:val="6"/>
                <w:szCs w:val="6"/>
                <w:color w:val="auto"/>
              </w:rPr>
            </w:pPr>
          </w:p>
        </w:tc>
        <w:tc>
          <w:tcPr>
            <w:tcW w:w="86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480" w:type="dxa"/>
            <w:vAlign w:val="bottom"/>
            <w:tcBorders>
              <w:bottom w:val="single" w:sz="8" w:color="808080"/>
            </w:tcBorders>
          </w:tcPr>
          <w:p>
            <w:pPr>
              <w:spacing w:after="0"/>
              <w:rPr>
                <w:sz w:val="6"/>
                <w:szCs w:val="6"/>
                <w:color w:val="auto"/>
              </w:rPr>
            </w:pPr>
          </w:p>
        </w:tc>
        <w:tc>
          <w:tcPr>
            <w:tcW w:w="1360" w:type="dxa"/>
            <w:vAlign w:val="bottom"/>
            <w:tcBorders>
              <w:bottom w:val="single" w:sz="8" w:color="808080"/>
            </w:tcBorders>
          </w:tcPr>
          <w:p>
            <w:pPr>
              <w:spacing w:after="0"/>
              <w:rPr>
                <w:sz w:val="6"/>
                <w:szCs w:val="6"/>
                <w:color w:val="auto"/>
              </w:rPr>
            </w:pPr>
          </w:p>
        </w:tc>
        <w:tc>
          <w:tcPr>
            <w:tcW w:w="34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920" w:type="dxa"/>
            <w:vAlign w:val="bottom"/>
            <w:tcBorders>
              <w:bottom w:val="single" w:sz="8" w:color="808080"/>
            </w:tcBorders>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360" w:type="dxa"/>
            <w:vAlign w:val="bottom"/>
            <w:tcBorders>
              <w:bottom w:val="single" w:sz="8" w:color="808080"/>
            </w:tcBorders>
          </w:tcPr>
          <w:p>
            <w:pPr>
              <w:spacing w:after="0"/>
              <w:rPr>
                <w:sz w:val="6"/>
                <w:szCs w:val="6"/>
                <w:color w:val="auto"/>
              </w:rPr>
            </w:pPr>
          </w:p>
        </w:tc>
        <w:tc>
          <w:tcPr>
            <w:tcW w:w="580" w:type="dxa"/>
            <w:vAlign w:val="bottom"/>
            <w:tcBorders>
              <w:bottom w:val="single" w:sz="8" w:color="808080"/>
            </w:tcBorders>
          </w:tcPr>
          <w:p>
            <w:pPr>
              <w:spacing w:after="0"/>
              <w:rPr>
                <w:sz w:val="6"/>
                <w:szCs w:val="6"/>
                <w:color w:val="auto"/>
              </w:rPr>
            </w:pPr>
          </w:p>
        </w:tc>
        <w:tc>
          <w:tcPr>
            <w:tcW w:w="460" w:type="dxa"/>
            <w:vAlign w:val="bottom"/>
            <w:tcBorders>
              <w:bottom w:val="single" w:sz="8" w:color="808080"/>
            </w:tcBorders>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c>
          <w:tcPr>
            <w:tcW w:w="80" w:type="dxa"/>
            <w:vAlign w:val="bottom"/>
            <w:tcBorders>
              <w:bottom w:val="single" w:sz="8" w:color="808080"/>
            </w:tcBorders>
          </w:tcPr>
          <w:p>
            <w:pPr>
              <w:spacing w:after="0"/>
              <w:rPr>
                <w:sz w:val="6"/>
                <w:szCs w:val="6"/>
                <w:color w:val="auto"/>
              </w:rPr>
            </w:pPr>
          </w:p>
        </w:tc>
        <w:tc>
          <w:tcPr>
            <w:tcW w:w="92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320" w:type="dxa"/>
            <w:vAlign w:val="bottom"/>
            <w:tcBorders>
              <w:bottom w:val="single" w:sz="8" w:color="808080"/>
            </w:tcBorders>
          </w:tcPr>
          <w:p>
            <w:pPr>
              <w:spacing w:after="0"/>
              <w:rPr>
                <w:sz w:val="6"/>
                <w:szCs w:val="6"/>
                <w:color w:val="auto"/>
              </w:rPr>
            </w:pPr>
          </w:p>
        </w:tc>
        <w:tc>
          <w:tcPr>
            <w:tcW w:w="560" w:type="dxa"/>
            <w:vAlign w:val="bottom"/>
            <w:tcBorders>
              <w:bottom w:val="single" w:sz="8" w:color="808080"/>
            </w:tcBorders>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c>
          <w:tcPr>
            <w:tcW w:w="38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380" w:type="dxa"/>
            <w:vAlign w:val="bottom"/>
            <w:tcBorders>
              <w:bottom w:val="single" w:sz="8" w:color="808080"/>
            </w:tcBorders>
          </w:tcPr>
          <w:p>
            <w:pPr>
              <w:spacing w:after="0"/>
              <w:rPr>
                <w:sz w:val="6"/>
                <w:szCs w:val="6"/>
                <w:color w:val="auto"/>
              </w:rPr>
            </w:pPr>
          </w:p>
        </w:tc>
        <w:tc>
          <w:tcPr>
            <w:tcW w:w="680" w:type="dxa"/>
            <w:vAlign w:val="bottom"/>
            <w:tcBorders>
              <w:bottom w:val="single" w:sz="8" w:color="808080"/>
            </w:tcBorders>
          </w:tcPr>
          <w:p>
            <w:pPr>
              <w:spacing w:after="0"/>
              <w:rPr>
                <w:sz w:val="6"/>
                <w:szCs w:val="6"/>
                <w:color w:val="auto"/>
              </w:rPr>
            </w:pPr>
          </w:p>
        </w:tc>
        <w:tc>
          <w:tcPr>
            <w:tcW w:w="38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8" w:name="page9"/>
    <w:bookmarkEnd w:id="8"/>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ASURE SOFTWARE,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THE CONDENSED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(Amounts in thousands, except per share data unless otherwise noted)</w:t>
      </w:r>
    </w:p>
    <w:p>
      <w:pPr>
        <w:spacing w:after="0" w:line="141" w:lineRule="exact"/>
        <w:rPr>
          <w:sz w:val="20"/>
          <w:szCs w:val="20"/>
          <w:color w:val="auto"/>
        </w:rPr>
      </w:pPr>
    </w:p>
    <w:p>
      <w:pPr>
        <w:jc w:val="both"/>
        <w:ind w:firstLine="649"/>
        <w:spacing w:after="0" w:line="259" w:lineRule="auto"/>
        <w:rPr>
          <w:sz w:val="20"/>
          <w:szCs w:val="20"/>
          <w:color w:val="auto"/>
        </w:rPr>
      </w:pPr>
      <w:r>
        <w:rPr>
          <w:rFonts w:ascii="Arial" w:cs="Arial" w:eastAsia="Arial" w:hAnsi="Arial"/>
          <w:sz w:val="12"/>
          <w:szCs w:val="12"/>
          <w:color w:val="auto"/>
        </w:rPr>
        <w:t>Amortization expense is recorded using the straight-line method over the estimated economic useful lives of the intangible assets, as noted above. Amortization expense for the three months ended September 30, 2012 and 2011 was $573 and $150 included in Operating Expenses and $126 and $45 respectively included in Cost of Goods Sold. Amortization expense for the nine months ended September 30, 2012 and 2011 was $1,158 and $449 included in Operating Expenses, and $254 and $137 respectively included in Cost of Goods Sold. The following table summarizes the estimated amortization expense relating to the Company’s intangible assets for the current year and the next four years and thereafter:</w:t>
      </w:r>
    </w:p>
    <w:p>
      <w:pPr>
        <w:spacing w:after="0" w:line="121" w:lineRule="exact"/>
        <w:rPr>
          <w:sz w:val="20"/>
          <w:szCs w:val="20"/>
          <w:color w:val="auto"/>
        </w:rPr>
      </w:pPr>
    </w:p>
    <w:tbl>
      <w:tblPr>
        <w:tblLayout w:type="fixed"/>
        <w:tblInd w:w="1420" w:type="dxa"/>
        <w:tblCellMar>
          <w:top w:w="0" w:type="dxa"/>
          <w:left w:w="0" w:type="dxa"/>
          <w:bottom w:w="0" w:type="dxa"/>
          <w:right w:w="0" w:type="dxa"/>
        </w:tblCellMar>
      </w:tblPr>
      <w:tr>
        <w:trPr>
          <w:trHeight w:val="157"/>
        </w:trPr>
        <w:tc>
          <w:tcPr>
            <w:tcW w:w="7020" w:type="dxa"/>
            <w:vAlign w:val="bottom"/>
            <w:gridSpan w:val="2"/>
          </w:tcPr>
          <w:p>
            <w:pPr>
              <w:spacing w:after="0"/>
              <w:rPr>
                <w:sz w:val="20"/>
                <w:szCs w:val="20"/>
                <w:color w:val="auto"/>
              </w:rPr>
            </w:pPr>
            <w:r>
              <w:rPr>
                <w:rFonts w:ascii="Arial" w:cs="Arial" w:eastAsia="Arial" w:hAnsi="Arial"/>
                <w:sz w:val="12"/>
                <w:szCs w:val="12"/>
                <w:b w:val="1"/>
                <w:bCs w:val="1"/>
                <w:color w:val="auto"/>
              </w:rPr>
              <w:t>Twelve Months Ended</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42"/>
        </w:trPr>
        <w:tc>
          <w:tcPr>
            <w:tcW w:w="20" w:type="dxa"/>
            <w:vAlign w:val="bottom"/>
          </w:tcPr>
          <w:p>
            <w:pPr>
              <w:spacing w:after="0"/>
              <w:rPr>
                <w:sz w:val="12"/>
                <w:szCs w:val="12"/>
                <w:color w:val="auto"/>
              </w:rPr>
            </w:pPr>
          </w:p>
        </w:tc>
        <w:tc>
          <w:tcPr>
            <w:tcW w:w="7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2"/>
                <w:szCs w:val="12"/>
                <w:color w:val="auto"/>
              </w:rPr>
              <w:t>December 31, 2012 (remaining)</w:t>
            </w:r>
          </w:p>
        </w:tc>
        <w:tc>
          <w:tcPr>
            <w:tcW w:w="66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611</w:t>
            </w:r>
          </w:p>
        </w:tc>
        <w:tc>
          <w:tcPr>
            <w:tcW w:w="120" w:type="dxa"/>
            <w:vAlign w:val="bottom"/>
            <w:shd w:val="clear" w:color="auto" w:fill="CCEEFF"/>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7000" w:type="dxa"/>
            <w:vAlign w:val="bottom"/>
          </w:tcPr>
          <w:p>
            <w:pPr>
              <w:spacing w:after="0"/>
              <w:rPr>
                <w:sz w:val="20"/>
                <w:szCs w:val="20"/>
                <w:color w:val="auto"/>
              </w:rPr>
            </w:pPr>
            <w:r>
              <w:rPr>
                <w:rFonts w:ascii="Arial" w:cs="Arial" w:eastAsia="Arial" w:hAnsi="Arial"/>
                <w:sz w:val="12"/>
                <w:szCs w:val="12"/>
                <w:color w:val="auto"/>
              </w:rPr>
              <w:t>December 31, 2013</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2,258</w:t>
            </w:r>
          </w:p>
        </w:tc>
        <w:tc>
          <w:tcPr>
            <w:tcW w:w="12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2"/>
                <w:szCs w:val="12"/>
                <w:color w:val="auto"/>
              </w:rPr>
              <w:t>December 31, 2014</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2,071</w:t>
            </w:r>
          </w:p>
        </w:tc>
        <w:tc>
          <w:tcPr>
            <w:tcW w:w="120" w:type="dxa"/>
            <w:vAlign w:val="bottom"/>
            <w:shd w:val="clear" w:color="auto" w:fill="CCEEFF"/>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7000" w:type="dxa"/>
            <w:vAlign w:val="bottom"/>
          </w:tcPr>
          <w:p>
            <w:pPr>
              <w:spacing w:after="0"/>
              <w:rPr>
                <w:sz w:val="20"/>
                <w:szCs w:val="20"/>
                <w:color w:val="auto"/>
              </w:rPr>
            </w:pPr>
            <w:r>
              <w:rPr>
                <w:rFonts w:ascii="Arial" w:cs="Arial" w:eastAsia="Arial" w:hAnsi="Arial"/>
                <w:sz w:val="12"/>
                <w:szCs w:val="12"/>
                <w:color w:val="auto"/>
              </w:rPr>
              <w:t>December 31, 2015</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1,945</w:t>
            </w:r>
          </w:p>
        </w:tc>
        <w:tc>
          <w:tcPr>
            <w:tcW w:w="12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2"/>
                <w:szCs w:val="12"/>
                <w:color w:val="auto"/>
              </w:rPr>
              <w:t>December 31, 2016</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1,576</w:t>
            </w:r>
          </w:p>
        </w:tc>
        <w:tc>
          <w:tcPr>
            <w:tcW w:w="120" w:type="dxa"/>
            <w:vAlign w:val="bottom"/>
            <w:shd w:val="clear" w:color="auto" w:fill="CCEEFF"/>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7000" w:type="dxa"/>
            <w:vAlign w:val="bottom"/>
          </w:tcPr>
          <w:p>
            <w:pPr>
              <w:spacing w:after="0"/>
              <w:rPr>
                <w:sz w:val="20"/>
                <w:szCs w:val="20"/>
                <w:color w:val="auto"/>
              </w:rPr>
            </w:pPr>
            <w:r>
              <w:rPr>
                <w:rFonts w:ascii="Arial" w:cs="Arial" w:eastAsia="Arial" w:hAnsi="Arial"/>
                <w:sz w:val="12"/>
                <w:szCs w:val="12"/>
                <w:color w:val="auto"/>
              </w:rPr>
              <w:t>Thereafter</w:t>
            </w:r>
          </w:p>
        </w:tc>
        <w:tc>
          <w:tcPr>
            <w:tcW w:w="10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3,878</w:t>
            </w:r>
          </w:p>
        </w:tc>
        <w:tc>
          <w:tcPr>
            <w:tcW w:w="120" w:type="dxa"/>
            <w:vAlign w:val="bottom"/>
          </w:tcPr>
          <w:p>
            <w:pPr>
              <w:spacing w:after="0"/>
              <w:rPr>
                <w:sz w:val="12"/>
                <w:szCs w:val="12"/>
                <w:color w:val="auto"/>
              </w:rPr>
            </w:pPr>
          </w:p>
        </w:tc>
      </w:tr>
      <w:tr>
        <w:trPr>
          <w:trHeight w:val="162"/>
        </w:trPr>
        <w:tc>
          <w:tcPr>
            <w:tcW w:w="20" w:type="dxa"/>
            <w:vAlign w:val="bottom"/>
          </w:tcPr>
          <w:p>
            <w:pPr>
              <w:spacing w:after="0"/>
              <w:rPr>
                <w:sz w:val="14"/>
                <w:szCs w:val="14"/>
                <w:color w:val="auto"/>
              </w:rPr>
            </w:pPr>
          </w:p>
        </w:tc>
        <w:tc>
          <w:tcPr>
            <w:tcW w:w="70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12,339</w:t>
            </w:r>
          </w:p>
        </w:tc>
        <w:tc>
          <w:tcPr>
            <w:tcW w:w="120" w:type="dxa"/>
            <w:vAlign w:val="bottom"/>
            <w:shd w:val="clear" w:color="auto" w:fill="CCEEFF"/>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14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3 – FAIR VALUE MEASUREMENTS</w:t>
      </w:r>
    </w:p>
    <w:p>
      <w:pPr>
        <w:spacing w:after="0" w:line="172" w:lineRule="exact"/>
        <w:rPr>
          <w:sz w:val="20"/>
          <w:szCs w:val="20"/>
          <w:color w:val="auto"/>
        </w:rPr>
      </w:pPr>
    </w:p>
    <w:p>
      <w:pPr>
        <w:ind w:firstLine="649"/>
        <w:spacing w:after="0" w:line="276" w:lineRule="auto"/>
        <w:rPr>
          <w:sz w:val="20"/>
          <w:szCs w:val="20"/>
          <w:color w:val="auto"/>
        </w:rPr>
      </w:pPr>
      <w:r>
        <w:rPr>
          <w:rFonts w:ascii="Arial" w:cs="Arial" w:eastAsia="Arial" w:hAnsi="Arial"/>
          <w:sz w:val="12"/>
          <w:szCs w:val="12"/>
          <w:color w:val="auto"/>
        </w:rPr>
        <w:t xml:space="preserve">Effective August 1, 2008, Asure adopted ASC 820, </w:t>
      </w:r>
      <w:r>
        <w:rPr>
          <w:rFonts w:ascii="Arial" w:cs="Arial" w:eastAsia="Arial" w:hAnsi="Arial"/>
          <w:sz w:val="12"/>
          <w:szCs w:val="12"/>
          <w:i w:val="1"/>
          <w:iCs w:val="1"/>
          <w:color w:val="auto"/>
        </w:rPr>
        <w:t>Fair Value Measurements and Disclosures.</w:t>
      </w:r>
      <w:r>
        <w:rPr>
          <w:rFonts w:ascii="Arial" w:cs="Arial" w:eastAsia="Arial" w:hAnsi="Arial"/>
          <w:sz w:val="12"/>
          <w:szCs w:val="12"/>
          <w:color w:val="auto"/>
        </w:rPr>
        <w:t xml:space="preserve"> ASC 820 defines fair value, establishes a framework for measuring fair value in U.S. generally accepted accounting principles and expands disclosures about fair value measurements. The adoption of FASB ASC 820 did not have a material impact to the Company’s consolidated financial statements.</w:t>
      </w:r>
    </w:p>
    <w:p>
      <w:pPr>
        <w:spacing w:after="0" w:line="133" w:lineRule="exact"/>
        <w:rPr>
          <w:sz w:val="20"/>
          <w:szCs w:val="20"/>
          <w:color w:val="auto"/>
        </w:rPr>
      </w:pPr>
    </w:p>
    <w:p>
      <w:pPr>
        <w:ind w:left="640"/>
        <w:spacing w:after="0"/>
        <w:rPr>
          <w:sz w:val="20"/>
          <w:szCs w:val="20"/>
          <w:color w:val="auto"/>
        </w:rPr>
      </w:pPr>
      <w:r>
        <w:rPr>
          <w:rFonts w:ascii="Arial" w:cs="Arial" w:eastAsia="Arial" w:hAnsi="Arial"/>
          <w:sz w:val="12"/>
          <w:szCs w:val="12"/>
          <w:color w:val="auto"/>
        </w:rPr>
        <w:t>ASC 820 establishes a three-tier fair value hierarchy, which is based on the reliability of the inputs used in measuring fair values. These tiers include:</w:t>
      </w:r>
    </w:p>
    <w:p>
      <w:pPr>
        <w:sectPr>
          <w:pgSz w:w="11900" w:h="16838" w:orient="portrait"/>
          <w:cols w:equalWidth="0" w:num="1">
            <w:col w:w="11480"/>
          </w:cols>
          <w:pgMar w:left="220" w:top="128" w:right="199" w:bottom="1440" w:gutter="0" w:footer="0" w:header="0"/>
        </w:sectPr>
      </w:pPr>
    </w:p>
    <w:p>
      <w:pPr>
        <w:spacing w:after="0" w:line="168" w:lineRule="exact"/>
        <w:rPr>
          <w:sz w:val="20"/>
          <w:szCs w:val="20"/>
          <w:color w:val="auto"/>
        </w:rPr>
      </w:pPr>
    </w:p>
    <w:p>
      <w:pPr>
        <w:ind w:left="480"/>
        <w:spacing w:after="0"/>
        <w:rPr>
          <w:sz w:val="20"/>
          <w:szCs w:val="20"/>
          <w:color w:val="auto"/>
        </w:rPr>
      </w:pPr>
      <w:r>
        <w:rPr>
          <w:rFonts w:ascii="Arial" w:cs="Arial" w:eastAsia="Arial" w:hAnsi="Arial"/>
          <w:sz w:val="10"/>
          <w:szCs w:val="10"/>
          <w:color w:val="auto"/>
        </w:rPr>
        <w:t>Level 1:</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Arial" w:cs="Arial" w:eastAsia="Arial" w:hAnsi="Arial"/>
          <w:sz w:val="10"/>
          <w:szCs w:val="10"/>
          <w:color w:val="auto"/>
        </w:rPr>
        <w:t xml:space="preserve">Quoted prices in active markets for </w:t>
      </w:r>
      <w:r>
        <w:rPr>
          <w:rFonts w:ascii="Arial" w:cs="Arial" w:eastAsia="Arial" w:hAnsi="Arial"/>
          <w:sz w:val="10"/>
          <w:szCs w:val="10"/>
          <w:i w:val="1"/>
          <w:iCs w:val="1"/>
          <w:color w:val="auto"/>
        </w:rPr>
        <w:t>identical</w:t>
      </w:r>
      <w:r>
        <w:rPr>
          <w:rFonts w:ascii="Arial" w:cs="Arial" w:eastAsia="Arial" w:hAnsi="Arial"/>
          <w:sz w:val="10"/>
          <w:szCs w:val="10"/>
          <w:color w:val="auto"/>
        </w:rPr>
        <w:t xml:space="preserve"> assets or liabilities;</w:t>
      </w:r>
    </w:p>
    <w:p>
      <w:pPr>
        <w:spacing w:after="0" w:line="173" w:lineRule="exact"/>
        <w:rPr>
          <w:sz w:val="20"/>
          <w:szCs w:val="20"/>
          <w:color w:val="auto"/>
        </w:rPr>
      </w:pPr>
    </w:p>
    <w:p>
      <w:pPr>
        <w:sectPr>
          <w:pgSz w:w="11900" w:h="16838" w:orient="portrait"/>
          <w:cols w:equalWidth="0" w:num="2">
            <w:col w:w="960" w:space="720"/>
            <w:col w:w="9800"/>
          </w:cols>
          <w:pgMar w:left="220" w:top="128" w:right="199" w:bottom="1440" w:gutter="0" w:footer="0" w:header="0"/>
          <w:type w:val="continuous"/>
        </w:sectPr>
      </w:pPr>
    </w:p>
    <w:p>
      <w:pPr>
        <w:ind w:left="480"/>
        <w:spacing w:after="0"/>
        <w:rPr>
          <w:sz w:val="20"/>
          <w:szCs w:val="20"/>
          <w:color w:val="auto"/>
        </w:rPr>
      </w:pPr>
      <w:r>
        <w:rPr>
          <w:rFonts w:ascii="Arial" w:cs="Arial" w:eastAsia="Arial" w:hAnsi="Arial"/>
          <w:sz w:val="10"/>
          <w:szCs w:val="10"/>
          <w:color w:val="auto"/>
        </w:rPr>
        <w:t>Level 2:</w:t>
      </w:r>
    </w:p>
    <w:p>
      <w:pPr>
        <w:spacing w:after="0" w:line="20" w:lineRule="exact"/>
        <w:rPr>
          <w:sz w:val="20"/>
          <w:szCs w:val="20"/>
          <w:color w:val="auto"/>
        </w:rPr>
      </w:pPr>
      <w:r>
        <w:rPr>
          <w:sz w:val="20"/>
          <w:szCs w:val="20"/>
          <w:color w:val="auto"/>
        </w:rPr>
        <w:br w:type="column"/>
      </w:r>
    </w:p>
    <w:p>
      <w:pPr>
        <w:ind w:right="40"/>
        <w:spacing w:after="0" w:line="276" w:lineRule="auto"/>
        <w:rPr>
          <w:sz w:val="20"/>
          <w:szCs w:val="20"/>
          <w:color w:val="auto"/>
        </w:rPr>
      </w:pPr>
      <w:r>
        <w:rPr>
          <w:rFonts w:ascii="Arial" w:cs="Arial" w:eastAsia="Arial" w:hAnsi="Arial"/>
          <w:sz w:val="12"/>
          <w:szCs w:val="12"/>
          <w:color w:val="auto"/>
        </w:rPr>
        <w:t xml:space="preserve">Quoted prices in active markets for </w:t>
      </w:r>
      <w:r>
        <w:rPr>
          <w:rFonts w:ascii="Arial" w:cs="Arial" w:eastAsia="Arial" w:hAnsi="Arial"/>
          <w:sz w:val="12"/>
          <w:szCs w:val="12"/>
          <w:i w:val="1"/>
          <w:iCs w:val="1"/>
          <w:color w:val="auto"/>
        </w:rPr>
        <w:t>similar</w:t>
      </w:r>
      <w:r>
        <w:rPr>
          <w:rFonts w:ascii="Arial" w:cs="Arial" w:eastAsia="Arial" w:hAnsi="Arial"/>
          <w:sz w:val="12"/>
          <w:szCs w:val="12"/>
          <w:color w:val="auto"/>
        </w:rPr>
        <w:t xml:space="preserve"> assets or liabilities; quoted prices in markets that are not active for identical or similar assets or liabilities; and model-driven valuations whose significant inputs are observable; and</w:t>
      </w:r>
    </w:p>
    <w:p>
      <w:pPr>
        <w:spacing w:after="0" w:line="115" w:lineRule="exact"/>
        <w:rPr>
          <w:sz w:val="20"/>
          <w:szCs w:val="20"/>
          <w:color w:val="auto"/>
        </w:rPr>
      </w:pPr>
    </w:p>
    <w:p>
      <w:pPr>
        <w:sectPr>
          <w:pgSz w:w="11900" w:h="16838" w:orient="portrait"/>
          <w:cols w:equalWidth="0" w:num="2">
            <w:col w:w="960" w:space="720"/>
            <w:col w:w="9800"/>
          </w:cols>
          <w:pgMar w:left="220" w:top="128" w:right="199" w:bottom="1440" w:gutter="0" w:footer="0" w:header="0"/>
          <w:type w:val="continuous"/>
        </w:sectPr>
      </w:pPr>
    </w:p>
    <w:p>
      <w:pPr>
        <w:ind w:left="480"/>
        <w:spacing w:after="0"/>
        <w:rPr>
          <w:sz w:val="20"/>
          <w:szCs w:val="20"/>
          <w:color w:val="auto"/>
        </w:rPr>
      </w:pPr>
      <w:r>
        <w:rPr>
          <w:rFonts w:ascii="Arial" w:cs="Arial" w:eastAsia="Arial" w:hAnsi="Arial"/>
          <w:sz w:val="10"/>
          <w:szCs w:val="10"/>
          <w:color w:val="auto"/>
        </w:rPr>
        <w:t>Level 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color w:val="auto"/>
        </w:rPr>
        <w:t>Unobservable inputs that are supported by little or no market activity and that are significant to the fair value of the assets or liabilities.</w:t>
      </w:r>
    </w:p>
    <w:p>
      <w:pPr>
        <w:spacing w:after="0" w:line="173" w:lineRule="exact"/>
        <w:rPr>
          <w:sz w:val="20"/>
          <w:szCs w:val="20"/>
          <w:color w:val="auto"/>
        </w:rPr>
      </w:pPr>
    </w:p>
    <w:p>
      <w:pPr>
        <w:sectPr>
          <w:pgSz w:w="11900" w:h="16838" w:orient="portrait"/>
          <w:cols w:equalWidth="0" w:num="2">
            <w:col w:w="960" w:space="720"/>
            <w:col w:w="9800"/>
          </w:cols>
          <w:pgMar w:left="220" w:top="128" w:right="199" w:bottom="1440" w:gutter="0" w:footer="0" w:header="0"/>
          <w:type w:val="continuous"/>
        </w:sectPr>
      </w:pPr>
    </w:p>
    <w:p>
      <w:pPr>
        <w:ind w:left="640"/>
        <w:spacing w:after="0"/>
        <w:rPr>
          <w:sz w:val="20"/>
          <w:szCs w:val="20"/>
          <w:color w:val="auto"/>
        </w:rPr>
      </w:pPr>
      <w:r>
        <w:rPr>
          <w:rFonts w:ascii="Arial" w:cs="Arial" w:eastAsia="Arial" w:hAnsi="Arial"/>
          <w:sz w:val="12"/>
          <w:szCs w:val="12"/>
          <w:color w:val="auto"/>
        </w:rPr>
        <w:t>The following table presents the fair value hierarchy for the Company’s financial assets measured at fair value on a recurring basis as of September 30, 2012 and December 31, 2011, respectively:</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44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960" w:type="dxa"/>
            <w:vAlign w:val="bottom"/>
            <w:tcBorders>
              <w:bottom w:val="single" w:sz="8" w:color="auto"/>
            </w:tcBorders>
            <w:gridSpan w:val="5"/>
          </w:tcPr>
          <w:p>
            <w:pPr>
              <w:ind w:left="760"/>
              <w:spacing w:after="0"/>
              <w:rPr>
                <w:sz w:val="20"/>
                <w:szCs w:val="20"/>
                <w:color w:val="auto"/>
              </w:rPr>
            </w:pPr>
            <w:r>
              <w:rPr>
                <w:rFonts w:ascii="Arial" w:cs="Arial" w:eastAsia="Arial" w:hAnsi="Arial"/>
                <w:sz w:val="12"/>
                <w:szCs w:val="12"/>
                <w:b w:val="1"/>
                <w:bCs w:val="1"/>
                <w:color w:val="auto"/>
                <w:w w:val="91"/>
              </w:rPr>
              <w:t>Fair Value Measure at September 30, 2012</w:t>
            </w:r>
          </w:p>
        </w:tc>
        <w:tc>
          <w:tcPr>
            <w:tcW w:w="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144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tcPr>
          <w:p>
            <w:pPr>
              <w:jc w:val="center"/>
              <w:ind w:right="220"/>
              <w:spacing w:after="0" w:line="129" w:lineRule="exact"/>
              <w:rPr>
                <w:sz w:val="20"/>
                <w:szCs w:val="20"/>
                <w:color w:val="auto"/>
              </w:rPr>
            </w:pPr>
            <w:r>
              <w:rPr>
                <w:rFonts w:ascii="Arial" w:cs="Arial" w:eastAsia="Arial" w:hAnsi="Arial"/>
                <w:sz w:val="12"/>
                <w:szCs w:val="12"/>
                <w:b w:val="1"/>
                <w:bCs w:val="1"/>
                <w:color w:val="auto"/>
                <w:w w:val="90"/>
              </w:rPr>
              <w:t>Total</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tcPr>
          <w:p>
            <w:pPr>
              <w:jc w:val="center"/>
              <w:ind w:right="240"/>
              <w:spacing w:after="0" w:line="129" w:lineRule="exact"/>
              <w:rPr>
                <w:sz w:val="20"/>
                <w:szCs w:val="20"/>
                <w:color w:val="auto"/>
              </w:rPr>
            </w:pPr>
            <w:r>
              <w:rPr>
                <w:rFonts w:ascii="Arial" w:cs="Arial" w:eastAsia="Arial" w:hAnsi="Arial"/>
                <w:sz w:val="12"/>
                <w:szCs w:val="12"/>
                <w:b w:val="1"/>
                <w:bCs w:val="1"/>
                <w:color w:val="auto"/>
                <w:w w:val="90"/>
              </w:rPr>
              <w:t>Quoted</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gridSpan w:val="2"/>
          </w:tcPr>
          <w:p>
            <w:pPr>
              <w:jc w:val="center"/>
              <w:ind w:right="500"/>
              <w:spacing w:after="0" w:line="129" w:lineRule="exact"/>
              <w:rPr>
                <w:sz w:val="20"/>
                <w:szCs w:val="20"/>
                <w:color w:val="auto"/>
              </w:rPr>
            </w:pPr>
            <w:r>
              <w:rPr>
                <w:rFonts w:ascii="Arial" w:cs="Arial" w:eastAsia="Arial" w:hAnsi="Arial"/>
                <w:sz w:val="12"/>
                <w:szCs w:val="12"/>
                <w:b w:val="1"/>
                <w:bCs w:val="1"/>
                <w:color w:val="auto"/>
                <w:w w:val="91"/>
              </w:rPr>
              <w:t>Significant</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44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jc w:val="center"/>
              <w:ind w:right="200"/>
              <w:spacing w:after="0"/>
              <w:rPr>
                <w:sz w:val="20"/>
                <w:szCs w:val="20"/>
                <w:color w:val="auto"/>
              </w:rPr>
            </w:pPr>
            <w:r>
              <w:rPr>
                <w:rFonts w:ascii="Arial" w:cs="Arial" w:eastAsia="Arial" w:hAnsi="Arial"/>
                <w:sz w:val="12"/>
                <w:szCs w:val="12"/>
                <w:b w:val="1"/>
                <w:bCs w:val="1"/>
                <w:color w:val="auto"/>
                <w:w w:val="97"/>
              </w:rPr>
              <w:t>Carrying</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jc w:val="center"/>
              <w:ind w:right="260"/>
              <w:spacing w:after="0"/>
              <w:rPr>
                <w:sz w:val="20"/>
                <w:szCs w:val="20"/>
                <w:color w:val="auto"/>
              </w:rPr>
            </w:pPr>
            <w:r>
              <w:rPr>
                <w:rFonts w:ascii="Arial" w:cs="Arial" w:eastAsia="Arial" w:hAnsi="Arial"/>
                <w:sz w:val="12"/>
                <w:szCs w:val="12"/>
                <w:b w:val="1"/>
                <w:bCs w:val="1"/>
                <w:color w:val="auto"/>
                <w:w w:val="88"/>
              </w:rPr>
              <w:t>Prices</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center"/>
              <w:ind w:right="480"/>
              <w:spacing w:after="0"/>
              <w:rPr>
                <w:sz w:val="20"/>
                <w:szCs w:val="20"/>
                <w:color w:val="auto"/>
              </w:rPr>
            </w:pPr>
            <w:r>
              <w:rPr>
                <w:rFonts w:ascii="Arial" w:cs="Arial" w:eastAsia="Arial" w:hAnsi="Arial"/>
                <w:sz w:val="12"/>
                <w:szCs w:val="12"/>
                <w:b w:val="1"/>
                <w:bCs w:val="1"/>
                <w:color w:val="auto"/>
                <w:w w:val="93"/>
              </w:rPr>
              <w:t>Other</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2"/>
                <w:szCs w:val="12"/>
                <w:b w:val="1"/>
                <w:bCs w:val="1"/>
                <w:color w:val="auto"/>
                <w:w w:val="91"/>
              </w:rPr>
              <w:t>Significant</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44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jc w:val="center"/>
              <w:ind w:right="220"/>
              <w:spacing w:after="0"/>
              <w:rPr>
                <w:sz w:val="20"/>
                <w:szCs w:val="20"/>
                <w:color w:val="auto"/>
              </w:rPr>
            </w:pPr>
            <w:r>
              <w:rPr>
                <w:rFonts w:ascii="Arial" w:cs="Arial" w:eastAsia="Arial" w:hAnsi="Arial"/>
                <w:sz w:val="12"/>
                <w:szCs w:val="12"/>
                <w:b w:val="1"/>
                <w:bCs w:val="1"/>
                <w:color w:val="auto"/>
                <w:w w:val="91"/>
              </w:rPr>
              <w:t>Value at</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jc w:val="center"/>
              <w:ind w:right="260"/>
              <w:spacing w:after="0"/>
              <w:rPr>
                <w:sz w:val="20"/>
                <w:szCs w:val="20"/>
                <w:color w:val="auto"/>
              </w:rPr>
            </w:pPr>
            <w:r>
              <w:rPr>
                <w:rFonts w:ascii="Arial" w:cs="Arial" w:eastAsia="Arial" w:hAnsi="Arial"/>
                <w:sz w:val="12"/>
                <w:szCs w:val="12"/>
                <w:b w:val="1"/>
                <w:bCs w:val="1"/>
                <w:color w:val="auto"/>
                <w:w w:val="87"/>
              </w:rPr>
              <w:t>in Active</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center"/>
              <w:ind w:right="480"/>
              <w:spacing w:after="0"/>
              <w:rPr>
                <w:sz w:val="20"/>
                <w:szCs w:val="20"/>
                <w:color w:val="auto"/>
              </w:rPr>
            </w:pPr>
            <w:r>
              <w:rPr>
                <w:rFonts w:ascii="Arial" w:cs="Arial" w:eastAsia="Arial" w:hAnsi="Arial"/>
                <w:sz w:val="12"/>
                <w:szCs w:val="12"/>
                <w:b w:val="1"/>
                <w:bCs w:val="1"/>
                <w:color w:val="auto"/>
                <w:w w:val="88"/>
              </w:rPr>
              <w:t>Observable</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2"/>
                <w:szCs w:val="12"/>
                <w:b w:val="1"/>
                <w:bCs w:val="1"/>
                <w:color w:val="auto"/>
                <w:w w:val="90"/>
              </w:rPr>
              <w:t>Unobservable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44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jc w:val="center"/>
              <w:ind w:right="200"/>
              <w:spacing w:after="0"/>
              <w:rPr>
                <w:sz w:val="20"/>
                <w:szCs w:val="20"/>
                <w:color w:val="auto"/>
              </w:rPr>
            </w:pPr>
            <w:r>
              <w:rPr>
                <w:rFonts w:ascii="Arial" w:cs="Arial" w:eastAsia="Arial" w:hAnsi="Arial"/>
                <w:sz w:val="12"/>
                <w:szCs w:val="12"/>
                <w:b w:val="1"/>
                <w:bCs w:val="1"/>
                <w:color w:val="auto"/>
                <w:w w:val="87"/>
              </w:rPr>
              <w:t>September 30,</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jc w:val="center"/>
              <w:ind w:right="260"/>
              <w:spacing w:after="0"/>
              <w:rPr>
                <w:sz w:val="20"/>
                <w:szCs w:val="20"/>
                <w:color w:val="auto"/>
              </w:rPr>
            </w:pPr>
            <w:r>
              <w:rPr>
                <w:rFonts w:ascii="Arial" w:cs="Arial" w:eastAsia="Arial" w:hAnsi="Arial"/>
                <w:sz w:val="12"/>
                <w:szCs w:val="12"/>
                <w:b w:val="1"/>
                <w:bCs w:val="1"/>
                <w:color w:val="auto"/>
              </w:rPr>
              <w:t>Market</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center"/>
              <w:ind w:right="480"/>
              <w:spacing w:after="0"/>
              <w:rPr>
                <w:sz w:val="20"/>
                <w:szCs w:val="20"/>
                <w:color w:val="auto"/>
              </w:rPr>
            </w:pPr>
            <w:r>
              <w:rPr>
                <w:rFonts w:ascii="Arial" w:cs="Arial" w:eastAsia="Arial" w:hAnsi="Arial"/>
                <w:sz w:val="12"/>
                <w:szCs w:val="12"/>
                <w:b w:val="1"/>
                <w:bCs w:val="1"/>
                <w:color w:val="auto"/>
                <w:w w:val="94"/>
              </w:rPr>
              <w:t>Inputs</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2"/>
                <w:szCs w:val="12"/>
                <w:b w:val="1"/>
                <w:bCs w:val="1"/>
                <w:color w:val="auto"/>
                <w:w w:val="94"/>
              </w:rPr>
              <w:t>Inputs</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3600" w:type="dxa"/>
            <w:vAlign w:val="bottom"/>
            <w:gridSpan w:val="2"/>
          </w:tcPr>
          <w:p>
            <w:pPr>
              <w:ind w:left="1420"/>
              <w:spacing w:after="0"/>
              <w:rPr>
                <w:sz w:val="20"/>
                <w:szCs w:val="20"/>
                <w:color w:val="auto"/>
              </w:rPr>
            </w:pPr>
            <w:r>
              <w:rPr>
                <w:rFonts w:ascii="Arial" w:cs="Arial" w:eastAsia="Arial" w:hAnsi="Arial"/>
                <w:sz w:val="12"/>
                <w:szCs w:val="12"/>
                <w:b w:val="1"/>
                <w:bCs w:val="1"/>
                <w:color w:val="auto"/>
              </w:rPr>
              <w:t>Description</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jc w:val="center"/>
              <w:ind w:right="200"/>
              <w:spacing w:after="0"/>
              <w:rPr>
                <w:sz w:val="20"/>
                <w:szCs w:val="20"/>
                <w:color w:val="auto"/>
              </w:rPr>
            </w:pPr>
            <w:r>
              <w:rPr>
                <w:rFonts w:ascii="Arial" w:cs="Arial" w:eastAsia="Arial" w:hAnsi="Arial"/>
                <w:sz w:val="12"/>
                <w:szCs w:val="12"/>
                <w:b w:val="1"/>
                <w:bCs w:val="1"/>
                <w:color w:val="auto"/>
                <w:w w:val="89"/>
              </w:rPr>
              <w:t>2012</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jc w:val="center"/>
              <w:ind w:right="260"/>
              <w:spacing w:after="0"/>
              <w:rPr>
                <w:sz w:val="20"/>
                <w:szCs w:val="20"/>
                <w:color w:val="auto"/>
              </w:rPr>
            </w:pPr>
            <w:r>
              <w:rPr>
                <w:rFonts w:ascii="Arial" w:cs="Arial" w:eastAsia="Arial" w:hAnsi="Arial"/>
                <w:sz w:val="12"/>
                <w:szCs w:val="12"/>
                <w:b w:val="1"/>
                <w:bCs w:val="1"/>
                <w:color w:val="auto"/>
                <w:w w:val="90"/>
              </w:rPr>
              <w:t>(Level 1)</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gridSpan w:val="2"/>
          </w:tcPr>
          <w:p>
            <w:pPr>
              <w:jc w:val="center"/>
              <w:ind w:right="500"/>
              <w:spacing w:after="0"/>
              <w:rPr>
                <w:sz w:val="20"/>
                <w:szCs w:val="20"/>
                <w:color w:val="auto"/>
              </w:rPr>
            </w:pPr>
            <w:r>
              <w:rPr>
                <w:rFonts w:ascii="Arial" w:cs="Arial" w:eastAsia="Arial" w:hAnsi="Arial"/>
                <w:sz w:val="12"/>
                <w:szCs w:val="12"/>
                <w:b w:val="1"/>
                <w:bCs w:val="1"/>
                <w:color w:val="auto"/>
                <w:w w:val="90"/>
              </w:rPr>
              <w:t>(Level 2)</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2"/>
                <w:szCs w:val="12"/>
                <w:b w:val="1"/>
                <w:bCs w:val="1"/>
                <w:color w:val="auto"/>
                <w:w w:val="90"/>
              </w:rPr>
              <w:t>(Level 3)</w:t>
            </w: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40" w:type="dxa"/>
            <w:vAlign w:val="bottom"/>
            <w:vMerge w:val="restart"/>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440" w:type="dxa"/>
            <w:vAlign w:val="bottom"/>
            <w:vMerge w:val="continue"/>
          </w:tcPr>
          <w:p>
            <w:pPr>
              <w:spacing w:after="0"/>
              <w:rPr>
                <w:sz w:val="12"/>
                <w:szCs w:val="12"/>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2"/>
                <w:szCs w:val="12"/>
                <w:color w:val="auto"/>
              </w:rPr>
              <w:t>Cash and cash equivalents</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2,746</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2,746</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380" w:type="dxa"/>
            <w:vAlign w:val="bottom"/>
            <w:gridSpan w:val="2"/>
            <w:shd w:val="clear" w:color="auto" w:fill="CCEEFF"/>
          </w:tcPr>
          <w:p>
            <w:pPr>
              <w:ind w:left="1020"/>
              <w:spacing w:after="0"/>
              <w:rPr>
                <w:sz w:val="20"/>
                <w:szCs w:val="20"/>
                <w:color w:val="auto"/>
              </w:rPr>
            </w:pPr>
            <w:r>
              <w:rPr>
                <w:rFonts w:ascii="Arial" w:cs="Arial" w:eastAsia="Arial" w:hAnsi="Arial"/>
                <w:sz w:val="12"/>
                <w:szCs w:val="12"/>
                <w:color w:val="auto"/>
              </w:rPr>
              <w:t>—</w:t>
            </w:r>
          </w:p>
        </w:tc>
        <w:tc>
          <w:tcPr>
            <w:tcW w:w="2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340" w:type="dxa"/>
            <w:vAlign w:val="bottom"/>
            <w:gridSpan w:val="2"/>
            <w:shd w:val="clear" w:color="auto" w:fill="CCEEFF"/>
          </w:tcPr>
          <w:p>
            <w:pPr>
              <w:ind w:left="1060"/>
              <w:spacing w:after="0"/>
              <w:rPr>
                <w:sz w:val="20"/>
                <w:szCs w:val="20"/>
                <w:color w:val="auto"/>
              </w:rPr>
            </w:pPr>
            <w:r>
              <w:rPr>
                <w:rFonts w:ascii="Arial" w:cs="Arial" w:eastAsia="Arial" w:hAnsi="Arial"/>
                <w:sz w:val="12"/>
                <w:szCs w:val="12"/>
                <w:color w:val="auto"/>
              </w:rPr>
              <w:t>—</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44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440" w:type="dxa"/>
            <w:vAlign w:val="bottom"/>
          </w:tcPr>
          <w:p>
            <w:pPr>
              <w:spacing w:after="0"/>
              <w:rPr>
                <w:sz w:val="15"/>
                <w:szCs w:val="15"/>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2"/>
                <w:szCs w:val="12"/>
                <w:color w:val="auto"/>
              </w:rPr>
              <w:t>Total</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2,746</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2,746</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380" w:type="dxa"/>
            <w:vAlign w:val="bottom"/>
            <w:gridSpan w:val="2"/>
            <w:shd w:val="clear" w:color="auto" w:fill="CCEEFF"/>
          </w:tcPr>
          <w:p>
            <w:pPr>
              <w:ind w:left="1020"/>
              <w:spacing w:after="0"/>
              <w:rPr>
                <w:sz w:val="20"/>
                <w:szCs w:val="20"/>
                <w:color w:val="auto"/>
              </w:rPr>
            </w:pPr>
            <w:r>
              <w:rPr>
                <w:rFonts w:ascii="Arial" w:cs="Arial" w:eastAsia="Arial" w:hAnsi="Arial"/>
                <w:sz w:val="12"/>
                <w:szCs w:val="12"/>
                <w:color w:val="auto"/>
              </w:rPr>
              <w:t>—</w:t>
            </w:r>
          </w:p>
        </w:tc>
        <w:tc>
          <w:tcPr>
            <w:tcW w:w="2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340" w:type="dxa"/>
            <w:vAlign w:val="bottom"/>
            <w:gridSpan w:val="2"/>
            <w:shd w:val="clear" w:color="auto" w:fill="CCEEFF"/>
          </w:tcPr>
          <w:p>
            <w:pPr>
              <w:ind w:left="1060"/>
              <w:spacing w:after="0"/>
              <w:rPr>
                <w:sz w:val="20"/>
                <w:szCs w:val="20"/>
                <w:color w:val="auto"/>
              </w:rPr>
            </w:pPr>
            <w:r>
              <w:rPr>
                <w:rFonts w:ascii="Arial" w:cs="Arial" w:eastAsia="Arial" w:hAnsi="Arial"/>
                <w:sz w:val="12"/>
                <w:szCs w:val="12"/>
                <w:color w:val="auto"/>
              </w:rPr>
              <w:t>—</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3"/>
        </w:trPr>
        <w:tc>
          <w:tcPr>
            <w:tcW w:w="1440" w:type="dxa"/>
            <w:vAlign w:val="bottom"/>
          </w:tcPr>
          <w:p>
            <w:pPr>
              <w:spacing w:after="0"/>
              <w:rPr>
                <w:sz w:val="24"/>
                <w:szCs w:val="24"/>
                <w:color w:val="auto"/>
              </w:rPr>
            </w:pPr>
          </w:p>
        </w:tc>
        <w:tc>
          <w:tcPr>
            <w:tcW w:w="216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jc w:val="right"/>
              <w:ind w:right="880"/>
              <w:spacing w:after="0"/>
              <w:rPr>
                <w:sz w:val="20"/>
                <w:szCs w:val="20"/>
                <w:color w:val="auto"/>
              </w:rPr>
            </w:pPr>
            <w:r>
              <w:rPr>
                <w:rFonts w:ascii="Arial" w:cs="Arial" w:eastAsia="Arial" w:hAnsi="Arial"/>
                <w:sz w:val="12"/>
                <w:szCs w:val="12"/>
                <w:color w:val="auto"/>
              </w:rPr>
              <w:t>9</w:t>
            </w:r>
          </w:p>
        </w:tc>
        <w:tc>
          <w:tcPr>
            <w:tcW w:w="22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1440" w:type="dxa"/>
            <w:vAlign w:val="bottom"/>
            <w:tcBorders>
              <w:bottom w:val="single" w:sz="8" w:color="808080"/>
            </w:tcBorders>
          </w:tcPr>
          <w:p>
            <w:pPr>
              <w:spacing w:after="0"/>
              <w:rPr>
                <w:sz w:val="6"/>
                <w:szCs w:val="6"/>
                <w:color w:val="auto"/>
              </w:rPr>
            </w:pPr>
          </w:p>
        </w:tc>
        <w:tc>
          <w:tcPr>
            <w:tcW w:w="216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160" w:type="dxa"/>
            <w:vAlign w:val="bottom"/>
            <w:tcBorders>
              <w:bottom w:val="single" w:sz="8" w:color="808080"/>
            </w:tcBorders>
          </w:tcPr>
          <w:p>
            <w:pPr>
              <w:spacing w:after="0"/>
              <w:rPr>
                <w:sz w:val="6"/>
                <w:szCs w:val="6"/>
                <w:color w:val="auto"/>
              </w:rPr>
            </w:pPr>
          </w:p>
        </w:tc>
        <w:tc>
          <w:tcPr>
            <w:tcW w:w="122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116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1180" w:type="dxa"/>
            <w:vAlign w:val="bottom"/>
            <w:tcBorders>
              <w:bottom w:val="single" w:sz="8" w:color="808080"/>
            </w:tcBorders>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180" w:type="dxa"/>
            <w:vAlign w:val="bottom"/>
            <w:tcBorders>
              <w:bottom w:val="single" w:sz="8" w:color="808080"/>
            </w:tcBorders>
          </w:tcPr>
          <w:p>
            <w:pPr>
              <w:spacing w:after="0"/>
              <w:rPr>
                <w:sz w:val="6"/>
                <w:szCs w:val="6"/>
                <w:color w:val="auto"/>
              </w:rPr>
            </w:pPr>
          </w:p>
        </w:tc>
        <w:tc>
          <w:tcPr>
            <w:tcW w:w="122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144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115"/>
        </w:trPr>
        <w:tc>
          <w:tcPr>
            <w:tcW w:w="3600" w:type="dxa"/>
            <w:vAlign w:val="bottom"/>
            <w:gridSpan w:val="3"/>
          </w:tcPr>
          <w:p>
            <w:pPr>
              <w:spacing w:after="0"/>
              <w:rPr>
                <w:rFonts w:ascii="Arial" w:cs="Arial" w:eastAsia="Arial" w:hAnsi="Arial"/>
                <w:sz w:val="10"/>
                <w:szCs w:val="10"/>
                <w:color w:val="0000EE"/>
              </w:rPr>
            </w:pPr>
            <w:hyperlink w:anchor="page2">
              <w:r>
                <w:rPr>
                  <w:rFonts w:ascii="Arial" w:cs="Arial" w:eastAsia="Arial" w:hAnsi="Arial"/>
                  <w:sz w:val="10"/>
                  <w:szCs w:val="10"/>
                  <w:color w:val="0000EE"/>
                </w:rPr>
                <w:t>Table of Contents</w:t>
              </w:r>
            </w:hyperlink>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680" w:type="dxa"/>
            <w:vAlign w:val="bottom"/>
            <w:tcBorders>
              <w:top w:val="single" w:sz="8" w:color="0000EE"/>
            </w:tcBorders>
          </w:tcPr>
          <w:p>
            <w:pPr>
              <w:spacing w:after="0"/>
              <w:rPr>
                <w:sz w:val="22"/>
                <w:szCs w:val="22"/>
                <w:color w:val="auto"/>
              </w:rPr>
            </w:pPr>
          </w:p>
        </w:tc>
        <w:tc>
          <w:tcPr>
            <w:tcW w:w="76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960" w:type="dxa"/>
            <w:vAlign w:val="bottom"/>
            <w:gridSpan w:val="5"/>
          </w:tcPr>
          <w:p>
            <w:pPr>
              <w:jc w:val="center"/>
              <w:spacing w:after="0"/>
              <w:rPr>
                <w:sz w:val="20"/>
                <w:szCs w:val="20"/>
                <w:color w:val="auto"/>
              </w:rPr>
            </w:pPr>
            <w:r>
              <w:rPr>
                <w:rFonts w:ascii="Arial" w:cs="Arial" w:eastAsia="Arial" w:hAnsi="Arial"/>
                <w:sz w:val="12"/>
                <w:szCs w:val="12"/>
                <w:b w:val="1"/>
                <w:bCs w:val="1"/>
                <w:color w:val="auto"/>
                <w:w w:val="98"/>
              </w:rPr>
              <w:t>ASURE SOFTWARE, INC.</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4920" w:type="dxa"/>
            <w:vAlign w:val="bottom"/>
            <w:gridSpan w:val="11"/>
          </w:tcPr>
          <w:p>
            <w:pPr>
              <w:jc w:val="center"/>
              <w:ind w:right="660"/>
              <w:spacing w:after="0"/>
              <w:rPr>
                <w:sz w:val="20"/>
                <w:szCs w:val="20"/>
                <w:color w:val="auto"/>
              </w:rPr>
            </w:pPr>
            <w:r>
              <w:rPr>
                <w:rFonts w:ascii="Arial" w:cs="Arial" w:eastAsia="Arial" w:hAnsi="Arial"/>
                <w:sz w:val="12"/>
                <w:szCs w:val="12"/>
                <w:b w:val="1"/>
                <w:bCs w:val="1"/>
                <w:color w:val="auto"/>
              </w:rPr>
              <w:t>NOTES TO THE CONDENSED CONSOLIDATED FINANCIAL STATEMENTS</w:t>
            </w:r>
          </w:p>
        </w:tc>
        <w:tc>
          <w:tcPr>
            <w:tcW w:w="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0" w:type="dxa"/>
            <w:vAlign w:val="bottom"/>
            <w:gridSpan w:val="10"/>
          </w:tcPr>
          <w:p>
            <w:pPr>
              <w:jc w:val="center"/>
              <w:ind w:right="780"/>
              <w:spacing w:after="0"/>
              <w:rPr>
                <w:sz w:val="20"/>
                <w:szCs w:val="20"/>
                <w:color w:val="auto"/>
              </w:rPr>
            </w:pPr>
            <w:r>
              <w:rPr>
                <w:rFonts w:ascii="Arial" w:cs="Arial" w:eastAsia="Arial" w:hAnsi="Arial"/>
                <w:sz w:val="12"/>
                <w:szCs w:val="12"/>
                <w:color w:val="auto"/>
                <w:w w:val="88"/>
              </w:rPr>
              <w:t>(Amounts in thousands, except per share data unless otherwise noted)</w:t>
            </w:r>
          </w:p>
        </w:tc>
        <w:tc>
          <w:tcPr>
            <w:tcW w:w="1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6"/>
        </w:trPr>
        <w:tc>
          <w:tcPr>
            <w:tcW w:w="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2"/>
                <w:szCs w:val="12"/>
                <w:b w:val="1"/>
                <w:bCs w:val="1"/>
                <w:color w:val="auto"/>
              </w:rPr>
              <w:t>Fair Value Measure at December 31, 2011</w:t>
            </w:r>
          </w:p>
        </w:tc>
        <w:tc>
          <w:tcPr>
            <w:tcW w:w="1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center"/>
              <w:ind w:left="180"/>
              <w:spacing w:after="0" w:line="129" w:lineRule="exact"/>
              <w:rPr>
                <w:sz w:val="20"/>
                <w:szCs w:val="20"/>
                <w:color w:val="auto"/>
              </w:rPr>
            </w:pPr>
            <w:r>
              <w:rPr>
                <w:rFonts w:ascii="Arial" w:cs="Arial" w:eastAsia="Arial" w:hAnsi="Arial"/>
                <w:sz w:val="12"/>
                <w:szCs w:val="12"/>
                <w:b w:val="1"/>
                <w:bCs w:val="1"/>
                <w:color w:val="auto"/>
                <w:w w:val="90"/>
              </w:rPr>
              <w:t>Total</w:t>
            </w: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jc w:val="center"/>
              <w:ind w:right="260"/>
              <w:spacing w:after="0" w:line="129" w:lineRule="exact"/>
              <w:rPr>
                <w:sz w:val="20"/>
                <w:szCs w:val="20"/>
                <w:color w:val="auto"/>
              </w:rPr>
            </w:pPr>
            <w:r>
              <w:rPr>
                <w:rFonts w:ascii="Arial" w:cs="Arial" w:eastAsia="Arial" w:hAnsi="Arial"/>
                <w:sz w:val="12"/>
                <w:szCs w:val="12"/>
                <w:b w:val="1"/>
                <w:bCs w:val="1"/>
                <w:color w:val="auto"/>
                <w:w w:val="90"/>
              </w:rPr>
              <w:t>Quoted</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0" w:type="dxa"/>
            <w:vAlign w:val="bottom"/>
            <w:gridSpan w:val="2"/>
          </w:tcPr>
          <w:p>
            <w:pPr>
              <w:jc w:val="center"/>
              <w:ind w:right="520"/>
              <w:spacing w:after="0" w:line="129" w:lineRule="exact"/>
              <w:rPr>
                <w:sz w:val="20"/>
                <w:szCs w:val="20"/>
                <w:color w:val="auto"/>
              </w:rPr>
            </w:pPr>
            <w:r>
              <w:rPr>
                <w:rFonts w:ascii="Arial" w:cs="Arial" w:eastAsia="Arial" w:hAnsi="Arial"/>
                <w:sz w:val="12"/>
                <w:szCs w:val="12"/>
                <w:b w:val="1"/>
                <w:bCs w:val="1"/>
                <w:color w:val="auto"/>
                <w:w w:val="91"/>
              </w:rPr>
              <w:t>Significant</w:t>
            </w:r>
          </w:p>
        </w:tc>
        <w:tc>
          <w:tcPr>
            <w:tcW w:w="1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left="200"/>
              <w:spacing w:after="0"/>
              <w:rPr>
                <w:sz w:val="20"/>
                <w:szCs w:val="20"/>
                <w:color w:val="auto"/>
              </w:rPr>
            </w:pPr>
            <w:r>
              <w:rPr>
                <w:rFonts w:ascii="Arial" w:cs="Arial" w:eastAsia="Arial" w:hAnsi="Arial"/>
                <w:sz w:val="12"/>
                <w:szCs w:val="12"/>
                <w:b w:val="1"/>
                <w:bCs w:val="1"/>
                <w:color w:val="auto"/>
                <w:w w:val="97"/>
              </w:rPr>
              <w:t>Carrying</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jc w:val="center"/>
              <w:ind w:right="280"/>
              <w:spacing w:after="0"/>
              <w:rPr>
                <w:sz w:val="20"/>
                <w:szCs w:val="20"/>
                <w:color w:val="auto"/>
              </w:rPr>
            </w:pPr>
            <w:r>
              <w:rPr>
                <w:rFonts w:ascii="Arial" w:cs="Arial" w:eastAsia="Arial" w:hAnsi="Arial"/>
                <w:sz w:val="12"/>
                <w:szCs w:val="12"/>
                <w:b w:val="1"/>
                <w:bCs w:val="1"/>
                <w:color w:val="auto"/>
                <w:w w:val="88"/>
              </w:rPr>
              <w:t>Prices</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tcPr>
          <w:p>
            <w:pPr>
              <w:jc w:val="center"/>
              <w:ind w:right="500"/>
              <w:spacing w:after="0"/>
              <w:rPr>
                <w:sz w:val="20"/>
                <w:szCs w:val="20"/>
                <w:color w:val="auto"/>
              </w:rPr>
            </w:pPr>
            <w:r>
              <w:rPr>
                <w:rFonts w:ascii="Arial" w:cs="Arial" w:eastAsia="Arial" w:hAnsi="Arial"/>
                <w:sz w:val="12"/>
                <w:szCs w:val="12"/>
                <w:b w:val="1"/>
                <w:bCs w:val="1"/>
                <w:color w:val="auto"/>
                <w:w w:val="93"/>
              </w:rPr>
              <w:t>Other</w:t>
            </w:r>
          </w:p>
        </w:tc>
        <w:tc>
          <w:tcPr>
            <w:tcW w:w="180" w:type="dxa"/>
            <w:vAlign w:val="bottom"/>
          </w:tcPr>
          <w:p>
            <w:pPr>
              <w:spacing w:after="0"/>
              <w:rPr>
                <w:sz w:val="12"/>
                <w:szCs w:val="12"/>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2"/>
                <w:szCs w:val="12"/>
                <w:b w:val="1"/>
                <w:bCs w:val="1"/>
                <w:color w:val="auto"/>
                <w:w w:val="91"/>
              </w:rPr>
              <w:t>Significant</w:t>
            </w:r>
          </w:p>
        </w:tc>
        <w:tc>
          <w:tcPr>
            <w:tcW w:w="0" w:type="dxa"/>
            <w:vAlign w:val="bottom"/>
          </w:tcPr>
          <w:p>
            <w:pPr>
              <w:spacing w:after="0"/>
              <w:rPr>
                <w:sz w:val="1"/>
                <w:szCs w:val="1"/>
                <w:color w:val="auto"/>
              </w:rPr>
            </w:pPr>
          </w:p>
        </w:tc>
      </w:tr>
      <w:tr>
        <w:trPr>
          <w:trHeight w:val="144"/>
        </w:trPr>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left="180"/>
              <w:spacing w:after="0"/>
              <w:rPr>
                <w:sz w:val="20"/>
                <w:szCs w:val="20"/>
                <w:color w:val="auto"/>
              </w:rPr>
            </w:pPr>
            <w:r>
              <w:rPr>
                <w:rFonts w:ascii="Arial" w:cs="Arial" w:eastAsia="Arial" w:hAnsi="Arial"/>
                <w:sz w:val="12"/>
                <w:szCs w:val="12"/>
                <w:b w:val="1"/>
                <w:bCs w:val="1"/>
                <w:color w:val="auto"/>
                <w:w w:val="91"/>
              </w:rPr>
              <w:t>Value at</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jc w:val="center"/>
              <w:ind w:right="280"/>
              <w:spacing w:after="0"/>
              <w:rPr>
                <w:sz w:val="20"/>
                <w:szCs w:val="20"/>
                <w:color w:val="auto"/>
              </w:rPr>
            </w:pPr>
            <w:r>
              <w:rPr>
                <w:rFonts w:ascii="Arial" w:cs="Arial" w:eastAsia="Arial" w:hAnsi="Arial"/>
                <w:sz w:val="12"/>
                <w:szCs w:val="12"/>
                <w:b w:val="1"/>
                <w:bCs w:val="1"/>
                <w:color w:val="auto"/>
                <w:w w:val="87"/>
              </w:rPr>
              <w:t>in Active</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tcPr>
          <w:p>
            <w:pPr>
              <w:jc w:val="center"/>
              <w:ind w:right="500"/>
              <w:spacing w:after="0"/>
              <w:rPr>
                <w:sz w:val="20"/>
                <w:szCs w:val="20"/>
                <w:color w:val="auto"/>
              </w:rPr>
            </w:pPr>
            <w:r>
              <w:rPr>
                <w:rFonts w:ascii="Arial" w:cs="Arial" w:eastAsia="Arial" w:hAnsi="Arial"/>
                <w:sz w:val="12"/>
                <w:szCs w:val="12"/>
                <w:b w:val="1"/>
                <w:bCs w:val="1"/>
                <w:color w:val="auto"/>
                <w:w w:val="88"/>
              </w:rPr>
              <w:t>Observable</w:t>
            </w:r>
          </w:p>
        </w:tc>
        <w:tc>
          <w:tcPr>
            <w:tcW w:w="180" w:type="dxa"/>
            <w:vAlign w:val="bottom"/>
          </w:tcPr>
          <w:p>
            <w:pPr>
              <w:spacing w:after="0"/>
              <w:rPr>
                <w:sz w:val="12"/>
                <w:szCs w:val="12"/>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2"/>
                <w:szCs w:val="12"/>
                <w:b w:val="1"/>
                <w:bCs w:val="1"/>
                <w:color w:val="auto"/>
                <w:w w:val="90"/>
              </w:rPr>
              <w:t>Unobservable</w:t>
            </w:r>
          </w:p>
        </w:tc>
        <w:tc>
          <w:tcPr>
            <w:tcW w:w="0" w:type="dxa"/>
            <w:vAlign w:val="bottom"/>
          </w:tcPr>
          <w:p>
            <w:pPr>
              <w:spacing w:after="0"/>
              <w:rPr>
                <w:sz w:val="1"/>
                <w:szCs w:val="1"/>
                <w:color w:val="auto"/>
              </w:rPr>
            </w:pPr>
          </w:p>
        </w:tc>
      </w:tr>
      <w:tr>
        <w:trPr>
          <w:trHeight w:val="144"/>
        </w:trPr>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left="180"/>
              <w:spacing w:after="0"/>
              <w:rPr>
                <w:sz w:val="20"/>
                <w:szCs w:val="20"/>
                <w:color w:val="auto"/>
              </w:rPr>
            </w:pPr>
            <w:r>
              <w:rPr>
                <w:rFonts w:ascii="Arial" w:cs="Arial" w:eastAsia="Arial" w:hAnsi="Arial"/>
                <w:sz w:val="12"/>
                <w:szCs w:val="12"/>
                <w:b w:val="1"/>
                <w:bCs w:val="1"/>
                <w:color w:val="auto"/>
                <w:w w:val="89"/>
              </w:rPr>
              <w:t>December 31,</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jc w:val="center"/>
              <w:ind w:right="280"/>
              <w:spacing w:after="0"/>
              <w:rPr>
                <w:sz w:val="20"/>
                <w:szCs w:val="20"/>
                <w:color w:val="auto"/>
              </w:rPr>
            </w:pPr>
            <w:r>
              <w:rPr>
                <w:rFonts w:ascii="Arial" w:cs="Arial" w:eastAsia="Arial" w:hAnsi="Arial"/>
                <w:sz w:val="12"/>
                <w:szCs w:val="12"/>
                <w:b w:val="1"/>
                <w:bCs w:val="1"/>
                <w:color w:val="auto"/>
              </w:rPr>
              <w:t>Market</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tcPr>
          <w:p>
            <w:pPr>
              <w:jc w:val="center"/>
              <w:ind w:right="500"/>
              <w:spacing w:after="0"/>
              <w:rPr>
                <w:sz w:val="20"/>
                <w:szCs w:val="20"/>
                <w:color w:val="auto"/>
              </w:rPr>
            </w:pPr>
            <w:r>
              <w:rPr>
                <w:rFonts w:ascii="Arial" w:cs="Arial" w:eastAsia="Arial" w:hAnsi="Arial"/>
                <w:sz w:val="12"/>
                <w:szCs w:val="12"/>
                <w:b w:val="1"/>
                <w:bCs w:val="1"/>
                <w:color w:val="auto"/>
                <w:w w:val="94"/>
              </w:rPr>
              <w:t>Inputs</w:t>
            </w:r>
          </w:p>
        </w:tc>
        <w:tc>
          <w:tcPr>
            <w:tcW w:w="180" w:type="dxa"/>
            <w:vAlign w:val="bottom"/>
          </w:tcPr>
          <w:p>
            <w:pPr>
              <w:spacing w:after="0"/>
              <w:rPr>
                <w:sz w:val="12"/>
                <w:szCs w:val="12"/>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2"/>
                <w:szCs w:val="12"/>
                <w:b w:val="1"/>
                <w:bCs w:val="1"/>
                <w:color w:val="auto"/>
                <w:w w:val="94"/>
              </w:rPr>
              <w:t>Inputs</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920" w:type="dxa"/>
            <w:vAlign w:val="bottom"/>
            <w:gridSpan w:val="2"/>
          </w:tcPr>
          <w:p>
            <w:pPr>
              <w:ind w:left="740"/>
              <w:spacing w:after="0"/>
              <w:rPr>
                <w:sz w:val="20"/>
                <w:szCs w:val="20"/>
                <w:color w:val="auto"/>
              </w:rPr>
            </w:pPr>
            <w:r>
              <w:rPr>
                <w:rFonts w:ascii="Arial" w:cs="Arial" w:eastAsia="Arial" w:hAnsi="Arial"/>
                <w:sz w:val="12"/>
                <w:szCs w:val="12"/>
                <w:b w:val="1"/>
                <w:bCs w:val="1"/>
                <w:color w:val="auto"/>
              </w:rPr>
              <w:t>Description</w:t>
            </w:r>
          </w:p>
        </w:tc>
        <w:tc>
          <w:tcPr>
            <w:tcW w:w="1140" w:type="dxa"/>
            <w:vAlign w:val="bottom"/>
            <w:gridSpan w:val="2"/>
          </w:tcPr>
          <w:p>
            <w:pPr>
              <w:jc w:val="center"/>
              <w:ind w:left="320"/>
              <w:spacing w:after="0"/>
              <w:rPr>
                <w:sz w:val="20"/>
                <w:szCs w:val="20"/>
                <w:color w:val="auto"/>
              </w:rPr>
            </w:pPr>
            <w:r>
              <w:rPr>
                <w:rFonts w:ascii="Arial" w:cs="Arial" w:eastAsia="Arial" w:hAnsi="Arial"/>
                <w:sz w:val="12"/>
                <w:szCs w:val="12"/>
                <w:b w:val="1"/>
                <w:bCs w:val="1"/>
                <w:color w:val="auto"/>
                <w:w w:val="89"/>
              </w:rPr>
              <w:t>2011</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jc w:val="center"/>
              <w:ind w:right="280"/>
              <w:spacing w:after="0"/>
              <w:rPr>
                <w:sz w:val="20"/>
                <w:szCs w:val="20"/>
                <w:color w:val="auto"/>
              </w:rPr>
            </w:pPr>
            <w:r>
              <w:rPr>
                <w:rFonts w:ascii="Arial" w:cs="Arial" w:eastAsia="Arial" w:hAnsi="Arial"/>
                <w:sz w:val="12"/>
                <w:szCs w:val="12"/>
                <w:b w:val="1"/>
                <w:bCs w:val="1"/>
                <w:color w:val="auto"/>
                <w:w w:val="90"/>
              </w:rPr>
              <w:t>(Level 1)</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gridSpan w:val="2"/>
          </w:tcPr>
          <w:p>
            <w:pPr>
              <w:jc w:val="center"/>
              <w:ind w:right="520"/>
              <w:spacing w:after="0"/>
              <w:rPr>
                <w:sz w:val="20"/>
                <w:szCs w:val="20"/>
                <w:color w:val="auto"/>
              </w:rPr>
            </w:pPr>
            <w:r>
              <w:rPr>
                <w:rFonts w:ascii="Arial" w:cs="Arial" w:eastAsia="Arial" w:hAnsi="Arial"/>
                <w:sz w:val="12"/>
                <w:szCs w:val="12"/>
                <w:b w:val="1"/>
                <w:bCs w:val="1"/>
                <w:color w:val="auto"/>
                <w:w w:val="90"/>
              </w:rPr>
              <w:t>(Level 2)</w:t>
            </w:r>
          </w:p>
        </w:tc>
        <w:tc>
          <w:tcPr>
            <w:tcW w:w="180" w:type="dxa"/>
            <w:vAlign w:val="bottom"/>
          </w:tcPr>
          <w:p>
            <w:pPr>
              <w:spacing w:after="0"/>
              <w:rPr>
                <w:sz w:val="13"/>
                <w:szCs w:val="13"/>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2"/>
                <w:szCs w:val="12"/>
                <w:b w:val="1"/>
                <w:bCs w:val="1"/>
                <w:color w:val="auto"/>
                <w:w w:val="90"/>
              </w:rPr>
              <w:t>(Level 3)</w:t>
            </w:r>
          </w:p>
        </w:tc>
        <w:tc>
          <w:tcPr>
            <w:tcW w:w="0" w:type="dxa"/>
            <w:vAlign w:val="bottom"/>
          </w:tcPr>
          <w:p>
            <w:pPr>
              <w:spacing w:after="0"/>
              <w:rPr>
                <w:sz w:val="1"/>
                <w:szCs w:val="1"/>
                <w:color w:val="auto"/>
              </w:rPr>
            </w:pPr>
          </w:p>
        </w:tc>
      </w:tr>
      <w:tr>
        <w:trPr>
          <w:trHeight w:val="20"/>
        </w:trPr>
        <w:tc>
          <w:tcPr>
            <w:tcW w:w="680" w:type="dxa"/>
            <w:vAlign w:val="bottom"/>
            <w:vMerge w:val="restart"/>
          </w:tcPr>
          <w:p>
            <w:pPr>
              <w:spacing w:after="0" w:line="20" w:lineRule="exact"/>
              <w:rPr>
                <w:sz w:val="1"/>
                <w:szCs w:val="1"/>
                <w:color w:val="auto"/>
              </w:rPr>
            </w:pPr>
          </w:p>
        </w:tc>
        <w:tc>
          <w:tcPr>
            <w:tcW w:w="760" w:type="dxa"/>
            <w:vAlign w:val="bottom"/>
            <w:vMerge w:val="restart"/>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8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2"/>
                <w:szCs w:val="12"/>
                <w:color w:val="auto"/>
              </w:rPr>
              <w:t>Cash and cash equivalents</w:t>
            </w:r>
          </w:p>
        </w:tc>
        <w:tc>
          <w:tcPr>
            <w:tcW w:w="1140" w:type="dxa"/>
            <w:vAlign w:val="bottom"/>
            <w:gridSpan w:val="2"/>
            <w:shd w:val="clear" w:color="auto" w:fill="CCEEFF"/>
          </w:tcPr>
          <w:p>
            <w:pPr>
              <w:jc w:val="right"/>
              <w:ind w:right="920"/>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9"/>
              </w:rPr>
              <w:t>1,067</w:t>
            </w:r>
          </w:p>
        </w:tc>
        <w:tc>
          <w:tcPr>
            <w:tcW w:w="12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1,067</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1340" w:type="dxa"/>
            <w:vAlign w:val="bottom"/>
            <w:gridSpan w:val="2"/>
            <w:shd w:val="clear" w:color="auto" w:fill="CCEEFF"/>
          </w:tcPr>
          <w:p>
            <w:pPr>
              <w:ind w:left="10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160" w:type="dxa"/>
            <w:vAlign w:val="bottom"/>
          </w:tcPr>
          <w:p>
            <w:pPr>
              <w:spacing w:after="0"/>
              <w:rPr>
                <w:sz w:val="20"/>
                <w:szCs w:val="20"/>
                <w:color w:val="auto"/>
              </w:rPr>
            </w:pPr>
            <w:r>
              <w:rPr>
                <w:rFonts w:ascii="Arial" w:cs="Arial" w:eastAsia="Arial" w:hAnsi="Arial"/>
                <w:sz w:val="12"/>
                <w:szCs w:val="12"/>
                <w:color w:val="auto"/>
              </w:rPr>
              <w:t>Derivative Liability</w:t>
            </w: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2"/>
                <w:szCs w:val="12"/>
                <w:color w:val="auto"/>
              </w:rPr>
              <w:t>(835 )</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2"/>
                <w:szCs w:val="12"/>
                <w:color w:val="auto"/>
              </w:rPr>
              <w:t>(835 )</w:t>
            </w:r>
          </w:p>
        </w:tc>
        <w:tc>
          <w:tcPr>
            <w:tcW w:w="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160" w:type="dxa"/>
            <w:vAlign w:val="bottom"/>
            <w:shd w:val="clear" w:color="auto" w:fill="CCEEFF"/>
          </w:tcPr>
          <w:p>
            <w:pPr>
              <w:spacing w:after="0" w:line="120" w:lineRule="exact"/>
              <w:rPr>
                <w:sz w:val="20"/>
                <w:szCs w:val="20"/>
                <w:color w:val="auto"/>
              </w:rPr>
            </w:pPr>
            <w:r>
              <w:rPr>
                <w:rFonts w:ascii="Arial" w:cs="Arial" w:eastAsia="Arial" w:hAnsi="Arial"/>
                <w:sz w:val="12"/>
                <w:szCs w:val="12"/>
                <w:color w:val="auto"/>
              </w:rPr>
              <w:t>Total</w:t>
            </w:r>
          </w:p>
        </w:tc>
        <w:tc>
          <w:tcPr>
            <w:tcW w:w="1140" w:type="dxa"/>
            <w:vAlign w:val="bottom"/>
            <w:gridSpan w:val="2"/>
            <w:shd w:val="clear" w:color="auto" w:fill="CCEEFF"/>
          </w:tcPr>
          <w:p>
            <w:pPr>
              <w:jc w:val="right"/>
              <w:ind w:right="920"/>
              <w:spacing w:after="0" w:line="120" w:lineRule="exact"/>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jc w:val="right"/>
              <w:spacing w:after="0" w:line="120" w:lineRule="exact"/>
              <w:rPr>
                <w:sz w:val="20"/>
                <w:szCs w:val="20"/>
                <w:color w:val="auto"/>
              </w:rPr>
            </w:pPr>
            <w:r>
              <w:rPr>
                <w:rFonts w:ascii="Arial" w:cs="Arial" w:eastAsia="Arial" w:hAnsi="Arial"/>
                <w:sz w:val="12"/>
                <w:szCs w:val="12"/>
                <w:color w:val="auto"/>
              </w:rPr>
              <w:t>232</w:t>
            </w:r>
          </w:p>
        </w:tc>
        <w:tc>
          <w:tcPr>
            <w:tcW w:w="12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80"/>
              <w:spacing w:after="0" w:line="120" w:lineRule="exact"/>
              <w:rPr>
                <w:sz w:val="20"/>
                <w:szCs w:val="20"/>
                <w:color w:val="auto"/>
              </w:rPr>
            </w:pPr>
            <w:r>
              <w:rPr>
                <w:rFonts w:ascii="Arial" w:cs="Arial" w:eastAsia="Arial" w:hAnsi="Arial"/>
                <w:sz w:val="12"/>
                <w:szCs w:val="12"/>
                <w:color w:val="auto"/>
              </w:rPr>
              <w:t>$</w:t>
            </w:r>
          </w:p>
        </w:tc>
        <w:tc>
          <w:tcPr>
            <w:tcW w:w="1140" w:type="dxa"/>
            <w:vAlign w:val="bottom"/>
            <w:shd w:val="clear" w:color="auto" w:fill="CCEEFF"/>
          </w:tcPr>
          <w:p>
            <w:pPr>
              <w:jc w:val="right"/>
              <w:spacing w:after="0" w:line="120" w:lineRule="exact"/>
              <w:rPr>
                <w:sz w:val="20"/>
                <w:szCs w:val="20"/>
                <w:color w:val="auto"/>
              </w:rPr>
            </w:pPr>
            <w:r>
              <w:rPr>
                <w:rFonts w:ascii="Arial" w:cs="Arial" w:eastAsia="Arial" w:hAnsi="Arial"/>
                <w:sz w:val="12"/>
                <w:szCs w:val="12"/>
                <w:color w:val="auto"/>
              </w:rPr>
              <w:t>1,067</w:t>
            </w:r>
          </w:p>
        </w:tc>
        <w:tc>
          <w:tcPr>
            <w:tcW w:w="420" w:type="dxa"/>
            <w:vAlign w:val="bottom"/>
            <w:gridSpan w:val="2"/>
            <w:shd w:val="clear" w:color="auto" w:fill="CCEEFF"/>
          </w:tcPr>
          <w:p>
            <w:pPr>
              <w:jc w:val="right"/>
              <w:ind w:right="140"/>
              <w:spacing w:after="0" w:line="120" w:lineRule="exact"/>
              <w:rPr>
                <w:sz w:val="20"/>
                <w:szCs w:val="20"/>
                <w:color w:val="auto"/>
              </w:rPr>
            </w:pPr>
            <w:r>
              <w:rPr>
                <w:rFonts w:ascii="Arial" w:cs="Arial" w:eastAsia="Arial" w:hAnsi="Arial"/>
                <w:sz w:val="12"/>
                <w:szCs w:val="12"/>
                <w:color w:val="auto"/>
              </w:rPr>
              <w:t>$</w:t>
            </w:r>
          </w:p>
        </w:tc>
        <w:tc>
          <w:tcPr>
            <w:tcW w:w="1400" w:type="dxa"/>
            <w:vAlign w:val="bottom"/>
            <w:tcBorders>
              <w:right w:val="single" w:sz="8" w:color="CCEEFF"/>
            </w:tcBorders>
            <w:gridSpan w:val="2"/>
            <w:shd w:val="clear" w:color="auto" w:fill="CCEEFF"/>
          </w:tcPr>
          <w:p>
            <w:pPr>
              <w:jc w:val="right"/>
              <w:ind w:right="180"/>
              <w:spacing w:after="0" w:line="120" w:lineRule="exact"/>
              <w:rPr>
                <w:sz w:val="20"/>
                <w:szCs w:val="20"/>
                <w:color w:val="auto"/>
              </w:rPr>
            </w:pPr>
            <w:r>
              <w:rPr>
                <w:rFonts w:ascii="Arial" w:cs="Arial" w:eastAsia="Arial" w:hAnsi="Arial"/>
                <w:sz w:val="12"/>
                <w:szCs w:val="12"/>
                <w:color w:val="auto"/>
              </w:rPr>
              <w:t>(835 )</w:t>
            </w:r>
          </w:p>
        </w:tc>
        <w:tc>
          <w:tcPr>
            <w:tcW w:w="1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1340" w:type="dxa"/>
            <w:vAlign w:val="bottom"/>
            <w:gridSpan w:val="2"/>
            <w:shd w:val="clear" w:color="auto" w:fill="CCEEFF"/>
          </w:tcPr>
          <w:p>
            <w:pPr>
              <w:ind w:left="1060"/>
              <w:spacing w:after="0" w:line="120"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4 – RECENT ACCOUNTING PRONOUNCEMENTS</w:t>
      </w:r>
    </w:p>
    <w:p>
      <w:pPr>
        <w:spacing w:after="0" w:line="172" w:lineRule="exact"/>
        <w:rPr>
          <w:sz w:val="20"/>
          <w:szCs w:val="20"/>
          <w:color w:val="auto"/>
        </w:rPr>
      </w:pPr>
    </w:p>
    <w:p>
      <w:pPr>
        <w:jc w:val="both"/>
        <w:ind w:firstLine="649"/>
        <w:spacing w:after="0" w:line="257" w:lineRule="auto"/>
        <w:rPr>
          <w:sz w:val="20"/>
          <w:szCs w:val="20"/>
          <w:color w:val="auto"/>
        </w:rPr>
      </w:pPr>
      <w:r>
        <w:rPr>
          <w:rFonts w:ascii="Arial" w:cs="Arial" w:eastAsia="Arial" w:hAnsi="Arial"/>
          <w:sz w:val="12"/>
          <w:szCs w:val="12"/>
          <w:color w:val="auto"/>
        </w:rPr>
        <w:t xml:space="preserve">On May 12, 2011, the FASB issued ASU 2011-04 (Topic 220): </w:t>
      </w:r>
      <w:r>
        <w:rPr>
          <w:rFonts w:ascii="Arial" w:cs="Arial" w:eastAsia="Arial" w:hAnsi="Arial"/>
          <w:sz w:val="12"/>
          <w:szCs w:val="12"/>
          <w:i w:val="1"/>
          <w:iCs w:val="1"/>
          <w:color w:val="auto"/>
        </w:rPr>
        <w:t>Fair Value Measurement</w:t>
      </w:r>
      <w:r>
        <w:rPr>
          <w:rFonts w:ascii="Arial" w:cs="Arial" w:eastAsia="Arial" w:hAnsi="Arial"/>
          <w:sz w:val="12"/>
          <w:szCs w:val="12"/>
          <w:color w:val="auto"/>
        </w:rPr>
        <w:t xml:space="preserve"> . The new guidance creates a uniform framework for applying fair value measurement principles. It eliminates differences between GAAP and International Financial Reporting Standards issued by the International Accounting Standards Board. New disclosures required by the guidance include: quantitative information about the significant unobservable inputs used for Level 3 measurements; a qualitative discussion about the sensitivity of recurring Level 3 measurements to changes in the unobservable inputs disclosed, including the interrelationship between inputs; and a description of the company's valuation processes. This guidance is effective for interim and annual periods beginning after December 15, 2011, and all amendments will be applied prospectively with any changes in measurements recognized in income in the period of adoption. The adoption of these standards did not materially affect our financial position or results of operations.</w:t>
      </w:r>
    </w:p>
    <w:p>
      <w:pPr>
        <w:spacing w:after="0" w:line="144" w:lineRule="exact"/>
        <w:rPr>
          <w:sz w:val="20"/>
          <w:szCs w:val="20"/>
          <w:color w:val="auto"/>
        </w:rPr>
      </w:pPr>
    </w:p>
    <w:p>
      <w:pPr>
        <w:jc w:val="both"/>
        <w:ind w:firstLine="649"/>
        <w:spacing w:after="0" w:line="286" w:lineRule="auto"/>
        <w:rPr>
          <w:sz w:val="20"/>
          <w:szCs w:val="20"/>
          <w:color w:val="auto"/>
        </w:rPr>
      </w:pPr>
      <w:r>
        <w:rPr>
          <w:rFonts w:ascii="Arial" w:cs="Arial" w:eastAsia="Arial" w:hAnsi="Arial"/>
          <w:sz w:val="11"/>
          <w:szCs w:val="11"/>
          <w:color w:val="auto"/>
        </w:rPr>
        <w:t xml:space="preserve">On September 17, 2011, the FASB issued ASU 2011-05 (Topic 820): </w:t>
      </w:r>
      <w:r>
        <w:rPr>
          <w:rFonts w:ascii="Arial" w:cs="Arial" w:eastAsia="Arial" w:hAnsi="Arial"/>
          <w:sz w:val="11"/>
          <w:szCs w:val="11"/>
          <w:i w:val="1"/>
          <w:iCs w:val="1"/>
          <w:color w:val="auto"/>
        </w:rPr>
        <w:t>Comprehensive Income</w:t>
      </w:r>
      <w:r>
        <w:rPr>
          <w:rFonts w:ascii="Arial" w:cs="Arial" w:eastAsia="Arial" w:hAnsi="Arial"/>
          <w:sz w:val="11"/>
          <w:szCs w:val="11"/>
          <w:color w:val="auto"/>
        </w:rPr>
        <w:t xml:space="preserve"> . The new guidance amends disclosure requirements for the presentation of comprehensive income. The amended guidance eliminates the option to present components of other comprehensive income (“OCI”) as part of the statement of changes in shareholders' equity. All changes in OCI will be presented either in a single continuous statement of comprehensive income or in two separate but consecutive financial statements. The guidance does not change the items that must be reported in OCI. This guidance is effective for fiscal years and interim reporting periods within those years beginning after December 15, 2011 with early adoption permitted. The adoption of this guidance did not materially impact the Company's consolidated financial position, results of operations or cash flows and will only impact the presentation of OCI in the consolidated financial statements. We adopted these standards in the first quarter of fiscal 2012. The adoption of these standards did not materially affect our financial position or results of operations.</w:t>
      </w:r>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5 – SHARE BASED COMPENSATION</w:t>
      </w:r>
    </w:p>
    <w:p>
      <w:pPr>
        <w:spacing w:after="0" w:line="154" w:lineRule="exact"/>
        <w:rPr>
          <w:sz w:val="20"/>
          <w:szCs w:val="20"/>
          <w:color w:val="auto"/>
        </w:rPr>
      </w:pPr>
    </w:p>
    <w:p>
      <w:pPr>
        <w:jc w:val="both"/>
        <w:ind w:firstLine="649"/>
        <w:spacing w:after="0" w:line="323" w:lineRule="auto"/>
        <w:rPr>
          <w:sz w:val="20"/>
          <w:szCs w:val="20"/>
          <w:color w:val="auto"/>
        </w:rPr>
      </w:pPr>
      <w:r>
        <w:rPr>
          <w:rFonts w:ascii="Arial" w:cs="Arial" w:eastAsia="Arial" w:hAnsi="Arial"/>
          <w:sz w:val="11"/>
          <w:szCs w:val="11"/>
          <w:color w:val="auto"/>
        </w:rPr>
        <w:t>Share based compensation for the Company’s stock option plans for the three months ended September 30, 2012 and 2011 were $32 and $27, respectively and $67 and $55 for the nine months ended September 30, 2012 and 2011. The Company issued 20 and 0 shares of common stock related to exercises of stock options granted from its Stock Option plan for the three months ended September 30, 2012 and 2011 respectively.</w:t>
      </w:r>
    </w:p>
    <w:p>
      <w:pPr>
        <w:spacing w:after="0" w:line="92" w:lineRule="exact"/>
        <w:rPr>
          <w:sz w:val="20"/>
          <w:szCs w:val="20"/>
          <w:color w:val="auto"/>
        </w:rPr>
      </w:pPr>
    </w:p>
    <w:p>
      <w:pPr>
        <w:jc w:val="both"/>
        <w:ind w:firstLine="649"/>
        <w:spacing w:after="0" w:line="290" w:lineRule="auto"/>
        <w:rPr>
          <w:sz w:val="20"/>
          <w:szCs w:val="20"/>
          <w:color w:val="auto"/>
        </w:rPr>
      </w:pPr>
      <w:r>
        <w:rPr>
          <w:rFonts w:ascii="Arial" w:cs="Arial" w:eastAsia="Arial" w:hAnsi="Arial"/>
          <w:sz w:val="11"/>
          <w:szCs w:val="11"/>
          <w:color w:val="auto"/>
        </w:rPr>
        <w:t>Asure has one active equity plan, the 2009 Equity Plan (the "2009 Plan"). The 2009 Plan provides for the issuance of non-qualified and incentive stock options to employees and consultants of the Company. Stock options are generally granted with exercise price greater than or equal to the fair market value at the time of grant and the options generally vest over three to four years and are exercisable for a period of five to ten years beginning with date of grant. The Company’s 1996 Plan expired in April 2006, whereby the Company can no longer grant options under these plans. The shareholders approved an amendment to the 2009 Plan in June 2012 to increase the number of shares reserved under the plan from 525 to 900. A total of 693 options have been granted and are outstanding pursuant to the 2009 Plan as of September 30, 2012.</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15" w:right="199" w:bottom="1440" w:gutter="0" w:footer="0" w:header="0"/>
        </w:sectPr>
      </w:pPr>
    </w:p>
    <w:bookmarkStart w:id="10" w:name="page11"/>
    <w:bookmarkEnd w:id="10"/>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ASURE SOFTWARE, INC.</w:t>
      </w:r>
    </w:p>
    <w:p>
      <w:pPr>
        <w:spacing w:after="0" w:line="19" w:lineRule="exact"/>
        <w:rPr>
          <w:sz w:val="20"/>
          <w:szCs w:val="20"/>
          <w:color w:val="auto"/>
        </w:rPr>
      </w:pPr>
    </w:p>
    <w:p>
      <w:pPr>
        <w:ind w:left="4020"/>
        <w:spacing w:after="0"/>
        <w:rPr>
          <w:sz w:val="20"/>
          <w:szCs w:val="20"/>
          <w:color w:val="auto"/>
        </w:rPr>
      </w:pPr>
      <w:r>
        <w:rPr>
          <w:rFonts w:ascii="Arial" w:cs="Arial" w:eastAsia="Arial" w:hAnsi="Arial"/>
          <w:sz w:val="12"/>
          <w:szCs w:val="12"/>
          <w:b w:val="1"/>
          <w:bCs w:val="1"/>
          <w:color w:val="auto"/>
        </w:rPr>
        <w:t>NOTES TO THE CONSOLIDATED FINANCIAL STATEMENTS</w:t>
      </w:r>
    </w:p>
    <w:p>
      <w:pPr>
        <w:spacing w:after="0" w:line="6" w:lineRule="exact"/>
        <w:rPr>
          <w:sz w:val="20"/>
          <w:szCs w:val="20"/>
          <w:color w:val="auto"/>
        </w:rPr>
      </w:pPr>
    </w:p>
    <w:p>
      <w:pPr>
        <w:ind w:left="4060"/>
        <w:spacing w:after="0"/>
        <w:rPr>
          <w:sz w:val="20"/>
          <w:szCs w:val="20"/>
          <w:color w:val="auto"/>
        </w:rPr>
      </w:pPr>
      <w:r>
        <w:rPr>
          <w:rFonts w:ascii="Arial" w:cs="Arial" w:eastAsia="Arial" w:hAnsi="Arial"/>
          <w:sz w:val="12"/>
          <w:szCs w:val="12"/>
          <w:b w:val="1"/>
          <w:bCs w:val="1"/>
          <w:color w:val="auto"/>
        </w:rPr>
        <w:t>(Amounts in thousands, except per share data or otherwise noted)</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6 – CONTINGENCIES</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2"/>
          <w:szCs w:val="12"/>
          <w:color w:val="auto"/>
        </w:rPr>
        <w:t>Asure was the defendant or plaintiff in various actions that arose in the normal course of business. None of the pending legal proceedings to which the Company is a party are material to the Company.</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7 – INCOME (LOSS) PER SHARE</w:t>
      </w:r>
    </w:p>
    <w:p>
      <w:pPr>
        <w:spacing w:after="0" w:line="172" w:lineRule="exact"/>
        <w:rPr>
          <w:sz w:val="20"/>
          <w:szCs w:val="20"/>
          <w:color w:val="auto"/>
        </w:rPr>
      </w:pPr>
    </w:p>
    <w:p>
      <w:pPr>
        <w:jc w:val="both"/>
        <w:ind w:firstLine="649"/>
        <w:spacing w:after="0" w:line="276" w:lineRule="auto"/>
        <w:rPr>
          <w:sz w:val="20"/>
          <w:szCs w:val="20"/>
          <w:color w:val="auto"/>
        </w:rPr>
      </w:pPr>
      <w:r>
        <w:rPr>
          <w:rFonts w:ascii="Arial" w:cs="Arial" w:eastAsia="Arial" w:hAnsi="Arial"/>
          <w:sz w:val="12"/>
          <w:szCs w:val="12"/>
          <w:color w:val="auto"/>
        </w:rPr>
        <w:t>Basic Income (Loss) per share (EPS) is computed based on the weighted average number of common shares outstanding for the period. Diluted EPS reflects the maximum dilution that would have resulted from incremental common shares issuable upon the exercise of stock options. The number of common share equivalents, which includes stock options, is computed using the treasury stock method.</w:t>
      </w:r>
    </w:p>
    <w:p>
      <w:pPr>
        <w:spacing w:after="0" w:line="115" w:lineRule="exact"/>
        <w:rPr>
          <w:sz w:val="20"/>
          <w:szCs w:val="20"/>
          <w:color w:val="auto"/>
        </w:rPr>
      </w:pPr>
    </w:p>
    <w:p>
      <w:pPr>
        <w:ind w:left="640"/>
        <w:spacing w:after="0"/>
        <w:rPr>
          <w:sz w:val="20"/>
          <w:szCs w:val="20"/>
          <w:color w:val="auto"/>
        </w:rPr>
      </w:pPr>
      <w:r>
        <w:rPr>
          <w:rFonts w:ascii="Arial" w:cs="Arial" w:eastAsia="Arial" w:hAnsi="Arial"/>
          <w:sz w:val="12"/>
          <w:szCs w:val="12"/>
          <w:color w:val="auto"/>
        </w:rPr>
        <w:t>The following tables provide the components of the basic and diluted EPS computations for the three and nine month periods ended September 30, 2012 and 2011:</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60" w:type="dxa"/>
            <w:vAlign w:val="bottom"/>
            <w:gridSpan w:val="3"/>
          </w:tcPr>
          <w:p>
            <w:pPr>
              <w:jc w:val="center"/>
              <w:ind w:left="360"/>
              <w:spacing w:after="0"/>
              <w:rPr>
                <w:sz w:val="20"/>
                <w:szCs w:val="20"/>
                <w:color w:val="auto"/>
              </w:rPr>
            </w:pPr>
            <w:r>
              <w:rPr>
                <w:rFonts w:ascii="Arial" w:cs="Arial" w:eastAsia="Arial" w:hAnsi="Arial"/>
                <w:sz w:val="12"/>
                <w:szCs w:val="12"/>
                <w:b w:val="1"/>
                <w:bCs w:val="1"/>
                <w:color w:val="auto"/>
                <w:w w:val="92"/>
              </w:rPr>
              <w:t>For the Three Months</w:t>
            </w: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40" w:type="dxa"/>
            <w:vAlign w:val="bottom"/>
            <w:gridSpan w:val="3"/>
          </w:tcPr>
          <w:p>
            <w:pPr>
              <w:ind w:left="560"/>
              <w:spacing w:after="0"/>
              <w:rPr>
                <w:sz w:val="20"/>
                <w:szCs w:val="20"/>
                <w:color w:val="auto"/>
              </w:rPr>
            </w:pPr>
            <w:r>
              <w:rPr>
                <w:rFonts w:ascii="Arial" w:cs="Arial" w:eastAsia="Arial" w:hAnsi="Arial"/>
                <w:sz w:val="12"/>
                <w:szCs w:val="12"/>
                <w:b w:val="1"/>
                <w:bCs w:val="1"/>
                <w:color w:val="auto"/>
                <w:w w:val="99"/>
              </w:rPr>
              <w:t>For the Nine Months</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16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gridSpan w:val="3"/>
          </w:tcPr>
          <w:p>
            <w:pPr>
              <w:jc w:val="center"/>
              <w:ind w:left="360"/>
              <w:spacing w:after="0"/>
              <w:rPr>
                <w:sz w:val="20"/>
                <w:szCs w:val="20"/>
                <w:color w:val="auto"/>
              </w:rPr>
            </w:pPr>
            <w:r>
              <w:rPr>
                <w:rFonts w:ascii="Arial" w:cs="Arial" w:eastAsia="Arial" w:hAnsi="Arial"/>
                <w:sz w:val="12"/>
                <w:szCs w:val="12"/>
                <w:b w:val="1"/>
                <w:bCs w:val="1"/>
                <w:color w:val="auto"/>
                <w:w w:val="90"/>
              </w:rPr>
              <w:t>Ended September 30,</w:t>
            </w:r>
          </w:p>
        </w:tc>
        <w:tc>
          <w:tcPr>
            <w:tcW w:w="94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3"/>
          </w:tcPr>
          <w:p>
            <w:pPr>
              <w:ind w:left="540"/>
              <w:spacing w:after="0"/>
              <w:rPr>
                <w:sz w:val="20"/>
                <w:szCs w:val="20"/>
                <w:color w:val="auto"/>
              </w:rPr>
            </w:pPr>
            <w:r>
              <w:rPr>
                <w:rFonts w:ascii="Arial" w:cs="Arial" w:eastAsia="Arial" w:hAnsi="Arial"/>
                <w:sz w:val="12"/>
                <w:szCs w:val="12"/>
                <w:b w:val="1"/>
                <w:bCs w:val="1"/>
                <w:color w:val="auto"/>
                <w:w w:val="96"/>
              </w:rPr>
              <w:t>Ended September 30,</w:t>
            </w:r>
          </w:p>
        </w:tc>
        <w:tc>
          <w:tcPr>
            <w:tcW w:w="9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180" w:type="dxa"/>
            <w:vAlign w:val="bottom"/>
            <w:gridSpan w:val="2"/>
          </w:tcPr>
          <w:p>
            <w:pPr>
              <w:spacing w:after="0"/>
              <w:rPr>
                <w:sz w:val="20"/>
                <w:szCs w:val="20"/>
                <w:color w:val="auto"/>
              </w:rPr>
            </w:pPr>
            <w:r>
              <w:rPr>
                <w:rFonts w:ascii="Arial" w:cs="Arial" w:eastAsia="Arial" w:hAnsi="Arial"/>
                <w:sz w:val="12"/>
                <w:szCs w:val="12"/>
                <w:b w:val="1"/>
                <w:bCs w:val="1"/>
                <w:color w:val="auto"/>
              </w:rPr>
              <w:t>Basic EPS Computation</w:t>
            </w:r>
          </w:p>
        </w:tc>
        <w:tc>
          <w:tcPr>
            <w:tcW w:w="3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40"/>
              <w:spacing w:after="0"/>
              <w:rPr>
                <w:sz w:val="20"/>
                <w:szCs w:val="20"/>
                <w:color w:val="auto"/>
              </w:rPr>
            </w:pPr>
            <w:r>
              <w:rPr>
                <w:rFonts w:ascii="Arial" w:cs="Arial" w:eastAsia="Arial" w:hAnsi="Arial"/>
                <w:sz w:val="12"/>
                <w:szCs w:val="12"/>
                <w:b w:val="1"/>
                <w:bCs w:val="1"/>
                <w:color w:val="auto"/>
              </w:rPr>
              <w:t>2012</w:t>
            </w:r>
          </w:p>
        </w:tc>
        <w:tc>
          <w:tcPr>
            <w:tcW w:w="24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540"/>
              <w:spacing w:after="0"/>
              <w:rPr>
                <w:sz w:val="20"/>
                <w:szCs w:val="20"/>
                <w:color w:val="auto"/>
              </w:rPr>
            </w:pPr>
            <w:r>
              <w:rPr>
                <w:rFonts w:ascii="Arial" w:cs="Arial" w:eastAsia="Arial" w:hAnsi="Arial"/>
                <w:sz w:val="12"/>
                <w:szCs w:val="12"/>
                <w:b w:val="1"/>
                <w:bCs w:val="1"/>
                <w:color w:val="auto"/>
              </w:rPr>
              <w:t>2011</w:t>
            </w:r>
          </w:p>
        </w:tc>
        <w:tc>
          <w:tcPr>
            <w:tcW w:w="2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40"/>
              <w:spacing w:after="0"/>
              <w:rPr>
                <w:sz w:val="20"/>
                <w:szCs w:val="20"/>
                <w:color w:val="auto"/>
              </w:rPr>
            </w:pPr>
            <w:r>
              <w:rPr>
                <w:rFonts w:ascii="Arial" w:cs="Arial" w:eastAsia="Arial" w:hAnsi="Arial"/>
                <w:sz w:val="12"/>
                <w:szCs w:val="12"/>
                <w:b w:val="1"/>
                <w:bCs w:val="1"/>
                <w:color w:val="auto"/>
              </w:rPr>
              <w:t>2012</w:t>
            </w:r>
          </w:p>
        </w:tc>
        <w:tc>
          <w:tcPr>
            <w:tcW w:w="22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540"/>
              <w:spacing w:after="0"/>
              <w:rPr>
                <w:sz w:val="20"/>
                <w:szCs w:val="20"/>
                <w:color w:val="auto"/>
              </w:rPr>
            </w:pPr>
            <w:r>
              <w:rPr>
                <w:rFonts w:ascii="Arial" w:cs="Arial" w:eastAsia="Arial" w:hAnsi="Arial"/>
                <w:sz w:val="12"/>
                <w:szCs w:val="12"/>
                <w:b w:val="1"/>
                <w:bCs w:val="1"/>
                <w:color w:val="auto"/>
              </w:rPr>
              <w:t>2011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2"/>
                <w:szCs w:val="12"/>
                <w:color w:val="auto"/>
              </w:rPr>
              <w:t>Net (Loss)/Income</w:t>
            </w:r>
          </w:p>
        </w:tc>
        <w:tc>
          <w:tcPr>
            <w:tcW w:w="300" w:type="dxa"/>
            <w:vAlign w:val="bottom"/>
            <w:shd w:val="clear" w:color="auto" w:fill="CCEEFF"/>
          </w:tcPr>
          <w:p>
            <w:pPr>
              <w:jc w:val="right"/>
              <w:ind w:right="190"/>
              <w:spacing w:after="0"/>
              <w:rPr>
                <w:sz w:val="20"/>
                <w:szCs w:val="20"/>
                <w:color w:val="auto"/>
              </w:rPr>
            </w:pPr>
            <w:r>
              <w:rPr>
                <w:rFonts w:ascii="Arial" w:cs="Arial" w:eastAsia="Arial" w:hAnsi="Arial"/>
                <w:sz w:val="10"/>
                <w:szCs w:val="10"/>
                <w:color w:val="auto"/>
                <w:w w:val="71"/>
              </w:rPr>
              <w: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(1,228 )</w:t>
            </w:r>
          </w:p>
        </w:tc>
        <w:tc>
          <w:tcPr>
            <w:tcW w:w="440" w:type="dxa"/>
            <w:vAlign w:val="bottom"/>
            <w:shd w:val="clear" w:color="auto" w:fill="CCEEFF"/>
          </w:tcPr>
          <w:p>
            <w:pPr>
              <w:jc w:val="right"/>
              <w:ind w:right="330"/>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(2,399 )</w:t>
            </w:r>
          </w:p>
        </w:tc>
        <w:tc>
          <w:tcPr>
            <w:tcW w:w="440" w:type="dxa"/>
            <w:vAlign w:val="bottom"/>
            <w:shd w:val="clear" w:color="auto" w:fill="CCEEFF"/>
          </w:tcPr>
          <w:p>
            <w:pPr>
              <w:jc w:val="right"/>
              <w:ind w:right="330"/>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(4 )</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5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5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Weighted average shares outstanding</w:t>
            </w:r>
          </w:p>
        </w:tc>
        <w:tc>
          <w:tcPr>
            <w:tcW w:w="30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5,245</w:t>
            </w:r>
          </w:p>
        </w:tc>
        <w:tc>
          <w:tcPr>
            <w:tcW w:w="24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4,627</w:t>
            </w:r>
          </w:p>
        </w:tc>
        <w:tc>
          <w:tcPr>
            <w:tcW w:w="24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4,976</w:t>
            </w:r>
          </w:p>
        </w:tc>
        <w:tc>
          <w:tcPr>
            <w:tcW w:w="22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4,627</w:t>
            </w:r>
          </w:p>
        </w:tc>
        <w:tc>
          <w:tcPr>
            <w:tcW w:w="1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60" w:type="dxa"/>
            <w:vAlign w:val="bottom"/>
          </w:tcPr>
          <w:p>
            <w:pPr>
              <w:spacing w:after="0"/>
              <w:rPr>
                <w:sz w:val="20"/>
                <w:szCs w:val="20"/>
                <w:color w:val="auto"/>
              </w:rPr>
            </w:pPr>
            <w:r>
              <w:rPr>
                <w:rFonts w:ascii="Arial" w:cs="Arial" w:eastAsia="Arial" w:hAnsi="Arial"/>
                <w:sz w:val="12"/>
                <w:szCs w:val="12"/>
                <w:b w:val="1"/>
                <w:bCs w:val="1"/>
                <w:color w:val="auto"/>
              </w:rPr>
              <w:t>Basic Net (Loss)/Income per share</w:t>
            </w:r>
          </w:p>
        </w:tc>
        <w:tc>
          <w:tcPr>
            <w:tcW w:w="300" w:type="dxa"/>
            <w:vAlign w:val="bottom"/>
          </w:tcPr>
          <w:p>
            <w:pPr>
              <w:jc w:val="right"/>
              <w:ind w:right="190"/>
              <w:spacing w:after="0"/>
              <w:rPr>
                <w:sz w:val="20"/>
                <w:szCs w:val="20"/>
                <w:color w:val="auto"/>
              </w:rPr>
            </w:pPr>
            <w:r>
              <w:rPr>
                <w:rFonts w:ascii="Arial" w:cs="Arial" w:eastAsia="Arial" w:hAnsi="Arial"/>
                <w:sz w:val="10"/>
                <w:szCs w:val="10"/>
                <w:b w:val="1"/>
                <w:bCs w:val="1"/>
                <w:color w:val="auto"/>
                <w:w w:val="71"/>
              </w:rPr>
              <w:t>$</w:t>
            </w:r>
          </w:p>
        </w:tc>
        <w:tc>
          <w:tcPr>
            <w:tcW w:w="132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rPr>
              <w:t>(0.23 )</w:t>
            </w:r>
          </w:p>
        </w:tc>
        <w:tc>
          <w:tcPr>
            <w:tcW w:w="440" w:type="dxa"/>
            <w:vAlign w:val="bottom"/>
          </w:tcPr>
          <w:p>
            <w:pPr>
              <w:jc w:val="right"/>
              <w:ind w:right="330"/>
              <w:spacing w:after="0"/>
              <w:rPr>
                <w:sz w:val="20"/>
                <w:szCs w:val="20"/>
                <w:color w:val="auto"/>
              </w:rPr>
            </w:pPr>
            <w:r>
              <w:rPr>
                <w:rFonts w:ascii="Arial" w:cs="Arial" w:eastAsia="Arial" w:hAnsi="Arial"/>
                <w:sz w:val="10"/>
                <w:szCs w:val="10"/>
                <w:b w:val="1"/>
                <w:bCs w:val="1"/>
                <w:color w:val="auto"/>
                <w:w w:val="71"/>
              </w:rPr>
              <w:t>$</w:t>
            </w:r>
          </w:p>
        </w:tc>
        <w:tc>
          <w:tcPr>
            <w:tcW w:w="940" w:type="dxa"/>
            <w:vAlign w:val="bottom"/>
          </w:tcPr>
          <w:p>
            <w:pPr>
              <w:jc w:val="right"/>
              <w:spacing w:after="0"/>
              <w:rPr>
                <w:sz w:val="20"/>
                <w:szCs w:val="20"/>
                <w:color w:val="auto"/>
              </w:rPr>
            </w:pPr>
            <w:r>
              <w:rPr>
                <w:rFonts w:ascii="Arial" w:cs="Arial" w:eastAsia="Arial" w:hAnsi="Arial"/>
                <w:sz w:val="12"/>
                <w:szCs w:val="12"/>
                <w:b w:val="1"/>
                <w:bCs w:val="1"/>
                <w:color w:val="auto"/>
              </w:rPr>
              <w:t>0.01</w:t>
            </w:r>
          </w:p>
        </w:tc>
        <w:tc>
          <w:tcPr>
            <w:tcW w:w="52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w:t>
            </w:r>
          </w:p>
        </w:tc>
        <w:tc>
          <w:tcPr>
            <w:tcW w:w="130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rPr>
              <w:t>(0.48 )</w:t>
            </w:r>
          </w:p>
        </w:tc>
        <w:tc>
          <w:tcPr>
            <w:tcW w:w="440" w:type="dxa"/>
            <w:vAlign w:val="bottom"/>
          </w:tcPr>
          <w:p>
            <w:pPr>
              <w:jc w:val="right"/>
              <w:ind w:right="330"/>
              <w:spacing w:after="0"/>
              <w:rPr>
                <w:sz w:val="20"/>
                <w:szCs w:val="20"/>
                <w:color w:val="auto"/>
              </w:rPr>
            </w:pPr>
            <w:r>
              <w:rPr>
                <w:rFonts w:ascii="Arial" w:cs="Arial" w:eastAsia="Arial" w:hAnsi="Arial"/>
                <w:sz w:val="10"/>
                <w:szCs w:val="10"/>
                <w:b w:val="1"/>
                <w:bCs w:val="1"/>
                <w:color w:val="auto"/>
                <w:w w:val="71"/>
              </w:rPr>
              <w:t>$</w:t>
            </w:r>
          </w:p>
        </w:tc>
        <w:tc>
          <w:tcPr>
            <w:tcW w:w="104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rPr>
              <w:t>(0.00 )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20" w:type="dxa"/>
            <w:vAlign w:val="bottom"/>
          </w:tcPr>
          <w:p>
            <w:pPr>
              <w:spacing w:after="0"/>
              <w:rPr>
                <w:sz w:val="23"/>
                <w:szCs w:val="23"/>
                <w:color w:val="auto"/>
              </w:rPr>
            </w:pPr>
          </w:p>
        </w:tc>
        <w:tc>
          <w:tcPr>
            <w:tcW w:w="5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760" w:type="dxa"/>
            <w:vAlign w:val="bottom"/>
            <w:gridSpan w:val="3"/>
          </w:tcPr>
          <w:p>
            <w:pPr>
              <w:jc w:val="center"/>
              <w:ind w:left="360"/>
              <w:spacing w:after="0"/>
              <w:rPr>
                <w:sz w:val="20"/>
                <w:szCs w:val="20"/>
                <w:color w:val="auto"/>
              </w:rPr>
            </w:pPr>
            <w:r>
              <w:rPr>
                <w:rFonts w:ascii="Arial" w:cs="Arial" w:eastAsia="Arial" w:hAnsi="Arial"/>
                <w:sz w:val="12"/>
                <w:szCs w:val="12"/>
                <w:b w:val="1"/>
                <w:bCs w:val="1"/>
                <w:color w:val="auto"/>
                <w:w w:val="92"/>
              </w:rPr>
              <w:t>For the Three Months</w:t>
            </w:r>
          </w:p>
        </w:tc>
        <w:tc>
          <w:tcPr>
            <w:tcW w:w="9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740" w:type="dxa"/>
            <w:vAlign w:val="bottom"/>
            <w:gridSpan w:val="3"/>
          </w:tcPr>
          <w:p>
            <w:pPr>
              <w:ind w:left="560"/>
              <w:spacing w:after="0"/>
              <w:rPr>
                <w:sz w:val="20"/>
                <w:szCs w:val="20"/>
                <w:color w:val="auto"/>
              </w:rPr>
            </w:pPr>
            <w:r>
              <w:rPr>
                <w:rFonts w:ascii="Arial" w:cs="Arial" w:eastAsia="Arial" w:hAnsi="Arial"/>
                <w:sz w:val="12"/>
                <w:szCs w:val="12"/>
                <w:b w:val="1"/>
                <w:bCs w:val="1"/>
                <w:color w:val="auto"/>
                <w:w w:val="99"/>
              </w:rPr>
              <w:t>For the Nine Months</w:t>
            </w: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16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gridSpan w:val="3"/>
          </w:tcPr>
          <w:p>
            <w:pPr>
              <w:jc w:val="center"/>
              <w:ind w:left="360"/>
              <w:spacing w:after="0"/>
              <w:rPr>
                <w:sz w:val="20"/>
                <w:szCs w:val="20"/>
                <w:color w:val="auto"/>
              </w:rPr>
            </w:pPr>
            <w:r>
              <w:rPr>
                <w:rFonts w:ascii="Arial" w:cs="Arial" w:eastAsia="Arial" w:hAnsi="Arial"/>
                <w:sz w:val="12"/>
                <w:szCs w:val="12"/>
                <w:b w:val="1"/>
                <w:bCs w:val="1"/>
                <w:color w:val="auto"/>
                <w:w w:val="90"/>
              </w:rPr>
              <w:t>Ended September 30,</w:t>
            </w:r>
          </w:p>
        </w:tc>
        <w:tc>
          <w:tcPr>
            <w:tcW w:w="94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3"/>
          </w:tcPr>
          <w:p>
            <w:pPr>
              <w:ind w:left="540"/>
              <w:spacing w:after="0"/>
              <w:rPr>
                <w:sz w:val="20"/>
                <w:szCs w:val="20"/>
                <w:color w:val="auto"/>
              </w:rPr>
            </w:pPr>
            <w:r>
              <w:rPr>
                <w:rFonts w:ascii="Arial" w:cs="Arial" w:eastAsia="Arial" w:hAnsi="Arial"/>
                <w:sz w:val="12"/>
                <w:szCs w:val="12"/>
                <w:b w:val="1"/>
                <w:bCs w:val="1"/>
                <w:color w:val="auto"/>
                <w:w w:val="96"/>
              </w:rPr>
              <w:t>Ended September 30,</w:t>
            </w:r>
          </w:p>
        </w:tc>
        <w:tc>
          <w:tcPr>
            <w:tcW w:w="9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180" w:type="dxa"/>
            <w:vAlign w:val="bottom"/>
            <w:gridSpan w:val="2"/>
          </w:tcPr>
          <w:p>
            <w:pPr>
              <w:spacing w:after="0"/>
              <w:rPr>
                <w:sz w:val="20"/>
                <w:szCs w:val="20"/>
                <w:color w:val="auto"/>
              </w:rPr>
            </w:pPr>
            <w:r>
              <w:rPr>
                <w:rFonts w:ascii="Arial" w:cs="Arial" w:eastAsia="Arial" w:hAnsi="Arial"/>
                <w:sz w:val="12"/>
                <w:szCs w:val="12"/>
                <w:b w:val="1"/>
                <w:bCs w:val="1"/>
                <w:color w:val="auto"/>
              </w:rPr>
              <w:t>Diluted EPS Computation</w:t>
            </w:r>
          </w:p>
        </w:tc>
        <w:tc>
          <w:tcPr>
            <w:tcW w:w="3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40"/>
              <w:spacing w:after="0"/>
              <w:rPr>
                <w:sz w:val="20"/>
                <w:szCs w:val="20"/>
                <w:color w:val="auto"/>
              </w:rPr>
            </w:pPr>
            <w:r>
              <w:rPr>
                <w:rFonts w:ascii="Arial" w:cs="Arial" w:eastAsia="Arial" w:hAnsi="Arial"/>
                <w:sz w:val="12"/>
                <w:szCs w:val="12"/>
                <w:b w:val="1"/>
                <w:bCs w:val="1"/>
                <w:color w:val="auto"/>
              </w:rPr>
              <w:t>2012</w:t>
            </w:r>
          </w:p>
        </w:tc>
        <w:tc>
          <w:tcPr>
            <w:tcW w:w="24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540"/>
              <w:spacing w:after="0"/>
              <w:rPr>
                <w:sz w:val="20"/>
                <w:szCs w:val="20"/>
                <w:color w:val="auto"/>
              </w:rPr>
            </w:pPr>
            <w:r>
              <w:rPr>
                <w:rFonts w:ascii="Arial" w:cs="Arial" w:eastAsia="Arial" w:hAnsi="Arial"/>
                <w:sz w:val="12"/>
                <w:szCs w:val="12"/>
                <w:b w:val="1"/>
                <w:bCs w:val="1"/>
                <w:color w:val="auto"/>
              </w:rPr>
              <w:t>2011</w:t>
            </w:r>
          </w:p>
        </w:tc>
        <w:tc>
          <w:tcPr>
            <w:tcW w:w="2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40"/>
              <w:spacing w:after="0"/>
              <w:rPr>
                <w:sz w:val="20"/>
                <w:szCs w:val="20"/>
                <w:color w:val="auto"/>
              </w:rPr>
            </w:pPr>
            <w:r>
              <w:rPr>
                <w:rFonts w:ascii="Arial" w:cs="Arial" w:eastAsia="Arial" w:hAnsi="Arial"/>
                <w:sz w:val="12"/>
                <w:szCs w:val="12"/>
                <w:b w:val="1"/>
                <w:bCs w:val="1"/>
                <w:color w:val="auto"/>
              </w:rPr>
              <w:t>2012</w:t>
            </w:r>
          </w:p>
        </w:tc>
        <w:tc>
          <w:tcPr>
            <w:tcW w:w="22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540"/>
              <w:spacing w:after="0"/>
              <w:rPr>
                <w:sz w:val="20"/>
                <w:szCs w:val="20"/>
                <w:color w:val="auto"/>
              </w:rPr>
            </w:pPr>
            <w:r>
              <w:rPr>
                <w:rFonts w:ascii="Arial" w:cs="Arial" w:eastAsia="Arial" w:hAnsi="Arial"/>
                <w:sz w:val="12"/>
                <w:szCs w:val="12"/>
                <w:b w:val="1"/>
                <w:bCs w:val="1"/>
                <w:color w:val="auto"/>
              </w:rPr>
              <w:t>2011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2"/>
                <w:szCs w:val="12"/>
                <w:color w:val="auto"/>
              </w:rPr>
              <w:t>Net (Loss)/Income</w:t>
            </w:r>
          </w:p>
        </w:tc>
        <w:tc>
          <w:tcPr>
            <w:tcW w:w="300" w:type="dxa"/>
            <w:vAlign w:val="bottom"/>
            <w:shd w:val="clear" w:color="auto" w:fill="CCEEFF"/>
          </w:tcPr>
          <w:p>
            <w:pPr>
              <w:jc w:val="right"/>
              <w:ind w:right="190"/>
              <w:spacing w:after="0"/>
              <w:rPr>
                <w:sz w:val="20"/>
                <w:szCs w:val="20"/>
                <w:color w:val="auto"/>
              </w:rPr>
            </w:pPr>
            <w:r>
              <w:rPr>
                <w:rFonts w:ascii="Arial" w:cs="Arial" w:eastAsia="Arial" w:hAnsi="Arial"/>
                <w:sz w:val="10"/>
                <w:szCs w:val="10"/>
                <w:color w:val="auto"/>
                <w:w w:val="71"/>
              </w:rPr>
              <w: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(1,228 )</w:t>
            </w:r>
          </w:p>
        </w:tc>
        <w:tc>
          <w:tcPr>
            <w:tcW w:w="440" w:type="dxa"/>
            <w:vAlign w:val="bottom"/>
            <w:shd w:val="clear" w:color="auto" w:fill="CCEEFF"/>
          </w:tcPr>
          <w:p>
            <w:pPr>
              <w:jc w:val="right"/>
              <w:ind w:right="330"/>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(2,399 )</w:t>
            </w:r>
          </w:p>
        </w:tc>
        <w:tc>
          <w:tcPr>
            <w:tcW w:w="440" w:type="dxa"/>
            <w:vAlign w:val="bottom"/>
            <w:shd w:val="clear" w:color="auto" w:fill="CCEEFF"/>
          </w:tcPr>
          <w:p>
            <w:pPr>
              <w:jc w:val="right"/>
              <w:ind w:right="330"/>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(4 )</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5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2"/>
                <w:szCs w:val="12"/>
                <w:color w:val="auto"/>
              </w:rPr>
              <w:t>Weighted average shares outstanding</w:t>
            </w:r>
          </w:p>
        </w:tc>
        <w:tc>
          <w:tcPr>
            <w:tcW w:w="30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5,245</w:t>
            </w:r>
          </w:p>
        </w:tc>
        <w:tc>
          <w:tcPr>
            <w:tcW w:w="2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4,627</w:t>
            </w: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4,976</w:t>
            </w:r>
          </w:p>
        </w:tc>
        <w:tc>
          <w:tcPr>
            <w:tcW w:w="2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4,627</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160" w:type="dxa"/>
            <w:vAlign w:val="bottom"/>
          </w:tcPr>
          <w:p>
            <w:pPr>
              <w:spacing w:after="0"/>
              <w:rPr>
                <w:sz w:val="20"/>
                <w:szCs w:val="20"/>
                <w:color w:val="auto"/>
              </w:rPr>
            </w:pPr>
            <w:r>
              <w:rPr>
                <w:rFonts w:ascii="Arial" w:cs="Arial" w:eastAsia="Arial" w:hAnsi="Arial"/>
                <w:sz w:val="12"/>
                <w:szCs w:val="12"/>
                <w:color w:val="auto"/>
              </w:rPr>
              <w:t>Common shares equivalents</w:t>
            </w:r>
          </w:p>
        </w:tc>
        <w:tc>
          <w:tcPr>
            <w:tcW w:w="3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w:t>
            </w:r>
          </w:p>
        </w:tc>
        <w:tc>
          <w:tcPr>
            <w:tcW w:w="2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5160" w:type="dxa"/>
            <w:vAlign w:val="bottom"/>
            <w:tcBorders>
              <w:bottom w:val="single" w:sz="8" w:color="CCEEFF"/>
            </w:tcBorders>
            <w:shd w:val="clear" w:color="auto" w:fill="CCEEFF"/>
          </w:tcPr>
          <w:p>
            <w:pPr>
              <w:spacing w:after="0" w:line="120" w:lineRule="exact"/>
              <w:rPr>
                <w:sz w:val="20"/>
                <w:szCs w:val="20"/>
                <w:color w:val="auto"/>
              </w:rPr>
            </w:pPr>
            <w:r>
              <w:rPr>
                <w:rFonts w:ascii="Arial" w:cs="Arial" w:eastAsia="Arial" w:hAnsi="Arial"/>
                <w:sz w:val="12"/>
                <w:szCs w:val="12"/>
                <w:color w:val="auto"/>
              </w:rPr>
              <w:t>Diluted shares outstanding</w:t>
            </w:r>
          </w:p>
        </w:tc>
        <w:tc>
          <w:tcPr>
            <w:tcW w:w="30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5,245</w:t>
            </w:r>
          </w:p>
        </w:tc>
        <w:tc>
          <w:tcPr>
            <w:tcW w:w="24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4,641</w:t>
            </w:r>
          </w:p>
        </w:tc>
        <w:tc>
          <w:tcPr>
            <w:tcW w:w="24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4,976</w:t>
            </w:r>
          </w:p>
        </w:tc>
        <w:tc>
          <w:tcPr>
            <w:tcW w:w="22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4,627</w:t>
            </w:r>
          </w:p>
        </w:tc>
        <w:tc>
          <w:tcPr>
            <w:tcW w:w="1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5160" w:type="dxa"/>
            <w:vAlign w:val="bottom"/>
          </w:tcPr>
          <w:p>
            <w:pPr>
              <w:spacing w:after="0" w:line="120" w:lineRule="exact"/>
              <w:rPr>
                <w:sz w:val="20"/>
                <w:szCs w:val="20"/>
                <w:color w:val="auto"/>
              </w:rPr>
            </w:pPr>
            <w:r>
              <w:rPr>
                <w:rFonts w:ascii="Arial" w:cs="Arial" w:eastAsia="Arial" w:hAnsi="Arial"/>
                <w:sz w:val="12"/>
                <w:szCs w:val="12"/>
                <w:b w:val="1"/>
                <w:bCs w:val="1"/>
                <w:color w:val="auto"/>
              </w:rPr>
              <w:t>Basic Net (Loss)/Income per share</w:t>
            </w:r>
          </w:p>
        </w:tc>
        <w:tc>
          <w:tcPr>
            <w:tcW w:w="300" w:type="dxa"/>
            <w:vAlign w:val="bottom"/>
          </w:tcPr>
          <w:p>
            <w:pPr>
              <w:jc w:val="right"/>
              <w:ind w:right="190"/>
              <w:spacing w:after="0"/>
              <w:rPr>
                <w:sz w:val="20"/>
                <w:szCs w:val="20"/>
                <w:color w:val="auto"/>
              </w:rPr>
            </w:pPr>
            <w:r>
              <w:rPr>
                <w:rFonts w:ascii="Arial" w:cs="Arial" w:eastAsia="Arial" w:hAnsi="Arial"/>
                <w:sz w:val="10"/>
                <w:szCs w:val="10"/>
                <w:b w:val="1"/>
                <w:bCs w:val="1"/>
                <w:color w:val="auto"/>
                <w:w w:val="71"/>
              </w:rPr>
              <w:t>$</w:t>
            </w:r>
          </w:p>
        </w:tc>
        <w:tc>
          <w:tcPr>
            <w:tcW w:w="1320" w:type="dxa"/>
            <w:vAlign w:val="bottom"/>
            <w:gridSpan w:val="2"/>
          </w:tcPr>
          <w:p>
            <w:pPr>
              <w:jc w:val="right"/>
              <w:ind w:right="200"/>
              <w:spacing w:after="0" w:line="120" w:lineRule="exact"/>
              <w:rPr>
                <w:sz w:val="20"/>
                <w:szCs w:val="20"/>
                <w:color w:val="auto"/>
              </w:rPr>
            </w:pPr>
            <w:r>
              <w:rPr>
                <w:rFonts w:ascii="Arial" w:cs="Arial" w:eastAsia="Arial" w:hAnsi="Arial"/>
                <w:sz w:val="12"/>
                <w:szCs w:val="12"/>
                <w:b w:val="1"/>
                <w:bCs w:val="1"/>
                <w:color w:val="auto"/>
              </w:rPr>
              <w:t>(0.23 )</w:t>
            </w:r>
          </w:p>
        </w:tc>
        <w:tc>
          <w:tcPr>
            <w:tcW w:w="440" w:type="dxa"/>
            <w:vAlign w:val="bottom"/>
          </w:tcPr>
          <w:p>
            <w:pPr>
              <w:jc w:val="right"/>
              <w:ind w:right="330"/>
              <w:spacing w:after="0"/>
              <w:rPr>
                <w:sz w:val="20"/>
                <w:szCs w:val="20"/>
                <w:color w:val="auto"/>
              </w:rPr>
            </w:pPr>
            <w:r>
              <w:rPr>
                <w:rFonts w:ascii="Arial" w:cs="Arial" w:eastAsia="Arial" w:hAnsi="Arial"/>
                <w:sz w:val="10"/>
                <w:szCs w:val="10"/>
                <w:b w:val="1"/>
                <w:bCs w:val="1"/>
                <w:color w:val="auto"/>
                <w:w w:val="71"/>
              </w:rPr>
              <w:t>$</w:t>
            </w:r>
          </w:p>
        </w:tc>
        <w:tc>
          <w:tcPr>
            <w:tcW w:w="940" w:type="dxa"/>
            <w:vAlign w:val="bottom"/>
          </w:tcPr>
          <w:p>
            <w:pPr>
              <w:jc w:val="right"/>
              <w:spacing w:after="0" w:line="120" w:lineRule="exact"/>
              <w:rPr>
                <w:sz w:val="20"/>
                <w:szCs w:val="20"/>
                <w:color w:val="auto"/>
              </w:rPr>
            </w:pPr>
            <w:r>
              <w:rPr>
                <w:rFonts w:ascii="Arial" w:cs="Arial" w:eastAsia="Arial" w:hAnsi="Arial"/>
                <w:sz w:val="12"/>
                <w:szCs w:val="12"/>
                <w:b w:val="1"/>
                <w:bCs w:val="1"/>
                <w:color w:val="auto"/>
              </w:rPr>
              <w:t>0.01</w:t>
            </w:r>
          </w:p>
        </w:tc>
        <w:tc>
          <w:tcPr>
            <w:tcW w:w="520" w:type="dxa"/>
            <w:vAlign w:val="bottom"/>
            <w:gridSpan w:val="2"/>
          </w:tcPr>
          <w:p>
            <w:pPr>
              <w:jc w:val="right"/>
              <w:ind w:right="220"/>
              <w:spacing w:after="0" w:line="120" w:lineRule="exact"/>
              <w:rPr>
                <w:sz w:val="20"/>
                <w:szCs w:val="20"/>
                <w:color w:val="auto"/>
              </w:rPr>
            </w:pPr>
            <w:r>
              <w:rPr>
                <w:rFonts w:ascii="Arial" w:cs="Arial" w:eastAsia="Arial" w:hAnsi="Arial"/>
                <w:sz w:val="12"/>
                <w:szCs w:val="12"/>
                <w:b w:val="1"/>
                <w:bCs w:val="1"/>
                <w:color w:val="auto"/>
              </w:rPr>
              <w:t>$</w:t>
            </w:r>
          </w:p>
        </w:tc>
        <w:tc>
          <w:tcPr>
            <w:tcW w:w="1300" w:type="dxa"/>
            <w:vAlign w:val="bottom"/>
            <w:gridSpan w:val="2"/>
          </w:tcPr>
          <w:p>
            <w:pPr>
              <w:jc w:val="right"/>
              <w:ind w:right="180"/>
              <w:spacing w:after="0" w:line="120" w:lineRule="exact"/>
              <w:rPr>
                <w:sz w:val="20"/>
                <w:szCs w:val="20"/>
                <w:color w:val="auto"/>
              </w:rPr>
            </w:pPr>
            <w:r>
              <w:rPr>
                <w:rFonts w:ascii="Arial" w:cs="Arial" w:eastAsia="Arial" w:hAnsi="Arial"/>
                <w:sz w:val="12"/>
                <w:szCs w:val="12"/>
                <w:b w:val="1"/>
                <w:bCs w:val="1"/>
                <w:color w:val="auto"/>
              </w:rPr>
              <w:t>(0.48 )</w:t>
            </w:r>
          </w:p>
        </w:tc>
        <w:tc>
          <w:tcPr>
            <w:tcW w:w="440" w:type="dxa"/>
            <w:vAlign w:val="bottom"/>
          </w:tcPr>
          <w:p>
            <w:pPr>
              <w:jc w:val="right"/>
              <w:ind w:right="330"/>
              <w:spacing w:after="0"/>
              <w:rPr>
                <w:sz w:val="20"/>
                <w:szCs w:val="20"/>
                <w:color w:val="auto"/>
              </w:rPr>
            </w:pPr>
            <w:r>
              <w:rPr>
                <w:rFonts w:ascii="Arial" w:cs="Arial" w:eastAsia="Arial" w:hAnsi="Arial"/>
                <w:sz w:val="10"/>
                <w:szCs w:val="10"/>
                <w:b w:val="1"/>
                <w:bCs w:val="1"/>
                <w:color w:val="auto"/>
                <w:w w:val="71"/>
              </w:rPr>
              <w:t>$</w:t>
            </w:r>
          </w:p>
        </w:tc>
        <w:tc>
          <w:tcPr>
            <w:tcW w:w="1040" w:type="dxa"/>
            <w:vAlign w:val="bottom"/>
            <w:gridSpan w:val="2"/>
          </w:tcPr>
          <w:p>
            <w:pPr>
              <w:jc w:val="right"/>
              <w:ind w:right="80"/>
              <w:spacing w:after="0" w:line="120" w:lineRule="exact"/>
              <w:rPr>
                <w:sz w:val="20"/>
                <w:szCs w:val="20"/>
                <w:color w:val="auto"/>
              </w:rPr>
            </w:pPr>
            <w:r>
              <w:rPr>
                <w:rFonts w:ascii="Arial" w:cs="Arial" w:eastAsia="Arial" w:hAnsi="Arial"/>
                <w:sz w:val="12"/>
                <w:szCs w:val="12"/>
                <w:b w:val="1"/>
                <w:bCs w:val="1"/>
                <w:color w:val="auto"/>
              </w:rPr>
              <w:t>(0.00 )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jc w:val="both"/>
        <w:ind w:firstLine="649"/>
        <w:spacing w:after="0" w:line="263" w:lineRule="auto"/>
        <w:rPr>
          <w:sz w:val="20"/>
          <w:szCs w:val="20"/>
          <w:color w:val="auto"/>
        </w:rPr>
      </w:pPr>
      <w:r>
        <w:rPr>
          <w:rFonts w:ascii="Arial" w:cs="Arial" w:eastAsia="Arial" w:hAnsi="Arial"/>
          <w:sz w:val="12"/>
          <w:szCs w:val="12"/>
          <w:color w:val="auto"/>
        </w:rPr>
        <w:t>Stock options to acquire 693 shares for the three and nine month periods ended September 30, 2012 were excluded in the computations of diluted EPS because the effect of including the stock options would have been anti-dilutive and stock options to acquire 240 and 391 shares for the three and nine months ended September 30, 2011 were excluded in the computations of diluted EPS because the effect of including the stock options would have been anti-dilutive.</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15"/>
        </w:trPr>
        <w:tc>
          <w:tcPr>
            <w:tcW w:w="1360" w:type="dxa"/>
            <w:vAlign w:val="bottom"/>
            <w:gridSpan w:val="3"/>
          </w:tcPr>
          <w:p>
            <w:pPr>
              <w:spacing w:after="0"/>
              <w:rPr>
                <w:rFonts w:ascii="Arial" w:cs="Arial" w:eastAsia="Arial" w:hAnsi="Arial"/>
                <w:sz w:val="10"/>
                <w:szCs w:val="10"/>
                <w:color w:val="0000EE"/>
              </w:rPr>
            </w:pPr>
            <w:hyperlink w:anchor="page2">
              <w:r>
                <w:rPr>
                  <w:rFonts w:ascii="Arial" w:cs="Arial" w:eastAsia="Arial" w:hAnsi="Arial"/>
                  <w:sz w:val="10"/>
                  <w:szCs w:val="10"/>
                  <w:color w:val="0000EE"/>
                </w:rPr>
                <w:t>Table of Contents</w:t>
              </w:r>
            </w:hyperlink>
          </w:p>
        </w:tc>
        <w:tc>
          <w:tcPr>
            <w:tcW w:w="6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120" w:type="dxa"/>
            <w:vAlign w:val="bottom"/>
          </w:tcPr>
          <w:p>
            <w:pPr>
              <w:spacing w:after="0"/>
              <w:rPr>
                <w:sz w:val="10"/>
                <w:szCs w:val="10"/>
                <w:color w:val="auto"/>
              </w:rPr>
            </w:pPr>
          </w:p>
        </w:tc>
      </w:tr>
      <w:tr>
        <w:trPr>
          <w:trHeight w:val="264"/>
        </w:trPr>
        <w:tc>
          <w:tcPr>
            <w:tcW w:w="20" w:type="dxa"/>
            <w:vAlign w:val="bottom"/>
          </w:tcPr>
          <w:p>
            <w:pPr>
              <w:spacing w:after="0"/>
              <w:rPr>
                <w:sz w:val="22"/>
                <w:szCs w:val="22"/>
                <w:color w:val="auto"/>
              </w:rPr>
            </w:pPr>
          </w:p>
        </w:tc>
        <w:tc>
          <w:tcPr>
            <w:tcW w:w="660" w:type="dxa"/>
            <w:vAlign w:val="bottom"/>
            <w:tcBorders>
              <w:top w:val="single" w:sz="8" w:color="0000EE"/>
            </w:tcBorders>
          </w:tcPr>
          <w:p>
            <w:pPr>
              <w:spacing w:after="0"/>
              <w:rPr>
                <w:sz w:val="22"/>
                <w:szCs w:val="22"/>
                <w:color w:val="auto"/>
              </w:rPr>
            </w:pPr>
          </w:p>
        </w:tc>
        <w:tc>
          <w:tcPr>
            <w:tcW w:w="6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42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8"/>
              </w:rPr>
              <w:t>ASURE SOFTWARE, INC.</w:t>
            </w:r>
          </w:p>
        </w:tc>
        <w:tc>
          <w:tcPr>
            <w:tcW w:w="3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144"/>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0" w:type="dxa"/>
            <w:vAlign w:val="bottom"/>
            <w:gridSpan w:val="6"/>
          </w:tcPr>
          <w:p>
            <w:pPr>
              <w:jc w:val="center"/>
              <w:ind w:right="20"/>
              <w:spacing w:after="0"/>
              <w:rPr>
                <w:sz w:val="20"/>
                <w:szCs w:val="20"/>
                <w:color w:val="auto"/>
              </w:rPr>
            </w:pPr>
            <w:r>
              <w:rPr>
                <w:rFonts w:ascii="Arial" w:cs="Arial" w:eastAsia="Arial" w:hAnsi="Arial"/>
                <w:sz w:val="12"/>
                <w:szCs w:val="12"/>
                <w:b w:val="1"/>
                <w:bCs w:val="1"/>
                <w:color w:val="auto"/>
              </w:rPr>
              <w:t>NOTES TO THE CONSOLIDATED FINANCIAL STATEMENTS</w:t>
            </w:r>
          </w:p>
        </w:tc>
        <w:tc>
          <w:tcPr>
            <w:tcW w:w="168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57"/>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0" w:type="dxa"/>
            <w:vAlign w:val="bottom"/>
            <w:gridSpan w:val="6"/>
          </w:tcPr>
          <w:p>
            <w:pPr>
              <w:jc w:val="center"/>
              <w:spacing w:after="0"/>
              <w:rPr>
                <w:sz w:val="20"/>
                <w:szCs w:val="20"/>
                <w:color w:val="auto"/>
              </w:rPr>
            </w:pPr>
            <w:r>
              <w:rPr>
                <w:rFonts w:ascii="Arial" w:cs="Arial" w:eastAsia="Arial" w:hAnsi="Arial"/>
                <w:sz w:val="12"/>
                <w:szCs w:val="12"/>
                <w:b w:val="1"/>
                <w:bCs w:val="1"/>
                <w:color w:val="auto"/>
                <w:w w:val="88"/>
              </w:rPr>
              <w:t>(Amounts in thousands, except per share data or otherwise noted)</w:t>
            </w:r>
          </w:p>
        </w:tc>
        <w:tc>
          <w:tcPr>
            <w:tcW w:w="168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288"/>
        </w:trPr>
        <w:tc>
          <w:tcPr>
            <w:tcW w:w="1360" w:type="dxa"/>
            <w:vAlign w:val="bottom"/>
            <w:gridSpan w:val="3"/>
          </w:tcPr>
          <w:p>
            <w:pPr>
              <w:spacing w:after="0"/>
              <w:rPr>
                <w:sz w:val="20"/>
                <w:szCs w:val="20"/>
                <w:color w:val="auto"/>
              </w:rPr>
            </w:pPr>
            <w:r>
              <w:rPr>
                <w:rFonts w:ascii="Arial" w:cs="Arial" w:eastAsia="Arial" w:hAnsi="Arial"/>
                <w:sz w:val="12"/>
                <w:szCs w:val="12"/>
                <w:b w:val="1"/>
                <w:bCs w:val="1"/>
                <w:color w:val="auto"/>
              </w:rPr>
              <w:t>NOTE 8 – DEBT</w:t>
            </w: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06"/>
        </w:trPr>
        <w:tc>
          <w:tcPr>
            <w:tcW w:w="20" w:type="dxa"/>
            <w:vAlign w:val="bottom"/>
          </w:tcPr>
          <w:p>
            <w:pPr>
              <w:spacing w:after="0"/>
              <w:rPr>
                <w:sz w:val="24"/>
                <w:szCs w:val="24"/>
                <w:color w:val="auto"/>
              </w:rPr>
            </w:pPr>
          </w:p>
        </w:tc>
        <w:tc>
          <w:tcPr>
            <w:tcW w:w="4640" w:type="dxa"/>
            <w:vAlign w:val="bottom"/>
            <w:gridSpan w:val="6"/>
          </w:tcPr>
          <w:p>
            <w:pPr>
              <w:ind w:left="620"/>
              <w:spacing w:after="0"/>
              <w:rPr>
                <w:sz w:val="20"/>
                <w:szCs w:val="20"/>
                <w:color w:val="auto"/>
              </w:rPr>
            </w:pPr>
            <w:r>
              <w:rPr>
                <w:rFonts w:ascii="Arial" w:cs="Arial" w:eastAsia="Arial" w:hAnsi="Arial"/>
                <w:sz w:val="12"/>
                <w:szCs w:val="12"/>
                <w:color w:val="auto"/>
              </w:rPr>
              <w:t>The Company issued or assumed the following debt instruments:</w:t>
            </w:r>
          </w:p>
        </w:tc>
        <w:tc>
          <w:tcPr>
            <w:tcW w:w="1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93"/>
        </w:trPr>
        <w:tc>
          <w:tcPr>
            <w:tcW w:w="1360" w:type="dxa"/>
            <w:vAlign w:val="bottom"/>
            <w:gridSpan w:val="3"/>
          </w:tcPr>
          <w:p>
            <w:pPr>
              <w:spacing w:after="0"/>
              <w:rPr>
                <w:sz w:val="20"/>
                <w:szCs w:val="20"/>
                <w:color w:val="auto"/>
              </w:rPr>
            </w:pPr>
            <w:r>
              <w:rPr>
                <w:rFonts w:ascii="Arial" w:cs="Arial" w:eastAsia="Arial" w:hAnsi="Arial"/>
                <w:sz w:val="12"/>
                <w:szCs w:val="12"/>
                <w:b w:val="1"/>
                <w:bCs w:val="1"/>
                <w:color w:val="auto"/>
              </w:rPr>
              <w:t>Notes</w:t>
            </w: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44"/>
        </w:trPr>
        <w:tc>
          <w:tcPr>
            <w:tcW w:w="1360" w:type="dxa"/>
            <w:vAlign w:val="bottom"/>
            <w:gridSpan w:val="3"/>
          </w:tcPr>
          <w:p>
            <w:pPr>
              <w:spacing w:after="0"/>
              <w:rPr>
                <w:sz w:val="20"/>
                <w:szCs w:val="20"/>
                <w:color w:val="auto"/>
              </w:rPr>
            </w:pPr>
            <w:r>
              <w:rPr>
                <w:rFonts w:ascii="Arial" w:cs="Arial" w:eastAsia="Arial" w:hAnsi="Arial"/>
                <w:sz w:val="12"/>
                <w:szCs w:val="12"/>
                <w:b w:val="1"/>
                <w:bCs w:val="1"/>
                <w:color w:val="auto"/>
              </w:rPr>
              <w:t>Payable and</w:t>
            </w: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44"/>
        </w:trPr>
        <w:tc>
          <w:tcPr>
            <w:tcW w:w="1360" w:type="dxa"/>
            <w:vAlign w:val="bottom"/>
            <w:gridSpan w:val="3"/>
          </w:tcPr>
          <w:p>
            <w:pPr>
              <w:spacing w:after="0"/>
              <w:rPr>
                <w:sz w:val="20"/>
                <w:szCs w:val="20"/>
                <w:color w:val="auto"/>
              </w:rPr>
            </w:pPr>
            <w:r>
              <w:rPr>
                <w:rFonts w:ascii="Arial" w:cs="Arial" w:eastAsia="Arial" w:hAnsi="Arial"/>
                <w:sz w:val="12"/>
                <w:szCs w:val="12"/>
                <w:b w:val="1"/>
                <w:bCs w:val="1"/>
                <w:color w:val="auto"/>
              </w:rPr>
              <w:t>Line of</w:t>
            </w: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92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92"/>
              </w:rPr>
              <w:t>Stated</w:t>
            </w:r>
          </w:p>
        </w:tc>
        <w:tc>
          <w:tcPr>
            <w:tcW w:w="1120" w:type="dxa"/>
            <w:vAlign w:val="bottom"/>
          </w:tcPr>
          <w:p>
            <w:pPr>
              <w:spacing w:after="0"/>
              <w:rPr>
                <w:sz w:val="12"/>
                <w:szCs w:val="12"/>
                <w:color w:val="auto"/>
              </w:rPr>
            </w:pPr>
          </w:p>
        </w:tc>
        <w:tc>
          <w:tcPr>
            <w:tcW w:w="1300" w:type="dxa"/>
            <w:vAlign w:val="bottom"/>
          </w:tcPr>
          <w:p>
            <w:pPr>
              <w:jc w:val="center"/>
              <w:ind w:left="240"/>
              <w:spacing w:after="0"/>
              <w:rPr>
                <w:sz w:val="20"/>
                <w:szCs w:val="20"/>
                <w:color w:val="auto"/>
              </w:rPr>
            </w:pPr>
            <w:r>
              <w:rPr>
                <w:rFonts w:ascii="Arial" w:cs="Arial" w:eastAsia="Arial" w:hAnsi="Arial"/>
                <w:sz w:val="12"/>
                <w:szCs w:val="12"/>
                <w:b w:val="1"/>
                <w:bCs w:val="1"/>
                <w:color w:val="auto"/>
                <w:w w:val="87"/>
              </w:rPr>
              <w:t>Balance as of</w:t>
            </w:r>
          </w:p>
        </w:tc>
        <w:tc>
          <w:tcPr>
            <w:tcW w:w="3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800" w:type="dxa"/>
            <w:vAlign w:val="bottom"/>
            <w:gridSpan w:val="2"/>
          </w:tcPr>
          <w:p>
            <w:pPr>
              <w:jc w:val="center"/>
              <w:ind w:right="1120"/>
              <w:spacing w:after="0"/>
              <w:rPr>
                <w:sz w:val="20"/>
                <w:szCs w:val="20"/>
                <w:color w:val="auto"/>
              </w:rPr>
            </w:pPr>
            <w:r>
              <w:rPr>
                <w:rFonts w:ascii="Arial" w:cs="Arial" w:eastAsia="Arial" w:hAnsi="Arial"/>
                <w:sz w:val="12"/>
                <w:szCs w:val="12"/>
                <w:b w:val="1"/>
                <w:bCs w:val="1"/>
                <w:color w:val="auto"/>
                <w:w w:val="87"/>
              </w:rPr>
              <w:t>Balance as of</w:t>
            </w:r>
          </w:p>
        </w:tc>
      </w:tr>
      <w:tr>
        <w:trPr>
          <w:trHeight w:val="157"/>
        </w:trPr>
        <w:tc>
          <w:tcPr>
            <w:tcW w:w="1360" w:type="dxa"/>
            <w:vAlign w:val="bottom"/>
            <w:gridSpan w:val="3"/>
          </w:tcPr>
          <w:p>
            <w:pPr>
              <w:spacing w:after="0"/>
              <w:rPr>
                <w:sz w:val="20"/>
                <w:szCs w:val="20"/>
                <w:color w:val="auto"/>
              </w:rPr>
            </w:pPr>
            <w:r>
              <w:rPr>
                <w:rFonts w:ascii="Arial" w:cs="Arial" w:eastAsia="Arial" w:hAnsi="Arial"/>
                <w:sz w:val="12"/>
                <w:szCs w:val="12"/>
                <w:b w:val="1"/>
                <w:bCs w:val="1"/>
                <w:color w:val="auto"/>
              </w:rPr>
              <w:t>Credit</w:t>
            </w:r>
          </w:p>
        </w:tc>
        <w:tc>
          <w:tcPr>
            <w:tcW w:w="680" w:type="dxa"/>
            <w:vAlign w:val="bottom"/>
          </w:tcPr>
          <w:p>
            <w:pPr>
              <w:ind w:left="120"/>
              <w:spacing w:after="0"/>
              <w:rPr>
                <w:sz w:val="20"/>
                <w:szCs w:val="20"/>
                <w:color w:val="auto"/>
              </w:rPr>
            </w:pPr>
            <w:r>
              <w:rPr>
                <w:rFonts w:ascii="Arial" w:cs="Arial" w:eastAsia="Arial" w:hAnsi="Arial"/>
                <w:sz w:val="12"/>
                <w:szCs w:val="12"/>
                <w:b w:val="1"/>
                <w:bCs w:val="1"/>
                <w:color w:val="auto"/>
              </w:rPr>
              <w:t>Maturity</w:t>
            </w:r>
          </w:p>
        </w:tc>
        <w:tc>
          <w:tcPr>
            <w:tcW w:w="700" w:type="dxa"/>
            <w:vAlign w:val="bottom"/>
          </w:tcPr>
          <w:p>
            <w:pPr>
              <w:spacing w:after="0"/>
              <w:rPr>
                <w:sz w:val="13"/>
                <w:szCs w:val="13"/>
                <w:color w:val="auto"/>
              </w:rPr>
            </w:pPr>
          </w:p>
        </w:tc>
        <w:tc>
          <w:tcPr>
            <w:tcW w:w="192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90"/>
              </w:rPr>
              <w:t>Interest Rate</w:t>
            </w:r>
          </w:p>
        </w:tc>
        <w:tc>
          <w:tcPr>
            <w:tcW w:w="1120" w:type="dxa"/>
            <w:vAlign w:val="bottom"/>
          </w:tcPr>
          <w:p>
            <w:pPr>
              <w:spacing w:after="0"/>
              <w:rPr>
                <w:sz w:val="13"/>
                <w:szCs w:val="13"/>
                <w:color w:val="auto"/>
              </w:rPr>
            </w:pPr>
          </w:p>
        </w:tc>
        <w:tc>
          <w:tcPr>
            <w:tcW w:w="1300" w:type="dxa"/>
            <w:vAlign w:val="bottom"/>
          </w:tcPr>
          <w:p>
            <w:pPr>
              <w:jc w:val="center"/>
              <w:ind w:left="240"/>
              <w:spacing w:after="0"/>
              <w:rPr>
                <w:sz w:val="20"/>
                <w:szCs w:val="20"/>
                <w:color w:val="auto"/>
              </w:rPr>
            </w:pPr>
            <w:r>
              <w:rPr>
                <w:rFonts w:ascii="Arial" w:cs="Arial" w:eastAsia="Arial" w:hAnsi="Arial"/>
                <w:sz w:val="12"/>
                <w:szCs w:val="12"/>
                <w:b w:val="1"/>
                <w:bCs w:val="1"/>
                <w:color w:val="auto"/>
                <w:w w:val="88"/>
              </w:rPr>
              <w:t>December 31, 2011</w:t>
            </w:r>
          </w:p>
        </w:tc>
        <w:tc>
          <w:tcPr>
            <w:tcW w:w="3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800" w:type="dxa"/>
            <w:vAlign w:val="bottom"/>
            <w:gridSpan w:val="2"/>
          </w:tcPr>
          <w:p>
            <w:pPr>
              <w:jc w:val="center"/>
              <w:ind w:right="1120"/>
              <w:spacing w:after="0"/>
              <w:rPr>
                <w:sz w:val="20"/>
                <w:szCs w:val="20"/>
                <w:color w:val="auto"/>
              </w:rPr>
            </w:pPr>
            <w:r>
              <w:rPr>
                <w:rFonts w:ascii="Arial" w:cs="Arial" w:eastAsia="Arial" w:hAnsi="Arial"/>
                <w:sz w:val="12"/>
                <w:szCs w:val="12"/>
                <w:b w:val="1"/>
                <w:bCs w:val="1"/>
                <w:color w:val="auto"/>
                <w:w w:val="89"/>
              </w:rPr>
              <w:t>September 30, 2012</w:t>
            </w:r>
          </w:p>
        </w:tc>
      </w:tr>
      <w:tr>
        <w:trPr>
          <w:trHeight w:val="133"/>
        </w:trPr>
        <w:tc>
          <w:tcPr>
            <w:tcW w:w="20" w:type="dxa"/>
            <w:vAlign w:val="bottom"/>
          </w:tcPr>
          <w:p>
            <w:pPr>
              <w:spacing w:after="0"/>
              <w:rPr>
                <w:sz w:val="11"/>
                <w:szCs w:val="11"/>
                <w:color w:val="auto"/>
              </w:rPr>
            </w:pPr>
          </w:p>
        </w:tc>
        <w:tc>
          <w:tcPr>
            <w:tcW w:w="660" w:type="dxa"/>
            <w:vAlign w:val="bottom"/>
            <w:tcBorders>
              <w:top w:val="single" w:sz="8" w:color="auto"/>
            </w:tcBorders>
            <w:shd w:val="clear" w:color="auto" w:fill="CCEEFF"/>
          </w:tcPr>
          <w:p>
            <w:pPr>
              <w:spacing w:after="0" w:line="133" w:lineRule="exact"/>
              <w:rPr>
                <w:sz w:val="20"/>
                <w:szCs w:val="20"/>
                <w:color w:val="auto"/>
              </w:rPr>
            </w:pPr>
            <w:r>
              <w:rPr>
                <w:rFonts w:ascii="Arial" w:cs="Arial" w:eastAsia="Arial" w:hAnsi="Arial"/>
                <w:sz w:val="12"/>
                <w:szCs w:val="12"/>
                <w:color w:val="auto"/>
                <w:w w:val="89"/>
              </w:rPr>
              <w:t>Subordinated</w:t>
            </w:r>
          </w:p>
        </w:tc>
        <w:tc>
          <w:tcPr>
            <w:tcW w:w="680" w:type="dxa"/>
            <w:vAlign w:val="bottom"/>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0" w:type="dxa"/>
            <w:vAlign w:val="bottom"/>
            <w:tcBorders>
              <w:top w:val="single" w:sz="8" w:color="auto"/>
            </w:tcBorders>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30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1680" w:type="dxa"/>
            <w:vAlign w:val="bottom"/>
            <w:tcBorders>
              <w:top w:val="single" w:sz="8" w:color="auto"/>
            </w:tcBorders>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r>
      <w:tr>
        <w:trPr>
          <w:trHeight w:val="144"/>
        </w:trPr>
        <w:tc>
          <w:tcPr>
            <w:tcW w:w="20" w:type="dxa"/>
            <w:vAlign w:val="bottom"/>
          </w:tcPr>
          <w:p>
            <w:pPr>
              <w:spacing w:after="0"/>
              <w:rPr>
                <w:sz w:val="12"/>
                <w:szCs w:val="12"/>
                <w:color w:val="auto"/>
              </w:rPr>
            </w:pPr>
          </w:p>
        </w:tc>
        <w:tc>
          <w:tcPr>
            <w:tcW w:w="13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notes</w:t>
            </w:r>
          </w:p>
        </w:tc>
        <w:tc>
          <w:tcPr>
            <w:tcW w:w="6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13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payable:</w:t>
            </w:r>
          </w:p>
        </w:tc>
        <w:tc>
          <w:tcPr>
            <w:tcW w:w="6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13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ADI Time -</w:t>
            </w:r>
          </w:p>
        </w:tc>
        <w:tc>
          <w:tcPr>
            <w:tcW w:w="6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13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Sellers Note</w:t>
            </w:r>
          </w:p>
        </w:tc>
        <w:tc>
          <w:tcPr>
            <w:tcW w:w="6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13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(net of</w:t>
            </w:r>
          </w:p>
        </w:tc>
        <w:tc>
          <w:tcPr>
            <w:tcW w:w="6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13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unamortized</w:t>
            </w:r>
          </w:p>
        </w:tc>
        <w:tc>
          <w:tcPr>
            <w:tcW w:w="6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13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discount of</w:t>
            </w:r>
          </w:p>
        </w:tc>
        <w:tc>
          <w:tcPr>
            <w:tcW w:w="6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r>
      <w:tr>
        <w:trPr>
          <w:trHeight w:val="153"/>
        </w:trPr>
        <w:tc>
          <w:tcPr>
            <w:tcW w:w="20" w:type="dxa"/>
            <w:vAlign w:val="bottom"/>
          </w:tcPr>
          <w:p>
            <w:pPr>
              <w:spacing w:after="0"/>
              <w:rPr>
                <w:sz w:val="13"/>
                <w:szCs w:val="13"/>
                <w:color w:val="auto"/>
              </w:rPr>
            </w:pPr>
          </w:p>
        </w:tc>
        <w:tc>
          <w:tcPr>
            <w:tcW w:w="660" w:type="dxa"/>
            <w:vAlign w:val="bottom"/>
            <w:shd w:val="clear" w:color="auto" w:fill="CCEEFF"/>
          </w:tcPr>
          <w:p>
            <w:pPr>
              <w:spacing w:after="0"/>
              <w:rPr>
                <w:sz w:val="20"/>
                <w:szCs w:val="20"/>
                <w:color w:val="auto"/>
              </w:rPr>
            </w:pPr>
            <w:r>
              <w:rPr>
                <w:rFonts w:ascii="Arial" w:cs="Arial" w:eastAsia="Arial" w:hAnsi="Arial"/>
                <w:sz w:val="12"/>
                <w:szCs w:val="12"/>
                <w:color w:val="auto"/>
              </w:rPr>
              <w:t>$172)</w:t>
            </w:r>
          </w:p>
        </w:tc>
        <w:tc>
          <w:tcPr>
            <w:tcW w:w="680" w:type="dxa"/>
            <w:vAlign w:val="bottom"/>
            <w:shd w:val="clear" w:color="auto" w:fill="CCEEFF"/>
          </w:tcPr>
          <w:p>
            <w:pPr>
              <w:spacing w:after="0"/>
              <w:rPr>
                <w:sz w:val="13"/>
                <w:szCs w:val="13"/>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10/1/2014</w:t>
            </w:r>
          </w:p>
        </w:tc>
        <w:tc>
          <w:tcPr>
            <w:tcW w:w="2620" w:type="dxa"/>
            <w:vAlign w:val="bottom"/>
            <w:gridSpan w:val="3"/>
            <w:shd w:val="clear" w:color="auto" w:fill="CCEEFF"/>
          </w:tcPr>
          <w:p>
            <w:pPr>
              <w:jc w:val="right"/>
              <w:ind w:right="320"/>
              <w:spacing w:after="0"/>
              <w:rPr>
                <w:sz w:val="20"/>
                <w:szCs w:val="20"/>
                <w:color w:val="auto"/>
              </w:rPr>
            </w:pPr>
            <w:r>
              <w:rPr>
                <w:rFonts w:ascii="Arial" w:cs="Arial" w:eastAsia="Arial" w:hAnsi="Arial"/>
                <w:sz w:val="12"/>
                <w:szCs w:val="12"/>
                <w:color w:val="auto"/>
              </w:rPr>
              <w:t>0.16</w:t>
            </w:r>
          </w:p>
        </w:tc>
        <w:tc>
          <w:tcPr>
            <w:tcW w:w="1120" w:type="dxa"/>
            <w:vAlign w:val="bottom"/>
            <w:shd w:val="clear" w:color="auto" w:fill="CCEEFF"/>
          </w:tcPr>
          <w:p>
            <w:pPr>
              <w:jc w:val="right"/>
              <w:ind w:right="640"/>
              <w:spacing w:after="0"/>
              <w:rPr>
                <w:sz w:val="20"/>
                <w:szCs w:val="20"/>
                <w:color w:val="auto"/>
              </w:rPr>
            </w:pPr>
            <w:r>
              <w:rPr>
                <w:rFonts w:ascii="Arial" w:cs="Arial" w:eastAsia="Arial" w:hAnsi="Arial"/>
                <w:sz w:val="12"/>
                <w:szCs w:val="12"/>
                <w:color w:val="auto"/>
              </w:rPr>
              <w:t>%</w:t>
            </w:r>
          </w:p>
        </w:tc>
        <w:tc>
          <w:tcPr>
            <w:tcW w:w="1300" w:type="dxa"/>
            <w:vAlign w:val="bottom"/>
            <w:shd w:val="clear" w:color="auto" w:fill="CCEEFF"/>
          </w:tcPr>
          <w:p>
            <w:pPr>
              <w:spacing w:after="0"/>
              <w:rPr>
                <w:sz w:val="13"/>
                <w:szCs w:val="13"/>
                <w:color w:val="auto"/>
              </w:rPr>
            </w:pPr>
          </w:p>
        </w:tc>
        <w:tc>
          <w:tcPr>
            <w:tcW w:w="1660" w:type="dxa"/>
            <w:vAlign w:val="bottom"/>
            <w:gridSpan w:val="2"/>
            <w:shd w:val="clear" w:color="auto" w:fill="CCEEFF"/>
          </w:tcPr>
          <w:p>
            <w:pPr>
              <w:jc w:val="right"/>
              <w:ind w:right="1360"/>
              <w:spacing w:after="0"/>
              <w:rPr>
                <w:sz w:val="20"/>
                <w:szCs w:val="20"/>
                <w:color w:val="auto"/>
              </w:rPr>
            </w:pPr>
            <w:r>
              <w:rPr>
                <w:rFonts w:ascii="Arial" w:cs="Arial" w:eastAsia="Arial" w:hAnsi="Arial"/>
                <w:sz w:val="12"/>
                <w:szCs w:val="12"/>
                <w:color w:val="auto"/>
              </w:rPr>
              <w:t>870</w:t>
            </w:r>
          </w:p>
        </w:tc>
        <w:tc>
          <w:tcPr>
            <w:tcW w:w="2800" w:type="dxa"/>
            <w:vAlign w:val="bottom"/>
            <w:gridSpan w:val="2"/>
            <w:shd w:val="clear" w:color="auto" w:fill="CCEEFF"/>
          </w:tcPr>
          <w:p>
            <w:pPr>
              <w:jc w:val="right"/>
              <w:ind w:right="1120"/>
              <w:spacing w:after="0"/>
              <w:rPr>
                <w:sz w:val="20"/>
                <w:szCs w:val="20"/>
                <w:color w:val="auto"/>
              </w:rPr>
            </w:pPr>
            <w:r>
              <w:rPr>
                <w:rFonts w:ascii="Arial" w:cs="Arial" w:eastAsia="Arial" w:hAnsi="Arial"/>
                <w:sz w:val="12"/>
                <w:szCs w:val="12"/>
                <w:color w:val="auto"/>
              </w:rPr>
              <w:t>679</w:t>
            </w:r>
          </w:p>
        </w:tc>
      </w:tr>
      <w:tr>
        <w:trPr>
          <w:trHeight w:val="135"/>
        </w:trPr>
        <w:tc>
          <w:tcPr>
            <w:tcW w:w="20" w:type="dxa"/>
            <w:vAlign w:val="bottom"/>
          </w:tcPr>
          <w:p>
            <w:pPr>
              <w:spacing w:after="0"/>
              <w:rPr>
                <w:sz w:val="11"/>
                <w:szCs w:val="11"/>
                <w:color w:val="auto"/>
              </w:rPr>
            </w:pPr>
          </w:p>
        </w:tc>
        <w:tc>
          <w:tcPr>
            <w:tcW w:w="1340" w:type="dxa"/>
            <w:vAlign w:val="bottom"/>
            <w:gridSpan w:val="2"/>
          </w:tcPr>
          <w:p>
            <w:pPr>
              <w:spacing w:after="0" w:line="136" w:lineRule="exact"/>
              <w:rPr>
                <w:sz w:val="20"/>
                <w:szCs w:val="20"/>
                <w:color w:val="auto"/>
              </w:rPr>
            </w:pPr>
            <w:r>
              <w:rPr>
                <w:rFonts w:ascii="Arial" w:cs="Arial" w:eastAsia="Arial" w:hAnsi="Arial"/>
                <w:sz w:val="12"/>
                <w:szCs w:val="12"/>
                <w:color w:val="auto"/>
              </w:rPr>
              <w:t>Subordinated</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120" w:type="dxa"/>
            <w:vAlign w:val="bottom"/>
          </w:tcPr>
          <w:p>
            <w:pPr>
              <w:spacing w:after="0"/>
              <w:rPr>
                <w:sz w:val="11"/>
                <w:szCs w:val="11"/>
                <w:color w:val="auto"/>
              </w:rPr>
            </w:pPr>
          </w:p>
        </w:tc>
      </w:tr>
      <w:tr>
        <w:trPr>
          <w:trHeight w:val="144"/>
        </w:trPr>
        <w:tc>
          <w:tcPr>
            <w:tcW w:w="1360" w:type="dxa"/>
            <w:vAlign w:val="bottom"/>
            <w:gridSpan w:val="3"/>
          </w:tcPr>
          <w:p>
            <w:pPr>
              <w:spacing w:after="0"/>
              <w:rPr>
                <w:sz w:val="20"/>
                <w:szCs w:val="20"/>
                <w:color w:val="auto"/>
              </w:rPr>
            </w:pPr>
            <w:r>
              <w:rPr>
                <w:rFonts w:ascii="Arial" w:cs="Arial" w:eastAsia="Arial" w:hAnsi="Arial"/>
                <w:sz w:val="12"/>
                <w:szCs w:val="12"/>
                <w:color w:val="auto"/>
              </w:rPr>
              <w:t>notes</w:t>
            </w: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44"/>
        </w:trPr>
        <w:tc>
          <w:tcPr>
            <w:tcW w:w="1360" w:type="dxa"/>
            <w:vAlign w:val="bottom"/>
            <w:gridSpan w:val="3"/>
          </w:tcPr>
          <w:p>
            <w:pPr>
              <w:spacing w:after="0"/>
              <w:rPr>
                <w:sz w:val="20"/>
                <w:szCs w:val="20"/>
                <w:color w:val="auto"/>
              </w:rPr>
            </w:pPr>
            <w:r>
              <w:rPr>
                <w:rFonts w:ascii="Arial" w:cs="Arial" w:eastAsia="Arial" w:hAnsi="Arial"/>
                <w:sz w:val="12"/>
                <w:szCs w:val="12"/>
                <w:color w:val="auto"/>
              </w:rPr>
              <w:t>payable:</w:t>
            </w: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44"/>
        </w:trPr>
        <w:tc>
          <w:tcPr>
            <w:tcW w:w="1360" w:type="dxa"/>
            <w:vAlign w:val="bottom"/>
            <w:gridSpan w:val="3"/>
          </w:tcPr>
          <w:p>
            <w:pPr>
              <w:spacing w:after="0"/>
              <w:rPr>
                <w:sz w:val="20"/>
                <w:szCs w:val="20"/>
                <w:color w:val="auto"/>
              </w:rPr>
            </w:pPr>
            <w:r>
              <w:rPr>
                <w:rFonts w:ascii="Arial" w:cs="Arial" w:eastAsia="Arial" w:hAnsi="Arial"/>
                <w:sz w:val="12"/>
                <w:szCs w:val="12"/>
                <w:color w:val="auto"/>
              </w:rPr>
              <w:t>Legiant -</w:t>
            </w: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53"/>
        </w:trPr>
        <w:tc>
          <w:tcPr>
            <w:tcW w:w="1360" w:type="dxa"/>
            <w:vAlign w:val="bottom"/>
            <w:gridSpan w:val="3"/>
          </w:tcPr>
          <w:p>
            <w:pPr>
              <w:spacing w:after="0"/>
              <w:rPr>
                <w:sz w:val="20"/>
                <w:szCs w:val="20"/>
                <w:color w:val="auto"/>
              </w:rPr>
            </w:pPr>
            <w:r>
              <w:rPr>
                <w:rFonts w:ascii="Arial" w:cs="Arial" w:eastAsia="Arial" w:hAnsi="Arial"/>
                <w:sz w:val="12"/>
                <w:szCs w:val="12"/>
                <w:color w:val="auto"/>
              </w:rPr>
              <w:t>Sellers Note 1</w:t>
            </w:r>
          </w:p>
        </w:tc>
        <w:tc>
          <w:tcPr>
            <w:tcW w:w="680" w:type="dxa"/>
            <w:vAlign w:val="bottom"/>
          </w:tcPr>
          <w:p>
            <w:pPr>
              <w:jc w:val="center"/>
              <w:spacing w:after="0"/>
              <w:rPr>
                <w:sz w:val="20"/>
                <w:szCs w:val="20"/>
                <w:color w:val="auto"/>
              </w:rPr>
            </w:pPr>
            <w:r>
              <w:rPr>
                <w:rFonts w:ascii="Arial" w:cs="Arial" w:eastAsia="Arial" w:hAnsi="Arial"/>
                <w:sz w:val="12"/>
                <w:szCs w:val="12"/>
                <w:color w:val="auto"/>
                <w:w w:val="94"/>
              </w:rPr>
              <w:t>2/1/2012</w:t>
            </w:r>
          </w:p>
        </w:tc>
        <w:tc>
          <w:tcPr>
            <w:tcW w:w="2620" w:type="dxa"/>
            <w:vAlign w:val="bottom"/>
            <w:gridSpan w:val="3"/>
          </w:tcPr>
          <w:p>
            <w:pPr>
              <w:jc w:val="right"/>
              <w:ind w:right="320"/>
              <w:spacing w:after="0"/>
              <w:rPr>
                <w:sz w:val="20"/>
                <w:szCs w:val="20"/>
                <w:color w:val="auto"/>
              </w:rPr>
            </w:pPr>
            <w:r>
              <w:rPr>
                <w:rFonts w:ascii="Arial" w:cs="Arial" w:eastAsia="Arial" w:hAnsi="Arial"/>
                <w:sz w:val="12"/>
                <w:szCs w:val="12"/>
                <w:color w:val="auto"/>
              </w:rPr>
              <w:t>0.20</w:t>
            </w:r>
          </w:p>
        </w:tc>
        <w:tc>
          <w:tcPr>
            <w:tcW w:w="1120" w:type="dxa"/>
            <w:vAlign w:val="bottom"/>
          </w:tcPr>
          <w:p>
            <w:pPr>
              <w:jc w:val="right"/>
              <w:ind w:right="640"/>
              <w:spacing w:after="0"/>
              <w:rPr>
                <w:sz w:val="20"/>
                <w:szCs w:val="20"/>
                <w:color w:val="auto"/>
              </w:rPr>
            </w:pPr>
            <w:r>
              <w:rPr>
                <w:rFonts w:ascii="Arial" w:cs="Arial" w:eastAsia="Arial" w:hAnsi="Arial"/>
                <w:sz w:val="12"/>
                <w:szCs w:val="12"/>
                <w:color w:val="auto"/>
              </w:rPr>
              <w:t>%</w:t>
            </w:r>
          </w:p>
        </w:tc>
        <w:tc>
          <w:tcPr>
            <w:tcW w:w="1300" w:type="dxa"/>
            <w:vAlign w:val="bottom"/>
          </w:tcPr>
          <w:p>
            <w:pPr>
              <w:spacing w:after="0"/>
              <w:rPr>
                <w:sz w:val="13"/>
                <w:szCs w:val="13"/>
                <w:color w:val="auto"/>
              </w:rPr>
            </w:pPr>
          </w:p>
        </w:tc>
        <w:tc>
          <w:tcPr>
            <w:tcW w:w="1660" w:type="dxa"/>
            <w:vAlign w:val="bottom"/>
            <w:gridSpan w:val="2"/>
          </w:tcPr>
          <w:p>
            <w:pPr>
              <w:jc w:val="right"/>
              <w:ind w:right="1360"/>
              <w:spacing w:after="0"/>
              <w:rPr>
                <w:sz w:val="20"/>
                <w:szCs w:val="20"/>
                <w:color w:val="auto"/>
              </w:rPr>
            </w:pPr>
            <w:r>
              <w:rPr>
                <w:rFonts w:ascii="Arial" w:cs="Arial" w:eastAsia="Arial" w:hAnsi="Arial"/>
                <w:sz w:val="12"/>
                <w:szCs w:val="12"/>
                <w:color w:val="auto"/>
              </w:rPr>
              <w:t>250</w:t>
            </w:r>
          </w:p>
        </w:tc>
        <w:tc>
          <w:tcPr>
            <w:tcW w:w="2800" w:type="dxa"/>
            <w:vAlign w:val="bottom"/>
            <w:gridSpan w:val="2"/>
          </w:tcPr>
          <w:p>
            <w:pPr>
              <w:jc w:val="right"/>
              <w:ind w:right="1120"/>
              <w:spacing w:after="0"/>
              <w:rPr>
                <w:sz w:val="20"/>
                <w:szCs w:val="20"/>
                <w:color w:val="auto"/>
              </w:rPr>
            </w:pPr>
            <w:r>
              <w:rPr>
                <w:rFonts w:ascii="Arial" w:cs="Arial" w:eastAsia="Arial" w:hAnsi="Arial"/>
                <w:sz w:val="12"/>
                <w:szCs w:val="12"/>
                <w:color w:val="auto"/>
              </w:rPr>
              <w:t>-</w:t>
            </w:r>
          </w:p>
        </w:tc>
      </w:tr>
      <w:tr>
        <w:trPr>
          <w:trHeight w:val="135"/>
        </w:trPr>
        <w:tc>
          <w:tcPr>
            <w:tcW w:w="20" w:type="dxa"/>
            <w:vAlign w:val="bottom"/>
          </w:tcPr>
          <w:p>
            <w:pPr>
              <w:spacing w:after="0"/>
              <w:rPr>
                <w:sz w:val="11"/>
                <w:szCs w:val="11"/>
                <w:color w:val="auto"/>
              </w:rPr>
            </w:pPr>
          </w:p>
        </w:tc>
        <w:tc>
          <w:tcPr>
            <w:tcW w:w="134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Subordinated</w:t>
            </w:r>
          </w:p>
        </w:tc>
        <w:tc>
          <w:tcPr>
            <w:tcW w:w="6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r>
      <w:tr>
        <w:trPr>
          <w:trHeight w:val="144"/>
        </w:trPr>
        <w:tc>
          <w:tcPr>
            <w:tcW w:w="20" w:type="dxa"/>
            <w:vAlign w:val="bottom"/>
          </w:tcPr>
          <w:p>
            <w:pPr>
              <w:spacing w:after="0"/>
              <w:rPr>
                <w:sz w:val="12"/>
                <w:szCs w:val="12"/>
                <w:color w:val="auto"/>
              </w:rPr>
            </w:pPr>
          </w:p>
        </w:tc>
        <w:tc>
          <w:tcPr>
            <w:tcW w:w="13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notes</w:t>
            </w:r>
          </w:p>
        </w:tc>
        <w:tc>
          <w:tcPr>
            <w:tcW w:w="6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13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payable:</w:t>
            </w:r>
          </w:p>
        </w:tc>
        <w:tc>
          <w:tcPr>
            <w:tcW w:w="6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13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Legiant -</w:t>
            </w:r>
          </w:p>
        </w:tc>
        <w:tc>
          <w:tcPr>
            <w:tcW w:w="6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r>
      <w:tr>
        <w:trPr>
          <w:trHeight w:val="153"/>
        </w:trPr>
        <w:tc>
          <w:tcPr>
            <w:tcW w:w="20" w:type="dxa"/>
            <w:vAlign w:val="bottom"/>
          </w:tcPr>
          <w:p>
            <w:pPr>
              <w:spacing w:after="0"/>
              <w:rPr>
                <w:sz w:val="13"/>
                <w:szCs w:val="13"/>
                <w:color w:val="auto"/>
              </w:rPr>
            </w:pPr>
          </w:p>
        </w:tc>
        <w:tc>
          <w:tcPr>
            <w:tcW w:w="13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Sellers Note 2</w:t>
            </w:r>
          </w:p>
        </w:tc>
        <w:tc>
          <w:tcPr>
            <w:tcW w:w="6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10/1/2014</w:t>
            </w:r>
          </w:p>
        </w:tc>
        <w:tc>
          <w:tcPr>
            <w:tcW w:w="2620" w:type="dxa"/>
            <w:vAlign w:val="bottom"/>
            <w:gridSpan w:val="3"/>
            <w:shd w:val="clear" w:color="auto" w:fill="CCEEFF"/>
          </w:tcPr>
          <w:p>
            <w:pPr>
              <w:jc w:val="right"/>
              <w:ind w:right="320"/>
              <w:spacing w:after="0"/>
              <w:rPr>
                <w:sz w:val="20"/>
                <w:szCs w:val="20"/>
                <w:color w:val="auto"/>
              </w:rPr>
            </w:pPr>
            <w:r>
              <w:rPr>
                <w:rFonts w:ascii="Arial" w:cs="Arial" w:eastAsia="Arial" w:hAnsi="Arial"/>
                <w:sz w:val="12"/>
                <w:szCs w:val="12"/>
                <w:color w:val="auto"/>
              </w:rPr>
              <w:t>5.00</w:t>
            </w:r>
          </w:p>
        </w:tc>
        <w:tc>
          <w:tcPr>
            <w:tcW w:w="1120" w:type="dxa"/>
            <w:vAlign w:val="bottom"/>
            <w:shd w:val="clear" w:color="auto" w:fill="CCEEFF"/>
          </w:tcPr>
          <w:p>
            <w:pPr>
              <w:jc w:val="right"/>
              <w:ind w:right="640"/>
              <w:spacing w:after="0"/>
              <w:rPr>
                <w:sz w:val="20"/>
                <w:szCs w:val="20"/>
                <w:color w:val="auto"/>
              </w:rPr>
            </w:pPr>
            <w:r>
              <w:rPr>
                <w:rFonts w:ascii="Arial" w:cs="Arial" w:eastAsia="Arial" w:hAnsi="Arial"/>
                <w:sz w:val="12"/>
                <w:szCs w:val="12"/>
                <w:color w:val="auto"/>
              </w:rPr>
              <w:t>%</w:t>
            </w:r>
          </w:p>
        </w:tc>
        <w:tc>
          <w:tcPr>
            <w:tcW w:w="1300" w:type="dxa"/>
            <w:vAlign w:val="bottom"/>
            <w:shd w:val="clear" w:color="auto" w:fill="CCEEFF"/>
          </w:tcPr>
          <w:p>
            <w:pPr>
              <w:spacing w:after="0"/>
              <w:rPr>
                <w:sz w:val="13"/>
                <w:szCs w:val="13"/>
                <w:color w:val="auto"/>
              </w:rPr>
            </w:pPr>
          </w:p>
        </w:tc>
        <w:tc>
          <w:tcPr>
            <w:tcW w:w="1660" w:type="dxa"/>
            <w:vAlign w:val="bottom"/>
            <w:gridSpan w:val="2"/>
            <w:shd w:val="clear" w:color="auto" w:fill="CCEEFF"/>
          </w:tcPr>
          <w:p>
            <w:pPr>
              <w:jc w:val="right"/>
              <w:ind w:right="1360"/>
              <w:spacing w:after="0"/>
              <w:rPr>
                <w:sz w:val="20"/>
                <w:szCs w:val="20"/>
                <w:color w:val="auto"/>
              </w:rPr>
            </w:pPr>
            <w:r>
              <w:rPr>
                <w:rFonts w:ascii="Arial" w:cs="Arial" w:eastAsia="Arial" w:hAnsi="Arial"/>
                <w:sz w:val="12"/>
                <w:szCs w:val="12"/>
                <w:color w:val="auto"/>
              </w:rPr>
              <w:t>468</w:t>
            </w:r>
          </w:p>
        </w:tc>
        <w:tc>
          <w:tcPr>
            <w:tcW w:w="2800" w:type="dxa"/>
            <w:vAlign w:val="bottom"/>
            <w:gridSpan w:val="2"/>
            <w:shd w:val="clear" w:color="auto" w:fill="CCEEFF"/>
          </w:tcPr>
          <w:p>
            <w:pPr>
              <w:jc w:val="right"/>
              <w:ind w:right="1120"/>
              <w:spacing w:after="0"/>
              <w:rPr>
                <w:sz w:val="20"/>
                <w:szCs w:val="20"/>
                <w:color w:val="auto"/>
              </w:rPr>
            </w:pPr>
            <w:r>
              <w:rPr>
                <w:rFonts w:ascii="Arial" w:cs="Arial" w:eastAsia="Arial" w:hAnsi="Arial"/>
                <w:sz w:val="12"/>
                <w:szCs w:val="12"/>
                <w:color w:val="auto"/>
              </w:rPr>
              <w:t>185</w:t>
            </w:r>
          </w:p>
        </w:tc>
      </w:tr>
      <w:tr>
        <w:trPr>
          <w:trHeight w:val="135"/>
        </w:trPr>
        <w:tc>
          <w:tcPr>
            <w:tcW w:w="20" w:type="dxa"/>
            <w:vAlign w:val="bottom"/>
          </w:tcPr>
          <w:p>
            <w:pPr>
              <w:spacing w:after="0"/>
              <w:rPr>
                <w:sz w:val="11"/>
                <w:szCs w:val="11"/>
                <w:color w:val="auto"/>
              </w:rPr>
            </w:pPr>
          </w:p>
        </w:tc>
        <w:tc>
          <w:tcPr>
            <w:tcW w:w="1340" w:type="dxa"/>
            <w:vAlign w:val="bottom"/>
            <w:gridSpan w:val="2"/>
          </w:tcPr>
          <w:p>
            <w:pPr>
              <w:spacing w:after="0" w:line="136" w:lineRule="exact"/>
              <w:rPr>
                <w:sz w:val="20"/>
                <w:szCs w:val="20"/>
                <w:color w:val="auto"/>
              </w:rPr>
            </w:pPr>
            <w:r>
              <w:rPr>
                <w:rFonts w:ascii="Arial" w:cs="Arial" w:eastAsia="Arial" w:hAnsi="Arial"/>
                <w:sz w:val="12"/>
                <w:szCs w:val="12"/>
                <w:color w:val="auto"/>
              </w:rPr>
              <w:t>Subordinated</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120" w:type="dxa"/>
            <w:vAlign w:val="bottom"/>
          </w:tcPr>
          <w:p>
            <w:pPr>
              <w:spacing w:after="0"/>
              <w:rPr>
                <w:sz w:val="11"/>
                <w:szCs w:val="11"/>
                <w:color w:val="auto"/>
              </w:rPr>
            </w:pPr>
          </w:p>
        </w:tc>
      </w:tr>
      <w:tr>
        <w:trPr>
          <w:trHeight w:val="144"/>
        </w:trPr>
        <w:tc>
          <w:tcPr>
            <w:tcW w:w="1360" w:type="dxa"/>
            <w:vAlign w:val="bottom"/>
            <w:gridSpan w:val="3"/>
          </w:tcPr>
          <w:p>
            <w:pPr>
              <w:spacing w:after="0"/>
              <w:rPr>
                <w:sz w:val="20"/>
                <w:szCs w:val="20"/>
                <w:color w:val="auto"/>
              </w:rPr>
            </w:pPr>
            <w:r>
              <w:rPr>
                <w:rFonts w:ascii="Arial" w:cs="Arial" w:eastAsia="Arial" w:hAnsi="Arial"/>
                <w:sz w:val="12"/>
                <w:szCs w:val="12"/>
                <w:color w:val="auto"/>
              </w:rPr>
              <w:t>notes</w:t>
            </w: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44"/>
        </w:trPr>
        <w:tc>
          <w:tcPr>
            <w:tcW w:w="1360" w:type="dxa"/>
            <w:vAlign w:val="bottom"/>
            <w:gridSpan w:val="3"/>
          </w:tcPr>
          <w:p>
            <w:pPr>
              <w:spacing w:after="0"/>
              <w:rPr>
                <w:sz w:val="20"/>
                <w:szCs w:val="20"/>
                <w:color w:val="auto"/>
              </w:rPr>
            </w:pPr>
            <w:r>
              <w:rPr>
                <w:rFonts w:ascii="Arial" w:cs="Arial" w:eastAsia="Arial" w:hAnsi="Arial"/>
                <w:sz w:val="12"/>
                <w:szCs w:val="12"/>
                <w:color w:val="auto"/>
              </w:rPr>
              <w:t>payable:</w:t>
            </w: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44"/>
        </w:trPr>
        <w:tc>
          <w:tcPr>
            <w:tcW w:w="1360" w:type="dxa"/>
            <w:vAlign w:val="bottom"/>
            <w:gridSpan w:val="3"/>
          </w:tcPr>
          <w:p>
            <w:pPr>
              <w:spacing w:after="0"/>
              <w:rPr>
                <w:sz w:val="20"/>
                <w:szCs w:val="20"/>
                <w:color w:val="auto"/>
              </w:rPr>
            </w:pPr>
            <w:r>
              <w:rPr>
                <w:rFonts w:ascii="Arial" w:cs="Arial" w:eastAsia="Arial" w:hAnsi="Arial"/>
                <w:sz w:val="12"/>
                <w:szCs w:val="12"/>
                <w:color w:val="auto"/>
              </w:rPr>
              <w:t>Legiant -</w:t>
            </w: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44"/>
        </w:trPr>
        <w:tc>
          <w:tcPr>
            <w:tcW w:w="1360" w:type="dxa"/>
            <w:vAlign w:val="bottom"/>
            <w:gridSpan w:val="3"/>
          </w:tcPr>
          <w:p>
            <w:pPr>
              <w:spacing w:after="0"/>
              <w:rPr>
                <w:sz w:val="20"/>
                <w:szCs w:val="20"/>
                <w:color w:val="auto"/>
              </w:rPr>
            </w:pPr>
            <w:r>
              <w:rPr>
                <w:rFonts w:ascii="Arial" w:cs="Arial" w:eastAsia="Arial" w:hAnsi="Arial"/>
                <w:sz w:val="12"/>
                <w:szCs w:val="12"/>
                <w:color w:val="auto"/>
              </w:rPr>
              <w:t>Sellers Note 3</w:t>
            </w: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44"/>
        </w:trPr>
        <w:tc>
          <w:tcPr>
            <w:tcW w:w="1360" w:type="dxa"/>
            <w:vAlign w:val="bottom"/>
            <w:gridSpan w:val="3"/>
          </w:tcPr>
          <w:p>
            <w:pPr>
              <w:spacing w:after="0"/>
              <w:rPr>
                <w:sz w:val="20"/>
                <w:szCs w:val="20"/>
                <w:color w:val="auto"/>
              </w:rPr>
            </w:pPr>
            <w:r>
              <w:rPr>
                <w:rFonts w:ascii="Arial" w:cs="Arial" w:eastAsia="Arial" w:hAnsi="Arial"/>
                <w:sz w:val="12"/>
                <w:szCs w:val="12"/>
                <w:color w:val="auto"/>
              </w:rPr>
              <w:t>(net of</w:t>
            </w: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44"/>
        </w:trPr>
        <w:tc>
          <w:tcPr>
            <w:tcW w:w="1360" w:type="dxa"/>
            <w:vAlign w:val="bottom"/>
            <w:gridSpan w:val="3"/>
          </w:tcPr>
          <w:p>
            <w:pPr>
              <w:spacing w:after="0"/>
              <w:rPr>
                <w:sz w:val="20"/>
                <w:szCs w:val="20"/>
                <w:color w:val="auto"/>
              </w:rPr>
            </w:pPr>
            <w:r>
              <w:rPr>
                <w:rFonts w:ascii="Arial" w:cs="Arial" w:eastAsia="Arial" w:hAnsi="Arial"/>
                <w:sz w:val="12"/>
                <w:szCs w:val="12"/>
                <w:color w:val="auto"/>
              </w:rPr>
              <w:t>unamortized</w:t>
            </w: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44"/>
        </w:trPr>
        <w:tc>
          <w:tcPr>
            <w:tcW w:w="1360" w:type="dxa"/>
            <w:vAlign w:val="bottom"/>
            <w:gridSpan w:val="3"/>
          </w:tcPr>
          <w:p>
            <w:pPr>
              <w:spacing w:after="0"/>
              <w:rPr>
                <w:sz w:val="20"/>
                <w:szCs w:val="20"/>
                <w:color w:val="auto"/>
              </w:rPr>
            </w:pPr>
            <w:r>
              <w:rPr>
                <w:rFonts w:ascii="Arial" w:cs="Arial" w:eastAsia="Arial" w:hAnsi="Arial"/>
                <w:sz w:val="12"/>
                <w:szCs w:val="12"/>
                <w:color w:val="auto"/>
              </w:rPr>
              <w:t>discount of</w:t>
            </w: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53"/>
        </w:trPr>
        <w:tc>
          <w:tcPr>
            <w:tcW w:w="680" w:type="dxa"/>
            <w:vAlign w:val="bottom"/>
            <w:gridSpan w:val="2"/>
          </w:tcPr>
          <w:p>
            <w:pPr>
              <w:spacing w:after="0"/>
              <w:rPr>
                <w:sz w:val="20"/>
                <w:szCs w:val="20"/>
                <w:color w:val="auto"/>
              </w:rPr>
            </w:pPr>
            <w:r>
              <w:rPr>
                <w:rFonts w:ascii="Arial" w:cs="Arial" w:eastAsia="Arial" w:hAnsi="Arial"/>
                <w:sz w:val="12"/>
                <w:szCs w:val="12"/>
                <w:color w:val="auto"/>
              </w:rPr>
              <w:t>$284)</w:t>
            </w:r>
          </w:p>
        </w:tc>
        <w:tc>
          <w:tcPr>
            <w:tcW w:w="68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Arial" w:cs="Arial" w:eastAsia="Arial" w:hAnsi="Arial"/>
                <w:sz w:val="12"/>
                <w:szCs w:val="12"/>
                <w:color w:val="auto"/>
                <w:w w:val="89"/>
              </w:rPr>
              <w:t>10/1/2014</w:t>
            </w:r>
          </w:p>
        </w:tc>
        <w:tc>
          <w:tcPr>
            <w:tcW w:w="2620" w:type="dxa"/>
            <w:vAlign w:val="bottom"/>
            <w:gridSpan w:val="3"/>
          </w:tcPr>
          <w:p>
            <w:pPr>
              <w:jc w:val="right"/>
              <w:ind w:right="320"/>
              <w:spacing w:after="0"/>
              <w:rPr>
                <w:sz w:val="20"/>
                <w:szCs w:val="20"/>
                <w:color w:val="auto"/>
              </w:rPr>
            </w:pPr>
            <w:r>
              <w:rPr>
                <w:rFonts w:ascii="Arial" w:cs="Arial" w:eastAsia="Arial" w:hAnsi="Arial"/>
                <w:sz w:val="12"/>
                <w:szCs w:val="12"/>
                <w:color w:val="auto"/>
              </w:rPr>
              <w:t>0.20</w:t>
            </w:r>
          </w:p>
        </w:tc>
        <w:tc>
          <w:tcPr>
            <w:tcW w:w="1120" w:type="dxa"/>
            <w:vAlign w:val="bottom"/>
          </w:tcPr>
          <w:p>
            <w:pPr>
              <w:jc w:val="right"/>
              <w:ind w:right="640"/>
              <w:spacing w:after="0"/>
              <w:rPr>
                <w:sz w:val="20"/>
                <w:szCs w:val="20"/>
                <w:color w:val="auto"/>
              </w:rPr>
            </w:pPr>
            <w:r>
              <w:rPr>
                <w:rFonts w:ascii="Arial" w:cs="Arial" w:eastAsia="Arial" w:hAnsi="Arial"/>
                <w:sz w:val="12"/>
                <w:szCs w:val="12"/>
                <w:color w:val="auto"/>
              </w:rPr>
              <w:t>%</w:t>
            </w:r>
          </w:p>
        </w:tc>
        <w:tc>
          <w:tcPr>
            <w:tcW w:w="1300" w:type="dxa"/>
            <w:vAlign w:val="bottom"/>
          </w:tcPr>
          <w:p>
            <w:pPr>
              <w:spacing w:after="0"/>
              <w:rPr>
                <w:sz w:val="13"/>
                <w:szCs w:val="13"/>
                <w:color w:val="auto"/>
              </w:rPr>
            </w:pPr>
          </w:p>
        </w:tc>
        <w:tc>
          <w:tcPr>
            <w:tcW w:w="1660" w:type="dxa"/>
            <w:vAlign w:val="bottom"/>
            <w:gridSpan w:val="2"/>
          </w:tcPr>
          <w:p>
            <w:pPr>
              <w:jc w:val="right"/>
              <w:ind w:right="1360"/>
              <w:spacing w:after="0"/>
              <w:rPr>
                <w:sz w:val="20"/>
                <w:szCs w:val="20"/>
                <w:color w:val="auto"/>
              </w:rPr>
            </w:pPr>
            <w:r>
              <w:rPr>
                <w:rFonts w:ascii="Arial" w:cs="Arial" w:eastAsia="Arial" w:hAnsi="Arial"/>
                <w:sz w:val="12"/>
                <w:szCs w:val="12"/>
                <w:color w:val="auto"/>
                <w:w w:val="93"/>
              </w:rPr>
              <w:t>1,384</w:t>
            </w:r>
          </w:p>
        </w:tc>
        <w:tc>
          <w:tcPr>
            <w:tcW w:w="2800" w:type="dxa"/>
            <w:vAlign w:val="bottom"/>
            <w:gridSpan w:val="2"/>
          </w:tcPr>
          <w:p>
            <w:pPr>
              <w:jc w:val="right"/>
              <w:ind w:right="1120"/>
              <w:spacing w:after="0"/>
              <w:rPr>
                <w:sz w:val="20"/>
                <w:szCs w:val="20"/>
                <w:color w:val="auto"/>
              </w:rPr>
            </w:pPr>
            <w:r>
              <w:rPr>
                <w:rFonts w:ascii="Arial" w:cs="Arial" w:eastAsia="Arial" w:hAnsi="Arial"/>
                <w:sz w:val="12"/>
                <w:szCs w:val="12"/>
                <w:color w:val="auto"/>
              </w:rPr>
              <w:t>1,478</w:t>
            </w:r>
          </w:p>
        </w:tc>
      </w:tr>
      <w:tr>
        <w:trPr>
          <w:trHeight w:val="135"/>
        </w:trPr>
        <w:tc>
          <w:tcPr>
            <w:tcW w:w="20" w:type="dxa"/>
            <w:vAlign w:val="bottom"/>
          </w:tcPr>
          <w:p>
            <w:pPr>
              <w:spacing w:after="0"/>
              <w:rPr>
                <w:sz w:val="11"/>
                <w:szCs w:val="11"/>
                <w:color w:val="auto"/>
              </w:rPr>
            </w:pPr>
          </w:p>
        </w:tc>
        <w:tc>
          <w:tcPr>
            <w:tcW w:w="134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Subordinated</w:t>
            </w:r>
          </w:p>
        </w:tc>
        <w:tc>
          <w:tcPr>
            <w:tcW w:w="6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r>
      <w:tr>
        <w:trPr>
          <w:trHeight w:val="144"/>
        </w:trPr>
        <w:tc>
          <w:tcPr>
            <w:tcW w:w="20" w:type="dxa"/>
            <w:vAlign w:val="bottom"/>
          </w:tcPr>
          <w:p>
            <w:pPr>
              <w:spacing w:after="0"/>
              <w:rPr>
                <w:sz w:val="12"/>
                <w:szCs w:val="12"/>
                <w:color w:val="auto"/>
              </w:rPr>
            </w:pPr>
          </w:p>
        </w:tc>
        <w:tc>
          <w:tcPr>
            <w:tcW w:w="13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Notes</w:t>
            </w:r>
          </w:p>
        </w:tc>
        <w:tc>
          <w:tcPr>
            <w:tcW w:w="6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r>
      <w:tr>
        <w:trPr>
          <w:trHeight w:val="153"/>
        </w:trPr>
        <w:tc>
          <w:tcPr>
            <w:tcW w:w="20" w:type="dxa"/>
            <w:vAlign w:val="bottom"/>
          </w:tcPr>
          <w:p>
            <w:pPr>
              <w:spacing w:after="0"/>
              <w:rPr>
                <w:sz w:val="13"/>
                <w:szCs w:val="13"/>
                <w:color w:val="auto"/>
              </w:rPr>
            </w:pPr>
          </w:p>
        </w:tc>
        <w:tc>
          <w:tcPr>
            <w:tcW w:w="13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Payable</w:t>
            </w:r>
          </w:p>
        </w:tc>
        <w:tc>
          <w:tcPr>
            <w:tcW w:w="6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9/30/2014</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15.00</w:t>
            </w:r>
          </w:p>
        </w:tc>
        <w:tc>
          <w:tcPr>
            <w:tcW w:w="32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640"/>
              <w:spacing w:after="0"/>
              <w:rPr>
                <w:sz w:val="20"/>
                <w:szCs w:val="20"/>
                <w:color w:val="auto"/>
              </w:rPr>
            </w:pPr>
            <w:r>
              <w:rPr>
                <w:rFonts w:ascii="Arial" w:cs="Arial" w:eastAsia="Arial" w:hAnsi="Arial"/>
                <w:sz w:val="12"/>
                <w:szCs w:val="12"/>
                <w:color w:val="auto"/>
              </w:rPr>
              <w:t>%</w:t>
            </w:r>
          </w:p>
        </w:tc>
        <w:tc>
          <w:tcPr>
            <w:tcW w:w="1300" w:type="dxa"/>
            <w:vAlign w:val="bottom"/>
            <w:shd w:val="clear" w:color="auto" w:fill="CCEEFF"/>
          </w:tcPr>
          <w:p>
            <w:pPr>
              <w:spacing w:after="0"/>
              <w:rPr>
                <w:sz w:val="13"/>
                <w:szCs w:val="13"/>
                <w:color w:val="auto"/>
              </w:rPr>
            </w:pPr>
          </w:p>
        </w:tc>
        <w:tc>
          <w:tcPr>
            <w:tcW w:w="1660" w:type="dxa"/>
            <w:vAlign w:val="bottom"/>
            <w:gridSpan w:val="2"/>
            <w:shd w:val="clear" w:color="auto" w:fill="CCEEFF"/>
          </w:tcPr>
          <w:p>
            <w:pPr>
              <w:jc w:val="right"/>
              <w:ind w:right="1360"/>
              <w:spacing w:after="0"/>
              <w:rPr>
                <w:sz w:val="20"/>
                <w:szCs w:val="20"/>
                <w:color w:val="auto"/>
              </w:rPr>
            </w:pPr>
            <w:r>
              <w:rPr>
                <w:rFonts w:ascii="Arial" w:cs="Arial" w:eastAsia="Arial" w:hAnsi="Arial"/>
                <w:sz w:val="12"/>
                <w:szCs w:val="12"/>
                <w:color w:val="auto"/>
                <w:w w:val="93"/>
              </w:rPr>
              <w:t>1,700</w:t>
            </w:r>
          </w:p>
        </w:tc>
        <w:tc>
          <w:tcPr>
            <w:tcW w:w="2800" w:type="dxa"/>
            <w:vAlign w:val="bottom"/>
            <w:gridSpan w:val="2"/>
            <w:shd w:val="clear" w:color="auto" w:fill="CCEEFF"/>
          </w:tcPr>
          <w:p>
            <w:pPr>
              <w:jc w:val="right"/>
              <w:ind w:right="1120"/>
              <w:spacing w:after="0"/>
              <w:rPr>
                <w:sz w:val="20"/>
                <w:szCs w:val="20"/>
                <w:color w:val="auto"/>
              </w:rPr>
            </w:pPr>
            <w:r>
              <w:rPr>
                <w:rFonts w:ascii="Arial" w:cs="Arial" w:eastAsia="Arial" w:hAnsi="Arial"/>
                <w:sz w:val="12"/>
                <w:szCs w:val="12"/>
                <w:color w:val="auto"/>
              </w:rPr>
              <w:t>675</w:t>
            </w:r>
          </w:p>
        </w:tc>
      </w:tr>
      <w:tr>
        <w:trPr>
          <w:trHeight w:val="144"/>
        </w:trPr>
        <w:tc>
          <w:tcPr>
            <w:tcW w:w="20" w:type="dxa"/>
            <w:vAlign w:val="bottom"/>
          </w:tcPr>
          <w:p>
            <w:pPr>
              <w:spacing w:after="0"/>
              <w:rPr>
                <w:sz w:val="12"/>
                <w:szCs w:val="12"/>
                <w:color w:val="auto"/>
              </w:rPr>
            </w:pPr>
          </w:p>
        </w:tc>
        <w:tc>
          <w:tcPr>
            <w:tcW w:w="1340" w:type="dxa"/>
            <w:vAlign w:val="bottom"/>
            <w:gridSpan w:val="2"/>
          </w:tcPr>
          <w:p>
            <w:pPr>
              <w:spacing w:after="0"/>
              <w:rPr>
                <w:sz w:val="20"/>
                <w:szCs w:val="20"/>
                <w:color w:val="auto"/>
              </w:rPr>
            </w:pPr>
            <w:r>
              <w:rPr>
                <w:rFonts w:ascii="Arial" w:cs="Arial" w:eastAsia="Arial" w:hAnsi="Arial"/>
                <w:sz w:val="12"/>
                <w:szCs w:val="12"/>
                <w:color w:val="auto"/>
              </w:rPr>
              <w:t>Line of Credit</w:t>
            </w:r>
          </w:p>
        </w:tc>
        <w:tc>
          <w:tcPr>
            <w:tcW w:w="680" w:type="dxa"/>
            <w:vAlign w:val="bottom"/>
          </w:tcPr>
          <w:p>
            <w:pPr>
              <w:jc w:val="center"/>
              <w:spacing w:after="0"/>
              <w:rPr>
                <w:sz w:val="20"/>
                <w:szCs w:val="20"/>
                <w:color w:val="auto"/>
              </w:rPr>
            </w:pPr>
            <w:r>
              <w:rPr>
                <w:rFonts w:ascii="Arial" w:cs="Arial" w:eastAsia="Arial" w:hAnsi="Arial"/>
                <w:sz w:val="12"/>
                <w:szCs w:val="12"/>
                <w:color w:val="auto"/>
                <w:w w:val="89"/>
              </w:rPr>
              <w:t>9/28/2012</w:t>
            </w:r>
          </w:p>
        </w:tc>
        <w:tc>
          <w:tcPr>
            <w:tcW w:w="2620" w:type="dxa"/>
            <w:vAlign w:val="bottom"/>
            <w:gridSpan w:val="3"/>
          </w:tcPr>
          <w:p>
            <w:pPr>
              <w:jc w:val="right"/>
              <w:ind w:right="320"/>
              <w:spacing w:after="0"/>
              <w:rPr>
                <w:sz w:val="20"/>
                <w:szCs w:val="20"/>
                <w:color w:val="auto"/>
              </w:rPr>
            </w:pPr>
            <w:r>
              <w:rPr>
                <w:rFonts w:ascii="Arial" w:cs="Arial" w:eastAsia="Arial" w:hAnsi="Arial"/>
                <w:sz w:val="12"/>
                <w:szCs w:val="12"/>
                <w:color w:val="auto"/>
              </w:rPr>
              <w:t>4.25</w:t>
            </w:r>
          </w:p>
        </w:tc>
        <w:tc>
          <w:tcPr>
            <w:tcW w:w="1120" w:type="dxa"/>
            <w:vAlign w:val="bottom"/>
          </w:tcPr>
          <w:p>
            <w:pPr>
              <w:jc w:val="right"/>
              <w:ind w:right="640"/>
              <w:spacing w:after="0"/>
              <w:rPr>
                <w:sz w:val="20"/>
                <w:szCs w:val="20"/>
                <w:color w:val="auto"/>
              </w:rPr>
            </w:pPr>
            <w:r>
              <w:rPr>
                <w:rFonts w:ascii="Arial" w:cs="Arial" w:eastAsia="Arial" w:hAnsi="Arial"/>
                <w:sz w:val="12"/>
                <w:szCs w:val="12"/>
                <w:color w:val="auto"/>
              </w:rPr>
              <w:t>%</w:t>
            </w:r>
          </w:p>
        </w:tc>
        <w:tc>
          <w:tcPr>
            <w:tcW w:w="1300" w:type="dxa"/>
            <w:vAlign w:val="bottom"/>
          </w:tcPr>
          <w:p>
            <w:pPr>
              <w:spacing w:after="0"/>
              <w:rPr>
                <w:sz w:val="12"/>
                <w:szCs w:val="12"/>
                <w:color w:val="auto"/>
              </w:rPr>
            </w:pPr>
          </w:p>
        </w:tc>
        <w:tc>
          <w:tcPr>
            <w:tcW w:w="1660" w:type="dxa"/>
            <w:vAlign w:val="bottom"/>
            <w:gridSpan w:val="2"/>
          </w:tcPr>
          <w:p>
            <w:pPr>
              <w:jc w:val="right"/>
              <w:ind w:right="1360"/>
              <w:spacing w:after="0"/>
              <w:rPr>
                <w:sz w:val="20"/>
                <w:szCs w:val="20"/>
                <w:color w:val="auto"/>
              </w:rPr>
            </w:pPr>
            <w:r>
              <w:rPr>
                <w:rFonts w:ascii="Arial" w:cs="Arial" w:eastAsia="Arial" w:hAnsi="Arial"/>
                <w:sz w:val="12"/>
                <w:szCs w:val="12"/>
                <w:color w:val="auto"/>
              </w:rPr>
              <w:t>500</w:t>
            </w:r>
          </w:p>
        </w:tc>
        <w:tc>
          <w:tcPr>
            <w:tcW w:w="2800" w:type="dxa"/>
            <w:vAlign w:val="bottom"/>
            <w:gridSpan w:val="2"/>
          </w:tcPr>
          <w:p>
            <w:pPr>
              <w:jc w:val="right"/>
              <w:ind w:right="1120"/>
              <w:spacing w:after="0"/>
              <w:rPr>
                <w:sz w:val="20"/>
                <w:szCs w:val="20"/>
                <w:color w:val="auto"/>
              </w:rPr>
            </w:pPr>
            <w:r>
              <w:rPr>
                <w:rFonts w:ascii="Arial" w:cs="Arial" w:eastAsia="Arial" w:hAnsi="Arial"/>
                <w:sz w:val="12"/>
                <w:szCs w:val="12"/>
                <w:color w:val="auto"/>
              </w:rPr>
              <w:t>-</w:t>
            </w:r>
          </w:p>
        </w:tc>
      </w:tr>
      <w:tr>
        <w:trPr>
          <w:trHeight w:val="135"/>
        </w:trPr>
        <w:tc>
          <w:tcPr>
            <w:tcW w:w="20" w:type="dxa"/>
            <w:vAlign w:val="bottom"/>
          </w:tcPr>
          <w:p>
            <w:pPr>
              <w:spacing w:after="0"/>
              <w:rPr>
                <w:sz w:val="11"/>
                <w:szCs w:val="11"/>
                <w:color w:val="auto"/>
              </w:rPr>
            </w:pPr>
          </w:p>
        </w:tc>
        <w:tc>
          <w:tcPr>
            <w:tcW w:w="134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PeopleCube</w:t>
            </w:r>
          </w:p>
        </w:tc>
        <w:tc>
          <w:tcPr>
            <w:tcW w:w="6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r>
      <w:tr>
        <w:trPr>
          <w:trHeight w:val="144"/>
        </w:trPr>
        <w:tc>
          <w:tcPr>
            <w:tcW w:w="20" w:type="dxa"/>
            <w:vAlign w:val="bottom"/>
          </w:tcPr>
          <w:p>
            <w:pPr>
              <w:spacing w:after="0"/>
              <w:rPr>
                <w:sz w:val="12"/>
                <w:szCs w:val="12"/>
                <w:color w:val="auto"/>
              </w:rPr>
            </w:pPr>
          </w:p>
        </w:tc>
        <w:tc>
          <w:tcPr>
            <w:tcW w:w="13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Sellers note</w:t>
            </w:r>
          </w:p>
        </w:tc>
        <w:tc>
          <w:tcPr>
            <w:tcW w:w="6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13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(net of</w:t>
            </w:r>
          </w:p>
        </w:tc>
        <w:tc>
          <w:tcPr>
            <w:tcW w:w="6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13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unamortized</w:t>
            </w:r>
          </w:p>
        </w:tc>
        <w:tc>
          <w:tcPr>
            <w:tcW w:w="6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13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discount of</w:t>
            </w:r>
          </w:p>
        </w:tc>
        <w:tc>
          <w:tcPr>
            <w:tcW w:w="6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r>
      <w:tr>
        <w:trPr>
          <w:trHeight w:val="153"/>
        </w:trPr>
        <w:tc>
          <w:tcPr>
            <w:tcW w:w="20" w:type="dxa"/>
            <w:vAlign w:val="bottom"/>
          </w:tcPr>
          <w:p>
            <w:pPr>
              <w:spacing w:after="0"/>
              <w:rPr>
                <w:sz w:val="13"/>
                <w:szCs w:val="13"/>
                <w:color w:val="auto"/>
              </w:rPr>
            </w:pPr>
          </w:p>
        </w:tc>
        <w:tc>
          <w:tcPr>
            <w:tcW w:w="660" w:type="dxa"/>
            <w:vAlign w:val="bottom"/>
            <w:shd w:val="clear" w:color="auto" w:fill="CCEEFF"/>
          </w:tcPr>
          <w:p>
            <w:pPr>
              <w:spacing w:after="0"/>
              <w:rPr>
                <w:sz w:val="20"/>
                <w:szCs w:val="20"/>
                <w:color w:val="auto"/>
              </w:rPr>
            </w:pPr>
            <w:r>
              <w:rPr>
                <w:rFonts w:ascii="Arial" w:cs="Arial" w:eastAsia="Arial" w:hAnsi="Arial"/>
                <w:sz w:val="12"/>
                <w:szCs w:val="12"/>
                <w:color w:val="auto"/>
              </w:rPr>
              <w:t>$562)</w:t>
            </w:r>
          </w:p>
        </w:tc>
        <w:tc>
          <w:tcPr>
            <w:tcW w:w="680" w:type="dxa"/>
            <w:vAlign w:val="bottom"/>
            <w:shd w:val="clear" w:color="auto" w:fill="CCEEFF"/>
          </w:tcPr>
          <w:p>
            <w:pPr>
              <w:spacing w:after="0"/>
              <w:rPr>
                <w:sz w:val="13"/>
                <w:szCs w:val="13"/>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3"/>
              </w:rPr>
              <w:t>10/31/2014</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0.0</w:t>
            </w:r>
          </w:p>
        </w:tc>
        <w:tc>
          <w:tcPr>
            <w:tcW w:w="32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640"/>
              <w:spacing w:after="0"/>
              <w:rPr>
                <w:sz w:val="20"/>
                <w:szCs w:val="20"/>
                <w:color w:val="auto"/>
              </w:rPr>
            </w:pPr>
            <w:r>
              <w:rPr>
                <w:rFonts w:ascii="Arial" w:cs="Arial" w:eastAsia="Arial" w:hAnsi="Arial"/>
                <w:sz w:val="12"/>
                <w:szCs w:val="12"/>
                <w:color w:val="auto"/>
              </w:rPr>
              <w:t>%</w:t>
            </w:r>
          </w:p>
        </w:tc>
        <w:tc>
          <w:tcPr>
            <w:tcW w:w="1300" w:type="dxa"/>
            <w:vAlign w:val="bottom"/>
            <w:shd w:val="clear" w:color="auto" w:fill="CCEEFF"/>
          </w:tcPr>
          <w:p>
            <w:pPr>
              <w:spacing w:after="0"/>
              <w:rPr>
                <w:sz w:val="13"/>
                <w:szCs w:val="13"/>
                <w:color w:val="auto"/>
              </w:rPr>
            </w:pPr>
          </w:p>
        </w:tc>
        <w:tc>
          <w:tcPr>
            <w:tcW w:w="1660" w:type="dxa"/>
            <w:vAlign w:val="bottom"/>
            <w:gridSpan w:val="2"/>
            <w:shd w:val="clear" w:color="auto" w:fill="CCEEFF"/>
          </w:tcPr>
          <w:p>
            <w:pPr>
              <w:jc w:val="right"/>
              <w:ind w:right="1360"/>
              <w:spacing w:after="0"/>
              <w:rPr>
                <w:sz w:val="20"/>
                <w:szCs w:val="20"/>
                <w:color w:val="auto"/>
              </w:rPr>
            </w:pPr>
            <w:r>
              <w:rPr>
                <w:rFonts w:ascii="Arial" w:cs="Arial" w:eastAsia="Arial" w:hAnsi="Arial"/>
                <w:sz w:val="12"/>
                <w:szCs w:val="12"/>
                <w:color w:val="auto"/>
              </w:rPr>
              <w:t>-</w:t>
            </w:r>
          </w:p>
        </w:tc>
        <w:tc>
          <w:tcPr>
            <w:tcW w:w="2800" w:type="dxa"/>
            <w:vAlign w:val="bottom"/>
            <w:gridSpan w:val="2"/>
            <w:shd w:val="clear" w:color="auto" w:fill="CCEEFF"/>
          </w:tcPr>
          <w:p>
            <w:pPr>
              <w:jc w:val="right"/>
              <w:ind w:right="1120"/>
              <w:spacing w:after="0"/>
              <w:rPr>
                <w:sz w:val="20"/>
                <w:szCs w:val="20"/>
                <w:color w:val="auto"/>
              </w:rPr>
            </w:pPr>
            <w:r>
              <w:rPr>
                <w:rFonts w:ascii="Arial" w:cs="Arial" w:eastAsia="Arial" w:hAnsi="Arial"/>
                <w:sz w:val="12"/>
                <w:szCs w:val="12"/>
                <w:color w:val="auto"/>
              </w:rPr>
              <w:t>2,438</w:t>
            </w:r>
          </w:p>
        </w:tc>
      </w:tr>
      <w:tr>
        <w:trPr>
          <w:trHeight w:val="135"/>
        </w:trPr>
        <w:tc>
          <w:tcPr>
            <w:tcW w:w="20" w:type="dxa"/>
            <w:vAlign w:val="bottom"/>
          </w:tcPr>
          <w:p>
            <w:pPr>
              <w:spacing w:after="0"/>
              <w:rPr>
                <w:sz w:val="11"/>
                <w:szCs w:val="11"/>
                <w:color w:val="auto"/>
              </w:rPr>
            </w:pPr>
          </w:p>
        </w:tc>
        <w:tc>
          <w:tcPr>
            <w:tcW w:w="1340" w:type="dxa"/>
            <w:vAlign w:val="bottom"/>
            <w:gridSpan w:val="2"/>
          </w:tcPr>
          <w:p>
            <w:pPr>
              <w:spacing w:after="0" w:line="136" w:lineRule="exact"/>
              <w:rPr>
                <w:sz w:val="20"/>
                <w:szCs w:val="20"/>
                <w:color w:val="auto"/>
              </w:rPr>
            </w:pPr>
            <w:r>
              <w:rPr>
                <w:rFonts w:ascii="Arial" w:cs="Arial" w:eastAsia="Arial" w:hAnsi="Arial"/>
                <w:sz w:val="12"/>
                <w:szCs w:val="12"/>
                <w:color w:val="auto"/>
              </w:rPr>
              <w:t>Senior note</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120" w:type="dxa"/>
            <w:vAlign w:val="bottom"/>
          </w:tcPr>
          <w:p>
            <w:pPr>
              <w:spacing w:after="0"/>
              <w:rPr>
                <w:sz w:val="11"/>
                <w:szCs w:val="11"/>
                <w:color w:val="auto"/>
              </w:rPr>
            </w:pPr>
          </w:p>
        </w:tc>
      </w:tr>
      <w:tr>
        <w:trPr>
          <w:trHeight w:val="153"/>
        </w:trPr>
        <w:tc>
          <w:tcPr>
            <w:tcW w:w="1360" w:type="dxa"/>
            <w:vAlign w:val="bottom"/>
            <w:gridSpan w:val="3"/>
          </w:tcPr>
          <w:p>
            <w:pPr>
              <w:spacing w:after="0"/>
              <w:rPr>
                <w:sz w:val="20"/>
                <w:szCs w:val="20"/>
                <w:color w:val="auto"/>
              </w:rPr>
            </w:pPr>
            <w:r>
              <w:rPr>
                <w:rFonts w:ascii="Arial" w:cs="Arial" w:eastAsia="Arial" w:hAnsi="Arial"/>
                <w:sz w:val="12"/>
                <w:szCs w:val="12"/>
                <w:color w:val="auto"/>
              </w:rPr>
              <w:t>payable</w:t>
            </w:r>
          </w:p>
        </w:tc>
        <w:tc>
          <w:tcPr>
            <w:tcW w:w="680" w:type="dxa"/>
            <w:vAlign w:val="bottom"/>
          </w:tcPr>
          <w:p>
            <w:pPr>
              <w:jc w:val="center"/>
              <w:spacing w:after="0"/>
              <w:rPr>
                <w:sz w:val="20"/>
                <w:szCs w:val="20"/>
                <w:color w:val="auto"/>
              </w:rPr>
            </w:pPr>
            <w:r>
              <w:rPr>
                <w:rFonts w:ascii="Arial" w:cs="Arial" w:eastAsia="Arial" w:hAnsi="Arial"/>
                <w:sz w:val="12"/>
                <w:szCs w:val="12"/>
                <w:color w:val="auto"/>
                <w:w w:val="89"/>
              </w:rPr>
              <w:t>7/31/2016</w:t>
            </w:r>
          </w:p>
        </w:tc>
        <w:tc>
          <w:tcPr>
            <w:tcW w:w="700" w:type="dxa"/>
            <w:vAlign w:val="bottom"/>
          </w:tcPr>
          <w:p>
            <w:pPr>
              <w:spacing w:after="0"/>
              <w:rPr>
                <w:sz w:val="13"/>
                <w:szCs w:val="13"/>
                <w:color w:val="auto"/>
              </w:rPr>
            </w:pPr>
          </w:p>
        </w:tc>
        <w:tc>
          <w:tcPr>
            <w:tcW w:w="1920" w:type="dxa"/>
            <w:vAlign w:val="bottom"/>
            <w:gridSpan w:val="2"/>
          </w:tcPr>
          <w:p>
            <w:pPr>
              <w:ind w:left="880"/>
              <w:spacing w:after="0"/>
              <w:rPr>
                <w:sz w:val="20"/>
                <w:szCs w:val="20"/>
                <w:color w:val="auto"/>
              </w:rPr>
            </w:pPr>
            <w:r>
              <w:rPr>
                <w:rFonts w:ascii="Arial" w:cs="Arial" w:eastAsia="Arial" w:hAnsi="Arial"/>
                <w:sz w:val="12"/>
                <w:szCs w:val="12"/>
                <w:color w:val="auto"/>
              </w:rPr>
              <w:t>Minimum 10.0</w:t>
            </w:r>
          </w:p>
        </w:tc>
        <w:tc>
          <w:tcPr>
            <w:tcW w:w="1120" w:type="dxa"/>
            <w:vAlign w:val="bottom"/>
          </w:tcPr>
          <w:p>
            <w:pPr>
              <w:jc w:val="right"/>
              <w:ind w:right="640"/>
              <w:spacing w:after="0"/>
              <w:rPr>
                <w:sz w:val="20"/>
                <w:szCs w:val="20"/>
                <w:color w:val="auto"/>
              </w:rPr>
            </w:pPr>
            <w:r>
              <w:rPr>
                <w:rFonts w:ascii="Arial" w:cs="Arial" w:eastAsia="Arial" w:hAnsi="Arial"/>
                <w:sz w:val="12"/>
                <w:szCs w:val="12"/>
                <w:color w:val="auto"/>
              </w:rPr>
              <w:t>%</w:t>
            </w:r>
          </w:p>
        </w:tc>
        <w:tc>
          <w:tcPr>
            <w:tcW w:w="1300" w:type="dxa"/>
            <w:vAlign w:val="bottom"/>
          </w:tcPr>
          <w:p>
            <w:pPr>
              <w:spacing w:after="0"/>
              <w:rPr>
                <w:sz w:val="13"/>
                <w:szCs w:val="13"/>
                <w:color w:val="auto"/>
              </w:rPr>
            </w:pPr>
          </w:p>
        </w:tc>
        <w:tc>
          <w:tcPr>
            <w:tcW w:w="1660" w:type="dxa"/>
            <w:vAlign w:val="bottom"/>
            <w:gridSpan w:val="2"/>
          </w:tcPr>
          <w:p>
            <w:pPr>
              <w:jc w:val="right"/>
              <w:ind w:right="1360"/>
              <w:spacing w:after="0"/>
              <w:rPr>
                <w:sz w:val="20"/>
                <w:szCs w:val="20"/>
                <w:color w:val="auto"/>
              </w:rPr>
            </w:pPr>
            <w:r>
              <w:rPr>
                <w:rFonts w:ascii="Arial" w:cs="Arial" w:eastAsia="Arial" w:hAnsi="Arial"/>
                <w:sz w:val="12"/>
                <w:szCs w:val="12"/>
                <w:color w:val="auto"/>
              </w:rPr>
              <w:t>-</w:t>
            </w:r>
          </w:p>
        </w:tc>
        <w:tc>
          <w:tcPr>
            <w:tcW w:w="2800" w:type="dxa"/>
            <w:vAlign w:val="bottom"/>
            <w:gridSpan w:val="2"/>
          </w:tcPr>
          <w:p>
            <w:pPr>
              <w:jc w:val="right"/>
              <w:ind w:right="1120"/>
              <w:spacing w:after="0"/>
              <w:rPr>
                <w:sz w:val="20"/>
                <w:szCs w:val="20"/>
                <w:color w:val="auto"/>
              </w:rPr>
            </w:pPr>
            <w:r>
              <w:rPr>
                <w:rFonts w:ascii="Arial" w:cs="Arial" w:eastAsia="Arial" w:hAnsi="Arial"/>
                <w:sz w:val="12"/>
                <w:szCs w:val="12"/>
                <w:color w:val="auto"/>
              </w:rPr>
              <w:t>14,500</w:t>
            </w:r>
          </w:p>
        </w:tc>
      </w:tr>
      <w:tr>
        <w:trPr>
          <w:trHeight w:val="135"/>
        </w:trPr>
        <w:tc>
          <w:tcPr>
            <w:tcW w:w="20" w:type="dxa"/>
            <w:vAlign w:val="bottom"/>
          </w:tcPr>
          <w:p>
            <w:pPr>
              <w:spacing w:after="0"/>
              <w:rPr>
                <w:sz w:val="11"/>
                <w:szCs w:val="11"/>
                <w:color w:val="auto"/>
              </w:rPr>
            </w:pPr>
          </w:p>
        </w:tc>
        <w:tc>
          <w:tcPr>
            <w:tcW w:w="134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Subordinated</w:t>
            </w:r>
          </w:p>
        </w:tc>
        <w:tc>
          <w:tcPr>
            <w:tcW w:w="6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r>
      <w:tr>
        <w:trPr>
          <w:trHeight w:val="144"/>
        </w:trPr>
        <w:tc>
          <w:tcPr>
            <w:tcW w:w="20" w:type="dxa"/>
            <w:vAlign w:val="bottom"/>
          </w:tcPr>
          <w:p>
            <w:pPr>
              <w:spacing w:after="0"/>
              <w:rPr>
                <w:sz w:val="12"/>
                <w:szCs w:val="12"/>
                <w:color w:val="auto"/>
              </w:rPr>
            </w:pPr>
          </w:p>
        </w:tc>
        <w:tc>
          <w:tcPr>
            <w:tcW w:w="13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Convertible</w:t>
            </w:r>
          </w:p>
        </w:tc>
        <w:tc>
          <w:tcPr>
            <w:tcW w:w="6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13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Notes</w:t>
            </w:r>
          </w:p>
        </w:tc>
        <w:tc>
          <w:tcPr>
            <w:tcW w:w="6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13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Payable</w:t>
            </w:r>
          </w:p>
        </w:tc>
        <w:tc>
          <w:tcPr>
            <w:tcW w:w="6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13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(net of</w:t>
            </w:r>
          </w:p>
        </w:tc>
        <w:tc>
          <w:tcPr>
            <w:tcW w:w="6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13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unamortized</w:t>
            </w:r>
          </w:p>
        </w:tc>
        <w:tc>
          <w:tcPr>
            <w:tcW w:w="6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13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discount of</w:t>
            </w:r>
          </w:p>
        </w:tc>
        <w:tc>
          <w:tcPr>
            <w:tcW w:w="6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r>
      <w:tr>
        <w:trPr>
          <w:trHeight w:val="153"/>
        </w:trPr>
        <w:tc>
          <w:tcPr>
            <w:tcW w:w="20" w:type="dxa"/>
            <w:vAlign w:val="bottom"/>
          </w:tcPr>
          <w:p>
            <w:pPr>
              <w:spacing w:after="0"/>
              <w:rPr>
                <w:sz w:val="13"/>
                <w:szCs w:val="13"/>
                <w:color w:val="auto"/>
              </w:rPr>
            </w:pPr>
          </w:p>
        </w:tc>
        <w:tc>
          <w:tcPr>
            <w:tcW w:w="660" w:type="dxa"/>
            <w:vAlign w:val="bottom"/>
            <w:shd w:val="clear" w:color="auto" w:fill="CCEEFF"/>
          </w:tcPr>
          <w:p>
            <w:pPr>
              <w:spacing w:after="0"/>
              <w:rPr>
                <w:sz w:val="20"/>
                <w:szCs w:val="20"/>
                <w:color w:val="auto"/>
              </w:rPr>
            </w:pPr>
            <w:r>
              <w:rPr>
                <w:rFonts w:ascii="Arial" w:cs="Arial" w:eastAsia="Arial" w:hAnsi="Arial"/>
                <w:sz w:val="12"/>
                <w:szCs w:val="12"/>
                <w:color w:val="auto"/>
              </w:rPr>
              <w:t>$225)</w:t>
            </w:r>
          </w:p>
        </w:tc>
        <w:tc>
          <w:tcPr>
            <w:tcW w:w="680" w:type="dxa"/>
            <w:vAlign w:val="bottom"/>
            <w:shd w:val="clear" w:color="auto" w:fill="CCEEFF"/>
          </w:tcPr>
          <w:p>
            <w:pPr>
              <w:spacing w:after="0"/>
              <w:rPr>
                <w:sz w:val="13"/>
                <w:szCs w:val="13"/>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9/30/2014</w:t>
            </w:r>
          </w:p>
        </w:tc>
        <w:tc>
          <w:tcPr>
            <w:tcW w:w="2620" w:type="dxa"/>
            <w:vAlign w:val="bottom"/>
            <w:gridSpan w:val="3"/>
            <w:shd w:val="clear" w:color="auto" w:fill="CCEEFF"/>
          </w:tcPr>
          <w:p>
            <w:pPr>
              <w:jc w:val="right"/>
              <w:ind w:right="320"/>
              <w:spacing w:after="0"/>
              <w:rPr>
                <w:sz w:val="20"/>
                <w:szCs w:val="20"/>
                <w:color w:val="auto"/>
              </w:rPr>
            </w:pPr>
            <w:r>
              <w:rPr>
                <w:rFonts w:ascii="Arial" w:cs="Arial" w:eastAsia="Arial" w:hAnsi="Arial"/>
                <w:sz w:val="12"/>
                <w:szCs w:val="12"/>
                <w:color w:val="auto"/>
              </w:rPr>
              <w:t>9.00</w:t>
            </w:r>
          </w:p>
        </w:tc>
        <w:tc>
          <w:tcPr>
            <w:tcW w:w="1120" w:type="dxa"/>
            <w:vAlign w:val="bottom"/>
            <w:shd w:val="clear" w:color="auto" w:fill="CCEEFF"/>
          </w:tcPr>
          <w:p>
            <w:pPr>
              <w:jc w:val="right"/>
              <w:ind w:right="640"/>
              <w:spacing w:after="0"/>
              <w:rPr>
                <w:sz w:val="20"/>
                <w:szCs w:val="20"/>
                <w:color w:val="auto"/>
              </w:rPr>
            </w:pPr>
            <w:r>
              <w:rPr>
                <w:rFonts w:ascii="Arial" w:cs="Arial" w:eastAsia="Arial" w:hAnsi="Arial"/>
                <w:sz w:val="12"/>
                <w:szCs w:val="12"/>
                <w:color w:val="auto"/>
              </w:rPr>
              <w:t>%</w:t>
            </w:r>
          </w:p>
        </w:tc>
        <w:tc>
          <w:tcPr>
            <w:tcW w:w="1300" w:type="dxa"/>
            <w:vAlign w:val="bottom"/>
            <w:shd w:val="clear" w:color="auto" w:fill="CCEEFF"/>
          </w:tcPr>
          <w:p>
            <w:pPr>
              <w:spacing w:after="0"/>
              <w:rPr>
                <w:sz w:val="13"/>
                <w:szCs w:val="13"/>
                <w:color w:val="auto"/>
              </w:rPr>
            </w:pPr>
          </w:p>
        </w:tc>
        <w:tc>
          <w:tcPr>
            <w:tcW w:w="1660" w:type="dxa"/>
            <w:vAlign w:val="bottom"/>
            <w:gridSpan w:val="2"/>
            <w:shd w:val="clear" w:color="auto" w:fill="CCEEFF"/>
          </w:tcPr>
          <w:p>
            <w:pPr>
              <w:jc w:val="right"/>
              <w:ind w:right="1360"/>
              <w:spacing w:after="0"/>
              <w:rPr>
                <w:sz w:val="20"/>
                <w:szCs w:val="20"/>
                <w:color w:val="auto"/>
              </w:rPr>
            </w:pPr>
            <w:r>
              <w:rPr>
                <w:rFonts w:ascii="Arial" w:cs="Arial" w:eastAsia="Arial" w:hAnsi="Arial"/>
                <w:sz w:val="12"/>
                <w:szCs w:val="12"/>
                <w:color w:val="auto"/>
                <w:w w:val="93"/>
              </w:rPr>
              <w:t>1,247</w:t>
            </w:r>
          </w:p>
        </w:tc>
        <w:tc>
          <w:tcPr>
            <w:tcW w:w="2800" w:type="dxa"/>
            <w:vAlign w:val="bottom"/>
            <w:gridSpan w:val="2"/>
            <w:shd w:val="clear" w:color="auto" w:fill="CCEEFF"/>
          </w:tcPr>
          <w:p>
            <w:pPr>
              <w:jc w:val="right"/>
              <w:ind w:right="1120"/>
              <w:spacing w:after="0"/>
              <w:rPr>
                <w:sz w:val="20"/>
                <w:szCs w:val="20"/>
                <w:color w:val="auto"/>
              </w:rPr>
            </w:pPr>
            <w:r>
              <w:rPr>
                <w:rFonts w:ascii="Arial" w:cs="Arial" w:eastAsia="Arial" w:hAnsi="Arial"/>
                <w:sz w:val="12"/>
                <w:szCs w:val="12"/>
                <w:color w:val="auto"/>
              </w:rPr>
              <w:t>283</w:t>
            </w:r>
          </w:p>
        </w:tc>
      </w:tr>
      <w:tr>
        <w:trPr>
          <w:trHeight w:val="142"/>
        </w:trPr>
        <w:tc>
          <w:tcPr>
            <w:tcW w:w="20" w:type="dxa"/>
            <w:vAlign w:val="bottom"/>
          </w:tcPr>
          <w:p>
            <w:pPr>
              <w:spacing w:after="0"/>
              <w:rPr>
                <w:sz w:val="12"/>
                <w:szCs w:val="12"/>
                <w:color w:val="auto"/>
              </w:rPr>
            </w:pPr>
          </w:p>
        </w:tc>
        <w:tc>
          <w:tcPr>
            <w:tcW w:w="660" w:type="dxa"/>
            <w:vAlign w:val="bottom"/>
            <w:tcBorders>
              <w:top w:val="single" w:sz="8" w:color="CCEEFF"/>
            </w:tcBorders>
          </w:tcPr>
          <w:p>
            <w:pPr>
              <w:spacing w:after="0"/>
              <w:rPr>
                <w:sz w:val="12"/>
                <w:szCs w:val="12"/>
                <w:color w:val="auto"/>
              </w:rPr>
            </w:pPr>
          </w:p>
        </w:tc>
        <w:tc>
          <w:tcPr>
            <w:tcW w:w="680" w:type="dxa"/>
            <w:vAlign w:val="bottom"/>
            <w:tcBorders>
              <w:top w:val="single" w:sz="8" w:color="CCEEFF"/>
            </w:tcBorders>
          </w:tcPr>
          <w:p>
            <w:pPr>
              <w:spacing w:after="0"/>
              <w:rPr>
                <w:sz w:val="12"/>
                <w:szCs w:val="12"/>
                <w:color w:val="auto"/>
              </w:rPr>
            </w:pPr>
          </w:p>
        </w:tc>
        <w:tc>
          <w:tcPr>
            <w:tcW w:w="680" w:type="dxa"/>
            <w:vAlign w:val="bottom"/>
            <w:tcBorders>
              <w:top w:val="single" w:sz="8" w:color="CCEEFF"/>
            </w:tcBorders>
          </w:tcPr>
          <w:p>
            <w:pPr>
              <w:spacing w:after="0"/>
              <w:rPr>
                <w:sz w:val="12"/>
                <w:szCs w:val="12"/>
                <w:color w:val="auto"/>
              </w:rPr>
            </w:pPr>
          </w:p>
        </w:tc>
        <w:tc>
          <w:tcPr>
            <w:tcW w:w="700" w:type="dxa"/>
            <w:vAlign w:val="bottom"/>
            <w:tcBorders>
              <w:top w:val="single" w:sz="8" w:color="CCEEFF"/>
            </w:tcBorders>
          </w:tcPr>
          <w:p>
            <w:pPr>
              <w:spacing w:after="0"/>
              <w:rPr>
                <w:sz w:val="12"/>
                <w:szCs w:val="12"/>
                <w:color w:val="auto"/>
              </w:rPr>
            </w:pPr>
          </w:p>
        </w:tc>
        <w:tc>
          <w:tcPr>
            <w:tcW w:w="1600" w:type="dxa"/>
            <w:vAlign w:val="bottom"/>
            <w:tcBorders>
              <w:top w:val="single" w:sz="8" w:color="CCEEFF"/>
            </w:tcBorders>
          </w:tcPr>
          <w:p>
            <w:pPr>
              <w:spacing w:after="0"/>
              <w:rPr>
                <w:sz w:val="12"/>
                <w:szCs w:val="12"/>
                <w:color w:val="auto"/>
              </w:rPr>
            </w:pPr>
          </w:p>
        </w:tc>
        <w:tc>
          <w:tcPr>
            <w:tcW w:w="320" w:type="dxa"/>
            <w:vAlign w:val="bottom"/>
            <w:tcBorders>
              <w:top w:val="single" w:sz="8" w:color="CCEEFF"/>
            </w:tcBorders>
          </w:tcPr>
          <w:p>
            <w:pPr>
              <w:spacing w:after="0"/>
              <w:rPr>
                <w:sz w:val="12"/>
                <w:szCs w:val="12"/>
                <w:color w:val="auto"/>
              </w:rPr>
            </w:pPr>
          </w:p>
        </w:tc>
        <w:tc>
          <w:tcPr>
            <w:tcW w:w="1120" w:type="dxa"/>
            <w:vAlign w:val="bottom"/>
            <w:tcBorders>
              <w:top w:val="single" w:sz="8" w:color="CCEEFF"/>
            </w:tcBorders>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360" w:type="dxa"/>
            <w:vAlign w:val="bottom"/>
            <w:tcBorders>
              <w:top w:val="single" w:sz="8" w:color="CCEEFF"/>
            </w:tcBorders>
          </w:tcPr>
          <w:p>
            <w:pPr>
              <w:spacing w:after="0"/>
              <w:rPr>
                <w:sz w:val="12"/>
                <w:szCs w:val="12"/>
                <w:color w:val="auto"/>
              </w:rPr>
            </w:pPr>
          </w:p>
        </w:tc>
        <w:tc>
          <w:tcPr>
            <w:tcW w:w="1680" w:type="dxa"/>
            <w:vAlign w:val="bottom"/>
            <w:tcBorders>
              <w:top w:val="single" w:sz="8" w:color="auto"/>
            </w:tcBorders>
          </w:tcPr>
          <w:p>
            <w:pPr>
              <w:spacing w:after="0"/>
              <w:rPr>
                <w:sz w:val="12"/>
                <w:szCs w:val="12"/>
                <w:color w:val="auto"/>
              </w:rPr>
            </w:pPr>
          </w:p>
        </w:tc>
        <w:tc>
          <w:tcPr>
            <w:tcW w:w="1120" w:type="dxa"/>
            <w:vAlign w:val="bottom"/>
            <w:tcBorders>
              <w:top w:val="single" w:sz="8" w:color="CCEEFF"/>
            </w:tcBorders>
          </w:tcPr>
          <w:p>
            <w:pPr>
              <w:spacing w:after="0"/>
              <w:rPr>
                <w:sz w:val="12"/>
                <w:szCs w:val="12"/>
                <w:color w:val="auto"/>
              </w:rPr>
            </w:pPr>
          </w:p>
        </w:tc>
      </w:tr>
      <w:tr>
        <w:trPr>
          <w:trHeight w:val="184"/>
        </w:trPr>
        <w:tc>
          <w:tcPr>
            <w:tcW w:w="20" w:type="dxa"/>
            <w:vAlign w:val="bottom"/>
          </w:tcPr>
          <w:p>
            <w:pPr>
              <w:spacing w:after="0"/>
              <w:rPr>
                <w:sz w:val="16"/>
                <w:szCs w:val="16"/>
                <w:color w:val="auto"/>
              </w:rPr>
            </w:pPr>
          </w:p>
        </w:tc>
        <w:tc>
          <w:tcPr>
            <w:tcW w:w="13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2"/>
                <w:szCs w:val="12"/>
                <w:color w:val="auto"/>
              </w:rPr>
              <w:t>Total</w:t>
            </w:r>
          </w:p>
        </w:tc>
        <w:tc>
          <w:tcPr>
            <w:tcW w:w="6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16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3"/>
              </w:rPr>
              <w:t>6,419</w:t>
            </w:r>
          </w:p>
        </w:tc>
        <w:tc>
          <w:tcPr>
            <w:tcW w:w="1360" w:type="dxa"/>
            <w:vAlign w:val="bottom"/>
            <w:tcBorders>
              <w:bottom w:val="single" w:sz="8" w:color="CCEEFF"/>
            </w:tcBorders>
            <w:shd w:val="clear" w:color="auto" w:fill="CCEEFF"/>
          </w:tcPr>
          <w:p>
            <w:pPr>
              <w:spacing w:after="0"/>
              <w:rPr>
                <w:sz w:val="16"/>
                <w:szCs w:val="16"/>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20,238</w:t>
            </w:r>
          </w:p>
        </w:tc>
        <w:tc>
          <w:tcPr>
            <w:tcW w:w="1120" w:type="dxa"/>
            <w:vAlign w:val="bottom"/>
            <w:tcBorders>
              <w:bottom w:val="single" w:sz="8" w:color="CCEEFF"/>
            </w:tcBorders>
            <w:shd w:val="clear" w:color="auto" w:fill="CCEEFF"/>
          </w:tcPr>
          <w:p>
            <w:pPr>
              <w:spacing w:after="0"/>
              <w:rPr>
                <w:sz w:val="16"/>
                <w:szCs w:val="16"/>
                <w:color w:val="auto"/>
              </w:rPr>
            </w:pPr>
          </w:p>
        </w:tc>
      </w:tr>
      <w:tr>
        <w:trPr>
          <w:trHeight w:val="264"/>
        </w:trPr>
        <w:tc>
          <w:tcPr>
            <w:tcW w:w="1360" w:type="dxa"/>
            <w:vAlign w:val="bottom"/>
            <w:gridSpan w:val="3"/>
          </w:tcPr>
          <w:p>
            <w:pPr>
              <w:spacing w:after="0"/>
              <w:rPr>
                <w:sz w:val="20"/>
                <w:szCs w:val="20"/>
                <w:color w:val="auto"/>
              </w:rPr>
            </w:pPr>
            <w:r>
              <w:rPr>
                <w:rFonts w:ascii="Arial" w:cs="Arial" w:eastAsia="Arial" w:hAnsi="Arial"/>
                <w:sz w:val="12"/>
                <w:szCs w:val="12"/>
                <w:i w:val="1"/>
                <w:iCs w:val="1"/>
                <w:color w:val="auto"/>
              </w:rPr>
              <w:t>ADI Time - Sellers Note</w:t>
            </w:r>
          </w:p>
        </w:tc>
        <w:tc>
          <w:tcPr>
            <w:tcW w:w="6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120" w:type="dxa"/>
            <w:vAlign w:val="bottom"/>
          </w:tcPr>
          <w:p>
            <w:pPr>
              <w:spacing w:after="0"/>
              <w:rPr>
                <w:sz w:val="22"/>
                <w:szCs w:val="22"/>
                <w:color w:val="auto"/>
              </w:rPr>
            </w:pPr>
          </w:p>
        </w:tc>
      </w:tr>
    </w:tbl>
    <w:p>
      <w:pPr>
        <w:spacing w:after="0" w:line="135" w:lineRule="exact"/>
        <w:rPr>
          <w:sz w:val="20"/>
          <w:szCs w:val="20"/>
          <w:color w:val="auto"/>
        </w:rPr>
      </w:pPr>
    </w:p>
    <w:p>
      <w:pPr>
        <w:jc w:val="both"/>
        <w:ind w:right="60" w:firstLine="649"/>
        <w:spacing w:after="0" w:line="259" w:lineRule="auto"/>
        <w:rPr>
          <w:sz w:val="20"/>
          <w:szCs w:val="20"/>
          <w:color w:val="auto"/>
        </w:rPr>
      </w:pPr>
      <w:r>
        <w:rPr>
          <w:rFonts w:ascii="Arial" w:cs="Arial" w:eastAsia="Arial" w:hAnsi="Arial"/>
          <w:sz w:val="12"/>
          <w:szCs w:val="12"/>
          <w:color w:val="auto"/>
        </w:rPr>
        <w:t>In conjunction with the acquisition of ADI Software, LLC; the Company entered into a Promissory Note in the amount of $1,095 with the Seller. The Promissory Note bears interest at an annual rate of 0.16%, will mature on October 1, 2014, and is guaranteed by the Company. The Purchaser may offset any indemnification payments owed by the Seller under the APA against up to $1,000 under the Purchaser Note. The Company recorded the note at fair value using a discount rate of 9%, which resulted in an unamortized discount of $244, which will accrete up the note to its aggregate principal amount over the course of the life of the loan using the effective interest method. A principal payment of $245 was made in July 2012</w:t>
      </w:r>
    </w:p>
    <w:p>
      <w:pPr>
        <w:spacing w:after="0" w:line="143" w:lineRule="exact"/>
        <w:rPr>
          <w:sz w:val="20"/>
          <w:szCs w:val="20"/>
          <w:color w:val="auto"/>
        </w:rPr>
      </w:pPr>
    </w:p>
    <w:p>
      <w:pPr>
        <w:ind w:left="640"/>
        <w:spacing w:after="0"/>
        <w:rPr>
          <w:sz w:val="20"/>
          <w:szCs w:val="20"/>
          <w:color w:val="auto"/>
        </w:rPr>
      </w:pPr>
      <w:r>
        <w:rPr>
          <w:rFonts w:ascii="Arial" w:cs="Arial" w:eastAsia="Arial" w:hAnsi="Arial"/>
          <w:sz w:val="12"/>
          <w:szCs w:val="12"/>
          <w:color w:val="auto"/>
        </w:rPr>
        <w:t>In conjunction with the acquisition of Legiant Software, LLC the Company entered into three separate Promissory Notes all payable to the Sellers. The details of each of the Promissory Notes are as follows:</w:t>
      </w:r>
    </w:p>
    <w:p>
      <w:pPr>
        <w:spacing w:after="0" w:line="267" w:lineRule="exact"/>
        <w:rPr>
          <w:sz w:val="20"/>
          <w:szCs w:val="20"/>
          <w:color w:val="auto"/>
        </w:rPr>
      </w:pPr>
    </w:p>
    <w:p>
      <w:pPr>
        <w:jc w:val="center"/>
        <w:ind w:right="60"/>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540"/>
          </w:cols>
          <w:pgMar w:left="220" w:top="115" w:right="139" w:bottom="1440" w:gutter="0" w:footer="0" w:header="0"/>
        </w:sectPr>
      </w:pPr>
    </w:p>
    <w:bookmarkStart w:id="12" w:name="page13"/>
    <w:bookmarkEnd w:id="12"/>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ASURE SOFTWARE, INC.</w:t>
      </w:r>
    </w:p>
    <w:p>
      <w:pPr>
        <w:spacing w:after="0" w:line="19" w:lineRule="exact"/>
        <w:rPr>
          <w:sz w:val="20"/>
          <w:szCs w:val="20"/>
          <w:color w:val="auto"/>
        </w:rPr>
      </w:pPr>
    </w:p>
    <w:p>
      <w:pPr>
        <w:ind w:left="4020"/>
        <w:spacing w:after="0"/>
        <w:rPr>
          <w:sz w:val="20"/>
          <w:szCs w:val="20"/>
          <w:color w:val="auto"/>
        </w:rPr>
      </w:pPr>
      <w:r>
        <w:rPr>
          <w:rFonts w:ascii="Arial" w:cs="Arial" w:eastAsia="Arial" w:hAnsi="Arial"/>
          <w:sz w:val="12"/>
          <w:szCs w:val="12"/>
          <w:b w:val="1"/>
          <w:bCs w:val="1"/>
          <w:color w:val="auto"/>
        </w:rPr>
        <w:t>NOTES TO THE CONSOLIDATED FINANCIAL STATEMENTS</w:t>
      </w:r>
    </w:p>
    <w:p>
      <w:pPr>
        <w:spacing w:after="0" w:line="6" w:lineRule="exact"/>
        <w:rPr>
          <w:sz w:val="20"/>
          <w:szCs w:val="20"/>
          <w:color w:val="auto"/>
        </w:rPr>
      </w:pPr>
    </w:p>
    <w:p>
      <w:pPr>
        <w:ind w:left="4060"/>
        <w:spacing w:after="0"/>
        <w:rPr>
          <w:sz w:val="20"/>
          <w:szCs w:val="20"/>
          <w:color w:val="auto"/>
        </w:rPr>
      </w:pPr>
      <w:r>
        <w:rPr>
          <w:rFonts w:ascii="Arial" w:cs="Arial" w:eastAsia="Arial" w:hAnsi="Arial"/>
          <w:sz w:val="12"/>
          <w:szCs w:val="12"/>
          <w:b w:val="1"/>
          <w:bCs w:val="1"/>
          <w:color w:val="auto"/>
        </w:rPr>
        <w:t>(Amounts in thousands, except per share data or otherwise noted)</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Legiant - Sellers Note #1</w:t>
      </w:r>
    </w:p>
    <w:p>
      <w:pPr>
        <w:spacing w:after="0" w:line="150" w:lineRule="exact"/>
        <w:rPr>
          <w:sz w:val="20"/>
          <w:szCs w:val="20"/>
          <w:color w:val="auto"/>
        </w:rPr>
      </w:pPr>
    </w:p>
    <w:p>
      <w:pPr>
        <w:ind w:left="640"/>
        <w:spacing w:after="0"/>
        <w:rPr>
          <w:sz w:val="20"/>
          <w:szCs w:val="20"/>
          <w:color w:val="auto"/>
        </w:rPr>
      </w:pPr>
      <w:r>
        <w:rPr>
          <w:rFonts w:ascii="Arial" w:cs="Arial" w:eastAsia="Arial" w:hAnsi="Arial"/>
          <w:sz w:val="10"/>
          <w:szCs w:val="10"/>
          <w:color w:val="auto"/>
        </w:rPr>
        <w:t>Legiant Acquisition-Sellers Note #2 is for the principal amount of $478, bears interest at an annual rate of 5.00% and required monthly payments of $10 until June 2012. Asure made a principal payment for $235 in July 2012.</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color w:val="auto"/>
        </w:rPr>
        <w:t>No further cash interest or principal is payable until the maturity date of October 1, 2014.</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Legiant Acquisition-Sellers Note #3</w:t>
      </w:r>
    </w:p>
    <w:p>
      <w:pPr>
        <w:spacing w:after="0" w:line="150" w:lineRule="exact"/>
        <w:rPr>
          <w:sz w:val="20"/>
          <w:szCs w:val="20"/>
          <w:color w:val="auto"/>
        </w:rPr>
      </w:pPr>
    </w:p>
    <w:p>
      <w:pPr>
        <w:jc w:val="both"/>
        <w:ind w:firstLine="649"/>
        <w:spacing w:after="0" w:line="298" w:lineRule="auto"/>
        <w:rPr>
          <w:sz w:val="20"/>
          <w:szCs w:val="20"/>
          <w:color w:val="auto"/>
        </w:rPr>
      </w:pPr>
      <w:r>
        <w:rPr>
          <w:rFonts w:ascii="Arial" w:cs="Arial" w:eastAsia="Arial" w:hAnsi="Arial"/>
          <w:sz w:val="11"/>
          <w:szCs w:val="11"/>
          <w:color w:val="auto"/>
        </w:rPr>
        <w:t>Legiant Acquisition-Sellers Note #3 is for an aggregate principal amount of $1,761 bears interest at an annual rate of 0.20%, and will mature on October 1, 2014 when all interest and principal are due. The Company may offset any indemnification payments owed by the Seller under the acquisition agreement against up to $1 million under Sellers Note #3. The Company recorded the note at fair value using a discount rate of 9%, resulting in an unamortized discount of $382, which will accrete up the note to its aggregate principal amount over the course of the life of the loan using the effective interest method and will be payable, in cash, on October 1, 2014.</w:t>
      </w:r>
    </w:p>
    <w:p>
      <w:pPr>
        <w:spacing w:after="0" w:line="105" w:lineRule="exact"/>
        <w:rPr>
          <w:sz w:val="20"/>
          <w:szCs w:val="20"/>
          <w:color w:val="auto"/>
        </w:rPr>
      </w:pPr>
    </w:p>
    <w:p>
      <w:pPr>
        <w:ind w:left="640"/>
        <w:spacing w:after="0"/>
        <w:rPr>
          <w:sz w:val="20"/>
          <w:szCs w:val="20"/>
          <w:color w:val="auto"/>
        </w:rPr>
      </w:pPr>
      <w:r>
        <w:rPr>
          <w:rFonts w:ascii="Arial" w:cs="Arial" w:eastAsia="Arial" w:hAnsi="Arial"/>
          <w:sz w:val="12"/>
          <w:szCs w:val="12"/>
          <w:color w:val="auto"/>
        </w:rPr>
        <w:t>All three promissory notes are guaranteed by the Company and are subordinated to the Company’s senior note financing discussed below.</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Subordinated Convertible Notes Payable</w:t>
      </w:r>
    </w:p>
    <w:p>
      <w:pPr>
        <w:spacing w:after="0" w:line="150" w:lineRule="exact"/>
        <w:rPr>
          <w:sz w:val="20"/>
          <w:szCs w:val="20"/>
          <w:color w:val="auto"/>
        </w:rPr>
      </w:pPr>
    </w:p>
    <w:p>
      <w:pPr>
        <w:jc w:val="both"/>
        <w:ind w:firstLine="649"/>
        <w:spacing w:after="0" w:line="340" w:lineRule="auto"/>
        <w:rPr>
          <w:sz w:val="20"/>
          <w:szCs w:val="20"/>
          <w:color w:val="auto"/>
        </w:rPr>
      </w:pPr>
      <w:r>
        <w:rPr>
          <w:rFonts w:ascii="Arial" w:cs="Arial" w:eastAsia="Arial" w:hAnsi="Arial"/>
          <w:sz w:val="10"/>
          <w:szCs w:val="10"/>
          <w:color w:val="auto"/>
        </w:rPr>
        <w:t>On September 30, 2011, the Company entered into a Securities Purchase Agreement (the “9% Note Purchase Agreement”) relating to the sale of $1,500 aggregate principal amount of the Company’s 9% subordinated convertible notes (“9% Notes”) in a private placement to accredited investors to finance the ADI acquisition. The 9% Notes pay interest on each of March 31, June 30, September 30 and December 31, beginning on December 31, 2011, at a rate of 9% per year. The 9% Notes will mature on September 30, 2014. The 9% Note is secured by all of the assets of the Company and are subordinated to the Company’s obligations to the senior note and the 15% Notes discussed below.</w:t>
      </w:r>
    </w:p>
    <w:p>
      <w:pPr>
        <w:spacing w:after="0" w:line="88" w:lineRule="exact"/>
        <w:rPr>
          <w:sz w:val="20"/>
          <w:szCs w:val="20"/>
          <w:color w:val="auto"/>
        </w:rPr>
      </w:pPr>
    </w:p>
    <w:p>
      <w:pPr>
        <w:jc w:val="both"/>
        <w:ind w:firstLine="649"/>
        <w:spacing w:after="0" w:line="254" w:lineRule="auto"/>
        <w:rPr>
          <w:sz w:val="20"/>
          <w:szCs w:val="20"/>
          <w:color w:val="auto"/>
        </w:rPr>
      </w:pPr>
      <w:r>
        <w:rPr>
          <w:rFonts w:ascii="Arial" w:cs="Arial" w:eastAsia="Arial" w:hAnsi="Arial"/>
          <w:sz w:val="12"/>
          <w:szCs w:val="12"/>
          <w:color w:val="auto"/>
        </w:rPr>
        <w:t>Beginning 12 months from the date of issuance, the holder may convert the 9% Notes into shares of the Company’s common stock at a conversion price of $5.00 per share. The conversion price will be adjusted for certain events, such as stock dividends and stock splits. Additionally, if the Company subsequently issues common stock at a price below the then current conversion price, the conversion price will be reset to the greater of $3.27 per share (the closing price of the Company’s Common Stock on September 30, 2011) or such lower price. In the event that a holder of a 9% Note elects to convert the 9% Note into equity, and the Company determines that such conversion would jeopardize the Company’s tax benefits under Section 382 of the Internal Revenue Code, the Company may elect to prepay any or all of such 9% Notes prior to conversion, subject to certain limitations, at a purchase price equal to the product of the number of shares into which the 9% Note is convertible and the volume weighted average closing price during the 20 day trading period beginning on the 10th day before the conversion notice is received by the Company multiplied by the Premium Rate. The Premium Rate is 1.1 if a holder notifies the Company of an intention to convert the 9% Note into equity prior to the date that is 90 days before the maturity date and 1.5 if such notification is made within 90 days of the maturity date. The 9% Notes also contain customary terms of default.</w:t>
      </w:r>
    </w:p>
    <w:p>
      <w:pPr>
        <w:spacing w:after="0" w:line="149" w:lineRule="exact"/>
        <w:rPr>
          <w:sz w:val="20"/>
          <w:szCs w:val="20"/>
          <w:color w:val="auto"/>
        </w:rPr>
      </w:pPr>
    </w:p>
    <w:p>
      <w:pPr>
        <w:jc w:val="both"/>
        <w:ind w:right="20" w:firstLine="649"/>
        <w:spacing w:after="0" w:line="276" w:lineRule="auto"/>
        <w:rPr>
          <w:sz w:val="20"/>
          <w:szCs w:val="20"/>
          <w:color w:val="auto"/>
        </w:rPr>
      </w:pPr>
      <w:r>
        <w:rPr>
          <w:rFonts w:ascii="Arial" w:cs="Arial" w:eastAsia="Arial" w:hAnsi="Arial"/>
          <w:sz w:val="12"/>
          <w:szCs w:val="12"/>
          <w:color w:val="auto"/>
        </w:rPr>
        <w:t>The 9% Note Purchase Agreement provides that, if the Company issues common stock below $3.25 per share, each holder of the 9% Notes outstanding at that time will have the right to purchase its pro rata portion of such stock issuance.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13" w:name="page14"/>
    <w:bookmarkEnd w:id="13"/>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ASURE SOFTWARE, INC.</w:t>
      </w:r>
    </w:p>
    <w:p>
      <w:pPr>
        <w:spacing w:after="0" w:line="19" w:lineRule="exact"/>
        <w:rPr>
          <w:sz w:val="20"/>
          <w:szCs w:val="20"/>
          <w:color w:val="auto"/>
        </w:rPr>
      </w:pPr>
    </w:p>
    <w:p>
      <w:pPr>
        <w:ind w:left="4020"/>
        <w:spacing w:after="0"/>
        <w:rPr>
          <w:sz w:val="20"/>
          <w:szCs w:val="20"/>
          <w:color w:val="auto"/>
        </w:rPr>
      </w:pPr>
      <w:r>
        <w:rPr>
          <w:rFonts w:ascii="Arial" w:cs="Arial" w:eastAsia="Arial" w:hAnsi="Arial"/>
          <w:sz w:val="12"/>
          <w:szCs w:val="12"/>
          <w:b w:val="1"/>
          <w:bCs w:val="1"/>
          <w:color w:val="auto"/>
        </w:rPr>
        <w:t>NOTES TO THE CONSOLIDATED FINANCIAL STATEMENTS</w:t>
      </w:r>
    </w:p>
    <w:p>
      <w:pPr>
        <w:spacing w:after="0" w:line="6" w:lineRule="exact"/>
        <w:rPr>
          <w:sz w:val="20"/>
          <w:szCs w:val="20"/>
          <w:color w:val="auto"/>
        </w:rPr>
      </w:pPr>
    </w:p>
    <w:p>
      <w:pPr>
        <w:ind w:left="4060"/>
        <w:spacing w:after="0"/>
        <w:rPr>
          <w:sz w:val="20"/>
          <w:szCs w:val="20"/>
          <w:color w:val="auto"/>
        </w:rPr>
      </w:pPr>
      <w:r>
        <w:rPr>
          <w:rFonts w:ascii="Arial" w:cs="Arial" w:eastAsia="Arial" w:hAnsi="Arial"/>
          <w:sz w:val="12"/>
          <w:szCs w:val="12"/>
          <w:b w:val="1"/>
          <w:bCs w:val="1"/>
          <w:color w:val="auto"/>
        </w:rPr>
        <w:t>(Amounts in thousands, except per share data or otherwise noted)</w:t>
      </w:r>
    </w:p>
    <w:p>
      <w:pPr>
        <w:spacing w:after="0" w:line="141" w:lineRule="exact"/>
        <w:rPr>
          <w:sz w:val="20"/>
          <w:szCs w:val="20"/>
          <w:color w:val="auto"/>
        </w:rPr>
      </w:pPr>
    </w:p>
    <w:p>
      <w:pPr>
        <w:jc w:val="both"/>
        <w:ind w:firstLine="649"/>
        <w:spacing w:after="0" w:line="286" w:lineRule="auto"/>
        <w:rPr>
          <w:sz w:val="20"/>
          <w:szCs w:val="20"/>
          <w:color w:val="auto"/>
        </w:rPr>
      </w:pPr>
      <w:r>
        <w:rPr>
          <w:rFonts w:ascii="Arial" w:cs="Arial" w:eastAsia="Arial" w:hAnsi="Arial"/>
          <w:sz w:val="11"/>
          <w:szCs w:val="11"/>
          <w:color w:val="auto"/>
        </w:rPr>
        <w:t>These 9% Notes contained embedded derivative instruments related to the conversion feature that Asure accounts for separately. Asure has re-measured instruments for each reporting period and recorded a gain or loss for the change in fair value. At inception, the Company valued the conversion feature at $274,resulting in an original issue discount on the convertible debt, accreting up the 9% Note to their aggregate principal amounts over the course of the life of the loans using the effective interest method. The Company used a Monte Carlo simulation in a risk-neutral framework to simulate market capitalization outcomes of the Company, including considerations of the Company’s projected share price volatility, to estimate the fair value of the embedded derivative. The fair value of the conversion feature was $835 at December 31, 2011, with $561 being recorded in the income statement for the mark-to-market impact. This amount of $561 was recorded in interest expense – amortization of OID and derivative mark-to-market in the consolidated statements of operations.</w:t>
      </w:r>
    </w:p>
    <w:p>
      <w:pPr>
        <w:spacing w:after="0" w:line="111" w:lineRule="exact"/>
        <w:rPr>
          <w:sz w:val="20"/>
          <w:szCs w:val="20"/>
          <w:color w:val="auto"/>
        </w:rPr>
      </w:pPr>
    </w:p>
    <w:p>
      <w:pPr>
        <w:jc w:val="both"/>
        <w:ind w:firstLine="649"/>
        <w:spacing w:after="0" w:line="254" w:lineRule="auto"/>
        <w:rPr>
          <w:sz w:val="20"/>
          <w:szCs w:val="20"/>
          <w:color w:val="auto"/>
        </w:rPr>
      </w:pPr>
      <w:r>
        <w:rPr>
          <w:rFonts w:ascii="Arial" w:cs="Arial" w:eastAsia="Arial" w:hAnsi="Arial"/>
          <w:sz w:val="12"/>
          <w:szCs w:val="12"/>
          <w:color w:val="auto"/>
        </w:rPr>
        <w:t>Effective on March 10, 2012, the terms of the 9% Notes were amended to eliminate the embedded derivative features resulting in a settlement or extinguishment of the derivative liability. Under the terms of the amendment, each holder of 9% Notes was permitted to convert the outstanding principal balance due there under into shares of Common Stock of the Company at the conversion price originally set forth in the 9% Notes ($5.00 per share of Common Stock) on or before March 15, 2012. As consideration for agreeing to the terms of the amendment, the Company made a one time cash payment, in such amount as follows: (i) for holders of 9% Notes who elected to convert their 9% Notes into Common Stock prior to March 16, 2012, an amount equal to 3% of the outstanding principal amount of each 9% Note and (B) for holders of 9% Notes who did not elect to convert their 9% Notes into Common Stock prior to March 16, 2012, an amount equal to 80% of the interest that such holder would have received by holding the 9% Note to maturity. In each case, the holders of the 9% Notes agreed to the removal of the dilution protection provision to reset the conversion price below $5.00 per share upon certain Company issuances of Common Stock below $5.00 per share of Common Stock. Holders of approximately $1,150 of the total $1,500 of principal amount of 9% Notes converted their 9% Notes to Common Stock.</w:t>
      </w:r>
    </w:p>
    <w:p>
      <w:pPr>
        <w:spacing w:after="0" w:line="131" w:lineRule="exact"/>
        <w:rPr>
          <w:sz w:val="20"/>
          <w:szCs w:val="20"/>
          <w:color w:val="auto"/>
        </w:rPr>
      </w:pPr>
    </w:p>
    <w:p>
      <w:pPr>
        <w:jc w:val="both"/>
        <w:ind w:firstLine="649"/>
        <w:spacing w:after="0" w:line="286" w:lineRule="auto"/>
        <w:rPr>
          <w:sz w:val="20"/>
          <w:szCs w:val="20"/>
          <w:color w:val="auto"/>
        </w:rPr>
      </w:pPr>
      <w:r>
        <w:rPr>
          <w:rFonts w:ascii="Arial" w:cs="Arial" w:eastAsia="Arial" w:hAnsi="Arial"/>
          <w:sz w:val="11"/>
          <w:szCs w:val="11"/>
          <w:color w:val="auto"/>
        </w:rPr>
        <w:t>The amendment to the 9% Notes resulted in a change of accounting treatment of the derivatives. Effective on March 10, 2012, the derivatives were no longer required to be accounted for on a separate basis. Therefore, the Company no longer re-measures the value of the derivatives after the amendment date. The fair value of the conversion feature was $1,300 at March 31, 2012, with $465 being recorded in the income statement for the mark-to-market impact. This amount of $465 was recorded in interest expense – amortization of OID and derivative mark-to-market in the consolidated statements of operations. The conversion of the 9% Notes and elimination of the derivative liability resulted in a loss on debt conversion of $199, a reduction in the carrying value of the 9% Notes to $296 at March 31, 2012, and an increase in additional paid in capital of $2,255 for the issuance of 230 shares for the Common Stock issued upon conversion. The Company also made cash payments of $211 to holders that elected to convert in accordance with the terms of the amendment.</w:t>
      </w:r>
    </w:p>
    <w:p>
      <w:pPr>
        <w:spacing w:after="0" w:line="111" w:lineRule="exact"/>
        <w:rPr>
          <w:sz w:val="20"/>
          <w:szCs w:val="20"/>
          <w:color w:val="auto"/>
        </w:rPr>
      </w:pPr>
    </w:p>
    <w:p>
      <w:pPr>
        <w:jc w:val="both"/>
        <w:ind w:firstLine="649"/>
        <w:spacing w:after="0" w:line="276" w:lineRule="auto"/>
        <w:rPr>
          <w:sz w:val="20"/>
          <w:szCs w:val="20"/>
          <w:color w:val="auto"/>
        </w:rPr>
      </w:pPr>
      <w:r>
        <w:rPr>
          <w:rFonts w:ascii="Arial" w:cs="Arial" w:eastAsia="Arial" w:hAnsi="Arial"/>
          <w:sz w:val="12"/>
          <w:szCs w:val="12"/>
          <w:color w:val="auto"/>
        </w:rPr>
        <w:t>Mr. Goepel, the Company’s Chief Executive Officer, purchased $200 of the 9% Notes. Red Oak Fund, LP purchased $600 of the 9% Notes. Mr. Sandberg, the Company’s Chairman, is the controlling member of Red Oak Partners, LLC, which manages the Red Oak Fund. Both parties subsequently converted the 9% Notes under the terms of the amendment.</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Subordinated Notes Payable</w:t>
      </w:r>
    </w:p>
    <w:p>
      <w:pPr>
        <w:spacing w:after="0" w:line="150" w:lineRule="exact"/>
        <w:rPr>
          <w:sz w:val="20"/>
          <w:szCs w:val="20"/>
          <w:color w:val="auto"/>
        </w:rPr>
      </w:pPr>
    </w:p>
    <w:p>
      <w:pPr>
        <w:jc w:val="both"/>
        <w:ind w:firstLine="649"/>
        <w:spacing w:after="0" w:line="254" w:lineRule="auto"/>
        <w:rPr>
          <w:sz w:val="20"/>
          <w:szCs w:val="20"/>
          <w:color w:val="auto"/>
        </w:rPr>
      </w:pPr>
      <w:r>
        <w:rPr>
          <w:rFonts w:ascii="Arial" w:cs="Arial" w:eastAsia="Arial" w:hAnsi="Arial"/>
          <w:sz w:val="12"/>
          <w:szCs w:val="12"/>
          <w:color w:val="auto"/>
        </w:rPr>
        <w:t>On September 30, 2011, the Company entered into a Securities Purchase Agreement (the “15% Note Purchase Agreement”) relating to the sale of $1,700 aggregate principal amount of the Company’s 15% subordinated notes (“15% Notes”) in a private placement to accredited investors. The 15% Note will pay interest on each of March 31, June 30, September 30 and December 31, beginning on December 31, 2011, at a rate of 15% per year. The 15% Notes had a maturity date of September 30, 2014. However, effective July 1, 2012, Asure prepaid $900 proceeds of the senior note payable. Patrick Goepel, the Company’s Chief Executive Officer purchased $500 of the 15% Notes with $500 outstanding at September 30, 2012. Pinnacle Fund, LLLP purchased $300 of the remaining 15% Notes, with $300 outstanding at September 30, 2012. David Sandberg, the Company’s Chairman, is the controlling member of Red Oak Partners, LLC, which owns 50% of Pinnacle Partners, LLC, which is the general partner of the Pinnacle Fund, LLLP. Red Oak Partners, LLC is also the manager of the Pinnacle Fund, LLLP. The Company expensed $115 of fees for this transaction during the three months ended September 30, 2012. The 15% Notes are secured by all of the assets of the Company and are subordinated to the Company’s obligations to the Senior note payable. The 15% Notes also contain customary terms of default.</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14" w:name="page15"/>
    <w:bookmarkEnd w:id="14"/>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ASURE SOFTWARE, INC.</w:t>
      </w:r>
    </w:p>
    <w:p>
      <w:pPr>
        <w:spacing w:after="0" w:line="19" w:lineRule="exact"/>
        <w:rPr>
          <w:sz w:val="20"/>
          <w:szCs w:val="20"/>
          <w:color w:val="auto"/>
        </w:rPr>
      </w:pPr>
    </w:p>
    <w:p>
      <w:pPr>
        <w:ind w:left="4020"/>
        <w:spacing w:after="0"/>
        <w:rPr>
          <w:sz w:val="20"/>
          <w:szCs w:val="20"/>
          <w:color w:val="auto"/>
        </w:rPr>
      </w:pPr>
      <w:r>
        <w:rPr>
          <w:rFonts w:ascii="Arial" w:cs="Arial" w:eastAsia="Arial" w:hAnsi="Arial"/>
          <w:sz w:val="12"/>
          <w:szCs w:val="12"/>
          <w:b w:val="1"/>
          <w:bCs w:val="1"/>
          <w:color w:val="auto"/>
        </w:rPr>
        <w:t>NOTES TO THE CONSOLIDATED FINANCIAL STATEMENTS</w:t>
      </w:r>
    </w:p>
    <w:p>
      <w:pPr>
        <w:spacing w:after="0" w:line="6" w:lineRule="exact"/>
        <w:rPr>
          <w:sz w:val="20"/>
          <w:szCs w:val="20"/>
          <w:color w:val="auto"/>
        </w:rPr>
      </w:pPr>
    </w:p>
    <w:p>
      <w:pPr>
        <w:ind w:left="4060"/>
        <w:spacing w:after="0"/>
        <w:rPr>
          <w:sz w:val="20"/>
          <w:szCs w:val="20"/>
          <w:color w:val="auto"/>
        </w:rPr>
      </w:pPr>
      <w:r>
        <w:rPr>
          <w:rFonts w:ascii="Arial" w:cs="Arial" w:eastAsia="Arial" w:hAnsi="Arial"/>
          <w:sz w:val="12"/>
          <w:szCs w:val="12"/>
          <w:b w:val="1"/>
          <w:bCs w:val="1"/>
          <w:color w:val="auto"/>
        </w:rPr>
        <w:t>(Amounts in thousands, except per share data or otherwise noted)</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Credit Agreement</w:t>
      </w:r>
    </w:p>
    <w:p>
      <w:pPr>
        <w:spacing w:after="0" w:line="150" w:lineRule="exact"/>
        <w:rPr>
          <w:sz w:val="20"/>
          <w:szCs w:val="20"/>
          <w:color w:val="auto"/>
        </w:rPr>
      </w:pPr>
    </w:p>
    <w:p>
      <w:pPr>
        <w:jc w:val="both"/>
        <w:ind w:firstLine="649"/>
        <w:spacing w:after="0" w:line="259" w:lineRule="auto"/>
        <w:rPr>
          <w:sz w:val="20"/>
          <w:szCs w:val="20"/>
          <w:color w:val="auto"/>
        </w:rPr>
      </w:pPr>
      <w:r>
        <w:rPr>
          <w:rFonts w:ascii="Arial" w:cs="Arial" w:eastAsia="Arial" w:hAnsi="Arial"/>
          <w:sz w:val="12"/>
          <w:szCs w:val="12"/>
          <w:color w:val="auto"/>
        </w:rPr>
        <w:t>On September 29, 2011, the Company entered into a Credit Agreement with JPMorgan Chase Bank N.A. (“Bank”), providing for a $500 line of credit (the “Credit Agreement”), which was fully utilized as of September 30, 2012. As originally issued, the line of credit bore interest at a rate of 1.5% above the CB Floating Rate and matured on September 28, 2012. The CB Floating rate is defined as the Bank’s prime rate, as announced from time to time, provided that the CB Floating Rate may not be less than the adjusted one month LIBOR rate. The aggregate principal amount of advances outstanding at any one time under the line of credit may not exceed 80% of eligible trade accounts and accounts receivable or the maximum principal amount then available, whichever is less.</w:t>
      </w:r>
    </w:p>
    <w:p>
      <w:pPr>
        <w:spacing w:after="0" w:line="125" w:lineRule="exact"/>
        <w:rPr>
          <w:sz w:val="20"/>
          <w:szCs w:val="20"/>
          <w:color w:val="auto"/>
        </w:rPr>
      </w:pPr>
    </w:p>
    <w:p>
      <w:pPr>
        <w:jc w:val="both"/>
        <w:ind w:firstLine="649"/>
        <w:spacing w:after="0" w:line="257" w:lineRule="auto"/>
        <w:rPr>
          <w:sz w:val="20"/>
          <w:szCs w:val="20"/>
          <w:color w:val="auto"/>
        </w:rPr>
      </w:pPr>
      <w:r>
        <w:rPr>
          <w:rFonts w:ascii="Arial" w:cs="Arial" w:eastAsia="Arial" w:hAnsi="Arial"/>
          <w:sz w:val="12"/>
          <w:szCs w:val="12"/>
          <w:color w:val="auto"/>
        </w:rPr>
        <w:t>The Company’s obligations to the Bank are guaranteed by ADI Software, LLC, a wholly owned subsidiary of the Company, and secured by all of the assets of the Company and its subsidiaries. The Credit Agreement contains customary affirmative and negative covenants, including but not limited to limitations with respect to debt, liens, sale of equity interests, mergers and acquisitions, sale of assets, and loans or advances to and investments in others. The Company is also required to maintain total cash and marketable securities of not less than $300, beginning on December 31, 2011; a debt service coverage ratio of not less than 1.2 to 1.0 for each period of four consecutive fiscal quarters beginning the twelve months ending December 31, 2011; and EBITDA of not less than $100 for each fiscal quarter beginning the quarter ending December 31, 2011. The Company was in compliance with these covenants at December 31, 2011.</w:t>
      </w:r>
    </w:p>
    <w:p>
      <w:pPr>
        <w:spacing w:after="0" w:line="126" w:lineRule="exact"/>
        <w:rPr>
          <w:sz w:val="20"/>
          <w:szCs w:val="20"/>
          <w:color w:val="auto"/>
        </w:rPr>
      </w:pPr>
    </w:p>
    <w:p>
      <w:pPr>
        <w:jc w:val="both"/>
        <w:ind w:firstLine="649"/>
        <w:spacing w:after="0" w:line="259" w:lineRule="auto"/>
        <w:rPr>
          <w:sz w:val="20"/>
          <w:szCs w:val="20"/>
          <w:color w:val="auto"/>
        </w:rPr>
      </w:pPr>
      <w:r>
        <w:rPr>
          <w:rFonts w:ascii="Arial" w:cs="Arial" w:eastAsia="Arial" w:hAnsi="Arial"/>
          <w:sz w:val="12"/>
          <w:szCs w:val="12"/>
          <w:color w:val="auto"/>
        </w:rPr>
        <w:t>Events of default under the Credit Agreement include, among others, (i) the failure to pay when due the obligations owing to the Bank, (ii) the failure to perform covenants set forth in the Credit Agreement (as described above), (iii) any materially incorrect or misleading representation, warranty or certificate to the Bank, (iv) any materially incorrect or misleading representation in any financial statement or other information delivered to the Bank, (v) certain cross defaults and cross accelerations, (vi) the failure to perform under the guaranty, (vii) the occurrence of certain bankruptcy or insolvency events, (viii) judgments against the Company or its subsidiaries, and (ix) certain material adverse changes. In some cases, the events of default are subject to customary notice and grace period provisions.</w:t>
      </w:r>
    </w:p>
    <w:p>
      <w:pPr>
        <w:spacing w:after="0" w:line="125" w:lineRule="exact"/>
        <w:rPr>
          <w:sz w:val="20"/>
          <w:szCs w:val="20"/>
          <w:color w:val="auto"/>
        </w:rPr>
      </w:pPr>
    </w:p>
    <w:p>
      <w:pPr>
        <w:ind w:left="640"/>
        <w:spacing w:after="0"/>
        <w:rPr>
          <w:sz w:val="20"/>
          <w:szCs w:val="20"/>
          <w:color w:val="auto"/>
        </w:rPr>
      </w:pPr>
      <w:r>
        <w:rPr>
          <w:rFonts w:ascii="Arial" w:cs="Arial" w:eastAsia="Arial" w:hAnsi="Arial"/>
          <w:sz w:val="12"/>
          <w:szCs w:val="12"/>
          <w:color w:val="auto"/>
        </w:rPr>
        <w:t>The Company repaid the $555 outstanding under the line of credit for in full in July 2012.</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Senior note payable</w:t>
      </w:r>
    </w:p>
    <w:p>
      <w:pPr>
        <w:spacing w:after="0" w:line="150" w:lineRule="exact"/>
        <w:rPr>
          <w:sz w:val="20"/>
          <w:szCs w:val="20"/>
          <w:color w:val="auto"/>
        </w:rPr>
      </w:pPr>
    </w:p>
    <w:p>
      <w:pPr>
        <w:jc w:val="both"/>
        <w:ind w:right="20" w:firstLine="649"/>
        <w:spacing w:after="0" w:line="276" w:lineRule="auto"/>
        <w:rPr>
          <w:sz w:val="20"/>
          <w:szCs w:val="20"/>
          <w:color w:val="auto"/>
        </w:rPr>
      </w:pPr>
      <w:r>
        <w:rPr>
          <w:rFonts w:ascii="Arial" w:cs="Arial" w:eastAsia="Arial" w:hAnsi="Arial"/>
          <w:sz w:val="12"/>
          <w:szCs w:val="12"/>
          <w:color w:val="auto"/>
        </w:rPr>
        <w:t>Effective July 1, 2012, we and our wholly-owned subsidiaries entered into a Loan Agreement (the “Loan Agreement”) with Deerpath Funding, LP, a Delaware limited partnership, as lender, administrative agent and collateral agent (“Deerpath”).</w:t>
      </w:r>
    </w:p>
    <w:p>
      <w:pPr>
        <w:spacing w:after="0" w:line="133" w:lineRule="exact"/>
        <w:rPr>
          <w:sz w:val="20"/>
          <w:szCs w:val="20"/>
          <w:color w:val="auto"/>
        </w:rPr>
      </w:pPr>
    </w:p>
    <w:p>
      <w:pPr>
        <w:jc w:val="both"/>
        <w:ind w:firstLine="649"/>
        <w:spacing w:after="0" w:line="259" w:lineRule="auto"/>
        <w:rPr>
          <w:sz w:val="20"/>
          <w:szCs w:val="20"/>
          <w:color w:val="auto"/>
        </w:rPr>
      </w:pPr>
      <w:r>
        <w:rPr>
          <w:rFonts w:ascii="Arial" w:cs="Arial" w:eastAsia="Arial" w:hAnsi="Arial"/>
          <w:sz w:val="12"/>
          <w:szCs w:val="12"/>
          <w:color w:val="auto"/>
        </w:rPr>
        <w:t>The Loan Agreement provides for a single advance senior secured term loan in the amount of $14,500, made on July 5, 2012, which was used to (i) finance the cash purchase consideration for the acquisition, (ii) pay outstanding indebtedness under the 15% Notes (including partial interest and subordination consent payments of $134 to Patrick Goepel, our Chief Executive Officer, and $81 to Pinnacle Fund, which is controlled by David Sandberg, our Chairman of the Board of Directors) and the JPMorgan Chase Bank line of credit, and (iii) pay transaction costs and expenses of the term loan and the acquisition. With the full and partial payoff of outstanding debts, the total debt remaining is $20.2 million.</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15" w:name="page16"/>
    <w:bookmarkEnd w:id="15"/>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14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ASURE SOFTWARE, INC.</w:t>
      </w:r>
    </w:p>
    <w:p>
      <w:pPr>
        <w:spacing w:after="0" w:line="19" w:lineRule="exact"/>
        <w:rPr>
          <w:sz w:val="20"/>
          <w:szCs w:val="20"/>
          <w:color w:val="auto"/>
        </w:rPr>
      </w:pPr>
    </w:p>
    <w:p>
      <w:pPr>
        <w:ind w:left="4020"/>
        <w:spacing w:after="0"/>
        <w:rPr>
          <w:sz w:val="20"/>
          <w:szCs w:val="20"/>
          <w:color w:val="auto"/>
        </w:rPr>
      </w:pPr>
      <w:r>
        <w:rPr>
          <w:rFonts w:ascii="Arial" w:cs="Arial" w:eastAsia="Arial" w:hAnsi="Arial"/>
          <w:sz w:val="12"/>
          <w:szCs w:val="12"/>
          <w:b w:val="1"/>
          <w:bCs w:val="1"/>
          <w:color w:val="auto"/>
        </w:rPr>
        <w:t>NOTES TO THE CONSOLIDATED FINANCIAL STATEMENTS</w:t>
      </w:r>
    </w:p>
    <w:p>
      <w:pPr>
        <w:spacing w:after="0" w:line="6" w:lineRule="exact"/>
        <w:rPr>
          <w:sz w:val="20"/>
          <w:szCs w:val="20"/>
          <w:color w:val="auto"/>
        </w:rPr>
      </w:pPr>
    </w:p>
    <w:p>
      <w:pPr>
        <w:ind w:left="4060"/>
        <w:spacing w:after="0"/>
        <w:rPr>
          <w:sz w:val="20"/>
          <w:szCs w:val="20"/>
          <w:color w:val="auto"/>
        </w:rPr>
      </w:pPr>
      <w:r>
        <w:rPr>
          <w:rFonts w:ascii="Arial" w:cs="Arial" w:eastAsia="Arial" w:hAnsi="Arial"/>
          <w:sz w:val="12"/>
          <w:szCs w:val="12"/>
          <w:b w:val="1"/>
          <w:bCs w:val="1"/>
          <w:color w:val="auto"/>
        </w:rPr>
        <w:t>(Amounts in thousands, except per share data or otherwise noted)</w:t>
      </w:r>
    </w:p>
    <w:p>
      <w:pPr>
        <w:spacing w:after="0" w:line="141" w:lineRule="exact"/>
        <w:rPr>
          <w:sz w:val="20"/>
          <w:szCs w:val="20"/>
          <w:color w:val="auto"/>
        </w:rPr>
      </w:pPr>
    </w:p>
    <w:p>
      <w:pPr>
        <w:jc w:val="both"/>
        <w:ind w:firstLine="649"/>
        <w:spacing w:after="0" w:line="276" w:lineRule="auto"/>
        <w:rPr>
          <w:sz w:val="20"/>
          <w:szCs w:val="20"/>
          <w:color w:val="auto"/>
        </w:rPr>
      </w:pPr>
      <w:r>
        <w:rPr>
          <w:rFonts w:ascii="Arial" w:cs="Arial" w:eastAsia="Arial" w:hAnsi="Arial"/>
          <w:sz w:val="12"/>
          <w:szCs w:val="12"/>
          <w:color w:val="auto"/>
        </w:rPr>
        <w:t>The Loan Agreement also provides for a conditional commitment to provide additional single advance senior secured term loans from time to time in an aggregate amount not to exceed $5,000 to be used for refinancing certain other indebtedness, funding permitted acquisitions or other growth initiatives, and paying fees and expenses of the term loans and permitted acquisitions.</w:t>
      </w:r>
    </w:p>
    <w:p>
      <w:pPr>
        <w:spacing w:after="0" w:line="133" w:lineRule="exact"/>
        <w:rPr>
          <w:sz w:val="20"/>
          <w:szCs w:val="20"/>
          <w:color w:val="auto"/>
        </w:rPr>
      </w:pPr>
    </w:p>
    <w:p>
      <w:pPr>
        <w:jc w:val="both"/>
        <w:ind w:firstLine="649"/>
        <w:spacing w:after="0" w:line="286" w:lineRule="auto"/>
        <w:rPr>
          <w:sz w:val="20"/>
          <w:szCs w:val="20"/>
          <w:color w:val="auto"/>
        </w:rPr>
      </w:pPr>
      <w:r>
        <w:rPr>
          <w:rFonts w:ascii="Arial" w:cs="Arial" w:eastAsia="Arial" w:hAnsi="Arial"/>
          <w:sz w:val="11"/>
          <w:szCs w:val="11"/>
          <w:color w:val="auto"/>
        </w:rPr>
        <w:t>The Senior note payable bears interest at a floating annual rate equal to LIBOR plus 8.00%, subject to a LIBOR floor of 2.00%, and requires monthly payments of interest only beginning on August 1, 2012 and quarterly principal payments of $363 beginning on October 1, 2012, with any remaining principal due on July 1, 2016. The interest rate on the senior note payable was 10% at September 30, 2012. We may prepay all or a portion of the principal amount outstanding at any time, subject to a premium ranging from 1% to 5% of the principal amount being prepaid depending on if the prepayment occurs on or before the first, second or third anniversary of the closing date. The term loan requires annual mandatory prepayments beginning December 31, 2012 of outstanding principal with 75% of excess cash flow as defined in the Loan Agreement (such percentage to be reduced to 50% if a specified senior debt to EBITDA ratio is achieved) and, at Deerpath’s election, with proceeds from certain events, including 100% of the net proceeds of any asset sales and issuance of equity securities.</w:t>
      </w:r>
    </w:p>
    <w:p>
      <w:pPr>
        <w:spacing w:after="0" w:line="111" w:lineRule="exact"/>
        <w:rPr>
          <w:sz w:val="20"/>
          <w:szCs w:val="20"/>
          <w:color w:val="auto"/>
        </w:rPr>
      </w:pPr>
    </w:p>
    <w:p>
      <w:pPr>
        <w:ind w:left="640"/>
        <w:spacing w:after="0"/>
        <w:rPr>
          <w:sz w:val="20"/>
          <w:szCs w:val="20"/>
          <w:color w:val="auto"/>
        </w:rPr>
      </w:pPr>
      <w:r>
        <w:rPr>
          <w:rFonts w:ascii="Arial" w:cs="Arial" w:eastAsia="Arial" w:hAnsi="Arial"/>
          <w:sz w:val="11"/>
          <w:szCs w:val="11"/>
          <w:color w:val="auto"/>
        </w:rPr>
        <w:t>The senior note payable is secured by a first priority lien on all of our and our subsidiaries’ assets and pledges of 100% of the equity interests in our domestic subsidiaries and 65% of the equity interests in our foreign</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subsidiaries.</w:t>
      </w:r>
    </w:p>
    <w:p>
      <w:pPr>
        <w:spacing w:after="0" w:line="141" w:lineRule="exact"/>
        <w:rPr>
          <w:sz w:val="20"/>
          <w:szCs w:val="20"/>
          <w:color w:val="auto"/>
        </w:rPr>
      </w:pPr>
    </w:p>
    <w:p>
      <w:pPr>
        <w:jc w:val="both"/>
        <w:ind w:firstLine="649"/>
        <w:spacing w:after="0" w:line="255" w:lineRule="auto"/>
        <w:rPr>
          <w:sz w:val="20"/>
          <w:szCs w:val="20"/>
          <w:color w:val="auto"/>
        </w:rPr>
      </w:pPr>
      <w:r>
        <w:rPr>
          <w:rFonts w:ascii="Arial" w:cs="Arial" w:eastAsia="Arial" w:hAnsi="Arial"/>
          <w:sz w:val="12"/>
          <w:szCs w:val="12"/>
          <w:color w:val="auto"/>
        </w:rPr>
        <w:t>The Loan Agreement contains customary covenants, including but not limited to limitations with respect to debt, liens, mergers and acquisitions, sale of assets, loans or advances to and investments in others, dividends or other distributions, capital expenditures and management compensation. We are also required to maintain EBITDA of not less than $5,650 beginning with the quarter ending September 30, 2012, with the amount stepping up thereafter; a total debt to EBITDA ratio of not greater than 3.75 to 1.00 beginning with the quarter ending September 30, 2012, with the levels stepping down thereafter; a senior debt to EBITDA ratio of not greater than 2.75 to 1.00 beginning with the quarter ending September 30, 2012, with the levels stepping down thereafter; and a fixed charge coverage ratio of not less than 0.60 to 1.00 beginning with the quarter ending September 30, 2012, with the levels stepping up thereafter. Deerpath may designate one representative to attend all meetings of our and our subsidiaries’ boards of directors as a non-voting observer. At September 30, 2012, we were in compliance with all of the loan covenants related to the senior note payable.</w:t>
      </w:r>
    </w:p>
    <w:p>
      <w:pPr>
        <w:spacing w:after="0" w:line="147" w:lineRule="exact"/>
        <w:rPr>
          <w:sz w:val="20"/>
          <w:szCs w:val="20"/>
          <w:color w:val="auto"/>
        </w:rPr>
      </w:pPr>
    </w:p>
    <w:p>
      <w:pPr>
        <w:jc w:val="both"/>
        <w:ind w:right="20" w:firstLine="649"/>
        <w:spacing w:after="0" w:line="323" w:lineRule="auto"/>
        <w:rPr>
          <w:sz w:val="20"/>
          <w:szCs w:val="20"/>
          <w:color w:val="auto"/>
        </w:rPr>
      </w:pPr>
      <w:r>
        <w:rPr>
          <w:rFonts w:ascii="Arial" w:cs="Arial" w:eastAsia="Arial" w:hAnsi="Arial"/>
          <w:sz w:val="11"/>
          <w:szCs w:val="11"/>
          <w:color w:val="auto"/>
        </w:rPr>
        <w:t>The Loan Agreement contains customary events of default, including, among others, (i) payment defaults, (ii) covenant defaults, (iii) incorrect representations or warranties, (iv) bankruptcy and insolvency events, (v) certain cross defaults and cross accelerations, (vi) certain change of control or change of management events and (vii) certain material adverse events. In some cases, the defaults are subject to customary notice and grace period provisions.</w:t>
      </w:r>
    </w:p>
    <w:p>
      <w:pPr>
        <w:spacing w:after="0" w:line="110" w:lineRule="exact"/>
        <w:rPr>
          <w:sz w:val="20"/>
          <w:szCs w:val="20"/>
          <w:color w:val="auto"/>
        </w:rPr>
      </w:pPr>
    </w:p>
    <w:p>
      <w:pPr>
        <w:ind w:left="640"/>
        <w:spacing w:after="0"/>
        <w:rPr>
          <w:sz w:val="20"/>
          <w:szCs w:val="20"/>
          <w:color w:val="auto"/>
        </w:rPr>
      </w:pPr>
      <w:r>
        <w:rPr>
          <w:rFonts w:ascii="Arial" w:cs="Arial" w:eastAsia="Arial" w:hAnsi="Arial"/>
          <w:sz w:val="12"/>
          <w:szCs w:val="12"/>
          <w:color w:val="auto"/>
        </w:rPr>
        <w:t>The Company paid the first principal payment of $363 on the senior note payable on October 1</w:t>
      </w:r>
      <w:r>
        <w:rPr>
          <w:rFonts w:ascii="Arial" w:cs="Arial" w:eastAsia="Arial" w:hAnsi="Arial"/>
          <w:sz w:val="16"/>
          <w:szCs w:val="16"/>
          <w:color w:val="auto"/>
          <w:vertAlign w:val="superscript"/>
        </w:rPr>
        <w:t>st</w:t>
      </w:r>
      <w:r>
        <w:rPr>
          <w:rFonts w:ascii="Arial" w:cs="Arial" w:eastAsia="Arial" w:hAnsi="Arial"/>
          <w:sz w:val="12"/>
          <w:szCs w:val="12"/>
          <w:color w:val="auto"/>
        </w:rPr>
        <w:t>, 2012</w:t>
      </w:r>
    </w:p>
    <w:p>
      <w:pPr>
        <w:spacing w:after="0" w:line="122" w:lineRule="exact"/>
        <w:rPr>
          <w:sz w:val="20"/>
          <w:szCs w:val="20"/>
          <w:color w:val="auto"/>
        </w:rPr>
      </w:pPr>
    </w:p>
    <w:p>
      <w:pPr>
        <w:ind w:left="640"/>
        <w:spacing w:after="0"/>
        <w:rPr>
          <w:sz w:val="20"/>
          <w:szCs w:val="20"/>
          <w:color w:val="auto"/>
        </w:rPr>
      </w:pPr>
      <w:r>
        <w:rPr>
          <w:rFonts w:ascii="Arial" w:cs="Arial" w:eastAsia="Arial" w:hAnsi="Arial"/>
          <w:sz w:val="12"/>
          <w:szCs w:val="12"/>
          <w:color w:val="auto"/>
        </w:rPr>
        <w:t>The following table summarizes the future principal payments related to the Company’s outstanding debt:</w:t>
      </w:r>
    </w:p>
    <w:p>
      <w:pPr>
        <w:spacing w:after="0" w:line="164" w:lineRule="exact"/>
        <w:rPr>
          <w:sz w:val="20"/>
          <w:szCs w:val="20"/>
          <w:color w:val="auto"/>
        </w:rPr>
      </w:pPr>
    </w:p>
    <w:p>
      <w:pPr>
        <w:ind w:left="1420"/>
        <w:spacing w:after="0"/>
        <w:rPr>
          <w:sz w:val="20"/>
          <w:szCs w:val="20"/>
          <w:color w:val="auto"/>
        </w:rPr>
      </w:pPr>
      <w:r>
        <w:rPr>
          <w:rFonts w:ascii="Arial" w:cs="Arial" w:eastAsia="Arial" w:hAnsi="Arial"/>
          <w:sz w:val="12"/>
          <w:szCs w:val="12"/>
          <w:b w:val="1"/>
          <w:bCs w:val="1"/>
          <w:color w:val="auto"/>
        </w:rPr>
        <w:t>Twelve Months Ended</w:t>
      </w:r>
    </w:p>
    <w:p>
      <w:pPr>
        <w:spacing w:after="0" w:line="19" w:lineRule="exact"/>
        <w:rPr>
          <w:sz w:val="20"/>
          <w:szCs w:val="20"/>
          <w:color w:val="auto"/>
        </w:rPr>
      </w:pPr>
    </w:p>
    <w:tbl>
      <w:tblPr>
        <w:tblLayout w:type="fixed"/>
        <w:tblInd w:w="142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2"/>
                <w:szCs w:val="12"/>
                <w:color w:val="auto"/>
              </w:rPr>
              <w:t>December 31, 2013</w:t>
            </w:r>
          </w:p>
        </w:tc>
        <w:tc>
          <w:tcPr>
            <w:tcW w:w="680" w:type="dxa"/>
            <w:vAlign w:val="bottom"/>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2,750</w:t>
            </w:r>
          </w:p>
        </w:tc>
        <w:tc>
          <w:tcPr>
            <w:tcW w:w="680" w:type="dxa"/>
            <w:vAlign w:val="bottom"/>
            <w:shd w:val="clear" w:color="auto" w:fill="CCEEFF"/>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6920" w:type="dxa"/>
            <w:vAlign w:val="bottom"/>
            <w:gridSpan w:val="3"/>
          </w:tcPr>
          <w:p>
            <w:pPr>
              <w:spacing w:after="0"/>
              <w:rPr>
                <w:sz w:val="20"/>
                <w:szCs w:val="20"/>
                <w:color w:val="auto"/>
              </w:rPr>
            </w:pPr>
            <w:r>
              <w:rPr>
                <w:rFonts w:ascii="Arial" w:cs="Arial" w:eastAsia="Arial" w:hAnsi="Arial"/>
                <w:sz w:val="12"/>
                <w:szCs w:val="12"/>
                <w:color w:val="auto"/>
              </w:rPr>
              <w:t>December 31, 2014</w:t>
            </w:r>
          </w:p>
        </w:tc>
        <w:tc>
          <w:tcPr>
            <w:tcW w:w="1000" w:type="dxa"/>
            <w:vAlign w:val="bottom"/>
          </w:tcPr>
          <w:p>
            <w:pPr>
              <w:jc w:val="right"/>
              <w:spacing w:after="0"/>
              <w:rPr>
                <w:sz w:val="20"/>
                <w:szCs w:val="20"/>
                <w:color w:val="auto"/>
              </w:rPr>
            </w:pPr>
            <w:r>
              <w:rPr>
                <w:rFonts w:ascii="Arial" w:cs="Arial" w:eastAsia="Arial" w:hAnsi="Arial"/>
                <w:sz w:val="12"/>
                <w:szCs w:val="12"/>
                <w:color w:val="auto"/>
              </w:rPr>
              <w:t>6,513</w:t>
            </w:r>
          </w:p>
        </w:tc>
        <w:tc>
          <w:tcPr>
            <w:tcW w:w="68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692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December 31, 2015</w:t>
            </w: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1,450</w:t>
            </w:r>
          </w:p>
        </w:tc>
        <w:tc>
          <w:tcPr>
            <w:tcW w:w="680" w:type="dxa"/>
            <w:vAlign w:val="bottom"/>
            <w:shd w:val="clear" w:color="auto" w:fill="CCEEFF"/>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6220" w:type="dxa"/>
            <w:vAlign w:val="bottom"/>
            <w:gridSpan w:val="2"/>
          </w:tcPr>
          <w:p>
            <w:pPr>
              <w:spacing w:after="0"/>
              <w:rPr>
                <w:sz w:val="20"/>
                <w:szCs w:val="20"/>
                <w:color w:val="auto"/>
              </w:rPr>
            </w:pPr>
            <w:r>
              <w:rPr>
                <w:rFonts w:ascii="Arial" w:cs="Arial" w:eastAsia="Arial" w:hAnsi="Arial"/>
                <w:sz w:val="12"/>
                <w:szCs w:val="12"/>
                <w:color w:val="auto"/>
              </w:rPr>
              <w:t>December 31, 2016</w:t>
            </w:r>
          </w:p>
        </w:tc>
        <w:tc>
          <w:tcPr>
            <w:tcW w:w="7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9,788</w:t>
            </w:r>
          </w:p>
        </w:tc>
        <w:tc>
          <w:tcPr>
            <w:tcW w:w="680" w:type="dxa"/>
            <w:vAlign w:val="bottom"/>
          </w:tcPr>
          <w:p>
            <w:pPr>
              <w:spacing w:after="0"/>
              <w:rPr>
                <w:sz w:val="12"/>
                <w:szCs w:val="12"/>
                <w:color w:val="auto"/>
              </w:rPr>
            </w:pPr>
          </w:p>
        </w:tc>
      </w:tr>
      <w:tr>
        <w:trPr>
          <w:trHeight w:val="162"/>
        </w:trPr>
        <w:tc>
          <w:tcPr>
            <w:tcW w:w="20" w:type="dxa"/>
            <w:vAlign w:val="bottom"/>
          </w:tcPr>
          <w:p>
            <w:pPr>
              <w:spacing w:after="0"/>
              <w:rPr>
                <w:sz w:val="14"/>
                <w:szCs w:val="14"/>
                <w:color w:val="auto"/>
              </w:rPr>
            </w:pPr>
          </w:p>
        </w:tc>
        <w:tc>
          <w:tcPr>
            <w:tcW w:w="6920" w:type="dxa"/>
            <w:vAlign w:val="bottom"/>
            <w:gridSpan w:val="3"/>
            <w:shd w:val="clear" w:color="auto" w:fill="CCEEFF"/>
          </w:tcPr>
          <w:p>
            <w:pPr>
              <w:ind w:left="6220"/>
              <w:spacing w:after="0"/>
              <w:rPr>
                <w:sz w:val="20"/>
                <w:szCs w:val="20"/>
                <w:color w:val="auto"/>
              </w:rPr>
            </w:pPr>
            <w:r>
              <w:rPr>
                <w:rFonts w:ascii="Arial" w:cs="Arial" w:eastAsia="Arial" w:hAnsi="Arial"/>
                <w:sz w:val="12"/>
                <w:szCs w:val="12"/>
                <w:b w:val="1"/>
                <w:bCs w:val="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20,501</w:t>
            </w:r>
          </w:p>
        </w:tc>
        <w:tc>
          <w:tcPr>
            <w:tcW w:w="680" w:type="dxa"/>
            <w:vAlign w:val="bottom"/>
            <w:shd w:val="clear" w:color="auto" w:fill="CCEEFF"/>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r>
    </w:tbl>
    <w:p>
      <w:pPr>
        <w:spacing w:after="0" w:line="14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9 – ACQUISITION</w:t>
      </w:r>
    </w:p>
    <w:p>
      <w:pPr>
        <w:spacing w:after="0" w:line="172" w:lineRule="exact"/>
        <w:rPr>
          <w:sz w:val="20"/>
          <w:szCs w:val="20"/>
          <w:color w:val="auto"/>
        </w:rPr>
      </w:pPr>
    </w:p>
    <w:p>
      <w:pPr>
        <w:jc w:val="both"/>
        <w:ind w:right="20" w:firstLine="649"/>
        <w:spacing w:after="0" w:line="298" w:lineRule="auto"/>
        <w:rPr>
          <w:sz w:val="20"/>
          <w:szCs w:val="20"/>
          <w:color w:val="auto"/>
        </w:rPr>
      </w:pPr>
      <w:r>
        <w:rPr>
          <w:rFonts w:ascii="Arial" w:cs="Arial" w:eastAsia="Arial" w:hAnsi="Arial"/>
          <w:sz w:val="11"/>
          <w:szCs w:val="11"/>
          <w:color w:val="auto"/>
        </w:rPr>
        <w:t>Effective July 1, 2012, we acquired all of the issued and outstanding shares of common stock of Meeting Maker – United States, Inc., a Delaware corporation doing business as PeopleCube (“Meeting Maker - US”), pursuant to a Stock Purchase Agreement (the “Stock Purchase Agreement”) by and among Meeting Maker Holding BV, a besloten vennootschap organized under the laws of the Netherlands (“Seller”), PeopleCube Holding BV, a besloten vennootschap organized under the laws of the Netherlands, and us. The Stock Purchase Agreement contains certain customary representations, warranties, indemnities and covenants.</w:t>
      </w:r>
    </w:p>
    <w:p>
      <w:pPr>
        <w:spacing w:after="0" w:line="105" w:lineRule="exact"/>
        <w:rPr>
          <w:sz w:val="20"/>
          <w:szCs w:val="20"/>
          <w:color w:val="auto"/>
        </w:rPr>
      </w:pPr>
    </w:p>
    <w:p>
      <w:pPr>
        <w:jc w:val="both"/>
        <w:ind w:firstLine="649"/>
        <w:spacing w:after="0" w:line="263" w:lineRule="auto"/>
        <w:rPr>
          <w:sz w:val="20"/>
          <w:szCs w:val="20"/>
          <w:color w:val="auto"/>
        </w:rPr>
      </w:pPr>
      <w:r>
        <w:rPr>
          <w:rFonts w:ascii="Arial" w:cs="Arial" w:eastAsia="Arial" w:hAnsi="Arial"/>
          <w:sz w:val="12"/>
          <w:szCs w:val="12"/>
          <w:color w:val="auto"/>
        </w:rPr>
        <w:t>The aggregate consideration for the Shares consisted of (i) $9,800 million in cash, subject to a post-closing working capital adjustment, (ii) 255 shares of our common stock, par value $0.01 per share, and (iii) an additional $3 million seller’s note that is due on October 31, 2014, subject to offset of any amounts owed by Seller under the indemnification provisions of the Stock Purchase Agreement. Asure funded the $9,800 million cash portion of the purchase price with proceeds from the senior note payable. As a result of the acquisition, Meeting Maker - US became our direct wholly-owned subsidiary.</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16" w:name="page17"/>
    <w:bookmarkEnd w:id="16"/>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ASURE SOFTWARE, INC.</w:t>
      </w:r>
    </w:p>
    <w:p>
      <w:pPr>
        <w:spacing w:after="0" w:line="19" w:lineRule="exact"/>
        <w:rPr>
          <w:sz w:val="20"/>
          <w:szCs w:val="20"/>
          <w:color w:val="auto"/>
        </w:rPr>
      </w:pPr>
    </w:p>
    <w:p>
      <w:pPr>
        <w:ind w:left="4020"/>
        <w:spacing w:after="0"/>
        <w:rPr>
          <w:sz w:val="20"/>
          <w:szCs w:val="20"/>
          <w:color w:val="auto"/>
        </w:rPr>
      </w:pPr>
      <w:r>
        <w:rPr>
          <w:rFonts w:ascii="Arial" w:cs="Arial" w:eastAsia="Arial" w:hAnsi="Arial"/>
          <w:sz w:val="12"/>
          <w:szCs w:val="12"/>
          <w:b w:val="1"/>
          <w:bCs w:val="1"/>
          <w:color w:val="auto"/>
        </w:rPr>
        <w:t>NOTES TO THE CONSOLIDATED FINANCIAL STATEMENTS</w:t>
      </w:r>
    </w:p>
    <w:p>
      <w:pPr>
        <w:spacing w:after="0" w:line="6" w:lineRule="exact"/>
        <w:rPr>
          <w:sz w:val="20"/>
          <w:szCs w:val="20"/>
          <w:color w:val="auto"/>
        </w:rPr>
      </w:pPr>
    </w:p>
    <w:p>
      <w:pPr>
        <w:ind w:left="4060"/>
        <w:spacing w:after="0"/>
        <w:rPr>
          <w:sz w:val="20"/>
          <w:szCs w:val="20"/>
          <w:color w:val="auto"/>
        </w:rPr>
      </w:pPr>
      <w:r>
        <w:rPr>
          <w:rFonts w:ascii="Arial" w:cs="Arial" w:eastAsia="Arial" w:hAnsi="Arial"/>
          <w:sz w:val="12"/>
          <w:szCs w:val="12"/>
          <w:b w:val="1"/>
          <w:bCs w:val="1"/>
          <w:color w:val="auto"/>
        </w:rPr>
        <w:t>(Amounts in thousands, except per share data or otherwise noted)</w:t>
      </w:r>
    </w:p>
    <w:p>
      <w:pPr>
        <w:spacing w:after="0" w:line="159" w:lineRule="exact"/>
        <w:rPr>
          <w:sz w:val="20"/>
          <w:szCs w:val="20"/>
          <w:color w:val="auto"/>
        </w:rPr>
      </w:pPr>
    </w:p>
    <w:p>
      <w:pPr>
        <w:jc w:val="both"/>
        <w:ind w:firstLine="649"/>
        <w:spacing w:after="0" w:line="290" w:lineRule="auto"/>
        <w:rPr>
          <w:sz w:val="20"/>
          <w:szCs w:val="20"/>
          <w:color w:val="auto"/>
        </w:rPr>
      </w:pPr>
      <w:r>
        <w:rPr>
          <w:rFonts w:ascii="Arial" w:cs="Arial" w:eastAsia="Arial" w:hAnsi="Arial"/>
          <w:sz w:val="11"/>
          <w:szCs w:val="11"/>
          <w:color w:val="auto"/>
        </w:rPr>
        <w:t xml:space="preserve">The business combination was accounted for under ASC 805, </w:t>
      </w:r>
      <w:r>
        <w:rPr>
          <w:rFonts w:ascii="Arial" w:cs="Arial" w:eastAsia="Arial" w:hAnsi="Arial"/>
          <w:sz w:val="11"/>
          <w:szCs w:val="11"/>
          <w:i w:val="1"/>
          <w:iCs w:val="1"/>
          <w:color w:val="auto"/>
        </w:rPr>
        <w:t>“Business Combinations.”</w:t>
      </w:r>
      <w:r>
        <w:rPr>
          <w:rFonts w:ascii="Arial" w:cs="Arial" w:eastAsia="Arial" w:hAnsi="Arial"/>
          <w:sz w:val="11"/>
          <w:szCs w:val="11"/>
          <w:color w:val="auto"/>
        </w:rPr>
        <w:t xml:space="preserve"> The application of purchase accounting under ASC 805 requires the total purchase price to be allocated to the fair value of assets acquired and liabilities assumed based on their fair values at the acquisition date, with amounts exceeding fair value being recorded as goodwill. The Company is currently in the process of assessing and finalizing the fair value of the assets acquired and the liabilities assumed. The following table summarizes the preliminary estimated fair values of the assets and liabilities assumed (in thousands). The valuation will be completed once the final working capital adjustment are determined and agreed upon as per the stock purchase agreement and upon our final determination of the fair value of the assets acquired and liabilities assumed.</w:t>
      </w:r>
    </w:p>
    <w:p>
      <w:pPr>
        <w:spacing w:after="0" w:line="105" w:lineRule="exact"/>
        <w:rPr>
          <w:sz w:val="20"/>
          <w:szCs w:val="20"/>
          <w:color w:val="auto"/>
        </w:rPr>
      </w:pPr>
    </w:p>
    <w:tbl>
      <w:tblPr>
        <w:tblLayout w:type="fixed"/>
        <w:tblInd w:w="1420" w:type="dxa"/>
        <w:tblCellMar>
          <w:top w:w="0" w:type="dxa"/>
          <w:left w:w="0" w:type="dxa"/>
          <w:bottom w:w="0" w:type="dxa"/>
          <w:right w:w="0" w:type="dxa"/>
        </w:tblCellMar>
      </w:tblPr>
      <w:tr>
        <w:trPr>
          <w:trHeight w:val="157"/>
        </w:trPr>
        <w:tc>
          <w:tcPr>
            <w:tcW w:w="7140" w:type="dxa"/>
            <w:vAlign w:val="bottom"/>
            <w:gridSpan w:val="2"/>
          </w:tcPr>
          <w:p>
            <w:pPr>
              <w:spacing w:after="0"/>
              <w:rPr>
                <w:sz w:val="20"/>
                <w:szCs w:val="20"/>
                <w:color w:val="auto"/>
              </w:rPr>
            </w:pPr>
            <w:r>
              <w:rPr>
                <w:rFonts w:ascii="Arial" w:cs="Arial" w:eastAsia="Arial" w:hAnsi="Arial"/>
                <w:sz w:val="12"/>
                <w:szCs w:val="12"/>
                <w:b w:val="1"/>
                <w:bCs w:val="1"/>
                <w:color w:val="auto"/>
              </w:rPr>
              <w:t>Assets Acquired</w:t>
            </w:r>
          </w:p>
        </w:tc>
        <w:tc>
          <w:tcPr>
            <w:tcW w:w="5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2"/>
                <w:szCs w:val="12"/>
                <w:color w:val="auto"/>
              </w:rPr>
              <w:t>Cash</w:t>
            </w:r>
          </w:p>
        </w:tc>
        <w:tc>
          <w:tcPr>
            <w:tcW w:w="560" w:type="dxa"/>
            <w:vAlign w:val="bottom"/>
            <w:shd w:val="clear" w:color="auto" w:fill="CCEEFF"/>
          </w:tcPr>
          <w:p>
            <w:pPr>
              <w:jc w:val="right"/>
              <w:ind w:right="400"/>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120" w:type="dxa"/>
            <w:vAlign w:val="bottom"/>
          </w:tcPr>
          <w:p>
            <w:pPr>
              <w:spacing w:after="0"/>
              <w:rPr>
                <w:sz w:val="20"/>
                <w:szCs w:val="20"/>
                <w:color w:val="auto"/>
              </w:rPr>
            </w:pPr>
            <w:r>
              <w:rPr>
                <w:rFonts w:ascii="Arial" w:cs="Arial" w:eastAsia="Arial" w:hAnsi="Arial"/>
                <w:sz w:val="12"/>
                <w:szCs w:val="12"/>
                <w:color w:val="auto"/>
              </w:rPr>
              <w:t>Accounts receivable</w:t>
            </w:r>
          </w:p>
        </w:tc>
        <w:tc>
          <w:tcPr>
            <w:tcW w:w="56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2,248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2"/>
                <w:szCs w:val="12"/>
                <w:color w:val="auto"/>
              </w:rPr>
              <w:t>Fixed assets</w:t>
            </w:r>
          </w:p>
        </w:tc>
        <w:tc>
          <w:tcPr>
            <w:tcW w:w="5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117</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120" w:type="dxa"/>
            <w:vAlign w:val="bottom"/>
          </w:tcPr>
          <w:p>
            <w:pPr>
              <w:spacing w:after="0"/>
              <w:rPr>
                <w:sz w:val="20"/>
                <w:szCs w:val="20"/>
                <w:color w:val="auto"/>
              </w:rPr>
            </w:pPr>
            <w:r>
              <w:rPr>
                <w:rFonts w:ascii="Arial" w:cs="Arial" w:eastAsia="Arial" w:hAnsi="Arial"/>
                <w:sz w:val="12"/>
                <w:szCs w:val="12"/>
                <w:color w:val="auto"/>
              </w:rPr>
              <w:t>Other assets</w:t>
            </w:r>
          </w:p>
        </w:tc>
        <w:tc>
          <w:tcPr>
            <w:tcW w:w="56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124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2"/>
                <w:szCs w:val="12"/>
                <w:color w:val="auto"/>
              </w:rPr>
              <w:t>Goodwill</w:t>
            </w:r>
          </w:p>
        </w:tc>
        <w:tc>
          <w:tcPr>
            <w:tcW w:w="5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10,040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120" w:type="dxa"/>
            <w:vAlign w:val="bottom"/>
          </w:tcPr>
          <w:p>
            <w:pPr>
              <w:spacing w:after="0"/>
              <w:rPr>
                <w:sz w:val="20"/>
                <w:szCs w:val="20"/>
                <w:color w:val="auto"/>
              </w:rPr>
            </w:pPr>
            <w:r>
              <w:rPr>
                <w:rFonts w:ascii="Arial" w:cs="Arial" w:eastAsia="Arial" w:hAnsi="Arial"/>
                <w:sz w:val="12"/>
                <w:szCs w:val="12"/>
                <w:color w:val="auto"/>
              </w:rPr>
              <w:t>Intangibles</w:t>
            </w:r>
          </w:p>
        </w:tc>
        <w:tc>
          <w:tcPr>
            <w:tcW w:w="5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7,445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rPr>
              <w:t>Total assets acquired</w:t>
            </w:r>
          </w:p>
        </w:tc>
        <w:tc>
          <w:tcPr>
            <w:tcW w:w="56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19,974</w:t>
            </w:r>
          </w:p>
        </w:tc>
        <w:tc>
          <w:tcPr>
            <w:tcW w:w="1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Liabilities assumed</w:t>
            </w:r>
          </w:p>
        </w:tc>
        <w:tc>
          <w:tcPr>
            <w:tcW w:w="5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120" w:type="dxa"/>
            <w:vAlign w:val="bottom"/>
          </w:tcPr>
          <w:p>
            <w:pPr>
              <w:spacing w:after="0"/>
              <w:rPr>
                <w:sz w:val="20"/>
                <w:szCs w:val="20"/>
                <w:color w:val="auto"/>
              </w:rPr>
            </w:pPr>
            <w:r>
              <w:rPr>
                <w:rFonts w:ascii="Arial" w:cs="Arial" w:eastAsia="Arial" w:hAnsi="Arial"/>
                <w:sz w:val="12"/>
                <w:szCs w:val="12"/>
                <w:color w:val="auto"/>
              </w:rPr>
              <w:t>Accounts payable</w:t>
            </w:r>
          </w:p>
        </w:tc>
        <w:tc>
          <w:tcPr>
            <w:tcW w:w="560" w:type="dxa"/>
            <w:vAlign w:val="bottom"/>
          </w:tcPr>
          <w:p>
            <w:pPr>
              <w:spacing w:after="0"/>
              <w:rPr>
                <w:sz w:val="12"/>
                <w:szCs w:val="12"/>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2"/>
                <w:szCs w:val="12"/>
                <w:color w:val="auto"/>
              </w:rPr>
              <w:t>(882)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2"/>
                <w:szCs w:val="12"/>
                <w:color w:val="auto"/>
              </w:rPr>
              <w:t>Accrued other liabilities</w:t>
            </w:r>
          </w:p>
        </w:tc>
        <w:tc>
          <w:tcPr>
            <w:tcW w:w="5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(438)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120" w:type="dxa"/>
            <w:vAlign w:val="bottom"/>
          </w:tcPr>
          <w:p>
            <w:pPr>
              <w:spacing w:after="0"/>
              <w:rPr>
                <w:sz w:val="20"/>
                <w:szCs w:val="20"/>
                <w:color w:val="auto"/>
              </w:rPr>
            </w:pPr>
            <w:r>
              <w:rPr>
                <w:rFonts w:ascii="Arial" w:cs="Arial" w:eastAsia="Arial" w:hAnsi="Arial"/>
                <w:sz w:val="12"/>
                <w:szCs w:val="12"/>
                <w:color w:val="auto"/>
              </w:rPr>
              <w:t>Subordinated notes payable</w:t>
            </w:r>
          </w:p>
        </w:tc>
        <w:tc>
          <w:tcPr>
            <w:tcW w:w="560" w:type="dxa"/>
            <w:vAlign w:val="bottom"/>
          </w:tcPr>
          <w:p>
            <w:pPr>
              <w:spacing w:after="0"/>
              <w:rPr>
                <w:sz w:val="12"/>
                <w:szCs w:val="12"/>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2"/>
                <w:szCs w:val="12"/>
                <w:color w:val="auto"/>
              </w:rPr>
              <w:t>(1,614)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2"/>
                <w:szCs w:val="12"/>
                <w:color w:val="auto"/>
              </w:rPr>
              <w:t>Deferred revenue</w:t>
            </w:r>
          </w:p>
        </w:tc>
        <w:tc>
          <w:tcPr>
            <w:tcW w:w="5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(4,089)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12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7120" w:type="dxa"/>
            <w:vAlign w:val="bottom"/>
          </w:tcPr>
          <w:p>
            <w:pPr>
              <w:spacing w:after="0"/>
              <w:rPr>
                <w:sz w:val="20"/>
                <w:szCs w:val="20"/>
                <w:color w:val="auto"/>
              </w:rPr>
            </w:pPr>
            <w:r>
              <w:rPr>
                <w:rFonts w:ascii="Arial" w:cs="Arial" w:eastAsia="Arial" w:hAnsi="Arial"/>
                <w:sz w:val="12"/>
                <w:szCs w:val="12"/>
                <w:b w:val="1"/>
                <w:bCs w:val="1"/>
                <w:color w:val="auto"/>
              </w:rPr>
              <w:t>Total liabilities assumed</w:t>
            </w:r>
          </w:p>
        </w:tc>
        <w:tc>
          <w:tcPr>
            <w:tcW w:w="560" w:type="dxa"/>
            <w:vAlign w:val="bottom"/>
          </w:tcPr>
          <w:p>
            <w:pPr>
              <w:spacing w:after="0"/>
              <w:rPr>
                <w:sz w:val="12"/>
                <w:szCs w:val="12"/>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rPr>
              <w:t>(7,023)</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120" w:type="dxa"/>
            <w:vAlign w:val="bottom"/>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7120" w:type="dxa"/>
            <w:vAlign w:val="bottom"/>
          </w:tcPr>
          <w:p>
            <w:pPr>
              <w:spacing w:after="0"/>
              <w:rPr>
                <w:sz w:val="20"/>
                <w:szCs w:val="20"/>
                <w:color w:val="auto"/>
              </w:rPr>
            </w:pPr>
            <w:r>
              <w:rPr>
                <w:rFonts w:ascii="Arial" w:cs="Arial" w:eastAsia="Arial" w:hAnsi="Arial"/>
                <w:sz w:val="12"/>
                <w:szCs w:val="12"/>
                <w:b w:val="1"/>
                <w:bCs w:val="1"/>
                <w:color w:val="auto"/>
              </w:rPr>
              <w:t>Net assets acquired</w:t>
            </w:r>
          </w:p>
        </w:tc>
        <w:tc>
          <w:tcPr>
            <w:tcW w:w="56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12,951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ind w:left="640"/>
        <w:spacing w:after="0"/>
        <w:rPr>
          <w:sz w:val="20"/>
          <w:szCs w:val="20"/>
          <w:color w:val="auto"/>
        </w:rPr>
      </w:pPr>
      <w:r>
        <w:rPr>
          <w:rFonts w:ascii="Arial" w:cs="Arial" w:eastAsia="Arial" w:hAnsi="Arial"/>
          <w:sz w:val="12"/>
          <w:szCs w:val="12"/>
          <w:color w:val="auto"/>
        </w:rPr>
        <w:t>The Company recorded the transaction using the acquisition method of accounting and recognized assets and liabilities assumed at their fair value as of the date of acquisition.</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4400" w:type="dxa"/>
            <w:vAlign w:val="bottom"/>
            <w:gridSpan w:val="2"/>
          </w:tcPr>
          <w:p>
            <w:pPr>
              <w:ind w:left="1420"/>
              <w:spacing w:after="0"/>
              <w:rPr>
                <w:sz w:val="20"/>
                <w:szCs w:val="20"/>
                <w:color w:val="auto"/>
              </w:rPr>
            </w:pPr>
            <w:r>
              <w:rPr>
                <w:rFonts w:ascii="Arial" w:cs="Arial" w:eastAsia="Arial" w:hAnsi="Arial"/>
                <w:sz w:val="12"/>
                <w:szCs w:val="12"/>
                <w:b w:val="1"/>
                <w:bCs w:val="1"/>
                <w:color w:val="auto"/>
              </w:rPr>
              <w:t>Consideration paid:</w:t>
            </w:r>
          </w:p>
        </w:tc>
        <w:tc>
          <w:tcPr>
            <w:tcW w:w="4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144"/>
        </w:trPr>
        <w:tc>
          <w:tcPr>
            <w:tcW w:w="1440" w:type="dxa"/>
            <w:vAlign w:val="bottom"/>
          </w:tcPr>
          <w:p>
            <w:pPr>
              <w:spacing w:after="0"/>
              <w:rPr>
                <w:sz w:val="12"/>
                <w:szCs w:val="12"/>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2"/>
                <w:szCs w:val="12"/>
                <w:color w:val="auto"/>
              </w:rPr>
              <w:t>Cash per stock purchase agreement</w:t>
            </w:r>
          </w:p>
        </w:tc>
        <w:tc>
          <w:tcPr>
            <w:tcW w:w="4720" w:type="dxa"/>
            <w:vAlign w:val="bottom"/>
            <w:gridSpan w:val="2"/>
            <w:shd w:val="clear" w:color="auto" w:fill="CCEEFF"/>
          </w:tcPr>
          <w:p>
            <w:pPr>
              <w:jc w:val="right"/>
              <w:ind w:right="460"/>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10,000</w:t>
            </w:r>
          </w:p>
        </w:tc>
        <w:tc>
          <w:tcPr>
            <w:tcW w:w="120" w:type="dxa"/>
            <w:vAlign w:val="bottom"/>
            <w:shd w:val="clear" w:color="auto" w:fill="CCEEFF"/>
          </w:tcPr>
          <w:p>
            <w:pPr>
              <w:spacing w:after="0"/>
              <w:rPr>
                <w:sz w:val="12"/>
                <w:szCs w:val="12"/>
                <w:color w:val="auto"/>
              </w:rPr>
            </w:pPr>
          </w:p>
        </w:tc>
        <w:tc>
          <w:tcPr>
            <w:tcW w:w="1440" w:type="dxa"/>
            <w:vAlign w:val="bottom"/>
          </w:tcPr>
          <w:p>
            <w:pPr>
              <w:spacing w:after="0"/>
              <w:rPr>
                <w:sz w:val="12"/>
                <w:szCs w:val="12"/>
                <w:color w:val="auto"/>
              </w:rPr>
            </w:pPr>
          </w:p>
        </w:tc>
      </w:tr>
      <w:tr>
        <w:trPr>
          <w:trHeight w:val="144"/>
        </w:trPr>
        <w:tc>
          <w:tcPr>
            <w:tcW w:w="1440" w:type="dxa"/>
            <w:vAlign w:val="bottom"/>
          </w:tcPr>
          <w:p>
            <w:pPr>
              <w:spacing w:after="0"/>
              <w:rPr>
                <w:sz w:val="12"/>
                <w:szCs w:val="12"/>
                <w:color w:val="auto"/>
              </w:rPr>
            </w:pPr>
          </w:p>
        </w:tc>
        <w:tc>
          <w:tcPr>
            <w:tcW w:w="2960" w:type="dxa"/>
            <w:vAlign w:val="bottom"/>
          </w:tcPr>
          <w:p>
            <w:pPr>
              <w:spacing w:after="0"/>
              <w:rPr>
                <w:sz w:val="20"/>
                <w:szCs w:val="20"/>
                <w:color w:val="auto"/>
              </w:rPr>
            </w:pPr>
            <w:r>
              <w:rPr>
                <w:rFonts w:ascii="Arial" w:cs="Arial" w:eastAsia="Arial" w:hAnsi="Arial"/>
                <w:sz w:val="12"/>
                <w:szCs w:val="12"/>
                <w:color w:val="auto"/>
              </w:rPr>
              <w:t>Working capital adjustments</w:t>
            </w:r>
          </w:p>
        </w:tc>
        <w:tc>
          <w:tcPr>
            <w:tcW w:w="4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2"/>
                <w:szCs w:val="12"/>
                <w:color w:val="auto"/>
              </w:rPr>
              <w:t>(200)</w:t>
            </w:r>
          </w:p>
        </w:tc>
        <w:tc>
          <w:tcPr>
            <w:tcW w:w="1440" w:type="dxa"/>
            <w:vAlign w:val="bottom"/>
          </w:tcPr>
          <w:p>
            <w:pPr>
              <w:spacing w:after="0"/>
              <w:rPr>
                <w:sz w:val="12"/>
                <w:szCs w:val="12"/>
                <w:color w:val="auto"/>
              </w:rPr>
            </w:pPr>
          </w:p>
        </w:tc>
      </w:tr>
      <w:tr>
        <w:trPr>
          <w:trHeight w:val="142"/>
        </w:trPr>
        <w:tc>
          <w:tcPr>
            <w:tcW w:w="1440" w:type="dxa"/>
            <w:vAlign w:val="bottom"/>
          </w:tcPr>
          <w:p>
            <w:pPr>
              <w:spacing w:after="0"/>
              <w:rPr>
                <w:sz w:val="12"/>
                <w:szCs w:val="12"/>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2"/>
                <w:szCs w:val="12"/>
                <w:color w:val="auto"/>
              </w:rPr>
              <w:t>Total cash paid</w:t>
            </w:r>
          </w:p>
        </w:tc>
        <w:tc>
          <w:tcPr>
            <w:tcW w:w="4160" w:type="dxa"/>
            <w:vAlign w:val="bottom"/>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9,800</w:t>
            </w:r>
          </w:p>
        </w:tc>
        <w:tc>
          <w:tcPr>
            <w:tcW w:w="120" w:type="dxa"/>
            <w:vAlign w:val="bottom"/>
            <w:shd w:val="clear" w:color="auto" w:fill="CCEEFF"/>
          </w:tcPr>
          <w:p>
            <w:pPr>
              <w:spacing w:after="0"/>
              <w:rPr>
                <w:sz w:val="12"/>
                <w:szCs w:val="12"/>
                <w:color w:val="auto"/>
              </w:rPr>
            </w:pPr>
          </w:p>
        </w:tc>
        <w:tc>
          <w:tcPr>
            <w:tcW w:w="1440" w:type="dxa"/>
            <w:vAlign w:val="bottom"/>
          </w:tcPr>
          <w:p>
            <w:pPr>
              <w:spacing w:after="0"/>
              <w:rPr>
                <w:sz w:val="12"/>
                <w:szCs w:val="12"/>
                <w:color w:val="auto"/>
              </w:rPr>
            </w:pPr>
          </w:p>
        </w:tc>
      </w:tr>
      <w:tr>
        <w:trPr>
          <w:trHeight w:val="144"/>
        </w:trPr>
        <w:tc>
          <w:tcPr>
            <w:tcW w:w="1440" w:type="dxa"/>
            <w:vAlign w:val="bottom"/>
          </w:tcPr>
          <w:p>
            <w:pPr>
              <w:spacing w:after="0"/>
              <w:rPr>
                <w:sz w:val="12"/>
                <w:szCs w:val="12"/>
                <w:color w:val="auto"/>
              </w:rPr>
            </w:pPr>
          </w:p>
        </w:tc>
        <w:tc>
          <w:tcPr>
            <w:tcW w:w="2960" w:type="dxa"/>
            <w:vAlign w:val="bottom"/>
          </w:tcPr>
          <w:p>
            <w:pPr>
              <w:spacing w:after="0"/>
              <w:rPr>
                <w:sz w:val="20"/>
                <w:szCs w:val="20"/>
                <w:color w:val="auto"/>
              </w:rPr>
            </w:pPr>
            <w:r>
              <w:rPr>
                <w:rFonts w:ascii="Arial" w:cs="Arial" w:eastAsia="Arial" w:hAnsi="Arial"/>
                <w:sz w:val="12"/>
                <w:szCs w:val="12"/>
                <w:color w:val="auto"/>
              </w:rPr>
              <w:t>Fair value of note payable</w:t>
            </w:r>
          </w:p>
        </w:tc>
        <w:tc>
          <w:tcPr>
            <w:tcW w:w="4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2,404</w:t>
            </w:r>
          </w:p>
        </w:tc>
        <w:tc>
          <w:tcPr>
            <w:tcW w:w="120" w:type="dxa"/>
            <w:vAlign w:val="bottom"/>
          </w:tcPr>
          <w:p>
            <w:pPr>
              <w:spacing w:after="0"/>
              <w:rPr>
                <w:sz w:val="12"/>
                <w:szCs w:val="12"/>
                <w:color w:val="auto"/>
              </w:rPr>
            </w:pPr>
          </w:p>
        </w:tc>
        <w:tc>
          <w:tcPr>
            <w:tcW w:w="1440" w:type="dxa"/>
            <w:vAlign w:val="bottom"/>
          </w:tcPr>
          <w:p>
            <w:pPr>
              <w:spacing w:after="0"/>
              <w:rPr>
                <w:sz w:val="12"/>
                <w:szCs w:val="12"/>
                <w:color w:val="auto"/>
              </w:rPr>
            </w:pPr>
          </w:p>
        </w:tc>
      </w:tr>
      <w:tr>
        <w:trPr>
          <w:trHeight w:val="144"/>
        </w:trPr>
        <w:tc>
          <w:tcPr>
            <w:tcW w:w="1440" w:type="dxa"/>
            <w:vAlign w:val="bottom"/>
          </w:tcPr>
          <w:p>
            <w:pPr>
              <w:spacing w:after="0"/>
              <w:rPr>
                <w:sz w:val="12"/>
                <w:szCs w:val="12"/>
                <w:color w:val="auto"/>
              </w:rPr>
            </w:pPr>
          </w:p>
        </w:tc>
        <w:tc>
          <w:tcPr>
            <w:tcW w:w="2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Fair value of stock issued</w:t>
            </w:r>
          </w:p>
        </w:tc>
        <w:tc>
          <w:tcPr>
            <w:tcW w:w="416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747</w:t>
            </w:r>
          </w:p>
        </w:tc>
        <w:tc>
          <w:tcPr>
            <w:tcW w:w="120" w:type="dxa"/>
            <w:vAlign w:val="bottom"/>
            <w:tcBorders>
              <w:bottom w:val="single" w:sz="8" w:color="CCEEFF"/>
            </w:tcBorders>
            <w:shd w:val="clear" w:color="auto" w:fill="CCEEFF"/>
          </w:tcPr>
          <w:p>
            <w:pPr>
              <w:spacing w:after="0"/>
              <w:rPr>
                <w:sz w:val="12"/>
                <w:szCs w:val="12"/>
                <w:color w:val="auto"/>
              </w:rPr>
            </w:pPr>
          </w:p>
        </w:tc>
        <w:tc>
          <w:tcPr>
            <w:tcW w:w="1440" w:type="dxa"/>
            <w:vAlign w:val="bottom"/>
          </w:tcPr>
          <w:p>
            <w:pPr>
              <w:spacing w:after="0"/>
              <w:rPr>
                <w:sz w:val="12"/>
                <w:szCs w:val="12"/>
                <w:color w:val="auto"/>
              </w:rPr>
            </w:pPr>
          </w:p>
        </w:tc>
      </w:tr>
      <w:tr>
        <w:trPr>
          <w:trHeight w:val="142"/>
        </w:trPr>
        <w:tc>
          <w:tcPr>
            <w:tcW w:w="1440" w:type="dxa"/>
            <w:vAlign w:val="bottom"/>
          </w:tcPr>
          <w:p>
            <w:pPr>
              <w:spacing w:after="0"/>
              <w:rPr>
                <w:sz w:val="12"/>
                <w:szCs w:val="12"/>
                <w:color w:val="auto"/>
              </w:rPr>
            </w:pPr>
          </w:p>
        </w:tc>
        <w:tc>
          <w:tcPr>
            <w:tcW w:w="2960" w:type="dxa"/>
            <w:vAlign w:val="bottom"/>
          </w:tcPr>
          <w:p>
            <w:pPr>
              <w:spacing w:after="0"/>
              <w:rPr>
                <w:sz w:val="20"/>
                <w:szCs w:val="20"/>
                <w:color w:val="auto"/>
              </w:rPr>
            </w:pPr>
            <w:r>
              <w:rPr>
                <w:rFonts w:ascii="Arial" w:cs="Arial" w:eastAsia="Arial" w:hAnsi="Arial"/>
                <w:sz w:val="12"/>
                <w:szCs w:val="12"/>
                <w:b w:val="1"/>
                <w:bCs w:val="1"/>
                <w:color w:val="auto"/>
              </w:rPr>
              <w:t>Total consideration paid</w:t>
            </w:r>
          </w:p>
        </w:tc>
        <w:tc>
          <w:tcPr>
            <w:tcW w:w="416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12,951</w:t>
            </w:r>
          </w:p>
        </w:tc>
        <w:tc>
          <w:tcPr>
            <w:tcW w:w="120" w:type="dxa"/>
            <w:vAlign w:val="bottom"/>
          </w:tcPr>
          <w:p>
            <w:pPr>
              <w:spacing w:after="0"/>
              <w:rPr>
                <w:sz w:val="12"/>
                <w:szCs w:val="12"/>
                <w:color w:val="auto"/>
              </w:rPr>
            </w:pPr>
          </w:p>
        </w:tc>
        <w:tc>
          <w:tcPr>
            <w:tcW w:w="1440" w:type="dxa"/>
            <w:vAlign w:val="bottom"/>
          </w:tcPr>
          <w:p>
            <w:pPr>
              <w:spacing w:after="0"/>
              <w:rPr>
                <w:sz w:val="12"/>
                <w:szCs w:val="12"/>
                <w:color w:val="auto"/>
              </w:rPr>
            </w:pPr>
          </w:p>
        </w:tc>
      </w:tr>
      <w:tr>
        <w:trPr>
          <w:trHeight w:val="385"/>
        </w:trPr>
        <w:tc>
          <w:tcPr>
            <w:tcW w:w="14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4160" w:type="dxa"/>
            <w:vAlign w:val="bottom"/>
          </w:tcPr>
          <w:p>
            <w:pPr>
              <w:jc w:val="right"/>
              <w:ind w:right="2700"/>
              <w:spacing w:after="0"/>
              <w:rPr>
                <w:sz w:val="20"/>
                <w:szCs w:val="20"/>
                <w:color w:val="auto"/>
              </w:rPr>
            </w:pPr>
            <w:r>
              <w:rPr>
                <w:rFonts w:ascii="Arial" w:cs="Arial" w:eastAsia="Arial" w:hAnsi="Arial"/>
                <w:sz w:val="12"/>
                <w:szCs w:val="12"/>
                <w:color w:val="auto"/>
              </w:rPr>
              <w:t>17</w:t>
            </w: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76"/>
        </w:trPr>
        <w:tc>
          <w:tcPr>
            <w:tcW w:w="1440" w:type="dxa"/>
            <w:vAlign w:val="bottom"/>
            <w:tcBorders>
              <w:bottom w:val="single" w:sz="8" w:color="808080"/>
            </w:tcBorders>
          </w:tcPr>
          <w:p>
            <w:pPr>
              <w:spacing w:after="0"/>
              <w:rPr>
                <w:sz w:val="6"/>
                <w:szCs w:val="6"/>
                <w:color w:val="auto"/>
              </w:rPr>
            </w:pPr>
          </w:p>
        </w:tc>
        <w:tc>
          <w:tcPr>
            <w:tcW w:w="2960" w:type="dxa"/>
            <w:vAlign w:val="bottom"/>
            <w:tcBorders>
              <w:bottom w:val="single" w:sz="8" w:color="808080"/>
            </w:tcBorders>
          </w:tcPr>
          <w:p>
            <w:pPr>
              <w:spacing w:after="0"/>
              <w:rPr>
                <w:sz w:val="6"/>
                <w:szCs w:val="6"/>
                <w:color w:val="auto"/>
              </w:rPr>
            </w:pPr>
          </w:p>
        </w:tc>
        <w:tc>
          <w:tcPr>
            <w:tcW w:w="4160" w:type="dxa"/>
            <w:vAlign w:val="bottom"/>
            <w:tcBorders>
              <w:bottom w:val="single" w:sz="8" w:color="808080"/>
            </w:tcBorders>
          </w:tcPr>
          <w:p>
            <w:pPr>
              <w:spacing w:after="0"/>
              <w:rPr>
                <w:sz w:val="6"/>
                <w:szCs w:val="6"/>
                <w:color w:val="auto"/>
              </w:rPr>
            </w:pPr>
          </w:p>
        </w:tc>
        <w:tc>
          <w:tcPr>
            <w:tcW w:w="560" w:type="dxa"/>
            <w:vAlign w:val="bottom"/>
            <w:tcBorders>
              <w:bottom w:val="single" w:sz="8" w:color="808080"/>
            </w:tcBorders>
          </w:tcPr>
          <w:p>
            <w:pPr>
              <w:spacing w:after="0"/>
              <w:rPr>
                <w:sz w:val="6"/>
                <w:szCs w:val="6"/>
                <w:color w:val="auto"/>
              </w:rPr>
            </w:pPr>
          </w:p>
        </w:tc>
        <w:tc>
          <w:tcPr>
            <w:tcW w:w="80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1440" w:type="dxa"/>
            <w:vAlign w:val="bottom"/>
            <w:tcBorders>
              <w:bottom w:val="single" w:sz="8" w:color="808080"/>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17" w:name="page18"/>
    <w:bookmarkEnd w:id="17"/>
    <w:p>
      <w:pPr>
        <w:jc w:val="center"/>
        <w:ind w:right="60"/>
        <w:spacing w:after="0"/>
        <w:rPr>
          <w:sz w:val="20"/>
          <w:szCs w:val="20"/>
          <w:color w:val="auto"/>
        </w:rPr>
      </w:pPr>
      <w:r>
        <w:rPr>
          <w:rFonts w:ascii="Arial" w:cs="Arial" w:eastAsia="Arial" w:hAnsi="Arial"/>
          <w:sz w:val="12"/>
          <w:szCs w:val="12"/>
          <w:b w:val="1"/>
          <w:bCs w:val="1"/>
          <w:color w:val="auto"/>
        </w:rPr>
        <w:t>ASURE SOFTWARE, INC.</w:t>
      </w:r>
    </w:p>
    <w:p>
      <w:pPr>
        <w:spacing w:after="0" w:line="19" w:lineRule="exact"/>
        <w:rPr>
          <w:sz w:val="20"/>
          <w:szCs w:val="20"/>
          <w:color w:val="auto"/>
        </w:rPr>
      </w:pPr>
    </w:p>
    <w:p>
      <w:pPr>
        <w:ind w:left="4020"/>
        <w:spacing w:after="0"/>
        <w:rPr>
          <w:sz w:val="20"/>
          <w:szCs w:val="20"/>
          <w:color w:val="auto"/>
        </w:rPr>
      </w:pPr>
      <w:r>
        <w:rPr>
          <w:rFonts w:ascii="Arial" w:cs="Arial" w:eastAsia="Arial" w:hAnsi="Arial"/>
          <w:sz w:val="12"/>
          <w:szCs w:val="12"/>
          <w:b w:val="1"/>
          <w:bCs w:val="1"/>
          <w:color w:val="auto"/>
        </w:rPr>
        <w:t>NOTES TO THE CONSOLIDATED FINANCIAL STATEMENTS</w:t>
      </w:r>
    </w:p>
    <w:p>
      <w:pPr>
        <w:spacing w:after="0" w:line="6" w:lineRule="exact"/>
        <w:rPr>
          <w:sz w:val="20"/>
          <w:szCs w:val="20"/>
          <w:color w:val="auto"/>
        </w:rPr>
      </w:pPr>
    </w:p>
    <w:p>
      <w:pPr>
        <w:ind w:left="4060"/>
        <w:spacing w:after="0"/>
        <w:rPr>
          <w:sz w:val="20"/>
          <w:szCs w:val="20"/>
          <w:color w:val="auto"/>
        </w:rPr>
      </w:pPr>
      <w:r>
        <w:rPr>
          <w:rFonts w:ascii="Arial" w:cs="Arial" w:eastAsia="Arial" w:hAnsi="Arial"/>
          <w:sz w:val="12"/>
          <w:szCs w:val="12"/>
          <w:b w:val="1"/>
          <w:bCs w:val="1"/>
          <w:color w:val="auto"/>
        </w:rPr>
        <w:t>(Amounts in thousands, except per share data or otherwise noted)</w:t>
      </w:r>
    </w:p>
    <w:p>
      <w:pPr>
        <w:spacing w:after="0" w:line="322" w:lineRule="exact"/>
        <w:rPr>
          <w:sz w:val="20"/>
          <w:szCs w:val="20"/>
          <w:color w:val="auto"/>
        </w:rPr>
      </w:pPr>
    </w:p>
    <w:p>
      <w:pPr>
        <w:jc w:val="both"/>
        <w:ind w:right="80" w:firstLine="649"/>
        <w:spacing w:after="0" w:line="298" w:lineRule="auto"/>
        <w:rPr>
          <w:sz w:val="20"/>
          <w:szCs w:val="20"/>
          <w:color w:val="auto"/>
        </w:rPr>
      </w:pPr>
      <w:r>
        <w:rPr>
          <w:rFonts w:ascii="Arial" w:cs="Arial" w:eastAsia="Arial" w:hAnsi="Arial"/>
          <w:sz w:val="11"/>
          <w:szCs w:val="11"/>
          <w:color w:val="auto"/>
        </w:rPr>
        <w:t>The following schedule presents unaudited consolidated pro forma results of operations as if the PeopleCube, ADI Time and Legiant acquisitions had occurred on January 1, 2011. This information does not purport to be indicative of the actual results that would have occurred if the acquisitions had actually been completed January 1, 2011, nor is it necessarily indicative of the future operating results or the financial position of the combined company. The unaudited pro forma results of operations do not reflect the cost of any integration activities or benefits that may result from synergies that may be derived from any integration activities.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82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2"/>
                <w:szCs w:val="12"/>
                <w:b w:val="1"/>
                <w:bCs w:val="1"/>
                <w:color w:val="auto"/>
              </w:rPr>
              <w:t>Three Months Ended September 30,</w:t>
            </w:r>
          </w:p>
        </w:tc>
        <w:tc>
          <w:tcPr>
            <w:tcW w:w="960" w:type="dxa"/>
            <w:vAlign w:val="bottom"/>
            <w:tcBorders>
              <w:bottom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82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2"/>
                <w:szCs w:val="12"/>
                <w:b w:val="1"/>
                <w:bCs w:val="1"/>
                <w:color w:val="auto"/>
              </w:rPr>
              <w:t>Nine Months Ended September 30,</w:t>
            </w:r>
          </w:p>
        </w:tc>
        <w:tc>
          <w:tcPr>
            <w:tcW w:w="980" w:type="dxa"/>
            <w:vAlign w:val="bottom"/>
            <w:tcBorders>
              <w:bottom w:val="single" w:sz="8" w:color="auto"/>
            </w:tcBorders>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520"/>
              <w:spacing w:after="0"/>
              <w:rPr>
                <w:sz w:val="20"/>
                <w:szCs w:val="20"/>
                <w:color w:val="auto"/>
              </w:rPr>
            </w:pPr>
            <w:r>
              <w:rPr>
                <w:rFonts w:ascii="Arial" w:cs="Arial" w:eastAsia="Arial" w:hAnsi="Arial"/>
                <w:sz w:val="12"/>
                <w:szCs w:val="12"/>
                <w:b w:val="1"/>
                <w:bCs w:val="1"/>
                <w:color w:val="auto"/>
              </w:rPr>
              <w:t>2012</w:t>
            </w: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500"/>
              <w:spacing w:after="0"/>
              <w:rPr>
                <w:sz w:val="20"/>
                <w:szCs w:val="20"/>
                <w:color w:val="auto"/>
              </w:rPr>
            </w:pPr>
            <w:r>
              <w:rPr>
                <w:rFonts w:ascii="Arial" w:cs="Arial" w:eastAsia="Arial" w:hAnsi="Arial"/>
                <w:sz w:val="12"/>
                <w:szCs w:val="12"/>
                <w:b w:val="1"/>
                <w:bCs w:val="1"/>
                <w:color w:val="auto"/>
              </w:rPr>
              <w:t>2011</w:t>
            </w:r>
          </w:p>
        </w:tc>
        <w:tc>
          <w:tcPr>
            <w:tcW w:w="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500"/>
              <w:spacing w:after="0"/>
              <w:rPr>
                <w:sz w:val="20"/>
                <w:szCs w:val="20"/>
                <w:color w:val="auto"/>
              </w:rPr>
            </w:pPr>
            <w:r>
              <w:rPr>
                <w:rFonts w:ascii="Arial" w:cs="Arial" w:eastAsia="Arial" w:hAnsi="Arial"/>
                <w:sz w:val="12"/>
                <w:szCs w:val="12"/>
                <w:b w:val="1"/>
                <w:bCs w:val="1"/>
                <w:color w:val="auto"/>
              </w:rPr>
              <w:t>2012</w:t>
            </w: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520"/>
              <w:spacing w:after="0"/>
              <w:rPr>
                <w:sz w:val="20"/>
                <w:szCs w:val="20"/>
                <w:color w:val="auto"/>
              </w:rPr>
            </w:pPr>
            <w:r>
              <w:rPr>
                <w:rFonts w:ascii="Arial" w:cs="Arial" w:eastAsia="Arial" w:hAnsi="Arial"/>
                <w:sz w:val="12"/>
                <w:szCs w:val="12"/>
                <w:b w:val="1"/>
                <w:bCs w:val="1"/>
                <w:color w:val="auto"/>
              </w:rPr>
              <w:t>2011</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1360" w:type="dxa"/>
            <w:vAlign w:val="bottom"/>
            <w:gridSpan w:val="2"/>
          </w:tcPr>
          <w:p>
            <w:pPr>
              <w:spacing w:after="0" w:line="133" w:lineRule="exact"/>
              <w:rPr>
                <w:sz w:val="20"/>
                <w:szCs w:val="20"/>
                <w:color w:val="auto"/>
              </w:rPr>
            </w:pPr>
            <w:r>
              <w:rPr>
                <w:rFonts w:ascii="Arial" w:cs="Arial" w:eastAsia="Arial" w:hAnsi="Arial"/>
                <w:sz w:val="12"/>
                <w:szCs w:val="12"/>
                <w:i w:val="1"/>
                <w:iCs w:val="1"/>
                <w:color w:val="auto"/>
              </w:rPr>
              <w:t>Amounts in</w:t>
            </w:r>
          </w:p>
        </w:tc>
        <w:tc>
          <w:tcPr>
            <w:tcW w:w="3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360" w:type="dxa"/>
            <w:vAlign w:val="bottom"/>
            <w:gridSpan w:val="2"/>
          </w:tcPr>
          <w:p>
            <w:pPr>
              <w:spacing w:after="0"/>
              <w:rPr>
                <w:sz w:val="20"/>
                <w:szCs w:val="20"/>
                <w:color w:val="auto"/>
              </w:rPr>
            </w:pPr>
            <w:r>
              <w:rPr>
                <w:rFonts w:ascii="Arial" w:cs="Arial" w:eastAsia="Arial" w:hAnsi="Arial"/>
                <w:sz w:val="12"/>
                <w:szCs w:val="12"/>
                <w:i w:val="1"/>
                <w:iCs w:val="1"/>
                <w:color w:val="auto"/>
              </w:rPr>
              <w:t>thousands,</w:t>
            </w: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360" w:type="dxa"/>
            <w:vAlign w:val="bottom"/>
            <w:gridSpan w:val="2"/>
          </w:tcPr>
          <w:p>
            <w:pPr>
              <w:spacing w:after="0"/>
              <w:rPr>
                <w:sz w:val="20"/>
                <w:szCs w:val="20"/>
                <w:color w:val="auto"/>
              </w:rPr>
            </w:pPr>
            <w:r>
              <w:rPr>
                <w:rFonts w:ascii="Arial" w:cs="Arial" w:eastAsia="Arial" w:hAnsi="Arial"/>
                <w:sz w:val="12"/>
                <w:szCs w:val="12"/>
                <w:i w:val="1"/>
                <w:iCs w:val="1"/>
                <w:color w:val="auto"/>
              </w:rPr>
              <w:t>except per</w:t>
            </w: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360" w:type="dxa"/>
            <w:vAlign w:val="bottom"/>
            <w:gridSpan w:val="2"/>
          </w:tcPr>
          <w:p>
            <w:pPr>
              <w:spacing w:after="0"/>
              <w:rPr>
                <w:sz w:val="20"/>
                <w:szCs w:val="20"/>
                <w:color w:val="auto"/>
              </w:rPr>
            </w:pPr>
            <w:r>
              <w:rPr>
                <w:rFonts w:ascii="Arial" w:cs="Arial" w:eastAsia="Arial" w:hAnsi="Arial"/>
                <w:sz w:val="12"/>
                <w:szCs w:val="12"/>
                <w:i w:val="1"/>
                <w:iCs w:val="1"/>
                <w:color w:val="auto"/>
              </w:rPr>
              <w:t>share data</w:t>
            </w: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2"/>
                <w:szCs w:val="12"/>
                <w:color w:val="auto"/>
              </w:rPr>
              <w:t>Revenue</w:t>
            </w:r>
          </w:p>
        </w:tc>
        <w:tc>
          <w:tcPr>
            <w:tcW w:w="320" w:type="dxa"/>
            <w:vAlign w:val="bottom"/>
            <w:shd w:val="clear" w:color="auto" w:fill="CCEEFF"/>
          </w:tcPr>
          <w:p>
            <w:pPr>
              <w:jc w:val="right"/>
              <w:ind w:right="210"/>
              <w:spacing w:after="0"/>
              <w:rPr>
                <w:sz w:val="20"/>
                <w:szCs w:val="20"/>
                <w:color w:val="auto"/>
              </w:rPr>
            </w:pPr>
            <w:r>
              <w:rPr>
                <w:rFonts w:ascii="Arial" w:cs="Arial" w:eastAsia="Arial" w:hAnsi="Arial"/>
                <w:sz w:val="10"/>
                <w:szCs w:val="10"/>
                <w:color w:val="auto"/>
                <w:w w:val="71"/>
              </w:rPr>
              <w:t>$</w:t>
            </w:r>
          </w:p>
        </w:tc>
        <w:tc>
          <w:tcPr>
            <w:tcW w:w="1760" w:type="dxa"/>
            <w:vAlign w:val="bottom"/>
            <w:gridSpan w:val="2"/>
            <w:shd w:val="clear" w:color="auto" w:fill="CCEEFF"/>
          </w:tcPr>
          <w:p>
            <w:pPr>
              <w:jc w:val="right"/>
              <w:ind w:right="700"/>
              <w:spacing w:after="0"/>
              <w:rPr>
                <w:sz w:val="20"/>
                <w:szCs w:val="20"/>
                <w:color w:val="auto"/>
              </w:rPr>
            </w:pPr>
            <w:r>
              <w:rPr>
                <w:rFonts w:ascii="Arial" w:cs="Arial" w:eastAsia="Arial" w:hAnsi="Arial"/>
                <w:sz w:val="12"/>
                <w:szCs w:val="12"/>
                <w:color w:val="auto"/>
              </w:rPr>
              <w:t>5,659</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w:t>
            </w: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6,584</w:t>
            </w:r>
          </w:p>
        </w:tc>
        <w:tc>
          <w:tcPr>
            <w:tcW w:w="104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210"/>
              <w:spacing w:after="0"/>
              <w:rPr>
                <w:sz w:val="20"/>
                <w:szCs w:val="20"/>
                <w:color w:val="auto"/>
              </w:rPr>
            </w:pPr>
            <w:r>
              <w:rPr>
                <w:rFonts w:ascii="Arial" w:cs="Arial" w:eastAsia="Arial" w:hAnsi="Arial"/>
                <w:sz w:val="10"/>
                <w:szCs w:val="10"/>
                <w:color w:val="auto"/>
                <w:w w:val="71"/>
              </w:rPr>
              <w:t>$</w:t>
            </w:r>
          </w:p>
        </w:tc>
        <w:tc>
          <w:tcPr>
            <w:tcW w:w="1760" w:type="dxa"/>
            <w:vAlign w:val="bottom"/>
            <w:gridSpan w:val="2"/>
            <w:shd w:val="clear" w:color="auto" w:fill="CCEEFF"/>
          </w:tcPr>
          <w:p>
            <w:pPr>
              <w:jc w:val="right"/>
              <w:ind w:right="700"/>
              <w:spacing w:after="0"/>
              <w:rPr>
                <w:sz w:val="20"/>
                <w:szCs w:val="20"/>
                <w:color w:val="auto"/>
              </w:rPr>
            </w:pPr>
            <w:r>
              <w:rPr>
                <w:rFonts w:ascii="Arial" w:cs="Arial" w:eastAsia="Arial" w:hAnsi="Arial"/>
                <w:sz w:val="12"/>
                <w:szCs w:val="12"/>
                <w:color w:val="auto"/>
              </w:rPr>
              <w:t>18,907</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w:t>
            </w:r>
          </w:p>
        </w:tc>
        <w:tc>
          <w:tcPr>
            <w:tcW w:w="1560" w:type="dxa"/>
            <w:vAlign w:val="bottom"/>
            <w:gridSpan w:val="2"/>
            <w:shd w:val="clear" w:color="auto" w:fill="CCEEFF"/>
          </w:tcPr>
          <w:p>
            <w:pPr>
              <w:jc w:val="right"/>
              <w:ind w:right="580"/>
              <w:spacing w:after="0"/>
              <w:rPr>
                <w:sz w:val="20"/>
                <w:szCs w:val="20"/>
                <w:color w:val="auto"/>
              </w:rPr>
            </w:pPr>
            <w:r>
              <w:rPr>
                <w:rFonts w:ascii="Arial" w:cs="Arial" w:eastAsia="Arial" w:hAnsi="Arial"/>
                <w:sz w:val="12"/>
                <w:szCs w:val="12"/>
                <w:color w:val="auto"/>
              </w:rPr>
              <w:t>19,538</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1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2"/>
                <w:szCs w:val="12"/>
                <w:color w:val="auto"/>
              </w:rPr>
              <w:t>Net loss</w:t>
            </w:r>
          </w:p>
        </w:tc>
        <w:tc>
          <w:tcPr>
            <w:tcW w:w="320" w:type="dxa"/>
            <w:vAlign w:val="bottom"/>
            <w:shd w:val="clear" w:color="auto" w:fill="CCEEFF"/>
          </w:tcPr>
          <w:p>
            <w:pPr>
              <w:jc w:val="right"/>
              <w:ind w:right="210"/>
              <w:spacing w:after="0"/>
              <w:rPr>
                <w:sz w:val="20"/>
                <w:szCs w:val="20"/>
                <w:color w:val="auto"/>
              </w:rPr>
            </w:pPr>
            <w:r>
              <w:rPr>
                <w:rFonts w:ascii="Arial" w:cs="Arial" w:eastAsia="Arial" w:hAnsi="Arial"/>
                <w:sz w:val="10"/>
                <w:szCs w:val="10"/>
                <w:color w:val="auto"/>
                <w:w w:val="71"/>
              </w:rPr>
              <w:t>$</w:t>
            </w:r>
          </w:p>
        </w:tc>
        <w:tc>
          <w:tcPr>
            <w:tcW w:w="1760" w:type="dxa"/>
            <w:vAlign w:val="bottom"/>
            <w:gridSpan w:val="2"/>
            <w:shd w:val="clear" w:color="auto" w:fill="CCEEFF"/>
          </w:tcPr>
          <w:p>
            <w:pPr>
              <w:jc w:val="right"/>
              <w:ind w:right="660"/>
              <w:spacing w:after="0"/>
              <w:rPr>
                <w:sz w:val="20"/>
                <w:szCs w:val="20"/>
                <w:color w:val="auto"/>
              </w:rPr>
            </w:pPr>
            <w:r>
              <w:rPr>
                <w:rFonts w:ascii="Arial" w:cs="Arial" w:eastAsia="Arial" w:hAnsi="Arial"/>
                <w:sz w:val="12"/>
                <w:szCs w:val="12"/>
                <w:color w:val="auto"/>
              </w:rPr>
              <w:t>(1,228)</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w:t>
            </w: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(1,499</w:t>
            </w:r>
          </w:p>
        </w:tc>
        <w:tc>
          <w:tcPr>
            <w:tcW w:w="1040" w:type="dxa"/>
            <w:vAlign w:val="bottom"/>
            <w:shd w:val="clear" w:color="auto" w:fill="CCEEFF"/>
          </w:tcPr>
          <w:p>
            <w:pPr>
              <w:jc w:val="right"/>
              <w:ind w:right="62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jc w:val="right"/>
              <w:ind w:right="210"/>
              <w:spacing w:after="0"/>
              <w:rPr>
                <w:sz w:val="20"/>
                <w:szCs w:val="20"/>
                <w:color w:val="auto"/>
              </w:rPr>
            </w:pPr>
            <w:r>
              <w:rPr>
                <w:rFonts w:ascii="Arial" w:cs="Arial" w:eastAsia="Arial" w:hAnsi="Arial"/>
                <w:sz w:val="10"/>
                <w:szCs w:val="10"/>
                <w:color w:val="auto"/>
                <w:w w:val="71"/>
              </w:rPr>
              <w:t>$</w:t>
            </w:r>
          </w:p>
        </w:tc>
        <w:tc>
          <w:tcPr>
            <w:tcW w:w="1760" w:type="dxa"/>
            <w:vAlign w:val="bottom"/>
            <w:gridSpan w:val="2"/>
            <w:shd w:val="clear" w:color="auto" w:fill="CCEEFF"/>
          </w:tcPr>
          <w:p>
            <w:pPr>
              <w:jc w:val="right"/>
              <w:ind w:right="660"/>
              <w:spacing w:after="0"/>
              <w:rPr>
                <w:sz w:val="20"/>
                <w:szCs w:val="20"/>
                <w:color w:val="auto"/>
              </w:rPr>
            </w:pPr>
            <w:r>
              <w:rPr>
                <w:rFonts w:ascii="Arial" w:cs="Arial" w:eastAsia="Arial" w:hAnsi="Arial"/>
                <w:sz w:val="12"/>
                <w:szCs w:val="12"/>
                <w:color w:val="auto"/>
              </w:rPr>
              <w:t>(4,355)</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w:t>
            </w:r>
          </w:p>
        </w:tc>
        <w:tc>
          <w:tcPr>
            <w:tcW w:w="1560" w:type="dxa"/>
            <w:vAlign w:val="bottom"/>
            <w:gridSpan w:val="2"/>
            <w:shd w:val="clear" w:color="auto" w:fill="CCEEFF"/>
          </w:tcPr>
          <w:p>
            <w:pPr>
              <w:jc w:val="right"/>
              <w:ind w:right="580"/>
              <w:spacing w:after="0"/>
              <w:rPr>
                <w:sz w:val="20"/>
                <w:szCs w:val="20"/>
                <w:color w:val="auto"/>
              </w:rPr>
            </w:pPr>
            <w:r>
              <w:rPr>
                <w:rFonts w:ascii="Arial" w:cs="Arial" w:eastAsia="Arial" w:hAnsi="Arial"/>
                <w:sz w:val="12"/>
                <w:szCs w:val="12"/>
                <w:color w:val="auto"/>
              </w:rPr>
              <w:t>(4,587</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1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3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Net loss per</w:t>
            </w:r>
          </w:p>
        </w:tc>
        <w:tc>
          <w:tcPr>
            <w:tcW w:w="3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2"/>
                <w:szCs w:val="12"/>
                <w:color w:val="auto"/>
              </w:rPr>
              <w:t>share:</w:t>
            </w:r>
          </w:p>
        </w:tc>
        <w:tc>
          <w:tcPr>
            <w:tcW w:w="3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Basic</w:t>
            </w:r>
          </w:p>
        </w:tc>
        <w:tc>
          <w:tcPr>
            <w:tcW w:w="320" w:type="dxa"/>
            <w:vAlign w:val="bottom"/>
          </w:tcPr>
          <w:p>
            <w:pPr>
              <w:jc w:val="right"/>
              <w:ind w:right="210"/>
              <w:spacing w:after="0"/>
              <w:rPr>
                <w:sz w:val="20"/>
                <w:szCs w:val="20"/>
                <w:color w:val="auto"/>
              </w:rPr>
            </w:pPr>
            <w:r>
              <w:rPr>
                <w:rFonts w:ascii="Arial" w:cs="Arial" w:eastAsia="Arial" w:hAnsi="Arial"/>
                <w:sz w:val="10"/>
                <w:szCs w:val="10"/>
                <w:color w:val="auto"/>
                <w:w w:val="71"/>
              </w:rPr>
              <w:t>$</w:t>
            </w:r>
          </w:p>
        </w:tc>
        <w:tc>
          <w:tcPr>
            <w:tcW w:w="1760" w:type="dxa"/>
            <w:vAlign w:val="bottom"/>
            <w:gridSpan w:val="2"/>
          </w:tcPr>
          <w:p>
            <w:pPr>
              <w:jc w:val="right"/>
              <w:ind w:right="660"/>
              <w:spacing w:after="0"/>
              <w:rPr>
                <w:sz w:val="20"/>
                <w:szCs w:val="20"/>
                <w:color w:val="auto"/>
              </w:rPr>
            </w:pPr>
            <w:r>
              <w:rPr>
                <w:rFonts w:ascii="Arial" w:cs="Arial" w:eastAsia="Arial" w:hAnsi="Arial"/>
                <w:sz w:val="12"/>
                <w:szCs w:val="12"/>
                <w:color w:val="auto"/>
              </w:rPr>
              <w:t>(0.23)</w:t>
            </w:r>
          </w:p>
        </w:tc>
        <w:tc>
          <w:tcPr>
            <w:tcW w:w="1060" w:type="dxa"/>
            <w:vAlign w:val="bottom"/>
            <w:gridSpan w:val="2"/>
          </w:tcPr>
          <w:p>
            <w:pPr>
              <w:jc w:val="right"/>
              <w:ind w:right="340"/>
              <w:spacing w:after="0"/>
              <w:rPr>
                <w:sz w:val="20"/>
                <w:szCs w:val="20"/>
                <w:color w:val="auto"/>
              </w:rPr>
            </w:pPr>
            <w:r>
              <w:rPr>
                <w:rFonts w:ascii="Arial" w:cs="Arial" w:eastAsia="Arial" w:hAnsi="Arial"/>
                <w:sz w:val="12"/>
                <w:szCs w:val="12"/>
                <w:color w:val="auto"/>
              </w:rPr>
              <w:t>$</w:t>
            </w:r>
          </w:p>
        </w:tc>
        <w:tc>
          <w:tcPr>
            <w:tcW w:w="1300" w:type="dxa"/>
            <w:vAlign w:val="bottom"/>
            <w:gridSpan w:val="2"/>
          </w:tcPr>
          <w:p>
            <w:pPr>
              <w:jc w:val="right"/>
              <w:ind w:right="340"/>
              <w:spacing w:after="0"/>
              <w:rPr>
                <w:sz w:val="20"/>
                <w:szCs w:val="20"/>
                <w:color w:val="auto"/>
              </w:rPr>
            </w:pPr>
            <w:r>
              <w:rPr>
                <w:rFonts w:ascii="Arial" w:cs="Arial" w:eastAsia="Arial" w:hAnsi="Arial"/>
                <w:sz w:val="12"/>
                <w:szCs w:val="12"/>
                <w:color w:val="auto"/>
              </w:rPr>
              <w:t>(0.31</w:t>
            </w:r>
          </w:p>
        </w:tc>
        <w:tc>
          <w:tcPr>
            <w:tcW w:w="1040" w:type="dxa"/>
            <w:vAlign w:val="bottom"/>
          </w:tcPr>
          <w:p>
            <w:pPr>
              <w:jc w:val="right"/>
              <w:ind w:right="620"/>
              <w:spacing w:after="0"/>
              <w:rPr>
                <w:sz w:val="20"/>
                <w:szCs w:val="20"/>
                <w:color w:val="auto"/>
              </w:rPr>
            </w:pPr>
            <w:r>
              <w:rPr>
                <w:rFonts w:ascii="Arial" w:cs="Arial" w:eastAsia="Arial" w:hAnsi="Arial"/>
                <w:sz w:val="12"/>
                <w:szCs w:val="12"/>
                <w:color w:val="auto"/>
              </w:rPr>
              <w:t>)</w:t>
            </w:r>
          </w:p>
        </w:tc>
        <w:tc>
          <w:tcPr>
            <w:tcW w:w="320" w:type="dxa"/>
            <w:vAlign w:val="bottom"/>
          </w:tcPr>
          <w:p>
            <w:pPr>
              <w:jc w:val="right"/>
              <w:ind w:right="210"/>
              <w:spacing w:after="0"/>
              <w:rPr>
                <w:sz w:val="20"/>
                <w:szCs w:val="20"/>
                <w:color w:val="auto"/>
              </w:rPr>
            </w:pPr>
            <w:r>
              <w:rPr>
                <w:rFonts w:ascii="Arial" w:cs="Arial" w:eastAsia="Arial" w:hAnsi="Arial"/>
                <w:sz w:val="10"/>
                <w:szCs w:val="10"/>
                <w:color w:val="auto"/>
                <w:w w:val="71"/>
              </w:rPr>
              <w:t>$</w:t>
            </w:r>
          </w:p>
        </w:tc>
        <w:tc>
          <w:tcPr>
            <w:tcW w:w="1760" w:type="dxa"/>
            <w:vAlign w:val="bottom"/>
            <w:gridSpan w:val="2"/>
          </w:tcPr>
          <w:p>
            <w:pPr>
              <w:jc w:val="right"/>
              <w:ind w:right="660"/>
              <w:spacing w:after="0"/>
              <w:rPr>
                <w:sz w:val="20"/>
                <w:szCs w:val="20"/>
                <w:color w:val="auto"/>
              </w:rPr>
            </w:pPr>
            <w:r>
              <w:rPr>
                <w:rFonts w:ascii="Arial" w:cs="Arial" w:eastAsia="Arial" w:hAnsi="Arial"/>
                <w:sz w:val="12"/>
                <w:szCs w:val="12"/>
                <w:color w:val="auto"/>
              </w:rPr>
              <w:t>(0.85)</w:t>
            </w:r>
          </w:p>
        </w:tc>
        <w:tc>
          <w:tcPr>
            <w:tcW w:w="1060" w:type="dxa"/>
            <w:vAlign w:val="bottom"/>
            <w:gridSpan w:val="2"/>
          </w:tcPr>
          <w:p>
            <w:pPr>
              <w:jc w:val="right"/>
              <w:ind w:right="340"/>
              <w:spacing w:after="0"/>
              <w:rPr>
                <w:sz w:val="20"/>
                <w:szCs w:val="20"/>
                <w:color w:val="auto"/>
              </w:rPr>
            </w:pPr>
            <w:r>
              <w:rPr>
                <w:rFonts w:ascii="Arial" w:cs="Arial" w:eastAsia="Arial" w:hAnsi="Arial"/>
                <w:sz w:val="12"/>
                <w:szCs w:val="12"/>
                <w:color w:val="auto"/>
              </w:rPr>
              <w:t>$</w:t>
            </w:r>
          </w:p>
        </w:tc>
        <w:tc>
          <w:tcPr>
            <w:tcW w:w="1560" w:type="dxa"/>
            <w:vAlign w:val="bottom"/>
            <w:gridSpan w:val="2"/>
          </w:tcPr>
          <w:p>
            <w:pPr>
              <w:jc w:val="right"/>
              <w:ind w:right="580"/>
              <w:spacing w:after="0"/>
              <w:rPr>
                <w:sz w:val="20"/>
                <w:szCs w:val="20"/>
                <w:color w:val="auto"/>
              </w:rPr>
            </w:pPr>
            <w:r>
              <w:rPr>
                <w:rFonts w:ascii="Arial" w:cs="Arial" w:eastAsia="Arial" w:hAnsi="Arial"/>
                <w:sz w:val="12"/>
                <w:szCs w:val="12"/>
                <w:color w:val="auto"/>
              </w:rPr>
              <w:t>(0.94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2"/>
                <w:szCs w:val="12"/>
                <w:color w:val="auto"/>
              </w:rPr>
              <w:t>Diluted</w:t>
            </w:r>
          </w:p>
        </w:tc>
        <w:tc>
          <w:tcPr>
            <w:tcW w:w="320" w:type="dxa"/>
            <w:vAlign w:val="bottom"/>
            <w:shd w:val="clear" w:color="auto" w:fill="CCEEFF"/>
          </w:tcPr>
          <w:p>
            <w:pPr>
              <w:jc w:val="right"/>
              <w:ind w:right="210"/>
              <w:spacing w:after="0"/>
              <w:rPr>
                <w:sz w:val="20"/>
                <w:szCs w:val="20"/>
                <w:color w:val="auto"/>
              </w:rPr>
            </w:pPr>
            <w:r>
              <w:rPr>
                <w:rFonts w:ascii="Arial" w:cs="Arial" w:eastAsia="Arial" w:hAnsi="Arial"/>
                <w:sz w:val="10"/>
                <w:szCs w:val="10"/>
                <w:color w:val="auto"/>
                <w:w w:val="71"/>
              </w:rPr>
              <w:t>$</w:t>
            </w:r>
          </w:p>
        </w:tc>
        <w:tc>
          <w:tcPr>
            <w:tcW w:w="1760" w:type="dxa"/>
            <w:vAlign w:val="bottom"/>
            <w:gridSpan w:val="2"/>
            <w:shd w:val="clear" w:color="auto" w:fill="CCEEFF"/>
          </w:tcPr>
          <w:p>
            <w:pPr>
              <w:jc w:val="right"/>
              <w:ind w:right="660"/>
              <w:spacing w:after="0"/>
              <w:rPr>
                <w:sz w:val="20"/>
                <w:szCs w:val="20"/>
                <w:color w:val="auto"/>
              </w:rPr>
            </w:pPr>
            <w:r>
              <w:rPr>
                <w:rFonts w:ascii="Arial" w:cs="Arial" w:eastAsia="Arial" w:hAnsi="Arial"/>
                <w:sz w:val="12"/>
                <w:szCs w:val="12"/>
                <w:color w:val="auto"/>
              </w:rPr>
              <w:t>(0.23)</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w:t>
            </w: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(0.31</w:t>
            </w:r>
          </w:p>
        </w:tc>
        <w:tc>
          <w:tcPr>
            <w:tcW w:w="1040" w:type="dxa"/>
            <w:vAlign w:val="bottom"/>
            <w:shd w:val="clear" w:color="auto" w:fill="CCEEFF"/>
          </w:tcPr>
          <w:p>
            <w:pPr>
              <w:jc w:val="right"/>
              <w:ind w:right="62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jc w:val="right"/>
              <w:ind w:right="210"/>
              <w:spacing w:after="0"/>
              <w:rPr>
                <w:sz w:val="20"/>
                <w:szCs w:val="20"/>
                <w:color w:val="auto"/>
              </w:rPr>
            </w:pPr>
            <w:r>
              <w:rPr>
                <w:rFonts w:ascii="Arial" w:cs="Arial" w:eastAsia="Arial" w:hAnsi="Arial"/>
                <w:sz w:val="10"/>
                <w:szCs w:val="10"/>
                <w:color w:val="auto"/>
                <w:w w:val="71"/>
              </w:rPr>
              <w:t>$</w:t>
            </w:r>
          </w:p>
        </w:tc>
        <w:tc>
          <w:tcPr>
            <w:tcW w:w="1760" w:type="dxa"/>
            <w:vAlign w:val="bottom"/>
            <w:gridSpan w:val="2"/>
            <w:shd w:val="clear" w:color="auto" w:fill="CCEEFF"/>
          </w:tcPr>
          <w:p>
            <w:pPr>
              <w:jc w:val="right"/>
              <w:ind w:right="660"/>
              <w:spacing w:after="0"/>
              <w:rPr>
                <w:sz w:val="20"/>
                <w:szCs w:val="20"/>
                <w:color w:val="auto"/>
              </w:rPr>
            </w:pPr>
            <w:r>
              <w:rPr>
                <w:rFonts w:ascii="Arial" w:cs="Arial" w:eastAsia="Arial" w:hAnsi="Arial"/>
                <w:sz w:val="12"/>
                <w:szCs w:val="12"/>
                <w:color w:val="auto"/>
              </w:rPr>
              <w:t>(0.85)</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w:t>
            </w:r>
          </w:p>
        </w:tc>
        <w:tc>
          <w:tcPr>
            <w:tcW w:w="1560" w:type="dxa"/>
            <w:vAlign w:val="bottom"/>
            <w:gridSpan w:val="2"/>
            <w:shd w:val="clear" w:color="auto" w:fill="CCEEFF"/>
          </w:tcPr>
          <w:p>
            <w:pPr>
              <w:jc w:val="right"/>
              <w:ind w:right="580"/>
              <w:spacing w:after="0"/>
              <w:rPr>
                <w:sz w:val="20"/>
                <w:szCs w:val="20"/>
                <w:color w:val="auto"/>
              </w:rPr>
            </w:pPr>
            <w:r>
              <w:rPr>
                <w:rFonts w:ascii="Arial" w:cs="Arial" w:eastAsia="Arial" w:hAnsi="Arial"/>
                <w:sz w:val="12"/>
                <w:szCs w:val="12"/>
                <w:color w:val="auto"/>
              </w:rPr>
              <w:t>(0.94</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1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2"/>
                <w:szCs w:val="12"/>
                <w:color w:val="auto"/>
              </w:rPr>
              <w:t>Basic</w:t>
            </w:r>
          </w:p>
        </w:tc>
        <w:tc>
          <w:tcPr>
            <w:tcW w:w="320" w:type="dxa"/>
            <w:vAlign w:val="bottom"/>
            <w:shd w:val="clear" w:color="auto" w:fill="CCEEFF"/>
          </w:tcPr>
          <w:p>
            <w:pPr>
              <w:spacing w:after="0"/>
              <w:rPr>
                <w:sz w:val="12"/>
                <w:szCs w:val="12"/>
                <w:color w:val="auto"/>
              </w:rPr>
            </w:pPr>
          </w:p>
        </w:tc>
        <w:tc>
          <w:tcPr>
            <w:tcW w:w="1760" w:type="dxa"/>
            <w:vAlign w:val="bottom"/>
            <w:gridSpan w:val="2"/>
            <w:shd w:val="clear" w:color="auto" w:fill="CCEEFF"/>
          </w:tcPr>
          <w:p>
            <w:pPr>
              <w:jc w:val="right"/>
              <w:ind w:right="700"/>
              <w:spacing w:after="0"/>
              <w:rPr>
                <w:sz w:val="20"/>
                <w:szCs w:val="20"/>
                <w:color w:val="auto"/>
              </w:rPr>
            </w:pPr>
            <w:r>
              <w:rPr>
                <w:rFonts w:ascii="Arial" w:cs="Arial" w:eastAsia="Arial" w:hAnsi="Arial"/>
                <w:sz w:val="12"/>
                <w:szCs w:val="12"/>
                <w:color w:val="auto"/>
              </w:rPr>
              <w:t>5,245</w:t>
            </w:r>
          </w:p>
        </w:tc>
        <w:tc>
          <w:tcPr>
            <w:tcW w:w="6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4,882</w:t>
            </w:r>
          </w:p>
        </w:tc>
        <w:tc>
          <w:tcPr>
            <w:tcW w:w="10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5,145</w:t>
            </w:r>
          </w:p>
        </w:tc>
        <w:tc>
          <w:tcPr>
            <w:tcW w:w="7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580"/>
              <w:spacing w:after="0"/>
              <w:rPr>
                <w:sz w:val="20"/>
                <w:szCs w:val="20"/>
                <w:color w:val="auto"/>
              </w:rPr>
            </w:pPr>
            <w:r>
              <w:rPr>
                <w:rFonts w:ascii="Arial" w:cs="Arial" w:eastAsia="Arial" w:hAnsi="Arial"/>
                <w:sz w:val="12"/>
                <w:szCs w:val="12"/>
                <w:color w:val="auto"/>
              </w:rPr>
              <w:t>4,882</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Diluted</w:t>
            </w:r>
          </w:p>
        </w:tc>
        <w:tc>
          <w:tcPr>
            <w:tcW w:w="320" w:type="dxa"/>
            <w:vAlign w:val="bottom"/>
          </w:tcPr>
          <w:p>
            <w:pPr>
              <w:spacing w:after="0"/>
              <w:rPr>
                <w:sz w:val="13"/>
                <w:szCs w:val="13"/>
                <w:color w:val="auto"/>
              </w:rPr>
            </w:pPr>
          </w:p>
        </w:tc>
        <w:tc>
          <w:tcPr>
            <w:tcW w:w="1760" w:type="dxa"/>
            <w:vAlign w:val="bottom"/>
            <w:gridSpan w:val="2"/>
          </w:tcPr>
          <w:p>
            <w:pPr>
              <w:jc w:val="right"/>
              <w:ind w:right="700"/>
              <w:spacing w:after="0"/>
              <w:rPr>
                <w:sz w:val="20"/>
                <w:szCs w:val="20"/>
                <w:color w:val="auto"/>
              </w:rPr>
            </w:pPr>
            <w:r>
              <w:rPr>
                <w:rFonts w:ascii="Arial" w:cs="Arial" w:eastAsia="Arial" w:hAnsi="Arial"/>
                <w:sz w:val="12"/>
                <w:szCs w:val="12"/>
                <w:color w:val="auto"/>
              </w:rPr>
              <w:t>5,245</w:t>
            </w:r>
          </w:p>
        </w:tc>
        <w:tc>
          <w:tcPr>
            <w:tcW w:w="6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2"/>
                <w:szCs w:val="12"/>
                <w:color w:val="auto"/>
              </w:rPr>
              <w:t>4,882</w:t>
            </w:r>
          </w:p>
        </w:tc>
        <w:tc>
          <w:tcPr>
            <w:tcW w:w="1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5,145</w:t>
            </w: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560" w:type="dxa"/>
            <w:vAlign w:val="bottom"/>
            <w:gridSpan w:val="2"/>
          </w:tcPr>
          <w:p>
            <w:pPr>
              <w:jc w:val="right"/>
              <w:ind w:right="580"/>
              <w:spacing w:after="0"/>
              <w:rPr>
                <w:sz w:val="20"/>
                <w:szCs w:val="20"/>
                <w:color w:val="auto"/>
              </w:rPr>
            </w:pPr>
            <w:r>
              <w:rPr>
                <w:rFonts w:ascii="Arial" w:cs="Arial" w:eastAsia="Arial" w:hAnsi="Arial"/>
                <w:sz w:val="12"/>
                <w:szCs w:val="12"/>
                <w:color w:val="auto"/>
              </w:rPr>
              <w:t>4,882</w:t>
            </w:r>
          </w:p>
        </w:tc>
        <w:tc>
          <w:tcPr>
            <w:tcW w:w="0" w:type="dxa"/>
            <w:vAlign w:val="bottom"/>
          </w:tcPr>
          <w:p>
            <w:pPr>
              <w:spacing w:after="0"/>
              <w:rPr>
                <w:sz w:val="1"/>
                <w:szCs w:val="1"/>
                <w:color w:val="auto"/>
              </w:rPr>
            </w:pPr>
          </w:p>
        </w:tc>
      </w:tr>
    </w:tbl>
    <w:p>
      <w:pPr>
        <w:spacing w:after="0" w:line="14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10 – SUBSEQUENT EVENTS</w:t>
      </w:r>
    </w:p>
    <w:p>
      <w:pPr>
        <w:spacing w:after="0" w:line="172" w:lineRule="exact"/>
        <w:rPr>
          <w:sz w:val="20"/>
          <w:szCs w:val="20"/>
          <w:color w:val="auto"/>
        </w:rPr>
      </w:pPr>
    </w:p>
    <w:p>
      <w:pPr>
        <w:jc w:val="both"/>
        <w:ind w:right="60" w:firstLine="649"/>
        <w:spacing w:after="0" w:line="259" w:lineRule="auto"/>
        <w:rPr>
          <w:sz w:val="20"/>
          <w:szCs w:val="20"/>
          <w:color w:val="auto"/>
        </w:rPr>
      </w:pPr>
      <w:r>
        <w:rPr>
          <w:rFonts w:ascii="Arial" w:cs="Arial" w:eastAsia="Arial" w:hAnsi="Arial"/>
          <w:sz w:val="12"/>
          <w:szCs w:val="12"/>
          <w:color w:val="auto"/>
        </w:rPr>
        <w:t>On October 9, 2012, we entered into a Code Purchase and Perpetual License Agreement (“License Agreement”) with FotoPunch, Inc., a Delaware corporation (“FotoPunch”) that owns and develops facial and voice recognition software for tracking employee time and labor management information for use with mobile and other devices. Under the License Agreement, we acquired a worldwide, perpetual, right to use the code and software in the workforce management hardware, equipment and software solutions industry. We have the right to grant sublicenses to resellers and third parties. For a period of two years, FotoPunch has agreed to assist us in integrating and using the facial and voice recognition software with our solutions.</w:t>
      </w:r>
    </w:p>
    <w:p>
      <w:pPr>
        <w:spacing w:after="0" w:line="143" w:lineRule="exact"/>
        <w:rPr>
          <w:sz w:val="20"/>
          <w:szCs w:val="20"/>
          <w:color w:val="auto"/>
        </w:rPr>
      </w:pPr>
    </w:p>
    <w:p>
      <w:pPr>
        <w:ind w:left="640"/>
        <w:spacing w:after="0"/>
        <w:rPr>
          <w:sz w:val="20"/>
          <w:szCs w:val="20"/>
          <w:color w:val="auto"/>
        </w:rPr>
      </w:pPr>
      <w:r>
        <w:rPr>
          <w:rFonts w:ascii="Arial" w:cs="Arial" w:eastAsia="Arial" w:hAnsi="Arial"/>
          <w:sz w:val="12"/>
          <w:szCs w:val="12"/>
          <w:color w:val="auto"/>
        </w:rPr>
        <w:t>At the same time, we also entered into a Rights Agreement with FotoPunch under which FotoPunch granted us an option to acquire it or its business and a right of first refusal to match any third party offer.</w:t>
      </w:r>
    </w:p>
    <w:p>
      <w:pPr>
        <w:spacing w:after="0" w:line="267" w:lineRule="exact"/>
        <w:rPr>
          <w:sz w:val="20"/>
          <w:szCs w:val="20"/>
          <w:color w:val="auto"/>
        </w:rPr>
      </w:pPr>
    </w:p>
    <w:p>
      <w:pPr>
        <w:jc w:val="center"/>
        <w:ind w:right="60"/>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540"/>
          </w:cols>
          <w:pgMar w:left="220" w:top="370" w:right="139" w:bottom="1440" w:gutter="0" w:footer="0" w:header="0"/>
        </w:sectPr>
      </w:pPr>
    </w:p>
    <w:bookmarkStart w:id="18" w:name="page19"/>
    <w:bookmarkEnd w:id="18"/>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14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2. MANAGEMENT’S DISCUSSION AND ANALYSIS OF FINANCIAL CONDITION AND RESULTS OF OPERATIONS</w:t>
      </w:r>
    </w:p>
    <w:p>
      <w:pPr>
        <w:spacing w:after="0" w:line="154" w:lineRule="exact"/>
        <w:rPr>
          <w:sz w:val="20"/>
          <w:szCs w:val="20"/>
          <w:color w:val="auto"/>
        </w:rPr>
      </w:pPr>
    </w:p>
    <w:p>
      <w:pPr>
        <w:jc w:val="both"/>
        <w:ind w:firstLine="649"/>
        <w:spacing w:after="0" w:line="257" w:lineRule="auto"/>
        <w:rPr>
          <w:sz w:val="20"/>
          <w:szCs w:val="20"/>
          <w:color w:val="auto"/>
        </w:rPr>
      </w:pPr>
      <w:r>
        <w:rPr>
          <w:rFonts w:ascii="Arial" w:cs="Arial" w:eastAsia="Arial" w:hAnsi="Arial"/>
          <w:sz w:val="12"/>
          <w:szCs w:val="12"/>
          <w:color w:val="auto"/>
        </w:rPr>
        <w:t>The following review of Asure’s financial position as of and for the three and nine months ended September 30, 2012 and 2011 should be read in conjunction with the Company’s 2011 Annual Report on Form 10-K filed with the Securities and Exchange Commission. Asure’s internet website address is http://www.asuresoftware.com. The Company’s annual reports on Form 10-K, quarterly reports on Form 10-Q, current reports on Form 8-K and amendments to those reports filed or furnished pursuant to Section 13(a) or 15(d) of the Securities Exchange Act of 1934 are available through the investor relations page of the Company’s internet website free of charge as soon as reasonably practicable after they are electronically filed, or furnished to, the Securities and Exchange Commission. Asure’s internet website and the information contained therein or connected thereto are not intended to be incorporated into this Quarterly Report on Form 10-Q.</w:t>
      </w:r>
    </w:p>
    <w:p>
      <w:pPr>
        <w:spacing w:after="0" w:line="126" w:lineRule="exact"/>
        <w:rPr>
          <w:sz w:val="20"/>
          <w:szCs w:val="20"/>
          <w:color w:val="auto"/>
        </w:rPr>
      </w:pPr>
    </w:p>
    <w:p>
      <w:pPr>
        <w:jc w:val="both"/>
        <w:ind w:firstLine="649"/>
        <w:spacing w:after="0" w:line="316" w:lineRule="auto"/>
        <w:rPr>
          <w:sz w:val="20"/>
          <w:szCs w:val="20"/>
          <w:color w:val="auto"/>
        </w:rPr>
      </w:pPr>
      <w:r>
        <w:rPr>
          <w:rFonts w:ascii="Arial" w:cs="Arial" w:eastAsia="Arial" w:hAnsi="Arial"/>
          <w:sz w:val="10"/>
          <w:szCs w:val="10"/>
          <w:color w:val="auto"/>
        </w:rPr>
        <w:t>The Company offers intuitive and innovative workplace management technology solutions that enable companies of all sizes and complexities to operate more efficiently and proactively manage costs associated with two of an organization’s most expensive assets: real estate and labor. The company provides solutions to more than 11,000 clients worldwide and currently offers two main product lines: AsureSpace™ workplace management solutions and AsureForce™ time and labor management solutions. The AsureSpace product line provides simple and affordable solutions to common office administration problems. AsureSpace solutions (including the recent addition of PeopleCube solutions and Meeting Room Manager) automate the entire facility scheduling process: reserving rooms, requesting equipment, ordering food, sending invitations, reporting on the meeting environment and more. As a result, customers can more effectively manage scheduling processes, increase utilization of corporate assets, improve workplace productivity and control real estate costs. AsureForce time and labor management solutions help simplify the HR process and improve employee productivity by managing and communicating human resources, employee benefits and payroll information. Web-based solutions include time &amp; attendance, timesheets, human resource benefits, expenses and others.</w:t>
      </w:r>
    </w:p>
    <w:p>
      <w:pPr>
        <w:spacing w:after="0" w:line="118" w:lineRule="exact"/>
        <w:rPr>
          <w:sz w:val="20"/>
          <w:szCs w:val="20"/>
          <w:color w:val="auto"/>
        </w:rPr>
      </w:pPr>
    </w:p>
    <w:p>
      <w:pPr>
        <w:jc w:val="both"/>
        <w:ind w:right="20" w:firstLine="649"/>
        <w:spacing w:after="0" w:line="263" w:lineRule="auto"/>
        <w:rPr>
          <w:sz w:val="20"/>
          <w:szCs w:val="20"/>
          <w:color w:val="auto"/>
        </w:rPr>
      </w:pPr>
      <w:r>
        <w:rPr>
          <w:rFonts w:ascii="Arial" w:cs="Arial" w:eastAsia="Arial" w:hAnsi="Arial"/>
          <w:sz w:val="12"/>
          <w:szCs w:val="12"/>
          <w:color w:val="auto"/>
        </w:rPr>
        <w:t>On March 27, 2012, the Board of Directors declared a 3 for 2 stock split, payable April 30, 2012 to the holders of record of the Company’s common stock as of the close of business on April 23, 2012. The Company will make cash payments based upon the closing price of the Company’s shares on the record date in lieu of the issuance of fractional shares. Share and per share information in these financial statements reflect the impact of the 3 for 2 stock split.</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CAUTIONARY STATEMENT REGARDING FORWARD-LOOKING STATEMENTS</w:t>
      </w:r>
    </w:p>
    <w:p>
      <w:pPr>
        <w:spacing w:after="0" w:line="154" w:lineRule="exact"/>
        <w:rPr>
          <w:sz w:val="20"/>
          <w:szCs w:val="20"/>
          <w:color w:val="auto"/>
        </w:rPr>
      </w:pPr>
    </w:p>
    <w:p>
      <w:pPr>
        <w:jc w:val="both"/>
        <w:ind w:firstLine="649"/>
        <w:spacing w:after="0" w:line="263" w:lineRule="auto"/>
        <w:rPr>
          <w:sz w:val="20"/>
          <w:szCs w:val="20"/>
          <w:color w:val="auto"/>
        </w:rPr>
      </w:pPr>
      <w:r>
        <w:rPr>
          <w:rFonts w:ascii="Arial" w:cs="Arial" w:eastAsia="Arial" w:hAnsi="Arial"/>
          <w:sz w:val="12"/>
          <w:szCs w:val="12"/>
          <w:color w:val="auto"/>
        </w:rPr>
        <w:t>Certain statements in this Report represent forward-looking statements. These statements involve known and unknown risks, uncertainties and other factors that may cause actual results of operations, levels of activity, economic performance, financial condition or achievements to be materially different from future results of operations, levels of activity, economic performance, financial condition or achievements as expressed or implied by such forward-looking statements.</w:t>
      </w:r>
    </w:p>
    <w:p>
      <w:pPr>
        <w:spacing w:after="0" w:line="123" w:lineRule="exact"/>
        <w:rPr>
          <w:sz w:val="20"/>
          <w:szCs w:val="20"/>
          <w:color w:val="auto"/>
        </w:rPr>
      </w:pPr>
    </w:p>
    <w:p>
      <w:pPr>
        <w:jc w:val="both"/>
        <w:ind w:firstLine="649"/>
        <w:spacing w:after="0" w:line="263" w:lineRule="auto"/>
        <w:rPr>
          <w:sz w:val="20"/>
          <w:szCs w:val="20"/>
          <w:color w:val="auto"/>
        </w:rPr>
      </w:pPr>
      <w:r>
        <w:rPr>
          <w:rFonts w:ascii="Arial" w:cs="Arial" w:eastAsia="Arial" w:hAnsi="Arial"/>
          <w:sz w:val="12"/>
          <w:szCs w:val="12"/>
          <w:color w:val="auto"/>
        </w:rPr>
        <w:t>Asure has attempted to identify these forward-looking statements with the words “believes,” “estimates,” “plans,” “expects,” “anticipates,” “may,” “could” and other similar expressions. Although these forward-looking statements reflect management’s current plans and expectations, which are believed to be reasonable as of the filing date of this report, they inherently are subject to certain risks and uncertainties. Additionally, Asure is under no obligation to update any of the forward-looking statements after the date of this Form 10-Q to conform such statements to actual results.</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RESULTS OF OPERATIONS</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2"/>
          <w:szCs w:val="12"/>
          <w:color w:val="auto"/>
        </w:rPr>
        <w:t>The following table sets forth the percentage of total revenues represented by certain items in Asure’s Consolidated Statements of Operations for the fiscal periods indicated:</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144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20" w:type="dxa"/>
            <w:vAlign w:val="bottom"/>
            <w:gridSpan w:val="3"/>
          </w:tcPr>
          <w:p>
            <w:pPr>
              <w:jc w:val="center"/>
              <w:ind w:right="20"/>
              <w:spacing w:after="0"/>
              <w:rPr>
                <w:sz w:val="20"/>
                <w:szCs w:val="20"/>
                <w:color w:val="auto"/>
              </w:rPr>
            </w:pPr>
            <w:r>
              <w:rPr>
                <w:rFonts w:ascii="Arial" w:cs="Arial" w:eastAsia="Arial" w:hAnsi="Arial"/>
                <w:sz w:val="12"/>
                <w:szCs w:val="12"/>
                <w:b w:val="1"/>
                <w:bCs w:val="1"/>
                <w:color w:val="auto"/>
              </w:rPr>
              <w:t>FOR THE THREE</w:t>
            </w: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20" w:type="dxa"/>
            <w:vAlign w:val="bottom"/>
            <w:gridSpan w:val="3"/>
          </w:tcPr>
          <w:p>
            <w:pPr>
              <w:jc w:val="center"/>
              <w:ind w:left="680"/>
              <w:spacing w:after="0"/>
              <w:rPr>
                <w:sz w:val="20"/>
                <w:szCs w:val="20"/>
                <w:color w:val="auto"/>
              </w:rPr>
            </w:pPr>
            <w:r>
              <w:rPr>
                <w:rFonts w:ascii="Arial" w:cs="Arial" w:eastAsia="Arial" w:hAnsi="Arial"/>
                <w:sz w:val="12"/>
                <w:szCs w:val="12"/>
                <w:b w:val="1"/>
                <w:bCs w:val="1"/>
                <w:color w:val="auto"/>
              </w:rPr>
              <w:t>FOR THE NINE</w:t>
            </w: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tcPr>
          <w:p>
            <w:pPr>
              <w:spacing w:after="0"/>
              <w:rPr>
                <w:sz w:val="12"/>
                <w:szCs w:val="12"/>
                <w:color w:val="auto"/>
              </w:rPr>
            </w:pPr>
          </w:p>
        </w:tc>
      </w:tr>
      <w:tr>
        <w:trPr>
          <w:trHeight w:val="144"/>
        </w:trPr>
        <w:tc>
          <w:tcPr>
            <w:tcW w:w="144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20" w:type="dxa"/>
            <w:vAlign w:val="bottom"/>
            <w:gridSpan w:val="3"/>
          </w:tcPr>
          <w:p>
            <w:pPr>
              <w:jc w:val="center"/>
              <w:ind w:right="20"/>
              <w:spacing w:after="0"/>
              <w:rPr>
                <w:sz w:val="20"/>
                <w:szCs w:val="20"/>
                <w:color w:val="auto"/>
              </w:rPr>
            </w:pPr>
            <w:r>
              <w:rPr>
                <w:rFonts w:ascii="Arial" w:cs="Arial" w:eastAsia="Arial" w:hAnsi="Arial"/>
                <w:sz w:val="12"/>
                <w:szCs w:val="12"/>
                <w:b w:val="1"/>
                <w:bCs w:val="1"/>
                <w:color w:val="auto"/>
              </w:rPr>
              <w:t>MONTHS ENDED</w:t>
            </w: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20" w:type="dxa"/>
            <w:vAlign w:val="bottom"/>
            <w:gridSpan w:val="3"/>
          </w:tcPr>
          <w:p>
            <w:pPr>
              <w:jc w:val="center"/>
              <w:ind w:left="680"/>
              <w:spacing w:after="0"/>
              <w:rPr>
                <w:sz w:val="20"/>
                <w:szCs w:val="20"/>
                <w:color w:val="auto"/>
              </w:rPr>
            </w:pPr>
            <w:r>
              <w:rPr>
                <w:rFonts w:ascii="Arial" w:cs="Arial" w:eastAsia="Arial" w:hAnsi="Arial"/>
                <w:sz w:val="12"/>
                <w:szCs w:val="12"/>
                <w:b w:val="1"/>
                <w:bCs w:val="1"/>
                <w:color w:val="auto"/>
              </w:rPr>
              <w:t>MONTHS ENDED</w:t>
            </w: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tcPr>
          <w:p>
            <w:pPr>
              <w:spacing w:after="0"/>
              <w:rPr>
                <w:sz w:val="12"/>
                <w:szCs w:val="12"/>
                <w:color w:val="auto"/>
              </w:rPr>
            </w:pPr>
          </w:p>
        </w:tc>
      </w:tr>
      <w:tr>
        <w:trPr>
          <w:trHeight w:val="157"/>
        </w:trPr>
        <w:tc>
          <w:tcPr>
            <w:tcW w:w="144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2"/>
                <w:szCs w:val="12"/>
                <w:b w:val="1"/>
                <w:bCs w:val="1"/>
                <w:color w:val="auto"/>
                <w:w w:val="97"/>
              </w:rPr>
              <w:t>SEPTEMBER 30,</w:t>
            </w:r>
          </w:p>
        </w:tc>
        <w:tc>
          <w:tcPr>
            <w:tcW w:w="100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2020" w:type="dxa"/>
            <w:vAlign w:val="bottom"/>
            <w:tcBorders>
              <w:bottom w:val="single" w:sz="8" w:color="auto"/>
            </w:tcBorders>
            <w:gridSpan w:val="3"/>
          </w:tcPr>
          <w:p>
            <w:pPr>
              <w:jc w:val="center"/>
              <w:ind w:left="680"/>
              <w:spacing w:after="0"/>
              <w:rPr>
                <w:sz w:val="20"/>
                <w:szCs w:val="20"/>
                <w:color w:val="auto"/>
              </w:rPr>
            </w:pPr>
            <w:r>
              <w:rPr>
                <w:rFonts w:ascii="Arial" w:cs="Arial" w:eastAsia="Arial" w:hAnsi="Arial"/>
                <w:sz w:val="12"/>
                <w:szCs w:val="12"/>
                <w:b w:val="1"/>
                <w:bCs w:val="1"/>
                <w:color w:val="auto"/>
                <w:w w:val="97"/>
              </w:rPr>
              <w:t>SEPTEMBER 30,</w:t>
            </w:r>
          </w:p>
        </w:tc>
        <w:tc>
          <w:tcPr>
            <w:tcW w:w="96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142"/>
        </w:trPr>
        <w:tc>
          <w:tcPr>
            <w:tcW w:w="3640" w:type="dxa"/>
            <w:vAlign w:val="bottom"/>
            <w:gridSpan w:val="2"/>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2012</w:t>
            </w:r>
          </w:p>
        </w:tc>
        <w:tc>
          <w:tcPr>
            <w:tcW w:w="52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520"/>
              <w:spacing w:after="0"/>
              <w:rPr>
                <w:sz w:val="20"/>
                <w:szCs w:val="20"/>
                <w:color w:val="auto"/>
              </w:rPr>
            </w:pPr>
            <w:r>
              <w:rPr>
                <w:rFonts w:ascii="Arial" w:cs="Arial" w:eastAsia="Arial" w:hAnsi="Arial"/>
                <w:sz w:val="12"/>
                <w:szCs w:val="12"/>
                <w:b w:val="1"/>
                <w:bCs w:val="1"/>
                <w:color w:val="auto"/>
              </w:rPr>
              <w:t>2011</w:t>
            </w:r>
          </w:p>
        </w:tc>
        <w:tc>
          <w:tcPr>
            <w:tcW w:w="300" w:type="dxa"/>
            <w:vAlign w:val="bottom"/>
          </w:tcPr>
          <w:p>
            <w:pPr>
              <w:spacing w:after="0"/>
              <w:rPr>
                <w:sz w:val="12"/>
                <w:szCs w:val="12"/>
                <w:color w:val="auto"/>
              </w:rPr>
            </w:pPr>
          </w:p>
        </w:tc>
        <w:tc>
          <w:tcPr>
            <w:tcW w:w="1340" w:type="dxa"/>
            <w:vAlign w:val="bottom"/>
            <w:tcBorders>
              <w:bottom w:val="single" w:sz="8" w:color="auto"/>
            </w:tcBorders>
          </w:tcPr>
          <w:p>
            <w:pPr>
              <w:jc w:val="right"/>
              <w:ind w:right="520"/>
              <w:spacing w:after="0"/>
              <w:rPr>
                <w:sz w:val="20"/>
                <w:szCs w:val="20"/>
                <w:color w:val="auto"/>
              </w:rPr>
            </w:pPr>
            <w:r>
              <w:rPr>
                <w:rFonts w:ascii="Arial" w:cs="Arial" w:eastAsia="Arial" w:hAnsi="Arial"/>
                <w:sz w:val="12"/>
                <w:szCs w:val="12"/>
                <w:b w:val="1"/>
                <w:bCs w:val="1"/>
                <w:color w:val="auto"/>
              </w:rPr>
              <w:t>2012</w:t>
            </w:r>
          </w:p>
        </w:tc>
        <w:tc>
          <w:tcPr>
            <w:tcW w:w="30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540"/>
              <w:spacing w:after="0"/>
              <w:rPr>
                <w:sz w:val="20"/>
                <w:szCs w:val="20"/>
                <w:color w:val="auto"/>
              </w:rPr>
            </w:pPr>
            <w:r>
              <w:rPr>
                <w:rFonts w:ascii="Arial" w:cs="Arial" w:eastAsia="Arial" w:hAnsi="Arial"/>
                <w:sz w:val="12"/>
                <w:szCs w:val="12"/>
                <w:b w:val="1"/>
                <w:bCs w:val="1"/>
                <w:color w:val="auto"/>
              </w:rPr>
              <w:t>2011</w:t>
            </w:r>
          </w:p>
        </w:tc>
        <w:tc>
          <w:tcPr>
            <w:tcW w:w="180" w:type="dxa"/>
            <w:vAlign w:val="bottom"/>
          </w:tcPr>
          <w:p>
            <w:pPr>
              <w:spacing w:after="0"/>
              <w:rPr>
                <w:sz w:val="12"/>
                <w:szCs w:val="12"/>
                <w:color w:val="auto"/>
              </w:rPr>
            </w:pPr>
          </w:p>
        </w:tc>
        <w:tc>
          <w:tcPr>
            <w:tcW w:w="1440" w:type="dxa"/>
            <w:vAlign w:val="bottom"/>
          </w:tcPr>
          <w:p>
            <w:pPr>
              <w:spacing w:after="0"/>
              <w:rPr>
                <w:sz w:val="12"/>
                <w:szCs w:val="12"/>
                <w:color w:val="auto"/>
              </w:rPr>
            </w:pPr>
          </w:p>
        </w:tc>
      </w:tr>
      <w:tr>
        <w:trPr>
          <w:trHeight w:val="142"/>
        </w:trPr>
        <w:tc>
          <w:tcPr>
            <w:tcW w:w="1440" w:type="dxa"/>
            <w:vAlign w:val="bottom"/>
          </w:tcPr>
          <w:p>
            <w:pPr>
              <w:spacing w:after="0"/>
              <w:rPr>
                <w:sz w:val="12"/>
                <w:szCs w:val="12"/>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Revenues</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b w:val="1"/>
                <w:bCs w:val="1"/>
                <w:color w:val="auto"/>
              </w:rPr>
              <w:t>100 %</w:t>
            </w:r>
          </w:p>
        </w:tc>
        <w:tc>
          <w:tcPr>
            <w:tcW w:w="34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b w:val="1"/>
                <w:bCs w:val="1"/>
                <w:color w:val="auto"/>
              </w:rPr>
              <w:t>100 %</w:t>
            </w: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b w:val="1"/>
                <w:bCs w:val="1"/>
                <w:color w:val="auto"/>
              </w:rPr>
              <w:t>100 %</w:t>
            </w:r>
          </w:p>
        </w:tc>
        <w:tc>
          <w:tcPr>
            <w:tcW w:w="3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b w:val="1"/>
                <w:bCs w:val="1"/>
                <w:color w:val="auto"/>
              </w:rPr>
              <w:t>100 %</w:t>
            </w:r>
          </w:p>
        </w:tc>
        <w:tc>
          <w:tcPr>
            <w:tcW w:w="1440" w:type="dxa"/>
            <w:vAlign w:val="bottom"/>
          </w:tcPr>
          <w:p>
            <w:pPr>
              <w:spacing w:after="0"/>
              <w:rPr>
                <w:sz w:val="12"/>
                <w:szCs w:val="12"/>
                <w:color w:val="auto"/>
              </w:rPr>
            </w:pPr>
          </w:p>
        </w:tc>
      </w:tr>
      <w:tr>
        <w:trPr>
          <w:trHeight w:val="144"/>
        </w:trPr>
        <w:tc>
          <w:tcPr>
            <w:tcW w:w="1440" w:type="dxa"/>
            <w:vAlign w:val="bottom"/>
          </w:tcPr>
          <w:p>
            <w:pPr>
              <w:spacing w:after="0"/>
              <w:rPr>
                <w:sz w:val="12"/>
                <w:szCs w:val="12"/>
                <w:color w:val="auto"/>
              </w:rPr>
            </w:pPr>
          </w:p>
        </w:tc>
        <w:tc>
          <w:tcPr>
            <w:tcW w:w="3020" w:type="dxa"/>
            <w:vAlign w:val="bottom"/>
            <w:gridSpan w:val="2"/>
          </w:tcPr>
          <w:p>
            <w:pPr>
              <w:spacing w:after="0"/>
              <w:rPr>
                <w:sz w:val="20"/>
                <w:szCs w:val="20"/>
                <w:color w:val="auto"/>
              </w:rPr>
            </w:pPr>
            <w:r>
              <w:rPr>
                <w:rFonts w:ascii="Arial" w:cs="Arial" w:eastAsia="Arial" w:hAnsi="Arial"/>
                <w:sz w:val="12"/>
                <w:szCs w:val="12"/>
                <w:color w:val="auto"/>
              </w:rPr>
              <w:t>Gross margin</w:t>
            </w:r>
          </w:p>
        </w:tc>
        <w:tc>
          <w:tcPr>
            <w:tcW w:w="520" w:type="dxa"/>
            <w:vAlign w:val="bottom"/>
          </w:tcPr>
          <w:p>
            <w:pPr>
              <w:jc w:val="right"/>
              <w:spacing w:after="0"/>
              <w:rPr>
                <w:sz w:val="20"/>
                <w:szCs w:val="20"/>
                <w:color w:val="auto"/>
              </w:rPr>
            </w:pPr>
            <w:r>
              <w:rPr>
                <w:rFonts w:ascii="Arial" w:cs="Arial" w:eastAsia="Arial" w:hAnsi="Arial"/>
                <w:sz w:val="12"/>
                <w:szCs w:val="12"/>
                <w:color w:val="auto"/>
              </w:rPr>
              <w:t>83.5</w:t>
            </w: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80.6</w:t>
            </w:r>
          </w:p>
        </w:tc>
        <w:tc>
          <w:tcPr>
            <w:tcW w:w="30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78.8</w:t>
            </w: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81.3</w:t>
            </w:r>
          </w:p>
        </w:tc>
        <w:tc>
          <w:tcPr>
            <w:tcW w:w="180" w:type="dxa"/>
            <w:vAlign w:val="bottom"/>
          </w:tcPr>
          <w:p>
            <w:pPr>
              <w:spacing w:after="0"/>
              <w:rPr>
                <w:sz w:val="12"/>
                <w:szCs w:val="12"/>
                <w:color w:val="auto"/>
              </w:rPr>
            </w:pPr>
          </w:p>
        </w:tc>
        <w:tc>
          <w:tcPr>
            <w:tcW w:w="1440" w:type="dxa"/>
            <w:vAlign w:val="bottom"/>
          </w:tcPr>
          <w:p>
            <w:pPr>
              <w:spacing w:after="0"/>
              <w:rPr>
                <w:sz w:val="12"/>
                <w:szCs w:val="12"/>
                <w:color w:val="auto"/>
              </w:rPr>
            </w:pPr>
          </w:p>
        </w:tc>
      </w:tr>
      <w:tr>
        <w:trPr>
          <w:trHeight w:val="144"/>
        </w:trPr>
        <w:tc>
          <w:tcPr>
            <w:tcW w:w="1440" w:type="dxa"/>
            <w:vAlign w:val="bottom"/>
          </w:tcPr>
          <w:p>
            <w:pPr>
              <w:spacing w:after="0"/>
              <w:rPr>
                <w:sz w:val="12"/>
                <w:szCs w:val="12"/>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Selling, general and administrative</w:t>
            </w: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70.2</w:t>
            </w:r>
          </w:p>
        </w:tc>
        <w:tc>
          <w:tcPr>
            <w:tcW w:w="2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61.0</w:t>
            </w:r>
          </w:p>
        </w:tc>
        <w:tc>
          <w:tcPr>
            <w:tcW w:w="30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60.2</w:t>
            </w:r>
          </w:p>
        </w:tc>
        <w:tc>
          <w:tcPr>
            <w:tcW w:w="3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59.5</w:t>
            </w:r>
          </w:p>
        </w:tc>
        <w:tc>
          <w:tcPr>
            <w:tcW w:w="180" w:type="dxa"/>
            <w:vAlign w:val="bottom"/>
            <w:shd w:val="clear" w:color="auto" w:fill="CCEEFF"/>
          </w:tcPr>
          <w:p>
            <w:pPr>
              <w:spacing w:after="0"/>
              <w:rPr>
                <w:sz w:val="12"/>
                <w:szCs w:val="12"/>
                <w:color w:val="auto"/>
              </w:rPr>
            </w:pPr>
          </w:p>
        </w:tc>
        <w:tc>
          <w:tcPr>
            <w:tcW w:w="1440" w:type="dxa"/>
            <w:vAlign w:val="bottom"/>
          </w:tcPr>
          <w:p>
            <w:pPr>
              <w:spacing w:after="0"/>
              <w:rPr>
                <w:sz w:val="12"/>
                <w:szCs w:val="12"/>
                <w:color w:val="auto"/>
              </w:rPr>
            </w:pPr>
          </w:p>
        </w:tc>
      </w:tr>
      <w:tr>
        <w:trPr>
          <w:trHeight w:val="144"/>
        </w:trPr>
        <w:tc>
          <w:tcPr>
            <w:tcW w:w="1440" w:type="dxa"/>
            <w:vAlign w:val="bottom"/>
          </w:tcPr>
          <w:p>
            <w:pPr>
              <w:spacing w:after="0"/>
              <w:rPr>
                <w:sz w:val="12"/>
                <w:szCs w:val="12"/>
                <w:color w:val="auto"/>
              </w:rPr>
            </w:pPr>
          </w:p>
        </w:tc>
        <w:tc>
          <w:tcPr>
            <w:tcW w:w="3020" w:type="dxa"/>
            <w:vAlign w:val="bottom"/>
            <w:gridSpan w:val="2"/>
          </w:tcPr>
          <w:p>
            <w:pPr>
              <w:spacing w:after="0"/>
              <w:rPr>
                <w:sz w:val="20"/>
                <w:szCs w:val="20"/>
                <w:color w:val="auto"/>
              </w:rPr>
            </w:pPr>
            <w:r>
              <w:rPr>
                <w:rFonts w:ascii="Arial" w:cs="Arial" w:eastAsia="Arial" w:hAnsi="Arial"/>
                <w:sz w:val="12"/>
                <w:szCs w:val="12"/>
                <w:color w:val="auto"/>
              </w:rPr>
              <w:t>Research and development</w:t>
            </w:r>
          </w:p>
        </w:tc>
        <w:tc>
          <w:tcPr>
            <w:tcW w:w="520" w:type="dxa"/>
            <w:vAlign w:val="bottom"/>
          </w:tcPr>
          <w:p>
            <w:pPr>
              <w:jc w:val="right"/>
              <w:spacing w:after="0"/>
              <w:rPr>
                <w:sz w:val="20"/>
                <w:szCs w:val="20"/>
                <w:color w:val="auto"/>
              </w:rPr>
            </w:pPr>
            <w:r>
              <w:rPr>
                <w:rFonts w:ascii="Arial" w:cs="Arial" w:eastAsia="Arial" w:hAnsi="Arial"/>
                <w:sz w:val="12"/>
                <w:szCs w:val="12"/>
                <w:color w:val="auto"/>
              </w:rPr>
              <w:t>14.3</w:t>
            </w: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14.6</w:t>
            </w:r>
          </w:p>
        </w:tc>
        <w:tc>
          <w:tcPr>
            <w:tcW w:w="30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14.2</w:t>
            </w: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15.8</w:t>
            </w:r>
          </w:p>
        </w:tc>
        <w:tc>
          <w:tcPr>
            <w:tcW w:w="180" w:type="dxa"/>
            <w:vAlign w:val="bottom"/>
          </w:tcPr>
          <w:p>
            <w:pPr>
              <w:spacing w:after="0"/>
              <w:rPr>
                <w:sz w:val="12"/>
                <w:szCs w:val="12"/>
                <w:color w:val="auto"/>
              </w:rPr>
            </w:pPr>
          </w:p>
        </w:tc>
        <w:tc>
          <w:tcPr>
            <w:tcW w:w="1440" w:type="dxa"/>
            <w:vAlign w:val="bottom"/>
          </w:tcPr>
          <w:p>
            <w:pPr>
              <w:spacing w:after="0"/>
              <w:rPr>
                <w:sz w:val="12"/>
                <w:szCs w:val="12"/>
                <w:color w:val="auto"/>
              </w:rPr>
            </w:pPr>
          </w:p>
        </w:tc>
      </w:tr>
      <w:tr>
        <w:trPr>
          <w:trHeight w:val="144"/>
        </w:trPr>
        <w:tc>
          <w:tcPr>
            <w:tcW w:w="1440" w:type="dxa"/>
            <w:vAlign w:val="bottom"/>
          </w:tcPr>
          <w:p>
            <w:pPr>
              <w:spacing w:after="0"/>
              <w:rPr>
                <w:sz w:val="12"/>
                <w:szCs w:val="12"/>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Amortization of intangible assets</w:t>
            </w: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10.1</w:t>
            </w:r>
          </w:p>
        </w:tc>
        <w:tc>
          <w:tcPr>
            <w:tcW w:w="2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w:t>
            </w:r>
          </w:p>
        </w:tc>
        <w:tc>
          <w:tcPr>
            <w:tcW w:w="30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8.3</w:t>
            </w:r>
          </w:p>
        </w:tc>
        <w:tc>
          <w:tcPr>
            <w:tcW w:w="3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6.2</w:t>
            </w:r>
          </w:p>
        </w:tc>
        <w:tc>
          <w:tcPr>
            <w:tcW w:w="180" w:type="dxa"/>
            <w:vAlign w:val="bottom"/>
            <w:shd w:val="clear" w:color="auto" w:fill="CCEEFF"/>
          </w:tcPr>
          <w:p>
            <w:pPr>
              <w:spacing w:after="0"/>
              <w:rPr>
                <w:sz w:val="12"/>
                <w:szCs w:val="12"/>
                <w:color w:val="auto"/>
              </w:rPr>
            </w:pPr>
          </w:p>
        </w:tc>
        <w:tc>
          <w:tcPr>
            <w:tcW w:w="1440" w:type="dxa"/>
            <w:vAlign w:val="bottom"/>
          </w:tcPr>
          <w:p>
            <w:pPr>
              <w:spacing w:after="0"/>
              <w:rPr>
                <w:sz w:val="12"/>
                <w:szCs w:val="12"/>
                <w:color w:val="auto"/>
              </w:rPr>
            </w:pPr>
          </w:p>
        </w:tc>
      </w:tr>
      <w:tr>
        <w:trPr>
          <w:trHeight w:val="144"/>
        </w:trPr>
        <w:tc>
          <w:tcPr>
            <w:tcW w:w="1440" w:type="dxa"/>
            <w:vAlign w:val="bottom"/>
          </w:tcPr>
          <w:p>
            <w:pPr>
              <w:spacing w:after="0"/>
              <w:rPr>
                <w:sz w:val="12"/>
                <w:szCs w:val="12"/>
                <w:color w:val="auto"/>
              </w:rPr>
            </w:pPr>
          </w:p>
        </w:tc>
        <w:tc>
          <w:tcPr>
            <w:tcW w:w="3020" w:type="dxa"/>
            <w:vAlign w:val="bottom"/>
            <w:gridSpan w:val="2"/>
          </w:tcPr>
          <w:p>
            <w:pPr>
              <w:spacing w:after="0"/>
              <w:rPr>
                <w:sz w:val="20"/>
                <w:szCs w:val="20"/>
                <w:color w:val="auto"/>
              </w:rPr>
            </w:pPr>
            <w:r>
              <w:rPr>
                <w:rFonts w:ascii="Arial" w:cs="Arial" w:eastAsia="Arial" w:hAnsi="Arial"/>
                <w:sz w:val="12"/>
                <w:szCs w:val="12"/>
                <w:color w:val="auto"/>
              </w:rPr>
              <w:t>Total operating expenses</w:t>
            </w:r>
          </w:p>
        </w:tc>
        <w:tc>
          <w:tcPr>
            <w:tcW w:w="520" w:type="dxa"/>
            <w:vAlign w:val="bottom"/>
          </w:tcPr>
          <w:p>
            <w:pPr>
              <w:jc w:val="right"/>
              <w:spacing w:after="0"/>
              <w:rPr>
                <w:sz w:val="20"/>
                <w:szCs w:val="20"/>
                <w:color w:val="auto"/>
              </w:rPr>
            </w:pPr>
            <w:r>
              <w:rPr>
                <w:rFonts w:ascii="Arial" w:cs="Arial" w:eastAsia="Arial" w:hAnsi="Arial"/>
                <w:sz w:val="12"/>
                <w:szCs w:val="12"/>
                <w:color w:val="auto"/>
              </w:rPr>
              <w:t>94.6</w:t>
            </w: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81.6</w:t>
            </w:r>
          </w:p>
        </w:tc>
        <w:tc>
          <w:tcPr>
            <w:tcW w:w="30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82.7</w:t>
            </w: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81.4</w:t>
            </w:r>
          </w:p>
        </w:tc>
        <w:tc>
          <w:tcPr>
            <w:tcW w:w="180" w:type="dxa"/>
            <w:vAlign w:val="bottom"/>
          </w:tcPr>
          <w:p>
            <w:pPr>
              <w:spacing w:after="0"/>
              <w:rPr>
                <w:sz w:val="12"/>
                <w:szCs w:val="12"/>
                <w:color w:val="auto"/>
              </w:rPr>
            </w:pPr>
          </w:p>
        </w:tc>
        <w:tc>
          <w:tcPr>
            <w:tcW w:w="1440" w:type="dxa"/>
            <w:vAlign w:val="bottom"/>
          </w:tcPr>
          <w:p>
            <w:pPr>
              <w:spacing w:after="0"/>
              <w:rPr>
                <w:sz w:val="12"/>
                <w:szCs w:val="12"/>
                <w:color w:val="auto"/>
              </w:rPr>
            </w:pPr>
          </w:p>
        </w:tc>
      </w:tr>
      <w:tr>
        <w:trPr>
          <w:trHeight w:val="144"/>
        </w:trPr>
        <w:tc>
          <w:tcPr>
            <w:tcW w:w="1440" w:type="dxa"/>
            <w:vAlign w:val="bottom"/>
          </w:tcPr>
          <w:p>
            <w:pPr>
              <w:spacing w:after="0"/>
              <w:rPr>
                <w:sz w:val="12"/>
                <w:szCs w:val="12"/>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Other (Expense), net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(10.0 )</w:t>
            </w:r>
          </w:p>
        </w:tc>
        <w:tc>
          <w:tcPr>
            <w:tcW w:w="3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w:t>
            </w:r>
          </w:p>
        </w:tc>
        <w:tc>
          <w:tcPr>
            <w:tcW w:w="300" w:type="dxa"/>
            <w:vAlign w:val="bottom"/>
            <w:shd w:val="clear" w:color="auto" w:fill="CCEEFF"/>
          </w:tcPr>
          <w:p>
            <w:pPr>
              <w:spacing w:after="0"/>
              <w:rPr>
                <w:sz w:val="12"/>
                <w:szCs w:val="12"/>
                <w:color w:val="auto"/>
              </w:rPr>
            </w:pPr>
          </w:p>
        </w:tc>
        <w:tc>
          <w:tcPr>
            <w:tcW w:w="164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(11.8 )</w:t>
            </w:r>
          </w:p>
        </w:tc>
        <w:tc>
          <w:tcPr>
            <w:tcW w:w="3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0.5</w:t>
            </w:r>
          </w:p>
        </w:tc>
        <w:tc>
          <w:tcPr>
            <w:tcW w:w="180" w:type="dxa"/>
            <w:vAlign w:val="bottom"/>
            <w:shd w:val="clear" w:color="auto" w:fill="CCEEFF"/>
          </w:tcPr>
          <w:p>
            <w:pPr>
              <w:spacing w:after="0"/>
              <w:rPr>
                <w:sz w:val="12"/>
                <w:szCs w:val="12"/>
                <w:color w:val="auto"/>
              </w:rPr>
            </w:pPr>
          </w:p>
        </w:tc>
        <w:tc>
          <w:tcPr>
            <w:tcW w:w="1440" w:type="dxa"/>
            <w:vAlign w:val="bottom"/>
          </w:tcPr>
          <w:p>
            <w:pPr>
              <w:spacing w:after="0"/>
              <w:rPr>
                <w:sz w:val="12"/>
                <w:szCs w:val="12"/>
                <w:color w:val="auto"/>
              </w:rPr>
            </w:pPr>
          </w:p>
        </w:tc>
      </w:tr>
      <w:tr>
        <w:trPr>
          <w:trHeight w:val="153"/>
        </w:trPr>
        <w:tc>
          <w:tcPr>
            <w:tcW w:w="1440" w:type="dxa"/>
            <w:vAlign w:val="bottom"/>
          </w:tcPr>
          <w:p>
            <w:pPr>
              <w:spacing w:after="0"/>
              <w:rPr>
                <w:sz w:val="13"/>
                <w:szCs w:val="13"/>
                <w:color w:val="auto"/>
              </w:rPr>
            </w:pPr>
          </w:p>
        </w:tc>
        <w:tc>
          <w:tcPr>
            <w:tcW w:w="3020" w:type="dxa"/>
            <w:vAlign w:val="bottom"/>
            <w:gridSpan w:val="2"/>
          </w:tcPr>
          <w:p>
            <w:pPr>
              <w:spacing w:after="0"/>
              <w:rPr>
                <w:sz w:val="20"/>
                <w:szCs w:val="20"/>
                <w:color w:val="auto"/>
              </w:rPr>
            </w:pPr>
            <w:r>
              <w:rPr>
                <w:rFonts w:ascii="Arial" w:cs="Arial" w:eastAsia="Arial" w:hAnsi="Arial"/>
                <w:sz w:val="12"/>
                <w:szCs w:val="12"/>
                <w:color w:val="auto"/>
              </w:rPr>
              <w:t>Net income (loss)</w:t>
            </w:r>
          </w:p>
        </w:tc>
        <w:tc>
          <w:tcPr>
            <w:tcW w:w="780" w:type="dxa"/>
            <w:vAlign w:val="bottom"/>
            <w:gridSpan w:val="2"/>
          </w:tcPr>
          <w:p>
            <w:pPr>
              <w:jc w:val="right"/>
              <w:ind w:right="240"/>
              <w:spacing w:after="0"/>
              <w:rPr>
                <w:sz w:val="20"/>
                <w:szCs w:val="20"/>
                <w:color w:val="auto"/>
              </w:rPr>
            </w:pPr>
            <w:r>
              <w:rPr>
                <w:rFonts w:ascii="Arial" w:cs="Arial" w:eastAsia="Arial" w:hAnsi="Arial"/>
                <w:sz w:val="12"/>
                <w:szCs w:val="12"/>
                <w:color w:val="auto"/>
              </w:rPr>
              <w:t>(21.7 )</w:t>
            </w:r>
          </w:p>
        </w:tc>
        <w:tc>
          <w:tcPr>
            <w:tcW w:w="3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1.2</w:t>
            </w:r>
          </w:p>
        </w:tc>
        <w:tc>
          <w:tcPr>
            <w:tcW w:w="300" w:type="dxa"/>
            <w:vAlign w:val="bottom"/>
          </w:tcPr>
          <w:p>
            <w:pPr>
              <w:spacing w:after="0"/>
              <w:rPr>
                <w:sz w:val="13"/>
                <w:szCs w:val="13"/>
                <w:color w:val="auto"/>
              </w:rPr>
            </w:pPr>
          </w:p>
        </w:tc>
        <w:tc>
          <w:tcPr>
            <w:tcW w:w="1640" w:type="dxa"/>
            <w:vAlign w:val="bottom"/>
            <w:gridSpan w:val="2"/>
          </w:tcPr>
          <w:p>
            <w:pPr>
              <w:jc w:val="right"/>
              <w:ind w:right="260"/>
              <w:spacing w:after="0"/>
              <w:rPr>
                <w:sz w:val="20"/>
                <w:szCs w:val="20"/>
                <w:color w:val="auto"/>
              </w:rPr>
            </w:pPr>
            <w:r>
              <w:rPr>
                <w:rFonts w:ascii="Arial" w:cs="Arial" w:eastAsia="Arial" w:hAnsi="Arial"/>
                <w:sz w:val="12"/>
                <w:szCs w:val="12"/>
                <w:color w:val="auto"/>
              </w:rPr>
              <w:t>(17.1 )</w:t>
            </w:r>
          </w:p>
        </w:tc>
        <w:tc>
          <w:tcPr>
            <w:tcW w:w="380" w:type="dxa"/>
            <w:vAlign w:val="bottom"/>
          </w:tcPr>
          <w:p>
            <w:pPr>
              <w:spacing w:after="0"/>
              <w:rPr>
                <w:sz w:val="13"/>
                <w:szCs w:val="13"/>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2"/>
                <w:szCs w:val="12"/>
                <w:color w:val="auto"/>
              </w:rPr>
              <w:t>(0.1 )</w:t>
            </w:r>
          </w:p>
        </w:tc>
        <w:tc>
          <w:tcPr>
            <w:tcW w:w="1440" w:type="dxa"/>
            <w:vAlign w:val="bottom"/>
          </w:tcPr>
          <w:p>
            <w:pPr>
              <w:spacing w:after="0"/>
              <w:rPr>
                <w:sz w:val="13"/>
                <w:szCs w:val="13"/>
                <w:color w:val="auto"/>
              </w:rPr>
            </w:pPr>
          </w:p>
        </w:tc>
      </w:tr>
      <w:tr>
        <w:trPr>
          <w:trHeight w:val="378"/>
        </w:trPr>
        <w:tc>
          <w:tcPr>
            <w:tcW w:w="14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jc w:val="right"/>
              <w:ind w:right="720"/>
              <w:spacing w:after="0"/>
              <w:rPr>
                <w:sz w:val="20"/>
                <w:szCs w:val="20"/>
                <w:color w:val="auto"/>
              </w:rPr>
            </w:pPr>
            <w:r>
              <w:rPr>
                <w:rFonts w:ascii="Arial" w:cs="Arial" w:eastAsia="Arial" w:hAnsi="Arial"/>
                <w:sz w:val="12"/>
                <w:szCs w:val="12"/>
                <w:color w:val="auto"/>
              </w:rPr>
              <w:t>19</w:t>
            </w: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76"/>
        </w:trPr>
        <w:tc>
          <w:tcPr>
            <w:tcW w:w="1440" w:type="dxa"/>
            <w:vAlign w:val="bottom"/>
            <w:tcBorders>
              <w:bottom w:val="single" w:sz="8" w:color="808080"/>
            </w:tcBorders>
          </w:tcPr>
          <w:p>
            <w:pPr>
              <w:spacing w:after="0"/>
              <w:rPr>
                <w:sz w:val="6"/>
                <w:szCs w:val="6"/>
                <w:color w:val="auto"/>
              </w:rPr>
            </w:pPr>
          </w:p>
        </w:tc>
        <w:tc>
          <w:tcPr>
            <w:tcW w:w="2200" w:type="dxa"/>
            <w:vAlign w:val="bottom"/>
            <w:tcBorders>
              <w:bottom w:val="single" w:sz="8" w:color="808080"/>
            </w:tcBorders>
          </w:tcPr>
          <w:p>
            <w:pPr>
              <w:spacing w:after="0"/>
              <w:rPr>
                <w:sz w:val="6"/>
                <w:szCs w:val="6"/>
                <w:color w:val="auto"/>
              </w:rPr>
            </w:pPr>
          </w:p>
        </w:tc>
        <w:tc>
          <w:tcPr>
            <w:tcW w:w="820" w:type="dxa"/>
            <w:vAlign w:val="bottom"/>
            <w:tcBorders>
              <w:bottom w:val="single" w:sz="8" w:color="808080"/>
            </w:tcBorders>
          </w:tcPr>
          <w:p>
            <w:pPr>
              <w:spacing w:after="0"/>
              <w:rPr>
                <w:sz w:val="6"/>
                <w:szCs w:val="6"/>
                <w:color w:val="auto"/>
              </w:rPr>
            </w:pPr>
          </w:p>
        </w:tc>
        <w:tc>
          <w:tcPr>
            <w:tcW w:w="52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340" w:type="dxa"/>
            <w:vAlign w:val="bottom"/>
            <w:tcBorders>
              <w:bottom w:val="single" w:sz="8" w:color="808080"/>
            </w:tcBorders>
          </w:tcPr>
          <w:p>
            <w:pPr>
              <w:spacing w:after="0"/>
              <w:rPr>
                <w:sz w:val="6"/>
                <w:szCs w:val="6"/>
                <w:color w:val="auto"/>
              </w:rPr>
            </w:pPr>
          </w:p>
        </w:tc>
        <w:tc>
          <w:tcPr>
            <w:tcW w:w="1000" w:type="dxa"/>
            <w:vAlign w:val="bottom"/>
            <w:tcBorders>
              <w:bottom w:val="single" w:sz="8" w:color="808080"/>
            </w:tcBorders>
          </w:tcPr>
          <w:p>
            <w:pPr>
              <w:spacing w:after="0"/>
              <w:rPr>
                <w:sz w:val="6"/>
                <w:szCs w:val="6"/>
                <w:color w:val="auto"/>
              </w:rPr>
            </w:pPr>
          </w:p>
        </w:tc>
        <w:tc>
          <w:tcPr>
            <w:tcW w:w="300" w:type="dxa"/>
            <w:vAlign w:val="bottom"/>
            <w:tcBorders>
              <w:bottom w:val="single" w:sz="8" w:color="808080"/>
            </w:tcBorders>
          </w:tcPr>
          <w:p>
            <w:pPr>
              <w:spacing w:after="0"/>
              <w:rPr>
                <w:sz w:val="6"/>
                <w:szCs w:val="6"/>
                <w:color w:val="auto"/>
              </w:rPr>
            </w:pPr>
          </w:p>
        </w:tc>
        <w:tc>
          <w:tcPr>
            <w:tcW w:w="1340" w:type="dxa"/>
            <w:vAlign w:val="bottom"/>
            <w:tcBorders>
              <w:bottom w:val="single" w:sz="8" w:color="808080"/>
            </w:tcBorders>
          </w:tcPr>
          <w:p>
            <w:pPr>
              <w:spacing w:after="0"/>
              <w:rPr>
                <w:sz w:val="6"/>
                <w:szCs w:val="6"/>
                <w:color w:val="auto"/>
              </w:rPr>
            </w:pPr>
          </w:p>
        </w:tc>
        <w:tc>
          <w:tcPr>
            <w:tcW w:w="300" w:type="dxa"/>
            <w:vAlign w:val="bottom"/>
            <w:tcBorders>
              <w:bottom w:val="single" w:sz="8" w:color="808080"/>
            </w:tcBorders>
          </w:tcPr>
          <w:p>
            <w:pPr>
              <w:spacing w:after="0"/>
              <w:rPr>
                <w:sz w:val="6"/>
                <w:szCs w:val="6"/>
                <w:color w:val="auto"/>
              </w:rPr>
            </w:pPr>
          </w:p>
        </w:tc>
        <w:tc>
          <w:tcPr>
            <w:tcW w:w="380" w:type="dxa"/>
            <w:vAlign w:val="bottom"/>
            <w:tcBorders>
              <w:bottom w:val="single" w:sz="8" w:color="808080"/>
            </w:tcBorders>
          </w:tcPr>
          <w:p>
            <w:pPr>
              <w:spacing w:after="0"/>
              <w:rPr>
                <w:sz w:val="6"/>
                <w:szCs w:val="6"/>
                <w:color w:val="auto"/>
              </w:rPr>
            </w:pPr>
          </w:p>
        </w:tc>
        <w:tc>
          <w:tcPr>
            <w:tcW w:w="960" w:type="dxa"/>
            <w:vAlign w:val="bottom"/>
            <w:tcBorders>
              <w:bottom w:val="single" w:sz="8" w:color="808080"/>
            </w:tcBorders>
          </w:tcPr>
          <w:p>
            <w:pPr>
              <w:spacing w:after="0"/>
              <w:rPr>
                <w:sz w:val="6"/>
                <w:szCs w:val="6"/>
                <w:color w:val="auto"/>
              </w:rPr>
            </w:pPr>
          </w:p>
        </w:tc>
        <w:tc>
          <w:tcPr>
            <w:tcW w:w="180" w:type="dxa"/>
            <w:vAlign w:val="bottom"/>
            <w:tcBorders>
              <w:bottom w:val="single" w:sz="8" w:color="808080"/>
            </w:tcBorders>
          </w:tcPr>
          <w:p>
            <w:pPr>
              <w:spacing w:after="0"/>
              <w:rPr>
                <w:sz w:val="6"/>
                <w:szCs w:val="6"/>
                <w:color w:val="auto"/>
              </w:rPr>
            </w:pPr>
          </w:p>
        </w:tc>
        <w:tc>
          <w:tcPr>
            <w:tcW w:w="1440" w:type="dxa"/>
            <w:vAlign w:val="bottom"/>
            <w:tcBorders>
              <w:bottom w:val="single" w:sz="8" w:color="808080"/>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19" w:name="page20"/>
    <w:bookmarkEnd w:id="19"/>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THREE AND NINE MONTHS ENDED SEPTEMBER 30, 2012 AND 2011</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Revenues</w:t>
      </w:r>
    </w:p>
    <w:p>
      <w:pPr>
        <w:spacing w:after="0" w:line="154" w:lineRule="exact"/>
        <w:rPr>
          <w:sz w:val="20"/>
          <w:szCs w:val="20"/>
          <w:color w:val="auto"/>
        </w:rPr>
      </w:pPr>
    </w:p>
    <w:p>
      <w:pPr>
        <w:jc w:val="both"/>
        <w:ind w:right="20" w:firstLine="649"/>
        <w:spacing w:after="0" w:line="276" w:lineRule="auto"/>
        <w:rPr>
          <w:sz w:val="20"/>
          <w:szCs w:val="20"/>
          <w:color w:val="auto"/>
        </w:rPr>
      </w:pPr>
      <w:r>
        <w:rPr>
          <w:rFonts w:ascii="Arial" w:cs="Arial" w:eastAsia="Arial" w:hAnsi="Arial"/>
          <w:sz w:val="12"/>
          <w:szCs w:val="12"/>
          <w:color w:val="auto"/>
        </w:rPr>
        <w:t>Consolidated revenues of the Company and its subsidiaries, include sales of the Company’s scheduling software, human resource and time and attendance software, complementary hardware devices to enhance its software products, software maintenance and support services, installation and training services and other professional services.</w:t>
      </w:r>
    </w:p>
    <w:p>
      <w:pPr>
        <w:spacing w:after="0" w:line="115" w:lineRule="exact"/>
        <w:rPr>
          <w:sz w:val="20"/>
          <w:szCs w:val="20"/>
          <w:color w:val="auto"/>
        </w:rPr>
      </w:pPr>
    </w:p>
    <w:p>
      <w:pPr>
        <w:jc w:val="both"/>
        <w:ind w:right="20" w:firstLine="649"/>
        <w:spacing w:after="0" w:line="276" w:lineRule="auto"/>
        <w:rPr>
          <w:sz w:val="20"/>
          <w:szCs w:val="20"/>
          <w:color w:val="auto"/>
        </w:rPr>
      </w:pPr>
      <w:r>
        <w:rPr>
          <w:rFonts w:ascii="Arial" w:cs="Arial" w:eastAsia="Arial" w:hAnsi="Arial"/>
          <w:sz w:val="12"/>
          <w:szCs w:val="12"/>
          <w:color w:val="auto"/>
        </w:rPr>
        <w:t>Revenues for the three months ended September 30, 2012 were $5,659, an increase of $3,157 or 126.2%, from the $2,502 reported for the three months ended September 30, 2011. The increase was primarily due to $1,754 of revenues generated by PeopleCube acquired July 1, 2012 and $1,522 was due to acquisition of ADI Time and Legiant in the fourth quarter of 2011.</w:t>
      </w:r>
    </w:p>
    <w:p>
      <w:pPr>
        <w:spacing w:after="0" w:line="133" w:lineRule="exact"/>
        <w:rPr>
          <w:sz w:val="20"/>
          <w:szCs w:val="20"/>
          <w:color w:val="auto"/>
        </w:rPr>
      </w:pPr>
    </w:p>
    <w:p>
      <w:pPr>
        <w:jc w:val="both"/>
        <w:ind w:right="20" w:firstLine="680"/>
        <w:spacing w:after="0" w:line="276" w:lineRule="auto"/>
        <w:rPr>
          <w:sz w:val="20"/>
          <w:szCs w:val="20"/>
          <w:color w:val="auto"/>
        </w:rPr>
      </w:pPr>
      <w:r>
        <w:rPr>
          <w:rFonts w:ascii="Arial" w:cs="Arial" w:eastAsia="Arial" w:hAnsi="Arial"/>
          <w:sz w:val="12"/>
          <w:szCs w:val="12"/>
          <w:color w:val="auto"/>
        </w:rPr>
        <w:t>Revenues for the nine months ended September 30, 2012 were $14,017, an increase of $6,724 or 92.2%, from the $7,293 reported for the nine months ended September 30, 2011. The increase was primarily due to $4,995 of revenues generated by ADI Time and Legiant, acquired during the fourth quarter of 2011 and $1,754 of revenues generated by PeopleCube acquired on July 1, 2012.</w:t>
      </w:r>
    </w:p>
    <w:p>
      <w:pPr>
        <w:spacing w:after="0" w:line="133" w:lineRule="exact"/>
        <w:rPr>
          <w:sz w:val="20"/>
          <w:szCs w:val="20"/>
          <w:color w:val="auto"/>
        </w:rPr>
      </w:pPr>
    </w:p>
    <w:p>
      <w:pPr>
        <w:jc w:val="both"/>
        <w:ind w:firstLine="649"/>
        <w:spacing w:after="0" w:line="263" w:lineRule="auto"/>
        <w:rPr>
          <w:sz w:val="20"/>
          <w:szCs w:val="20"/>
          <w:color w:val="auto"/>
        </w:rPr>
      </w:pPr>
      <w:r>
        <w:rPr>
          <w:rFonts w:ascii="Arial" w:cs="Arial" w:eastAsia="Arial" w:hAnsi="Arial"/>
          <w:sz w:val="12"/>
          <w:szCs w:val="12"/>
          <w:color w:val="auto"/>
        </w:rPr>
        <w:t>Asure plans to continue to target small and medium businesses and divisions of enterprises. In addition to continuing to develop its workforce management solutions and release new software updates and enhancements, the Company is actively exploring other opportunities to acquire additional products or technologies to complement its current software and services. In 2011, the Company acquired ADI Time and Legiant to enhance both its channel delivery capabilities and its time and labor management technology.</w:t>
      </w:r>
    </w:p>
    <w:p>
      <w:pPr>
        <w:spacing w:after="0" w:line="141" w:lineRule="exact"/>
        <w:rPr>
          <w:sz w:val="20"/>
          <w:szCs w:val="20"/>
          <w:color w:val="auto"/>
        </w:rPr>
      </w:pPr>
    </w:p>
    <w:p>
      <w:pPr>
        <w:jc w:val="both"/>
        <w:ind w:firstLine="649"/>
        <w:spacing w:after="0" w:line="298" w:lineRule="auto"/>
        <w:rPr>
          <w:sz w:val="20"/>
          <w:szCs w:val="20"/>
          <w:color w:val="auto"/>
        </w:rPr>
      </w:pPr>
      <w:r>
        <w:rPr>
          <w:rFonts w:ascii="Arial" w:cs="Arial" w:eastAsia="Arial" w:hAnsi="Arial"/>
          <w:sz w:val="11"/>
          <w:szCs w:val="11"/>
          <w:color w:val="auto"/>
        </w:rPr>
        <w:t>The acquisition of PeopleCube on July 1, 2012 expands the AsureSpace product portfolio to bring customers global workspace management solutions uniquely designed to help customers manage complex scheduling and real estate needs. The software helps customers drive integrated facility management of offices, conference rooms, video conferencing, events &amp; training, alternative workspaces and lobby use. Features such as office hoteling management solutions, real estate management and rooms and resource management solutions are designed to enable to customers manage needs specific to their work environments.</w:t>
      </w:r>
    </w:p>
    <w:p>
      <w:pPr>
        <w:spacing w:after="0" w:line="123" w:lineRule="exact"/>
        <w:rPr>
          <w:sz w:val="20"/>
          <w:szCs w:val="20"/>
          <w:color w:val="auto"/>
        </w:rPr>
      </w:pPr>
    </w:p>
    <w:p>
      <w:pPr>
        <w:jc w:val="both"/>
        <w:ind w:firstLine="676"/>
        <w:spacing w:after="0" w:line="323" w:lineRule="auto"/>
        <w:rPr>
          <w:sz w:val="20"/>
          <w:szCs w:val="20"/>
          <w:color w:val="auto"/>
        </w:rPr>
      </w:pPr>
      <w:r>
        <w:rPr>
          <w:rFonts w:ascii="Arial" w:cs="Arial" w:eastAsia="Arial" w:hAnsi="Arial"/>
          <w:sz w:val="11"/>
          <w:szCs w:val="11"/>
          <w:color w:val="auto"/>
        </w:rPr>
        <w:t>Asure also is implementing marketing initiatives, including tailoring its solutions to provide increased value and a simplified purchasing model to targeted customers. As the overall workforce management solutions market continues to experience significant growth in related to software as a service (“SaaS”) products, Asure intends to continue to focus on sales of its MRM, PeopleCube, iEmployee and ADI SaaS –based products.</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Gross Margin</w:t>
      </w:r>
    </w:p>
    <w:p>
      <w:pPr>
        <w:spacing w:after="0" w:line="154" w:lineRule="exact"/>
        <w:rPr>
          <w:sz w:val="20"/>
          <w:szCs w:val="20"/>
          <w:color w:val="auto"/>
        </w:rPr>
      </w:pPr>
    </w:p>
    <w:p>
      <w:pPr>
        <w:jc w:val="both"/>
        <w:ind w:firstLine="649"/>
        <w:spacing w:after="0" w:line="263" w:lineRule="auto"/>
        <w:rPr>
          <w:sz w:val="20"/>
          <w:szCs w:val="20"/>
          <w:color w:val="auto"/>
        </w:rPr>
      </w:pPr>
      <w:r>
        <w:rPr>
          <w:rFonts w:ascii="Arial" w:cs="Arial" w:eastAsia="Arial" w:hAnsi="Arial"/>
          <w:sz w:val="12"/>
          <w:szCs w:val="12"/>
          <w:color w:val="auto"/>
        </w:rPr>
        <w:t>Gross margins for the three months ended September 30, 2012 were $4,723, an increase of $2,707, or 134.3%, from the $2,016 reported for the three months ended September 30, 2011. Gross margins as a percentage of revenues were 83.5% and 80.6% for the three months ended September 30, 2012 and 2011, respectively. The increase in gross margins of $2,707 is attributable to the acquisition of ADI Time and Legiant in the fourth quarter 2011 and PeopleCube at beginning of July 2012.</w:t>
      </w:r>
    </w:p>
    <w:p>
      <w:pPr>
        <w:spacing w:after="0" w:line="141" w:lineRule="exact"/>
        <w:rPr>
          <w:sz w:val="20"/>
          <w:szCs w:val="20"/>
          <w:color w:val="auto"/>
        </w:rPr>
      </w:pPr>
    </w:p>
    <w:p>
      <w:pPr>
        <w:jc w:val="both"/>
        <w:ind w:firstLine="689"/>
        <w:spacing w:after="0" w:line="276" w:lineRule="auto"/>
        <w:rPr>
          <w:sz w:val="20"/>
          <w:szCs w:val="20"/>
          <w:color w:val="auto"/>
        </w:rPr>
      </w:pPr>
      <w:r>
        <w:rPr>
          <w:rFonts w:ascii="Arial" w:cs="Arial" w:eastAsia="Arial" w:hAnsi="Arial"/>
          <w:sz w:val="12"/>
          <w:szCs w:val="12"/>
          <w:color w:val="auto"/>
        </w:rPr>
        <w:t>Gross margins for the nine months ended September 30, 2012 were $11,044, an increase of $5,114 or 86.2%, from the $5,930 reported for the nine months ended September 30, 2011. Gross margins as a percentage of revenues were 78.8% and 81.3% for the nine months ended September 30, 2012 and 2011, respectively.</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Selling, General and Administrative</w:t>
      </w:r>
    </w:p>
    <w:p>
      <w:pPr>
        <w:spacing w:after="0" w:line="154" w:lineRule="exact"/>
        <w:rPr>
          <w:sz w:val="20"/>
          <w:szCs w:val="20"/>
          <w:color w:val="auto"/>
        </w:rPr>
      </w:pPr>
    </w:p>
    <w:p>
      <w:pPr>
        <w:jc w:val="both"/>
        <w:ind w:firstLine="649"/>
        <w:spacing w:after="0" w:line="263" w:lineRule="auto"/>
        <w:rPr>
          <w:sz w:val="20"/>
          <w:szCs w:val="20"/>
          <w:color w:val="auto"/>
        </w:rPr>
      </w:pPr>
      <w:r>
        <w:rPr>
          <w:rFonts w:ascii="Arial" w:cs="Arial" w:eastAsia="Arial" w:hAnsi="Arial"/>
          <w:sz w:val="12"/>
          <w:szCs w:val="12"/>
          <w:color w:val="auto"/>
        </w:rPr>
        <w:t>Selling, general and administrative (“SG&amp;A”) expenses for the three months ended September 30, 2012 were $3,975, an increase of $2,449 or 160.5%, from the $1,526 reported for the three months ended September 30, 2011. SG&amp;A expenses as a percentage of revenues were 70.2% and 61.0% for the three months ended September 30, 2012 and 2011, respectively. The increase of $2,449 was also driven by increase of $397 due to acquisition of ADI Time and Legiant in the fourth quarter of 2011 and $1,906 due to the acquisition of PeopleCube acquired on 1st July, 2012.</w:t>
      </w:r>
    </w:p>
    <w:p>
      <w:pPr>
        <w:spacing w:after="0" w:line="123" w:lineRule="exact"/>
        <w:rPr>
          <w:sz w:val="20"/>
          <w:szCs w:val="20"/>
          <w:color w:val="auto"/>
        </w:rPr>
      </w:pPr>
    </w:p>
    <w:p>
      <w:pPr>
        <w:jc w:val="both"/>
        <w:ind w:firstLine="649"/>
        <w:spacing w:after="0" w:line="298" w:lineRule="auto"/>
        <w:rPr>
          <w:sz w:val="20"/>
          <w:szCs w:val="20"/>
          <w:color w:val="auto"/>
        </w:rPr>
      </w:pPr>
      <w:r>
        <w:rPr>
          <w:rFonts w:ascii="Arial" w:cs="Arial" w:eastAsia="Arial" w:hAnsi="Arial"/>
          <w:sz w:val="11"/>
          <w:szCs w:val="11"/>
          <w:color w:val="auto"/>
        </w:rPr>
        <w:t>SG&amp;A expenses for the nine months ended September 30, 2012 were $8,443, an increase of $4,103 or 94.5%, from the $4,340 reported for the nine months ended September 30, 2011. SG&amp;A expenses as a percentage of revenues were 60.2% and 59.5% for the nine months ended September 30, 2012 and 2011, respectively. The increase of $4,103 was driven by the acquisition of ADI Time and Legiant in the fourth quarter of 2011 and the acquisition of PeopleCube on July 1, 2012. The remaining increase in SG&amp;A year over year is related to the increases in headcount, merit raises, and onetime acquisition costs related to professional and legal services.</w:t>
      </w:r>
    </w:p>
    <w:p>
      <w:pPr>
        <w:spacing w:after="0" w:line="123" w:lineRule="exact"/>
        <w:rPr>
          <w:sz w:val="20"/>
          <w:szCs w:val="20"/>
          <w:color w:val="auto"/>
        </w:rPr>
      </w:pPr>
    </w:p>
    <w:p>
      <w:pPr>
        <w:ind w:left="640"/>
        <w:spacing w:after="0"/>
        <w:rPr>
          <w:sz w:val="20"/>
          <w:szCs w:val="20"/>
          <w:color w:val="auto"/>
        </w:rPr>
      </w:pPr>
      <w:r>
        <w:rPr>
          <w:rFonts w:ascii="Arial" w:cs="Arial" w:eastAsia="Arial" w:hAnsi="Arial"/>
          <w:sz w:val="12"/>
          <w:szCs w:val="12"/>
          <w:color w:val="auto"/>
        </w:rPr>
        <w:t>Throughout its operations, Asure continues to evaluate any unnecessary SG&amp;A expenses and plans to further reduce expenses as appropriate.</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20" w:name="page21"/>
    <w:bookmarkEnd w:id="20"/>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Research and Development</w:t>
      </w:r>
    </w:p>
    <w:p>
      <w:pPr>
        <w:spacing w:after="0" w:line="154" w:lineRule="exact"/>
        <w:rPr>
          <w:sz w:val="20"/>
          <w:szCs w:val="20"/>
          <w:color w:val="auto"/>
        </w:rPr>
      </w:pPr>
    </w:p>
    <w:p>
      <w:pPr>
        <w:jc w:val="both"/>
        <w:ind w:firstLine="649"/>
        <w:spacing w:after="0" w:line="298" w:lineRule="auto"/>
        <w:rPr>
          <w:sz w:val="20"/>
          <w:szCs w:val="20"/>
          <w:color w:val="auto"/>
        </w:rPr>
      </w:pPr>
      <w:r>
        <w:rPr>
          <w:rFonts w:ascii="Arial" w:cs="Arial" w:eastAsia="Arial" w:hAnsi="Arial"/>
          <w:sz w:val="11"/>
          <w:szCs w:val="11"/>
          <w:color w:val="auto"/>
        </w:rPr>
        <w:t>Research and development (“R&amp;D”) expenses for the three months ended September 30, 2012 were $809, an increase of $443, or 121.0%, from the $366 reported for the three months ended September 30, 2011. R&amp;D expenses as a percentage of revenues were 14.3% and 14.6% for the three months ended September 30, 2012 and 2011, respectively. Of the total increase in R&amp;D expenses, $614 was driven by the acquisition of ADI Time and Legiant in the fourth quarter of 2011 and the acquisition of PeopleCube in July 2012 which was offset by decrease in salaries and rent expenses due to closure of India and Canada operations in 2012.</w:t>
      </w:r>
    </w:p>
    <w:p>
      <w:pPr>
        <w:spacing w:after="0" w:line="123" w:lineRule="exact"/>
        <w:rPr>
          <w:sz w:val="20"/>
          <w:szCs w:val="20"/>
          <w:color w:val="auto"/>
        </w:rPr>
      </w:pPr>
    </w:p>
    <w:p>
      <w:pPr>
        <w:jc w:val="both"/>
        <w:ind w:firstLine="682"/>
        <w:spacing w:after="0" w:line="263" w:lineRule="auto"/>
        <w:rPr>
          <w:sz w:val="20"/>
          <w:szCs w:val="20"/>
          <w:color w:val="auto"/>
        </w:rPr>
      </w:pPr>
      <w:r>
        <w:rPr>
          <w:rFonts w:ascii="Arial" w:cs="Arial" w:eastAsia="Arial" w:hAnsi="Arial"/>
          <w:sz w:val="12"/>
          <w:szCs w:val="12"/>
          <w:color w:val="auto"/>
        </w:rPr>
        <w:t>R&amp;D expenses for the nine months ended September 30, 2012 were $1,991, an increase of $841, or 73.1%, from the $1,150 reported for the nine months ended September 30, 2011. Research and development expenses as a percentage of revenues were 14.2% and 15.8% for the nine months ended September 30, 2012 and 2011, respectively. The $1,240 of the increase was due to acquisition of ADI Time and Legiant in the fourth quarter of 2011 and PeopleCube in July 2012 which was offset by decrease in salaries and rent expenses due to closure of India and Canada operations in 2012.</w:t>
      </w:r>
    </w:p>
    <w:p>
      <w:pPr>
        <w:spacing w:after="0" w:line="141" w:lineRule="exact"/>
        <w:rPr>
          <w:sz w:val="20"/>
          <w:szCs w:val="20"/>
          <w:color w:val="auto"/>
        </w:rPr>
      </w:pPr>
    </w:p>
    <w:p>
      <w:pPr>
        <w:jc w:val="both"/>
        <w:ind w:firstLine="649"/>
        <w:spacing w:after="0" w:line="259" w:lineRule="auto"/>
        <w:rPr>
          <w:sz w:val="20"/>
          <w:szCs w:val="20"/>
          <w:color w:val="auto"/>
        </w:rPr>
      </w:pPr>
      <w:r>
        <w:rPr>
          <w:rFonts w:ascii="Arial" w:cs="Arial" w:eastAsia="Arial" w:hAnsi="Arial"/>
          <w:sz w:val="12"/>
          <w:szCs w:val="12"/>
          <w:color w:val="auto"/>
        </w:rPr>
        <w:t>Asure continues to improve its products and technologies through organic improvements and through acquired intellectual property. The workforce product line continued to innovate by adding mobile solutions, world class SaaS hosting infrastructure and a proprietary time clock product set. The proprietary time clock product set includes multiple models which incorporate keypad and touch screen user interfaces, as well as proximity card, bar code card, and biometric data input. The workforce software product lines continued to evolve through quarterly feature releases and monthly maintenance releases. These product releases continued to serve client requests, and maintain in management’s view a technological edge with competition.</w:t>
      </w:r>
    </w:p>
    <w:p>
      <w:pPr>
        <w:spacing w:after="0" w:line="143" w:lineRule="exact"/>
        <w:rPr>
          <w:sz w:val="20"/>
          <w:szCs w:val="20"/>
          <w:color w:val="auto"/>
        </w:rPr>
      </w:pPr>
    </w:p>
    <w:p>
      <w:pPr>
        <w:jc w:val="both"/>
        <w:ind w:firstLine="649"/>
        <w:spacing w:after="0" w:line="276" w:lineRule="auto"/>
        <w:rPr>
          <w:sz w:val="20"/>
          <w:szCs w:val="20"/>
          <w:color w:val="auto"/>
        </w:rPr>
      </w:pPr>
      <w:r>
        <w:rPr>
          <w:rFonts w:ascii="Arial" w:cs="Arial" w:eastAsia="Arial" w:hAnsi="Arial"/>
          <w:sz w:val="12"/>
          <w:szCs w:val="12"/>
          <w:color w:val="auto"/>
        </w:rPr>
        <w:t>Additionally, Asure continues to develop Meeting Room Manager and released in June 2012 a new version that enhanced the Microsoft Outlook Plug-in, Web and Interactive LCD interfaces, allowed assigned delegates the ability to schedule meetings on behalf of others, and provided more sophisticated conflict resolution options for scheduling recurring meetings via Microsoft Outlook</w:t>
      </w:r>
    </w:p>
    <w:p>
      <w:pPr>
        <w:spacing w:after="0" w:line="115" w:lineRule="exact"/>
        <w:rPr>
          <w:sz w:val="20"/>
          <w:szCs w:val="20"/>
          <w:color w:val="auto"/>
        </w:rPr>
      </w:pPr>
    </w:p>
    <w:p>
      <w:pPr>
        <w:jc w:val="both"/>
        <w:ind w:right="20" w:firstLine="649"/>
        <w:spacing w:after="0" w:line="276" w:lineRule="auto"/>
        <w:rPr>
          <w:sz w:val="20"/>
          <w:szCs w:val="20"/>
          <w:color w:val="auto"/>
        </w:rPr>
      </w:pPr>
      <w:r>
        <w:rPr>
          <w:rFonts w:ascii="Arial" w:cs="Arial" w:eastAsia="Arial" w:hAnsi="Arial"/>
          <w:sz w:val="12"/>
          <w:szCs w:val="12"/>
          <w:color w:val="auto"/>
        </w:rPr>
        <w:t>Asure’s development efforts for future releases and enhancements are driven by feedback received from its existing and potential customers and by gauging market trends. Management believes it has the appropriate development team to design and further improve its workforce management solutions.</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Amortization of Intangible Assets in Operating Expenses</w:t>
      </w:r>
    </w:p>
    <w:p>
      <w:pPr>
        <w:spacing w:after="0" w:line="154" w:lineRule="exact"/>
        <w:rPr>
          <w:sz w:val="20"/>
          <w:szCs w:val="20"/>
          <w:color w:val="auto"/>
        </w:rPr>
      </w:pPr>
    </w:p>
    <w:p>
      <w:pPr>
        <w:jc w:val="both"/>
        <w:ind w:right="20" w:firstLine="649"/>
        <w:spacing w:after="0" w:line="276" w:lineRule="auto"/>
        <w:rPr>
          <w:sz w:val="20"/>
          <w:szCs w:val="20"/>
          <w:color w:val="auto"/>
        </w:rPr>
      </w:pPr>
      <w:r>
        <w:rPr>
          <w:rFonts w:ascii="Arial" w:cs="Arial" w:eastAsia="Arial" w:hAnsi="Arial"/>
          <w:sz w:val="12"/>
          <w:szCs w:val="12"/>
          <w:color w:val="auto"/>
        </w:rPr>
        <w:t>Amortization expenses for the three months ended September 30, 2012 were $573, an increase of $423 or 282.0% from the $150 reported for the three months ended September 30, 2011. Amortization expenses as a percentage of revenues were 10.1% and 6.0% for the three months ended September 30, 2012 and 2011, respectively.</w:t>
      </w:r>
    </w:p>
    <w:p>
      <w:pPr>
        <w:spacing w:after="0" w:line="133" w:lineRule="exact"/>
        <w:rPr>
          <w:sz w:val="20"/>
          <w:szCs w:val="20"/>
          <w:color w:val="auto"/>
        </w:rPr>
      </w:pPr>
    </w:p>
    <w:p>
      <w:pPr>
        <w:jc w:val="both"/>
        <w:ind w:firstLine="649"/>
        <w:spacing w:after="0" w:line="263" w:lineRule="auto"/>
        <w:rPr>
          <w:sz w:val="20"/>
          <w:szCs w:val="20"/>
          <w:color w:val="auto"/>
        </w:rPr>
      </w:pPr>
      <w:r>
        <w:rPr>
          <w:rFonts w:ascii="Arial" w:cs="Arial" w:eastAsia="Arial" w:hAnsi="Arial"/>
          <w:sz w:val="12"/>
          <w:szCs w:val="12"/>
          <w:color w:val="auto"/>
        </w:rPr>
        <w:t>Amortization expenses for the nine months ended September 30, 2012 were $1,158, an increase of $709 or 157.9% compared to $449, reported for the nine months ended September 30, 2011. Amortization expenses as a percentage of revenues were 8.3% and 6.2% for the nine months ended September 30, 2012 and 2011, respectively. The increase in amortization expense relate to the acquisition of ADI Time and Legiant in the fourth quarter of 2011 and PeopleCube in July 2012.</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Income Tax Expense</w:t>
      </w:r>
    </w:p>
    <w:p>
      <w:pPr>
        <w:spacing w:after="0" w:line="154" w:lineRule="exact"/>
        <w:rPr>
          <w:sz w:val="20"/>
          <w:szCs w:val="20"/>
          <w:color w:val="auto"/>
        </w:rPr>
      </w:pPr>
    </w:p>
    <w:p>
      <w:pPr>
        <w:jc w:val="both"/>
        <w:ind w:firstLine="649"/>
        <w:spacing w:after="0" w:line="276" w:lineRule="auto"/>
        <w:rPr>
          <w:sz w:val="20"/>
          <w:szCs w:val="20"/>
          <w:color w:val="auto"/>
        </w:rPr>
      </w:pPr>
      <w:r>
        <w:rPr>
          <w:rFonts w:ascii="Arial" w:cs="Arial" w:eastAsia="Arial" w:hAnsi="Arial"/>
          <w:sz w:val="12"/>
          <w:szCs w:val="12"/>
          <w:color w:val="auto"/>
        </w:rPr>
        <w:t>Income tax expense for the three months ended September 30, 2012 was $30, an increase of $21 from the $9 reported for the three months ended September 30, 2011, respectively. The increase in income tax expense is due primarily to the tax effect of amortization of tax deductible goodwill.</w:t>
      </w:r>
    </w:p>
    <w:p>
      <w:pPr>
        <w:spacing w:after="0" w:line="115" w:lineRule="exact"/>
        <w:rPr>
          <w:sz w:val="20"/>
          <w:szCs w:val="20"/>
          <w:color w:val="auto"/>
        </w:rPr>
      </w:pPr>
    </w:p>
    <w:p>
      <w:pPr>
        <w:jc w:val="both"/>
        <w:ind w:right="20" w:firstLine="649"/>
        <w:spacing w:after="0" w:line="276" w:lineRule="auto"/>
        <w:rPr>
          <w:sz w:val="20"/>
          <w:szCs w:val="20"/>
          <w:color w:val="auto"/>
        </w:rPr>
      </w:pPr>
      <w:r>
        <w:rPr>
          <w:rFonts w:ascii="Arial" w:cs="Arial" w:eastAsia="Arial" w:hAnsi="Arial"/>
          <w:sz w:val="12"/>
          <w:szCs w:val="12"/>
          <w:color w:val="auto"/>
        </w:rPr>
        <w:t>Income tax expense for the nine months ended September 30, 2012 was $196, an increase of $166 from the $30 reported for the nine months ended September 30, 2011, respectively. The increase in income tax expense is due primarily to tax effect of amortization of goodwill and a one-time charge of $60 for income taxes associated with closing the Company’s India operations.</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Other Income and Expense</w:t>
      </w:r>
    </w:p>
    <w:p>
      <w:pPr>
        <w:spacing w:after="0" w:line="154" w:lineRule="exact"/>
        <w:rPr>
          <w:sz w:val="20"/>
          <w:szCs w:val="20"/>
          <w:color w:val="auto"/>
        </w:rPr>
      </w:pPr>
    </w:p>
    <w:p>
      <w:pPr>
        <w:jc w:val="both"/>
        <w:ind w:right="20" w:firstLine="649"/>
        <w:spacing w:after="0" w:line="323" w:lineRule="auto"/>
        <w:rPr>
          <w:sz w:val="20"/>
          <w:szCs w:val="20"/>
          <w:color w:val="auto"/>
        </w:rPr>
      </w:pPr>
      <w:r>
        <w:rPr>
          <w:rFonts w:ascii="Arial" w:cs="Arial" w:eastAsia="Arial" w:hAnsi="Arial"/>
          <w:sz w:val="11"/>
          <w:szCs w:val="11"/>
          <w:color w:val="auto"/>
        </w:rPr>
        <w:t>Other expense for the three months ended September 30, 2012 was $564, an increase of $628 from the $64 reported for the three months ended September 30, 2011. Other expense as a percentage of revenues was 10.0% and 2.6% for the three months ended September 30, 2012 and 2011, respectively. The increase is due to interest on the senior notes payable of $354 in the three months ended September 30, 2012.</w:t>
      </w:r>
    </w:p>
    <w:p>
      <w:pPr>
        <w:spacing w:after="0" w:line="92" w:lineRule="exact"/>
        <w:rPr>
          <w:sz w:val="20"/>
          <w:szCs w:val="20"/>
          <w:color w:val="auto"/>
        </w:rPr>
      </w:pPr>
    </w:p>
    <w:p>
      <w:pPr>
        <w:jc w:val="both"/>
        <w:ind w:right="20" w:firstLine="683"/>
        <w:spacing w:after="0" w:line="276" w:lineRule="auto"/>
        <w:rPr>
          <w:sz w:val="20"/>
          <w:szCs w:val="20"/>
          <w:color w:val="auto"/>
        </w:rPr>
      </w:pPr>
      <w:r>
        <w:rPr>
          <w:rFonts w:ascii="Arial" w:cs="Arial" w:eastAsia="Arial" w:hAnsi="Arial"/>
          <w:sz w:val="12"/>
          <w:szCs w:val="12"/>
          <w:color w:val="auto"/>
        </w:rPr>
        <w:t>Other expense for the nine months ended September 30, 2012 was $1,655, an increase of $1,690 from the $35 reported for the nine months ended September 30, 2011. Other expense as a percentage of revenues was 11.8% and 0.5% for the nine months ended September 30, 2012 and 2011, respectively.</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21" w:name="page22"/>
    <w:bookmarkEnd w:id="21"/>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14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Net Loss</w:t>
      </w:r>
    </w:p>
    <w:p>
      <w:pPr>
        <w:spacing w:after="0" w:line="154" w:lineRule="exact"/>
        <w:rPr>
          <w:sz w:val="20"/>
          <w:szCs w:val="20"/>
          <w:color w:val="auto"/>
        </w:rPr>
      </w:pPr>
    </w:p>
    <w:p>
      <w:pPr>
        <w:jc w:val="both"/>
        <w:ind w:firstLine="649"/>
        <w:spacing w:after="0" w:line="263" w:lineRule="auto"/>
        <w:rPr>
          <w:sz w:val="20"/>
          <w:szCs w:val="20"/>
          <w:color w:val="auto"/>
        </w:rPr>
      </w:pPr>
      <w:r>
        <w:rPr>
          <w:rFonts w:ascii="Arial" w:cs="Arial" w:eastAsia="Arial" w:hAnsi="Arial"/>
          <w:sz w:val="12"/>
          <w:szCs w:val="12"/>
          <w:color w:val="auto"/>
        </w:rPr>
        <w:t>Asure generated a net loss of $1,228, or $(0.23) per share, during the three months ended September 30, 2012, compared to a net income of $29 or $0.01 per share reported for the three months ended September 30, 2011. Net loss as a percentage of total revenues were 21.7% for the three months ended September 30, 2012 compared to net income of 1.2% for the three months ended September 30, 2011. The net loss in Q3-12 was primarily to one-time expenses related to the acquisition of PeopleCube and Interest expenses of $520 on loans.</w:t>
      </w:r>
    </w:p>
    <w:p>
      <w:pPr>
        <w:spacing w:after="0" w:line="123" w:lineRule="exact"/>
        <w:rPr>
          <w:sz w:val="20"/>
          <w:szCs w:val="20"/>
          <w:color w:val="auto"/>
        </w:rPr>
      </w:pPr>
    </w:p>
    <w:p>
      <w:pPr>
        <w:jc w:val="both"/>
        <w:ind w:firstLine="672"/>
        <w:spacing w:after="0" w:line="276" w:lineRule="auto"/>
        <w:rPr>
          <w:sz w:val="20"/>
          <w:szCs w:val="20"/>
          <w:color w:val="auto"/>
        </w:rPr>
      </w:pPr>
      <w:r>
        <w:rPr>
          <w:rFonts w:ascii="Arial" w:cs="Arial" w:eastAsia="Arial" w:hAnsi="Arial"/>
          <w:sz w:val="12"/>
          <w:szCs w:val="12"/>
          <w:color w:val="auto"/>
        </w:rPr>
        <w:t>Asure generated a net loss of $2,399, or $(0.48) per share, during the nine months ended September 30, 2012, compared to a net loss of $4 or $(0.00) per share reported for the nine months ended September 30, 2011. Net loss as a percentage of total revenues were 17.1 % and 0.1% for the nine months ended September 30, 2012 and 2011, respectively.</w:t>
      </w:r>
    </w:p>
    <w:p>
      <w:pPr>
        <w:spacing w:after="0" w:line="115" w:lineRule="exact"/>
        <w:rPr>
          <w:sz w:val="20"/>
          <w:szCs w:val="20"/>
          <w:color w:val="auto"/>
        </w:rPr>
      </w:pPr>
    </w:p>
    <w:p>
      <w:pPr>
        <w:jc w:val="both"/>
        <w:ind w:right="20" w:firstLine="649"/>
        <w:spacing w:after="0" w:line="263" w:lineRule="auto"/>
        <w:rPr>
          <w:sz w:val="20"/>
          <w:szCs w:val="20"/>
          <w:color w:val="auto"/>
        </w:rPr>
      </w:pPr>
      <w:r>
        <w:rPr>
          <w:rFonts w:ascii="Arial" w:cs="Arial" w:eastAsia="Arial" w:hAnsi="Arial"/>
          <w:sz w:val="12"/>
          <w:szCs w:val="12"/>
          <w:color w:val="auto"/>
        </w:rPr>
        <w:t>Asure intends to continue to implement its corporate strategy for growing its software and services business by modestly investing in areas that directly generate revenue and positive cash flows for the Company. However, uncertainties and challenges remain, especially during this macroeconomic environment downturn, and there can be no assurance that the Company can successfully grow its revenues or achieve profitability during the remainder of fiscal year 2012.</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5380" w:type="dxa"/>
            <w:vAlign w:val="bottom"/>
            <w:gridSpan w:val="2"/>
          </w:tcPr>
          <w:p>
            <w:pPr>
              <w:spacing w:after="0"/>
              <w:rPr>
                <w:sz w:val="20"/>
                <w:szCs w:val="20"/>
                <w:color w:val="auto"/>
              </w:rPr>
            </w:pPr>
            <w:r>
              <w:rPr>
                <w:rFonts w:ascii="Arial" w:cs="Arial" w:eastAsia="Arial" w:hAnsi="Arial"/>
                <w:sz w:val="12"/>
                <w:szCs w:val="12"/>
                <w:b w:val="1"/>
                <w:bCs w:val="1"/>
                <w:color w:val="auto"/>
              </w:rPr>
              <w:t>LIQUIDITY AND CAPITAL RESOURCES</w:t>
            </w:r>
          </w:p>
        </w:tc>
        <w:tc>
          <w:tcPr>
            <w:tcW w:w="15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5"/>
        </w:trPr>
        <w:tc>
          <w:tcPr>
            <w:tcW w:w="1440" w:type="dxa"/>
            <w:vAlign w:val="bottom"/>
          </w:tcPr>
          <w:p>
            <w:pPr>
              <w:spacing w:after="0"/>
              <w:rPr>
                <w:sz w:val="23"/>
                <w:szCs w:val="23"/>
                <w:color w:val="auto"/>
              </w:rPr>
            </w:pPr>
          </w:p>
        </w:tc>
        <w:tc>
          <w:tcPr>
            <w:tcW w:w="39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2560" w:type="dxa"/>
            <w:vAlign w:val="bottom"/>
            <w:gridSpan w:val="4"/>
          </w:tcPr>
          <w:p>
            <w:pPr>
              <w:jc w:val="center"/>
              <w:ind w:left="140"/>
              <w:spacing w:after="0"/>
              <w:rPr>
                <w:sz w:val="20"/>
                <w:szCs w:val="20"/>
                <w:color w:val="auto"/>
              </w:rPr>
            </w:pPr>
            <w:r>
              <w:rPr>
                <w:rFonts w:ascii="Arial" w:cs="Arial" w:eastAsia="Arial" w:hAnsi="Arial"/>
                <w:sz w:val="12"/>
                <w:szCs w:val="12"/>
                <w:b w:val="1"/>
                <w:bCs w:val="1"/>
                <w:color w:val="auto"/>
              </w:rPr>
              <w:t>FOR THE NINE MONTHS ENDED</w:t>
            </w: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7"/>
        </w:trPr>
        <w:tc>
          <w:tcPr>
            <w:tcW w:w="144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gridSpan w:val="3"/>
          </w:tcPr>
          <w:p>
            <w:pPr>
              <w:jc w:val="center"/>
              <w:ind w:right="580"/>
              <w:spacing w:after="0"/>
              <w:rPr>
                <w:sz w:val="20"/>
                <w:szCs w:val="20"/>
                <w:color w:val="auto"/>
              </w:rPr>
            </w:pPr>
            <w:r>
              <w:rPr>
                <w:rFonts w:ascii="Arial" w:cs="Arial" w:eastAsia="Arial" w:hAnsi="Arial"/>
                <w:sz w:val="12"/>
                <w:szCs w:val="12"/>
                <w:b w:val="1"/>
                <w:bCs w:val="1"/>
                <w:color w:val="auto"/>
                <w:w w:val="97"/>
              </w:rPr>
              <w:t>SEPTEMBER 30,</w:t>
            </w:r>
          </w:p>
        </w:tc>
        <w:tc>
          <w:tcPr>
            <w:tcW w:w="4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44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2012</w:t>
            </w:r>
          </w:p>
        </w:tc>
        <w:tc>
          <w:tcPr>
            <w:tcW w:w="54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b w:val="1"/>
                <w:bCs w:val="1"/>
                <w:color w:val="auto"/>
              </w:rPr>
              <w:t>2011</w:t>
            </w:r>
          </w:p>
        </w:tc>
        <w:tc>
          <w:tcPr>
            <w:tcW w:w="4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144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720" w:type="dxa"/>
            <w:vAlign w:val="bottom"/>
            <w:gridSpan w:val="3"/>
          </w:tcPr>
          <w:p>
            <w:pPr>
              <w:jc w:val="center"/>
              <w:ind w:right="600"/>
              <w:spacing w:after="0"/>
              <w:rPr>
                <w:sz w:val="20"/>
                <w:szCs w:val="20"/>
                <w:color w:val="auto"/>
              </w:rPr>
            </w:pPr>
            <w:r>
              <w:rPr>
                <w:rFonts w:ascii="Arial" w:cs="Arial" w:eastAsia="Arial" w:hAnsi="Arial"/>
                <w:sz w:val="12"/>
                <w:szCs w:val="12"/>
                <w:b w:val="1"/>
                <w:bCs w:val="1"/>
                <w:color w:val="auto"/>
                <w:w w:val="89"/>
              </w:rPr>
              <w:t>(in thousands)</w:t>
            </w: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1440" w:type="dxa"/>
            <w:vAlign w:val="bottom"/>
            <w:vMerge w:val="restart"/>
          </w:tcPr>
          <w:p>
            <w:pPr>
              <w:spacing w:after="0"/>
              <w:rPr>
                <w:sz w:val="11"/>
                <w:szCs w:val="11"/>
                <w:color w:val="auto"/>
              </w:rPr>
            </w:pPr>
          </w:p>
        </w:tc>
        <w:tc>
          <w:tcPr>
            <w:tcW w:w="39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440" w:type="dxa"/>
            <w:vAlign w:val="bottom"/>
            <w:vMerge w:val="continue"/>
          </w:tcPr>
          <w:p>
            <w:pPr>
              <w:spacing w:after="0"/>
              <w:rPr>
                <w:sz w:val="12"/>
                <w:szCs w:val="12"/>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2"/>
                <w:szCs w:val="12"/>
                <w:color w:val="auto"/>
              </w:rPr>
              <w:t>Working capital</w:t>
            </w:r>
          </w:p>
        </w:tc>
        <w:tc>
          <w:tcPr>
            <w:tcW w:w="2360" w:type="dxa"/>
            <w:vAlign w:val="bottom"/>
            <w:gridSpan w:val="2"/>
            <w:shd w:val="clear" w:color="auto" w:fill="CCEEFF"/>
          </w:tcPr>
          <w:p>
            <w:pPr>
              <w:jc w:val="right"/>
              <w:ind w:right="720"/>
              <w:spacing w:after="0"/>
              <w:rPr>
                <w:sz w:val="20"/>
                <w:szCs w:val="20"/>
                <w:color w:val="auto"/>
              </w:rPr>
            </w:pPr>
            <w:r>
              <w:rPr>
                <w:rFonts w:ascii="Arial" w:cs="Arial" w:eastAsia="Arial" w:hAnsi="Arial"/>
                <w:sz w:val="12"/>
                <w:szCs w:val="12"/>
                <w:color w:val="auto"/>
              </w:rPr>
              <w:t>$</w:t>
            </w:r>
          </w:p>
        </w:tc>
        <w:tc>
          <w:tcPr>
            <w:tcW w:w="1720" w:type="dxa"/>
            <w:vAlign w:val="bottom"/>
            <w:gridSpan w:val="3"/>
            <w:shd w:val="clear" w:color="auto" w:fill="CCEEFF"/>
          </w:tcPr>
          <w:p>
            <w:pPr>
              <w:jc w:val="right"/>
              <w:ind w:right="800"/>
              <w:spacing w:after="0"/>
              <w:rPr>
                <w:sz w:val="20"/>
                <w:szCs w:val="20"/>
                <w:color w:val="auto"/>
              </w:rPr>
            </w:pPr>
            <w:r>
              <w:rPr>
                <w:rFonts w:ascii="Arial" w:cs="Arial" w:eastAsia="Arial" w:hAnsi="Arial"/>
                <w:sz w:val="12"/>
                <w:szCs w:val="12"/>
                <w:color w:val="auto"/>
              </w:rPr>
              <w:t>(6,674 )    $</w:t>
            </w: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3,235</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440" w:type="dxa"/>
            <w:vAlign w:val="bottom"/>
          </w:tcPr>
          <w:p>
            <w:pPr>
              <w:spacing w:after="0"/>
              <w:rPr>
                <w:sz w:val="12"/>
                <w:szCs w:val="12"/>
                <w:color w:val="auto"/>
              </w:rPr>
            </w:pPr>
          </w:p>
        </w:tc>
        <w:tc>
          <w:tcPr>
            <w:tcW w:w="3940" w:type="dxa"/>
            <w:vAlign w:val="bottom"/>
          </w:tcPr>
          <w:p>
            <w:pPr>
              <w:spacing w:after="0"/>
              <w:rPr>
                <w:sz w:val="20"/>
                <w:szCs w:val="20"/>
                <w:color w:val="auto"/>
              </w:rPr>
            </w:pPr>
            <w:r>
              <w:rPr>
                <w:rFonts w:ascii="Arial" w:cs="Arial" w:eastAsia="Arial" w:hAnsi="Arial"/>
                <w:sz w:val="12"/>
                <w:szCs w:val="12"/>
                <w:color w:val="auto"/>
              </w:rPr>
              <w:t>Cash, cash equivalents and short-term investments</w:t>
            </w:r>
          </w:p>
        </w:tc>
        <w:tc>
          <w:tcPr>
            <w:tcW w:w="15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2,746</w:t>
            </w: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6,082</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440" w:type="dxa"/>
            <w:vAlign w:val="bottom"/>
          </w:tcPr>
          <w:p>
            <w:pPr>
              <w:spacing w:after="0"/>
              <w:rPr>
                <w:sz w:val="12"/>
                <w:szCs w:val="12"/>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2"/>
                <w:szCs w:val="12"/>
                <w:color w:val="auto"/>
              </w:rPr>
              <w:t>Cash provided/(used) in operating activities</w:t>
            </w:r>
          </w:p>
        </w:tc>
        <w:tc>
          <w:tcPr>
            <w:tcW w:w="15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1,417</w:t>
            </w: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1,819</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440" w:type="dxa"/>
            <w:vAlign w:val="bottom"/>
          </w:tcPr>
          <w:p>
            <w:pPr>
              <w:spacing w:after="0"/>
              <w:rPr>
                <w:sz w:val="12"/>
                <w:szCs w:val="12"/>
                <w:color w:val="auto"/>
              </w:rPr>
            </w:pPr>
          </w:p>
        </w:tc>
        <w:tc>
          <w:tcPr>
            <w:tcW w:w="3940" w:type="dxa"/>
            <w:vAlign w:val="bottom"/>
          </w:tcPr>
          <w:p>
            <w:pPr>
              <w:spacing w:after="0"/>
              <w:rPr>
                <w:sz w:val="20"/>
                <w:szCs w:val="20"/>
                <w:color w:val="auto"/>
              </w:rPr>
            </w:pPr>
            <w:r>
              <w:rPr>
                <w:rFonts w:ascii="Arial" w:cs="Arial" w:eastAsia="Arial" w:hAnsi="Arial"/>
                <w:sz w:val="12"/>
                <w:szCs w:val="12"/>
                <w:color w:val="auto"/>
              </w:rPr>
              <w:t>Cash provided/(used) in investing activities</w:t>
            </w:r>
          </w:p>
        </w:tc>
        <w:tc>
          <w:tcPr>
            <w:tcW w:w="15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2"/>
                <w:szCs w:val="12"/>
                <w:color w:val="auto"/>
              </w:rPr>
              <w:t>(9,411 )</w:t>
            </w:r>
          </w:p>
        </w:tc>
        <w:tc>
          <w:tcPr>
            <w:tcW w:w="9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(60</w:t>
            </w:r>
          </w:p>
        </w:tc>
        <w:tc>
          <w:tcPr>
            <w:tcW w:w="140" w:type="dxa"/>
            <w:vAlign w:val="bottom"/>
            <w:gridSpan w:val="2"/>
          </w:tcPr>
          <w:p>
            <w:pPr>
              <w:jc w:val="right"/>
              <w:ind w:right="80"/>
              <w:spacing w:after="0"/>
              <w:rPr>
                <w:sz w:val="20"/>
                <w:szCs w:val="20"/>
                <w:color w:val="auto"/>
              </w:rPr>
            </w:pPr>
            <w:r>
              <w:rPr>
                <w:rFonts w:ascii="Arial" w:cs="Arial" w:eastAsia="Arial" w:hAnsi="Arial"/>
                <w:sz w:val="12"/>
                <w:szCs w:val="12"/>
                <w:color w:val="auto"/>
                <w:w w:val="98"/>
              </w:rPr>
              <w:t>)</w:t>
            </w:r>
          </w:p>
        </w:tc>
        <w:tc>
          <w:tcPr>
            <w:tcW w:w="0" w:type="dxa"/>
            <w:vAlign w:val="bottom"/>
          </w:tcPr>
          <w:p>
            <w:pPr>
              <w:spacing w:after="0"/>
              <w:rPr>
                <w:sz w:val="1"/>
                <w:szCs w:val="1"/>
                <w:color w:val="auto"/>
              </w:rPr>
            </w:pPr>
          </w:p>
        </w:tc>
      </w:tr>
      <w:tr>
        <w:trPr>
          <w:trHeight w:val="144"/>
        </w:trPr>
        <w:tc>
          <w:tcPr>
            <w:tcW w:w="1440" w:type="dxa"/>
            <w:vAlign w:val="bottom"/>
          </w:tcPr>
          <w:p>
            <w:pPr>
              <w:spacing w:after="0"/>
              <w:rPr>
                <w:sz w:val="12"/>
                <w:szCs w:val="12"/>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2"/>
                <w:szCs w:val="12"/>
                <w:color w:val="auto"/>
              </w:rPr>
              <w:t>Cash provided/(used) in financing activities</w:t>
            </w:r>
          </w:p>
        </w:tc>
        <w:tc>
          <w:tcPr>
            <w:tcW w:w="15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9,647</w:t>
            </w: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3,314</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jc w:val="both"/>
        <w:ind w:firstLine="649"/>
        <w:spacing w:after="0" w:line="276" w:lineRule="auto"/>
        <w:rPr>
          <w:sz w:val="20"/>
          <w:szCs w:val="20"/>
          <w:color w:val="auto"/>
        </w:rPr>
      </w:pPr>
      <w:r>
        <w:rPr>
          <w:rFonts w:ascii="Arial" w:cs="Arial" w:eastAsia="Arial" w:hAnsi="Arial"/>
          <w:sz w:val="12"/>
          <w:szCs w:val="12"/>
          <w:color w:val="auto"/>
        </w:rPr>
        <w:t>Working capital was ($6,674) on September 30, 2012, a decrease of $ 9,909 from $3,235 on September 30, 2011. The decrease was due to a decrease in cash $3,336 and an increase in deferred revenue $7,151 both attributable to the acquisition of ADI and Legiant in 2011 and PeopleCube in July 2012</w:t>
      </w:r>
    </w:p>
    <w:p>
      <w:pPr>
        <w:spacing w:after="0" w:line="115" w:lineRule="exact"/>
        <w:rPr>
          <w:sz w:val="20"/>
          <w:szCs w:val="20"/>
          <w:color w:val="auto"/>
        </w:rPr>
      </w:pPr>
    </w:p>
    <w:p>
      <w:pPr>
        <w:jc w:val="both"/>
        <w:ind w:firstLine="649"/>
        <w:spacing w:after="0" w:line="259" w:lineRule="auto"/>
        <w:rPr>
          <w:sz w:val="20"/>
          <w:szCs w:val="20"/>
          <w:color w:val="auto"/>
        </w:rPr>
      </w:pPr>
      <w:r>
        <w:rPr>
          <w:rFonts w:ascii="Arial" w:cs="Arial" w:eastAsia="Arial" w:hAnsi="Arial"/>
          <w:sz w:val="12"/>
          <w:szCs w:val="12"/>
          <w:color w:val="auto"/>
        </w:rPr>
        <w:t>Cash provided by operating activities was $1,417 for the nine months ended September 30, 2012 primarily due to non-cash loss on debt conversion of $198, depreciation and amortization of $1,574, interest expense on amortization of OID and derivative mark-to-market of $651, and an increase in deferred revenues of $1,184 on account of acquisitions. The increase was offset by a net loss of $2,399. Cash provided by operating activities was $1,819 for the nine months ended September 30, 2011 due to cash generated by operations of $3,007 offset primarily by a decrease of $1,199 in net loss, a decrease of lease liabilities of $758, an increase in the change in deferred revenue of $517, accrued expenses $120 and accounts payable $311.</w:t>
      </w:r>
    </w:p>
    <w:p>
      <w:pPr>
        <w:spacing w:after="0" w:line="125" w:lineRule="exact"/>
        <w:rPr>
          <w:sz w:val="20"/>
          <w:szCs w:val="20"/>
          <w:color w:val="auto"/>
        </w:rPr>
      </w:pPr>
    </w:p>
    <w:p>
      <w:pPr>
        <w:jc w:val="both"/>
        <w:ind w:firstLine="649"/>
        <w:spacing w:after="0" w:line="276" w:lineRule="auto"/>
        <w:rPr>
          <w:sz w:val="20"/>
          <w:szCs w:val="20"/>
          <w:color w:val="auto"/>
        </w:rPr>
      </w:pPr>
      <w:r>
        <w:rPr>
          <w:rFonts w:ascii="Arial" w:cs="Arial" w:eastAsia="Arial" w:hAnsi="Arial"/>
          <w:sz w:val="12"/>
          <w:szCs w:val="12"/>
          <w:color w:val="auto"/>
        </w:rPr>
        <w:t>Cash used in investing activities was $9,411 for the nine months ended September 30, 2012 due to acquisition of PeopleCube. Cash used in investing activities was $60 for the nine months ended September 30, 2011 due to net purchases of property and equipment.</w:t>
      </w:r>
    </w:p>
    <w:p>
      <w:pPr>
        <w:spacing w:after="0" w:line="115" w:lineRule="exact"/>
        <w:rPr>
          <w:sz w:val="20"/>
          <w:szCs w:val="20"/>
          <w:color w:val="auto"/>
        </w:rPr>
      </w:pPr>
    </w:p>
    <w:p>
      <w:pPr>
        <w:jc w:val="both"/>
        <w:ind w:firstLine="649"/>
        <w:spacing w:after="0" w:line="255" w:lineRule="auto"/>
        <w:rPr>
          <w:sz w:val="20"/>
          <w:szCs w:val="20"/>
          <w:color w:val="auto"/>
        </w:rPr>
      </w:pPr>
      <w:r>
        <w:rPr>
          <w:rFonts w:ascii="Arial" w:cs="Arial" w:eastAsia="Arial" w:hAnsi="Arial"/>
          <w:sz w:val="12"/>
          <w:szCs w:val="12"/>
          <w:color w:val="auto"/>
        </w:rPr>
        <w:t>Cash provided by financing activities was $9,647 for the nine months ended September 30, 2012, consisting principally of debt raised from the senior note payable for $14,500 million for the acquisition of PeopleCube in July, 2012 and to pay outstanding indebtedness under the 15% subordinated promissory notes due September 2014 (including partial interest and subordination consent payments of $134 to Patrick Goepel, our Chief Executive Officer, and $81 to Pinnacle Fund, which is controlled by David Sandberg, our Chairman of the Board of Directors) and the JPMorgan Chase Bank line of credit, and to pay transaction costs and expenses of the term loan and the acquisition. Cash provided by financing activities was $3,314 for the nine months ended September 30, 2011 primarily due to $2,850 debt issued for an acquisition and the $500 line of credit for working capital. Management believes it currently has sufficient cash and short-term investments on hand to fund its operations during the next twelve months and beyond without needing to obtain long-term financing. Therefore, the Company does not anticipate that it will be affected by any credit shortage in the current economic business environment.</w:t>
      </w:r>
    </w:p>
    <w:p>
      <w:pPr>
        <w:spacing w:after="0" w:line="129" w:lineRule="exact"/>
        <w:rPr>
          <w:sz w:val="20"/>
          <w:szCs w:val="20"/>
          <w:color w:val="auto"/>
        </w:rPr>
      </w:pPr>
    </w:p>
    <w:p>
      <w:pPr>
        <w:jc w:val="both"/>
        <w:ind w:firstLine="649"/>
        <w:spacing w:after="0" w:line="276" w:lineRule="auto"/>
        <w:rPr>
          <w:sz w:val="20"/>
          <w:szCs w:val="20"/>
          <w:color w:val="auto"/>
        </w:rPr>
      </w:pPr>
      <w:r>
        <w:rPr>
          <w:rFonts w:ascii="Arial" w:cs="Arial" w:eastAsia="Arial" w:hAnsi="Arial"/>
          <w:sz w:val="12"/>
          <w:szCs w:val="12"/>
          <w:color w:val="auto"/>
        </w:rPr>
        <w:t>The Company leases office space and equipment under non-cancelable operating leases that expire at various dates through 2015. Certain leases obligate Asure to pay property taxes, maintenance and insurance and include escalation clauses. Approximately $859 or 44.9% of the Company’s total operating lease obligations relate to its corporate office facility at Wild Basin in Austin, Texas.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22" w:name="page23"/>
    <w:bookmarkEnd w:id="22"/>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131" w:lineRule="exact"/>
        <w:rPr>
          <w:sz w:val="20"/>
          <w:szCs w:val="20"/>
          <w:color w:val="auto"/>
        </w:rPr>
      </w:pPr>
    </w:p>
    <w:p>
      <w:pPr>
        <w:ind w:left="640"/>
        <w:spacing w:after="0"/>
        <w:rPr>
          <w:sz w:val="20"/>
          <w:szCs w:val="20"/>
          <w:color w:val="auto"/>
        </w:rPr>
      </w:pPr>
      <w:r>
        <w:rPr>
          <w:rFonts w:ascii="Arial" w:cs="Arial" w:eastAsia="Arial" w:hAnsi="Arial"/>
          <w:sz w:val="12"/>
          <w:szCs w:val="12"/>
          <w:color w:val="auto"/>
        </w:rPr>
        <w:t>Management continues to evaluate and reduce any unnecessary expenditure, while continuing to closely monitor all of its cash sources and uses as it manages its operations.</w:t>
      </w:r>
    </w:p>
    <w:p>
      <w:pPr>
        <w:spacing w:after="0" w:line="150" w:lineRule="exact"/>
        <w:rPr>
          <w:sz w:val="20"/>
          <w:szCs w:val="20"/>
          <w:color w:val="auto"/>
        </w:rPr>
      </w:pPr>
    </w:p>
    <w:p>
      <w:pPr>
        <w:jc w:val="both"/>
        <w:ind w:firstLine="649"/>
        <w:spacing w:after="0" w:line="263" w:lineRule="auto"/>
        <w:rPr>
          <w:sz w:val="20"/>
          <w:szCs w:val="20"/>
          <w:color w:val="auto"/>
        </w:rPr>
      </w:pPr>
      <w:r>
        <w:rPr>
          <w:rFonts w:ascii="Arial" w:cs="Arial" w:eastAsia="Arial" w:hAnsi="Arial"/>
          <w:sz w:val="12"/>
          <w:szCs w:val="12"/>
          <w:color w:val="auto"/>
        </w:rPr>
        <w:t>Pursuant to Asure’s stock repurchase plan, the Company is allowed to repurchase up to 450 shares (adjusted for the 3 for 2 stock split) of the Company’s common stock. In total, Asure has repurchased 384 shares for approximately $5,000 over the life of the plan, including 65 shares (adjusted for 3 for 2 stock split) for $110 in 2010. Management will periodically assess repurchasing additional shares, depending on the Company’s cash position, market conditions and other factors.</w:t>
      </w:r>
    </w:p>
    <w:p>
      <w:pPr>
        <w:spacing w:after="0" w:line="123" w:lineRule="exact"/>
        <w:rPr>
          <w:sz w:val="20"/>
          <w:szCs w:val="20"/>
          <w:color w:val="auto"/>
        </w:rPr>
      </w:pPr>
    </w:p>
    <w:p>
      <w:pPr>
        <w:jc w:val="both"/>
        <w:ind w:firstLine="649"/>
        <w:spacing w:after="0" w:line="323" w:lineRule="auto"/>
        <w:rPr>
          <w:sz w:val="20"/>
          <w:szCs w:val="20"/>
          <w:color w:val="auto"/>
        </w:rPr>
      </w:pPr>
      <w:r>
        <w:rPr>
          <w:rFonts w:ascii="Arial" w:cs="Arial" w:eastAsia="Arial" w:hAnsi="Arial"/>
          <w:sz w:val="11"/>
          <w:szCs w:val="11"/>
          <w:color w:val="auto"/>
        </w:rPr>
        <w:t>As of September 30, 2012, Asure’s principal source of liquidity consisted of $2,746 of current cash and cash equivalents as well as future cash generated from operations. The Company continues to make effort to reduce expenses and thus may utilize its cash balances in the short-term to reduce long-term costs. The Company expects that it will be able to generate positive cash flows from operating activities for the remainder of 2012.</w:t>
      </w:r>
    </w:p>
    <w:p>
      <w:pPr>
        <w:spacing w:after="0" w:line="92" w:lineRule="exact"/>
        <w:rPr>
          <w:sz w:val="20"/>
          <w:szCs w:val="20"/>
          <w:color w:val="auto"/>
        </w:rPr>
      </w:pPr>
    </w:p>
    <w:p>
      <w:pPr>
        <w:jc w:val="both"/>
        <w:ind w:firstLine="649"/>
        <w:spacing w:after="0" w:line="263" w:lineRule="auto"/>
        <w:rPr>
          <w:sz w:val="20"/>
          <w:szCs w:val="20"/>
          <w:color w:val="auto"/>
        </w:rPr>
      </w:pPr>
      <w:r>
        <w:rPr>
          <w:rFonts w:ascii="Arial" w:cs="Arial" w:eastAsia="Arial" w:hAnsi="Arial"/>
          <w:sz w:val="12"/>
          <w:szCs w:val="12"/>
          <w:color w:val="auto"/>
        </w:rPr>
        <w:t>Effective July 1, 2012, Asure acquired Meeting Maker US, Inc (d/b/a "Peoplecube"). Peoplecube was NetSimplicity's largest competitor in the Meeting Room management industry. Asure issued $14,500 in new debt to fund this acquisition, in combination with paying down existing Asure and Peoplecube debt and paying onetime costs related to the acquisition. Asure's management expects this acquisition will result in an increase in EBITDA (Net Income before Interest, Taxes, Depreciation and Amortization and Stock Compensation expense) and free cash flow perspective; excluding onetime costs related to the acquisition.</w:t>
      </w:r>
    </w:p>
    <w:p>
      <w:pPr>
        <w:spacing w:after="0" w:line="123" w:lineRule="exact"/>
        <w:rPr>
          <w:sz w:val="20"/>
          <w:szCs w:val="20"/>
          <w:color w:val="auto"/>
        </w:rPr>
      </w:pPr>
    </w:p>
    <w:p>
      <w:pPr>
        <w:jc w:val="both"/>
        <w:ind w:firstLine="649"/>
        <w:spacing w:after="0" w:line="276" w:lineRule="auto"/>
        <w:rPr>
          <w:sz w:val="20"/>
          <w:szCs w:val="20"/>
          <w:color w:val="auto"/>
        </w:rPr>
      </w:pPr>
      <w:r>
        <w:rPr>
          <w:rFonts w:ascii="Arial" w:cs="Arial" w:eastAsia="Arial" w:hAnsi="Arial"/>
          <w:sz w:val="12"/>
          <w:szCs w:val="12"/>
          <w:color w:val="auto"/>
        </w:rPr>
        <w:t>Management is focused on growing its existing software operations and looking to make strategic acquisitions in the near future. In the short-term, any acquisitions will be funded with equity, cash on the balance sheet, cash from operations, and cash or debt raised from outside sources.</w:t>
      </w:r>
    </w:p>
    <w:p>
      <w:pPr>
        <w:spacing w:after="0" w:line="115" w:lineRule="exact"/>
        <w:rPr>
          <w:sz w:val="20"/>
          <w:szCs w:val="20"/>
          <w:color w:val="auto"/>
        </w:rPr>
      </w:pPr>
    </w:p>
    <w:p>
      <w:pPr>
        <w:jc w:val="both"/>
        <w:ind w:firstLine="649"/>
        <w:spacing w:after="0" w:line="259" w:lineRule="auto"/>
        <w:rPr>
          <w:sz w:val="20"/>
          <w:szCs w:val="20"/>
          <w:color w:val="auto"/>
        </w:rPr>
      </w:pPr>
      <w:r>
        <w:rPr>
          <w:rFonts w:ascii="Arial" w:cs="Arial" w:eastAsia="Arial" w:hAnsi="Arial"/>
          <w:sz w:val="12"/>
          <w:szCs w:val="12"/>
          <w:color w:val="auto"/>
        </w:rPr>
        <w:t>There is no assurance that the Company will be able to grow its cash balances or limit its cash consumption and thus maintain sufficient cash balances, and it is possible that the Company’s future business demands may lead to cash utilization at levels greater than recently experienced. Management believes that the Company has sufficient capital and liquidity to fund and cultivate the growth of its current and future operations for the next 12 months and thereafter. However, due to uncertainties related to the timing and costs of these efforts, Asure may need to raise additional capital in the future. Yet, there is no assurance that the Company will be able to raise additional capital if and when it is needed.</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CRITICAL ACCOUNTING POLICIES</w:t>
      </w:r>
    </w:p>
    <w:p>
      <w:pPr>
        <w:spacing w:after="0" w:line="154" w:lineRule="exact"/>
        <w:rPr>
          <w:sz w:val="20"/>
          <w:szCs w:val="20"/>
          <w:color w:val="auto"/>
        </w:rPr>
      </w:pPr>
    </w:p>
    <w:p>
      <w:pPr>
        <w:jc w:val="both"/>
        <w:ind w:right="20" w:firstLine="649"/>
        <w:spacing w:after="0" w:line="276" w:lineRule="auto"/>
        <w:rPr>
          <w:sz w:val="20"/>
          <w:szCs w:val="20"/>
          <w:color w:val="auto"/>
        </w:rPr>
      </w:pPr>
      <w:r>
        <w:rPr>
          <w:rFonts w:ascii="Arial" w:cs="Arial" w:eastAsia="Arial" w:hAnsi="Arial"/>
          <w:sz w:val="12"/>
          <w:szCs w:val="12"/>
          <w:color w:val="auto"/>
        </w:rPr>
        <w:t>There were no material changes to our critical accounting policies and estimates since December 31, 2011. For additional information on critical accounting policies, refer to “Management’s Discussion and Analysis” in our 2011 Annual Report on Form 10-K.</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3. QUANTITATIVE AND QUALITATIVE DISCLOSURES ABOUT MARKET RISK</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2"/>
          <w:szCs w:val="12"/>
          <w:color w:val="auto"/>
        </w:rPr>
        <w:t>The Company is a smaller reporting company as defined by Rule 12b-2 under the Exchange Act and is not required to provide the information required under this item.</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4. CONTROLS AND PROCEDURES</w:t>
      </w:r>
    </w:p>
    <w:p>
      <w:pPr>
        <w:spacing w:after="0" w:line="150" w:lineRule="exact"/>
        <w:rPr>
          <w:sz w:val="20"/>
          <w:szCs w:val="20"/>
          <w:color w:val="auto"/>
        </w:rPr>
      </w:pPr>
    </w:p>
    <w:p>
      <w:pPr>
        <w:ind w:left="640"/>
        <w:spacing w:after="0"/>
        <w:rPr>
          <w:sz w:val="20"/>
          <w:szCs w:val="20"/>
          <w:color w:val="auto"/>
        </w:rPr>
      </w:pPr>
      <w:r>
        <w:rPr>
          <w:rFonts w:ascii="Arial" w:cs="Arial" w:eastAsia="Arial" w:hAnsi="Arial"/>
          <w:sz w:val="12"/>
          <w:szCs w:val="12"/>
          <w:b w:val="1"/>
          <w:bCs w:val="1"/>
          <w:color w:val="auto"/>
        </w:rPr>
        <w:t>Evaluation of Disclosure Control and Procedures</w:t>
      </w:r>
    </w:p>
    <w:p>
      <w:pPr>
        <w:spacing w:after="0" w:line="154" w:lineRule="exact"/>
        <w:rPr>
          <w:sz w:val="20"/>
          <w:szCs w:val="20"/>
          <w:color w:val="auto"/>
        </w:rPr>
      </w:pPr>
    </w:p>
    <w:p>
      <w:pPr>
        <w:jc w:val="both"/>
        <w:ind w:firstLine="649"/>
        <w:spacing w:after="0" w:line="257" w:lineRule="auto"/>
        <w:rPr>
          <w:sz w:val="20"/>
          <w:szCs w:val="20"/>
          <w:color w:val="auto"/>
        </w:rPr>
      </w:pPr>
      <w:r>
        <w:rPr>
          <w:rFonts w:ascii="Arial" w:cs="Arial" w:eastAsia="Arial" w:hAnsi="Arial"/>
          <w:sz w:val="12"/>
          <w:szCs w:val="12"/>
          <w:color w:val="auto"/>
        </w:rPr>
        <w:t>The Company's management is responsible for establishing and maintaining adequate internal control over financial reporting for the Company. Based on an evaluation under the supervision and with the participation of the Company’s management, the Company’s principal executive officer and principal financial officer have concluded that the Company’s disclosure controls and procedures as defined in Rules 13a-15(e) and 15d-15(e) under the Exchange Act were effective as of as of September 30, 2012 to provide reasonable assurance that information required to be disclosed by the Company in reports that it files or submits under the Exchange Act is (i) recorded, processed, summarized and reported within the time periods specified in the Securities and Exchange Commission rules and forms and (ii) accumulated and communicated to the Company’s management, including its principal executive officer and principal financial officer, as appropriate to allow timely decisions regarding required disclosure.</w:t>
      </w:r>
    </w:p>
    <w:p>
      <w:pPr>
        <w:spacing w:after="0" w:line="122" w:lineRule="exact"/>
        <w:rPr>
          <w:sz w:val="20"/>
          <w:szCs w:val="20"/>
          <w:color w:val="auto"/>
        </w:rPr>
      </w:pPr>
    </w:p>
    <w:p>
      <w:pPr>
        <w:ind w:left="640"/>
        <w:spacing w:after="0"/>
        <w:rPr>
          <w:sz w:val="20"/>
          <w:szCs w:val="20"/>
          <w:color w:val="auto"/>
        </w:rPr>
      </w:pPr>
      <w:r>
        <w:rPr>
          <w:rFonts w:ascii="Arial" w:cs="Arial" w:eastAsia="Arial" w:hAnsi="Arial"/>
          <w:sz w:val="12"/>
          <w:szCs w:val="12"/>
          <w:b w:val="1"/>
          <w:bCs w:val="1"/>
          <w:color w:val="auto"/>
        </w:rPr>
        <w:t>Change in Internal Controls over Financial Reporting</w:t>
      </w:r>
    </w:p>
    <w:p>
      <w:pPr>
        <w:spacing w:after="0" w:line="154" w:lineRule="exact"/>
        <w:rPr>
          <w:sz w:val="20"/>
          <w:szCs w:val="20"/>
          <w:color w:val="auto"/>
        </w:rPr>
      </w:pPr>
    </w:p>
    <w:p>
      <w:pPr>
        <w:jc w:val="both"/>
        <w:ind w:right="20" w:firstLine="649"/>
        <w:spacing w:after="0" w:line="276" w:lineRule="auto"/>
        <w:rPr>
          <w:sz w:val="20"/>
          <w:szCs w:val="20"/>
          <w:color w:val="auto"/>
        </w:rPr>
      </w:pPr>
      <w:r>
        <w:rPr>
          <w:rFonts w:ascii="Arial" w:cs="Arial" w:eastAsia="Arial" w:hAnsi="Arial"/>
          <w:sz w:val="12"/>
          <w:szCs w:val="12"/>
          <w:color w:val="auto"/>
        </w:rPr>
        <w:t>During the period ended September 30, 2012, there were no changes in the Company’s internal control over financial reporting that have materially affected, or are reasonably likely to materially affect, the Company’s internal control over financial reporting.</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23" w:name="page24"/>
    <w:bookmarkEnd w:id="23"/>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PART II – OTHER INFORMATION</w:t>
      </w:r>
    </w:p>
    <w:p>
      <w:pPr>
        <w:spacing w:after="0" w:line="150" w:lineRule="exact"/>
        <w:rPr>
          <w:sz w:val="20"/>
          <w:szCs w:val="20"/>
          <w:color w:val="auto"/>
        </w:rPr>
      </w:pPr>
    </w:p>
    <w:p>
      <w:pPr>
        <w:spacing w:after="0"/>
        <w:tabs>
          <w:tab w:leader="none" w:pos="540" w:val="left"/>
        </w:tabs>
        <w:rPr>
          <w:sz w:val="20"/>
          <w:szCs w:val="20"/>
          <w:color w:val="auto"/>
        </w:rPr>
      </w:pPr>
      <w:r>
        <w:rPr>
          <w:rFonts w:ascii="Arial" w:cs="Arial" w:eastAsia="Arial" w:hAnsi="Arial"/>
          <w:sz w:val="12"/>
          <w:szCs w:val="12"/>
          <w:b w:val="1"/>
          <w:bCs w:val="1"/>
          <w:color w:val="auto"/>
        </w:rPr>
        <w:t>ITEM 1.</w:t>
      </w:r>
      <w:r>
        <w:rPr>
          <w:sz w:val="20"/>
          <w:szCs w:val="20"/>
          <w:color w:val="auto"/>
        </w:rPr>
        <w:tab/>
      </w:r>
      <w:r>
        <w:rPr>
          <w:rFonts w:ascii="Arial" w:cs="Arial" w:eastAsia="Arial" w:hAnsi="Arial"/>
          <w:sz w:val="11"/>
          <w:szCs w:val="11"/>
          <w:b w:val="1"/>
          <w:bCs w:val="1"/>
          <w:color w:val="auto"/>
        </w:rPr>
        <w:t>LEGAL PROCEEDINGS</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2"/>
          <w:szCs w:val="12"/>
          <w:color w:val="auto"/>
        </w:rPr>
        <w:t>None</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1A. RISK FACTORS</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2"/>
          <w:szCs w:val="12"/>
          <w:color w:val="auto"/>
        </w:rPr>
        <w:t>The Company is a smaller reporting company as defined by Rule 12b-2 of the Exchange Act and is not required to provide the information required under this item.</w:t>
      </w:r>
    </w:p>
    <w:p>
      <w:pPr>
        <w:spacing w:after="0" w:line="146" w:lineRule="exact"/>
        <w:rPr>
          <w:sz w:val="20"/>
          <w:szCs w:val="20"/>
          <w:color w:val="auto"/>
        </w:rPr>
      </w:pPr>
    </w:p>
    <w:p>
      <w:pPr>
        <w:spacing w:after="0"/>
        <w:tabs>
          <w:tab w:leader="none" w:pos="540" w:val="left"/>
        </w:tabs>
        <w:rPr>
          <w:sz w:val="20"/>
          <w:szCs w:val="20"/>
          <w:color w:val="auto"/>
        </w:rPr>
      </w:pPr>
      <w:r>
        <w:rPr>
          <w:rFonts w:ascii="Arial" w:cs="Arial" w:eastAsia="Arial" w:hAnsi="Arial"/>
          <w:sz w:val="12"/>
          <w:szCs w:val="12"/>
          <w:b w:val="1"/>
          <w:bCs w:val="1"/>
          <w:color w:val="auto"/>
        </w:rPr>
        <w:t>ITEM 2.</w:t>
      </w:r>
      <w:r>
        <w:rPr>
          <w:sz w:val="20"/>
          <w:szCs w:val="20"/>
          <w:color w:val="auto"/>
        </w:rPr>
        <w:tab/>
      </w:r>
      <w:r>
        <w:rPr>
          <w:rFonts w:ascii="Arial" w:cs="Arial" w:eastAsia="Arial" w:hAnsi="Arial"/>
          <w:sz w:val="11"/>
          <w:szCs w:val="11"/>
          <w:b w:val="1"/>
          <w:bCs w:val="1"/>
          <w:color w:val="auto"/>
        </w:rPr>
        <w:t>UNREGISTERED SALES OF EQUITY SECURITIES AND USE OF PROCEEDS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40" w:type="dxa"/>
            <w:vAlign w:val="bottom"/>
          </w:tcPr>
          <w:p>
            <w:pPr>
              <w:spacing w:after="0"/>
              <w:rPr>
                <w:sz w:val="13"/>
                <w:szCs w:val="13"/>
                <w:color w:val="auto"/>
              </w:rPr>
            </w:pPr>
          </w:p>
        </w:tc>
        <w:tc>
          <w:tcPr>
            <w:tcW w:w="10940" w:type="dxa"/>
            <w:vAlign w:val="bottom"/>
            <w:gridSpan w:val="5"/>
          </w:tcPr>
          <w:p>
            <w:pPr>
              <w:ind w:left="100"/>
              <w:spacing w:after="0"/>
              <w:rPr>
                <w:sz w:val="20"/>
                <w:szCs w:val="20"/>
                <w:color w:val="auto"/>
              </w:rPr>
            </w:pPr>
            <w:r>
              <w:rPr>
                <w:rFonts w:ascii="Arial" w:cs="Arial" w:eastAsia="Arial" w:hAnsi="Arial"/>
                <w:sz w:val="12"/>
                <w:szCs w:val="12"/>
                <w:color w:val="auto"/>
              </w:rPr>
              <w:t>None</w:t>
            </w:r>
          </w:p>
        </w:tc>
      </w:tr>
      <w:tr>
        <w:trPr>
          <w:trHeight w:val="288"/>
        </w:trPr>
        <w:tc>
          <w:tcPr>
            <w:tcW w:w="11480" w:type="dxa"/>
            <w:vAlign w:val="bottom"/>
            <w:gridSpan w:val="6"/>
          </w:tcPr>
          <w:p>
            <w:pPr>
              <w:spacing w:after="0"/>
              <w:rPr>
                <w:sz w:val="20"/>
                <w:szCs w:val="20"/>
                <w:color w:val="auto"/>
              </w:rPr>
            </w:pPr>
            <w:r>
              <w:rPr>
                <w:rFonts w:ascii="Arial" w:cs="Arial" w:eastAsia="Arial" w:hAnsi="Arial"/>
                <w:sz w:val="12"/>
                <w:szCs w:val="12"/>
                <w:b w:val="1"/>
                <w:bCs w:val="1"/>
                <w:color w:val="auto"/>
              </w:rPr>
              <w:t>ITEM 3.  DEFAULTS UPON SENIOR SECURITIES</w:t>
            </w:r>
          </w:p>
        </w:tc>
      </w:tr>
      <w:tr>
        <w:trPr>
          <w:trHeight w:val="288"/>
        </w:trPr>
        <w:tc>
          <w:tcPr>
            <w:tcW w:w="540" w:type="dxa"/>
            <w:vAlign w:val="bottom"/>
          </w:tcPr>
          <w:p>
            <w:pPr>
              <w:spacing w:after="0"/>
              <w:rPr>
                <w:sz w:val="24"/>
                <w:szCs w:val="24"/>
                <w:color w:val="auto"/>
              </w:rPr>
            </w:pPr>
          </w:p>
        </w:tc>
        <w:tc>
          <w:tcPr>
            <w:tcW w:w="10940" w:type="dxa"/>
            <w:vAlign w:val="bottom"/>
            <w:gridSpan w:val="5"/>
          </w:tcPr>
          <w:p>
            <w:pPr>
              <w:ind w:left="100"/>
              <w:spacing w:after="0"/>
              <w:rPr>
                <w:sz w:val="20"/>
                <w:szCs w:val="20"/>
                <w:color w:val="auto"/>
              </w:rPr>
            </w:pPr>
            <w:r>
              <w:rPr>
                <w:rFonts w:ascii="Arial" w:cs="Arial" w:eastAsia="Arial" w:hAnsi="Arial"/>
                <w:sz w:val="12"/>
                <w:szCs w:val="12"/>
                <w:color w:val="auto"/>
              </w:rPr>
              <w:t>None</w:t>
            </w:r>
          </w:p>
        </w:tc>
      </w:tr>
      <w:tr>
        <w:trPr>
          <w:trHeight w:val="297"/>
        </w:trPr>
        <w:tc>
          <w:tcPr>
            <w:tcW w:w="11480" w:type="dxa"/>
            <w:vAlign w:val="bottom"/>
            <w:gridSpan w:val="6"/>
          </w:tcPr>
          <w:p>
            <w:pPr>
              <w:ind w:left="20"/>
              <w:spacing w:after="0"/>
              <w:rPr>
                <w:sz w:val="20"/>
                <w:szCs w:val="20"/>
                <w:color w:val="auto"/>
              </w:rPr>
            </w:pPr>
            <w:r>
              <w:rPr>
                <w:rFonts w:ascii="Arial" w:cs="Arial" w:eastAsia="Arial" w:hAnsi="Arial"/>
                <w:sz w:val="12"/>
                <w:szCs w:val="12"/>
                <w:b w:val="1"/>
                <w:bCs w:val="1"/>
                <w:color w:val="auto"/>
              </w:rPr>
              <w:t>ITEM 4 . MINE SAFETY DISCLOSURES</w:t>
            </w:r>
          </w:p>
        </w:tc>
      </w:tr>
      <w:tr>
        <w:trPr>
          <w:trHeight w:val="153"/>
        </w:trPr>
        <w:tc>
          <w:tcPr>
            <w:tcW w:w="540" w:type="dxa"/>
            <w:vAlign w:val="bottom"/>
          </w:tcPr>
          <w:p>
            <w:pPr>
              <w:spacing w:after="0"/>
              <w:rPr>
                <w:sz w:val="13"/>
                <w:szCs w:val="13"/>
                <w:color w:val="auto"/>
              </w:rPr>
            </w:pPr>
          </w:p>
        </w:tc>
        <w:tc>
          <w:tcPr>
            <w:tcW w:w="10940" w:type="dxa"/>
            <w:vAlign w:val="bottom"/>
            <w:gridSpan w:val="5"/>
          </w:tcPr>
          <w:p>
            <w:pPr>
              <w:ind w:left="100"/>
              <w:spacing w:after="0"/>
              <w:rPr>
                <w:sz w:val="20"/>
                <w:szCs w:val="20"/>
                <w:color w:val="auto"/>
              </w:rPr>
            </w:pPr>
            <w:r>
              <w:rPr>
                <w:rFonts w:ascii="Arial" w:cs="Arial" w:eastAsia="Arial" w:hAnsi="Arial"/>
                <w:sz w:val="12"/>
                <w:szCs w:val="12"/>
                <w:color w:val="auto"/>
              </w:rPr>
              <w:t>None</w:t>
            </w:r>
          </w:p>
        </w:tc>
      </w:tr>
      <w:tr>
        <w:trPr>
          <w:trHeight w:val="288"/>
        </w:trPr>
        <w:tc>
          <w:tcPr>
            <w:tcW w:w="540" w:type="dxa"/>
            <w:vAlign w:val="bottom"/>
          </w:tcPr>
          <w:p>
            <w:pPr>
              <w:spacing w:after="0"/>
              <w:rPr>
                <w:sz w:val="20"/>
                <w:szCs w:val="20"/>
                <w:color w:val="auto"/>
              </w:rPr>
            </w:pPr>
            <w:r>
              <w:rPr>
                <w:rFonts w:ascii="Arial" w:cs="Arial" w:eastAsia="Arial" w:hAnsi="Arial"/>
                <w:sz w:val="12"/>
                <w:szCs w:val="12"/>
                <w:b w:val="1"/>
                <w:bCs w:val="1"/>
                <w:color w:val="auto"/>
              </w:rPr>
              <w:t>ITEM 5.</w:t>
            </w:r>
          </w:p>
        </w:tc>
        <w:tc>
          <w:tcPr>
            <w:tcW w:w="10940" w:type="dxa"/>
            <w:vAlign w:val="bottom"/>
            <w:gridSpan w:val="5"/>
          </w:tcPr>
          <w:p>
            <w:pPr>
              <w:ind w:left="20"/>
              <w:spacing w:after="0"/>
              <w:rPr>
                <w:sz w:val="20"/>
                <w:szCs w:val="20"/>
                <w:color w:val="auto"/>
              </w:rPr>
            </w:pPr>
            <w:r>
              <w:rPr>
                <w:rFonts w:ascii="Arial" w:cs="Arial" w:eastAsia="Arial" w:hAnsi="Arial"/>
                <w:sz w:val="12"/>
                <w:szCs w:val="12"/>
                <w:b w:val="1"/>
                <w:bCs w:val="1"/>
                <w:color w:val="auto"/>
              </w:rPr>
              <w:t>OTHER INFORMATION</w:t>
            </w:r>
          </w:p>
        </w:tc>
      </w:tr>
      <w:tr>
        <w:trPr>
          <w:trHeight w:val="288"/>
        </w:trPr>
        <w:tc>
          <w:tcPr>
            <w:tcW w:w="540" w:type="dxa"/>
            <w:vAlign w:val="bottom"/>
          </w:tcPr>
          <w:p>
            <w:pPr>
              <w:spacing w:after="0"/>
              <w:rPr>
                <w:sz w:val="24"/>
                <w:szCs w:val="24"/>
                <w:color w:val="auto"/>
              </w:rPr>
            </w:pPr>
          </w:p>
        </w:tc>
        <w:tc>
          <w:tcPr>
            <w:tcW w:w="10940" w:type="dxa"/>
            <w:vAlign w:val="bottom"/>
            <w:gridSpan w:val="5"/>
          </w:tcPr>
          <w:p>
            <w:pPr>
              <w:ind w:left="100"/>
              <w:spacing w:after="0"/>
              <w:rPr>
                <w:sz w:val="20"/>
                <w:szCs w:val="20"/>
                <w:color w:val="auto"/>
              </w:rPr>
            </w:pPr>
            <w:r>
              <w:rPr>
                <w:rFonts w:ascii="Arial" w:cs="Arial" w:eastAsia="Arial" w:hAnsi="Arial"/>
                <w:sz w:val="12"/>
                <w:szCs w:val="12"/>
                <w:color w:val="auto"/>
              </w:rPr>
              <w:t>None</w:t>
            </w:r>
          </w:p>
        </w:tc>
      </w:tr>
      <w:tr>
        <w:trPr>
          <w:trHeight w:val="288"/>
        </w:trPr>
        <w:tc>
          <w:tcPr>
            <w:tcW w:w="540" w:type="dxa"/>
            <w:vAlign w:val="bottom"/>
          </w:tcPr>
          <w:p>
            <w:pPr>
              <w:spacing w:after="0"/>
              <w:rPr>
                <w:sz w:val="20"/>
                <w:szCs w:val="20"/>
                <w:color w:val="auto"/>
              </w:rPr>
            </w:pPr>
            <w:r>
              <w:rPr>
                <w:rFonts w:ascii="Arial" w:cs="Arial" w:eastAsia="Arial" w:hAnsi="Arial"/>
                <w:sz w:val="12"/>
                <w:szCs w:val="12"/>
                <w:b w:val="1"/>
                <w:bCs w:val="1"/>
                <w:color w:val="auto"/>
              </w:rPr>
              <w:t>ITEM 6.</w:t>
            </w:r>
          </w:p>
        </w:tc>
        <w:tc>
          <w:tcPr>
            <w:tcW w:w="10940" w:type="dxa"/>
            <w:vAlign w:val="bottom"/>
            <w:gridSpan w:val="5"/>
          </w:tcPr>
          <w:p>
            <w:pPr>
              <w:ind w:left="20"/>
              <w:spacing w:after="0"/>
              <w:rPr>
                <w:sz w:val="20"/>
                <w:szCs w:val="20"/>
                <w:color w:val="auto"/>
              </w:rPr>
            </w:pPr>
            <w:r>
              <w:rPr>
                <w:rFonts w:ascii="Arial" w:cs="Arial" w:eastAsia="Arial" w:hAnsi="Arial"/>
                <w:sz w:val="12"/>
                <w:szCs w:val="12"/>
                <w:b w:val="1"/>
                <w:bCs w:val="1"/>
                <w:color w:val="auto"/>
              </w:rPr>
              <w:t>EXHIBITS</w:t>
            </w:r>
          </w:p>
        </w:tc>
      </w:tr>
      <w:tr>
        <w:trPr>
          <w:trHeight w:val="275"/>
        </w:trPr>
        <w:tc>
          <w:tcPr>
            <w:tcW w:w="540" w:type="dxa"/>
            <w:vAlign w:val="bottom"/>
          </w:tcPr>
          <w:p>
            <w:pPr>
              <w:spacing w:after="0"/>
              <w:rPr>
                <w:sz w:val="20"/>
                <w:szCs w:val="20"/>
                <w:color w:val="auto"/>
              </w:rPr>
            </w:pPr>
            <w:r>
              <w:rPr>
                <w:rFonts w:ascii="Arial" w:cs="Arial" w:eastAsia="Arial" w:hAnsi="Arial"/>
                <w:sz w:val="12"/>
                <w:szCs w:val="12"/>
                <w:b w:val="1"/>
                <w:bCs w:val="1"/>
                <w:color w:val="auto"/>
              </w:rPr>
              <w:t>EXHIBIT</w:t>
            </w:r>
          </w:p>
        </w:tc>
        <w:tc>
          <w:tcPr>
            <w:tcW w:w="3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520" w:type="dxa"/>
            <w:vAlign w:val="bottom"/>
          </w:tcPr>
          <w:p>
            <w:pPr>
              <w:spacing w:after="0"/>
              <w:rPr>
                <w:sz w:val="23"/>
                <w:szCs w:val="23"/>
                <w:color w:val="auto"/>
              </w:rPr>
            </w:pPr>
          </w:p>
        </w:tc>
        <w:tc>
          <w:tcPr>
            <w:tcW w:w="6820" w:type="dxa"/>
            <w:vAlign w:val="bottom"/>
            <w:gridSpan w:val="2"/>
          </w:tcPr>
          <w:p>
            <w:pPr>
              <w:ind w:left="1220"/>
              <w:spacing w:after="0"/>
              <w:rPr>
                <w:sz w:val="20"/>
                <w:szCs w:val="20"/>
                <w:color w:val="auto"/>
              </w:rPr>
            </w:pPr>
            <w:r>
              <w:rPr>
                <w:rFonts w:ascii="Arial" w:cs="Arial" w:eastAsia="Arial" w:hAnsi="Arial"/>
                <w:sz w:val="12"/>
                <w:szCs w:val="12"/>
                <w:b w:val="1"/>
                <w:bCs w:val="1"/>
                <w:color w:val="auto"/>
              </w:rPr>
              <w:t>DESCRIPTION</w:t>
            </w:r>
          </w:p>
        </w:tc>
      </w:tr>
      <w:tr>
        <w:trPr>
          <w:trHeight w:val="157"/>
        </w:trPr>
        <w:tc>
          <w:tcPr>
            <w:tcW w:w="54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w w:val="98"/>
              </w:rPr>
              <w:t>NUMBER</w:t>
            </w:r>
          </w:p>
        </w:tc>
        <w:tc>
          <w:tcPr>
            <w:tcW w:w="38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3520" w:type="dxa"/>
            <w:vAlign w:val="bottom"/>
            <w:tcBorders>
              <w:bottom w:val="single" w:sz="8" w:color="auto"/>
            </w:tcBorders>
          </w:tcPr>
          <w:p>
            <w:pPr>
              <w:spacing w:after="0"/>
              <w:rPr>
                <w:sz w:val="13"/>
                <w:szCs w:val="13"/>
                <w:color w:val="auto"/>
              </w:rPr>
            </w:pPr>
          </w:p>
        </w:tc>
        <w:tc>
          <w:tcPr>
            <w:tcW w:w="2300" w:type="dxa"/>
            <w:vAlign w:val="bottom"/>
            <w:tcBorders>
              <w:bottom w:val="single" w:sz="8" w:color="auto"/>
            </w:tcBorders>
          </w:tcPr>
          <w:p>
            <w:pPr>
              <w:spacing w:after="0"/>
              <w:rPr>
                <w:sz w:val="13"/>
                <w:szCs w:val="13"/>
                <w:color w:val="auto"/>
              </w:rPr>
            </w:pPr>
          </w:p>
        </w:tc>
        <w:tc>
          <w:tcPr>
            <w:tcW w:w="4520" w:type="dxa"/>
            <w:vAlign w:val="bottom"/>
            <w:tcBorders>
              <w:bottom w:val="single" w:sz="8" w:color="auto"/>
            </w:tcBorders>
          </w:tcPr>
          <w:p>
            <w:pPr>
              <w:spacing w:after="0"/>
              <w:rPr>
                <w:sz w:val="13"/>
                <w:szCs w:val="13"/>
                <w:color w:val="auto"/>
              </w:rPr>
            </w:pPr>
          </w:p>
        </w:tc>
      </w:tr>
      <w:tr>
        <w:trPr>
          <w:trHeight w:val="115"/>
        </w:trPr>
        <w:tc>
          <w:tcPr>
            <w:tcW w:w="540" w:type="dxa"/>
            <w:vAlign w:val="bottom"/>
          </w:tcPr>
          <w:p>
            <w:pPr>
              <w:spacing w:after="0" w:line="115" w:lineRule="exact"/>
              <w:rPr>
                <w:sz w:val="20"/>
                <w:szCs w:val="20"/>
                <w:color w:val="auto"/>
              </w:rPr>
            </w:pPr>
            <w:r>
              <w:rPr>
                <w:rFonts w:ascii="Arial" w:cs="Arial" w:eastAsia="Arial" w:hAnsi="Arial"/>
                <w:sz w:val="12"/>
                <w:szCs w:val="12"/>
                <w:color w:val="auto"/>
              </w:rPr>
              <w:t>31.1*</w:t>
            </w: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520" w:type="dxa"/>
            <w:vAlign w:val="bottom"/>
            <w:tcBorders>
              <w:bottom w:val="single" w:sz="8" w:color="0000EE"/>
            </w:tcBorders>
          </w:tcPr>
          <w:p>
            <w:pPr>
              <w:spacing w:after="0" w:line="115" w:lineRule="exact"/>
              <w:rPr>
                <w:sz w:val="20"/>
                <w:szCs w:val="20"/>
                <w:color w:val="auto"/>
              </w:rPr>
            </w:pPr>
            <w:r>
              <w:rPr>
                <w:rFonts w:ascii="Arial" w:cs="Arial" w:eastAsia="Arial" w:hAnsi="Arial"/>
                <w:sz w:val="12"/>
                <w:szCs w:val="12"/>
                <w:color w:val="0000EE"/>
                <w:w w:val="91"/>
              </w:rPr>
              <w:t>Certification pursuant to Section 302 of the Sarbanes-Oxley Act of 2002.</w:t>
            </w:r>
          </w:p>
        </w:tc>
        <w:tc>
          <w:tcPr>
            <w:tcW w:w="6820" w:type="dxa"/>
            <w:vAlign w:val="bottom"/>
            <w:gridSpan w:val="2"/>
          </w:tcPr>
          <w:p>
            <w:pPr>
              <w:spacing w:after="0"/>
              <w:rPr>
                <w:sz w:val="10"/>
                <w:szCs w:val="10"/>
                <w:color w:val="auto"/>
              </w:rPr>
            </w:pPr>
          </w:p>
        </w:tc>
      </w:tr>
      <w:tr>
        <w:trPr>
          <w:trHeight w:val="268"/>
        </w:trPr>
        <w:tc>
          <w:tcPr>
            <w:tcW w:w="540" w:type="dxa"/>
            <w:vAlign w:val="bottom"/>
          </w:tcPr>
          <w:p>
            <w:pPr>
              <w:spacing w:after="0"/>
              <w:rPr>
                <w:sz w:val="20"/>
                <w:szCs w:val="20"/>
                <w:color w:val="auto"/>
              </w:rPr>
            </w:pPr>
            <w:r>
              <w:rPr>
                <w:rFonts w:ascii="Arial" w:cs="Arial" w:eastAsia="Arial" w:hAnsi="Arial"/>
                <w:sz w:val="12"/>
                <w:szCs w:val="12"/>
                <w:color w:val="auto"/>
              </w:rPr>
              <w:t>31.2*</w:t>
            </w:r>
          </w:p>
        </w:tc>
        <w:tc>
          <w:tcPr>
            <w:tcW w:w="3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520" w:type="dxa"/>
            <w:vAlign w:val="bottom"/>
            <w:tcBorders>
              <w:bottom w:val="single" w:sz="8" w:color="0000EE"/>
            </w:tcBorders>
          </w:tcPr>
          <w:p>
            <w:pPr>
              <w:spacing w:after="0"/>
              <w:rPr>
                <w:sz w:val="20"/>
                <w:szCs w:val="20"/>
                <w:color w:val="auto"/>
              </w:rPr>
            </w:pPr>
            <w:r>
              <w:rPr>
                <w:rFonts w:ascii="Arial" w:cs="Arial" w:eastAsia="Arial" w:hAnsi="Arial"/>
                <w:sz w:val="12"/>
                <w:szCs w:val="12"/>
                <w:color w:val="0000EE"/>
                <w:w w:val="91"/>
              </w:rPr>
              <w:t>Certification pursuant to Section 302 of the Sarbanes-Oxley Act of 2002.</w:t>
            </w:r>
          </w:p>
        </w:tc>
        <w:tc>
          <w:tcPr>
            <w:tcW w:w="6820" w:type="dxa"/>
            <w:vAlign w:val="bottom"/>
            <w:gridSpan w:val="2"/>
          </w:tcPr>
          <w:p>
            <w:pPr>
              <w:spacing w:after="0"/>
              <w:rPr>
                <w:sz w:val="23"/>
                <w:szCs w:val="23"/>
                <w:color w:val="auto"/>
              </w:rPr>
            </w:pPr>
          </w:p>
        </w:tc>
      </w:tr>
      <w:tr>
        <w:trPr>
          <w:trHeight w:val="268"/>
        </w:trPr>
        <w:tc>
          <w:tcPr>
            <w:tcW w:w="540" w:type="dxa"/>
            <w:vAlign w:val="bottom"/>
          </w:tcPr>
          <w:p>
            <w:pPr>
              <w:spacing w:after="0"/>
              <w:rPr>
                <w:sz w:val="20"/>
                <w:szCs w:val="20"/>
                <w:color w:val="auto"/>
              </w:rPr>
            </w:pPr>
            <w:r>
              <w:rPr>
                <w:rFonts w:ascii="Arial" w:cs="Arial" w:eastAsia="Arial" w:hAnsi="Arial"/>
                <w:sz w:val="12"/>
                <w:szCs w:val="12"/>
                <w:color w:val="auto"/>
              </w:rPr>
              <w:t>32.1*</w:t>
            </w:r>
          </w:p>
        </w:tc>
        <w:tc>
          <w:tcPr>
            <w:tcW w:w="3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820" w:type="dxa"/>
            <w:vAlign w:val="bottom"/>
            <w:tcBorders>
              <w:bottom w:val="single" w:sz="8" w:color="0000EE"/>
            </w:tcBorders>
            <w:gridSpan w:val="2"/>
          </w:tcPr>
          <w:p>
            <w:pPr>
              <w:spacing w:after="0"/>
              <w:rPr>
                <w:sz w:val="20"/>
                <w:szCs w:val="20"/>
                <w:color w:val="auto"/>
              </w:rPr>
            </w:pPr>
            <w:r>
              <w:rPr>
                <w:rFonts w:ascii="Arial" w:cs="Arial" w:eastAsia="Arial" w:hAnsi="Arial"/>
                <w:sz w:val="12"/>
                <w:szCs w:val="12"/>
                <w:color w:val="0000EE"/>
                <w:w w:val="90"/>
              </w:rPr>
              <w:t>Certification pursuant to 18 U.S.C. Section 1350, as adopted pursuant to Section 906 of the Sarbanes-Oxley Act of 2002.</w:t>
            </w:r>
          </w:p>
        </w:tc>
        <w:tc>
          <w:tcPr>
            <w:tcW w:w="4520" w:type="dxa"/>
            <w:vAlign w:val="bottom"/>
          </w:tcPr>
          <w:p>
            <w:pPr>
              <w:spacing w:after="0"/>
              <w:rPr>
                <w:sz w:val="23"/>
                <w:szCs w:val="23"/>
                <w:color w:val="auto"/>
              </w:rPr>
            </w:pPr>
          </w:p>
        </w:tc>
      </w:tr>
      <w:tr>
        <w:trPr>
          <w:trHeight w:val="268"/>
        </w:trPr>
        <w:tc>
          <w:tcPr>
            <w:tcW w:w="540" w:type="dxa"/>
            <w:vAlign w:val="bottom"/>
          </w:tcPr>
          <w:p>
            <w:pPr>
              <w:spacing w:after="0"/>
              <w:rPr>
                <w:sz w:val="20"/>
                <w:szCs w:val="20"/>
                <w:color w:val="auto"/>
              </w:rPr>
            </w:pPr>
            <w:r>
              <w:rPr>
                <w:rFonts w:ascii="Arial" w:cs="Arial" w:eastAsia="Arial" w:hAnsi="Arial"/>
                <w:sz w:val="12"/>
                <w:szCs w:val="12"/>
                <w:color w:val="auto"/>
              </w:rPr>
              <w:t>32.2*</w:t>
            </w:r>
          </w:p>
        </w:tc>
        <w:tc>
          <w:tcPr>
            <w:tcW w:w="3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820" w:type="dxa"/>
            <w:vAlign w:val="bottom"/>
            <w:tcBorders>
              <w:bottom w:val="single" w:sz="8" w:color="0000EE"/>
            </w:tcBorders>
            <w:gridSpan w:val="2"/>
          </w:tcPr>
          <w:p>
            <w:pPr>
              <w:spacing w:after="0"/>
              <w:rPr>
                <w:sz w:val="20"/>
                <w:szCs w:val="20"/>
                <w:color w:val="auto"/>
              </w:rPr>
            </w:pPr>
            <w:r>
              <w:rPr>
                <w:rFonts w:ascii="Arial" w:cs="Arial" w:eastAsia="Arial" w:hAnsi="Arial"/>
                <w:sz w:val="12"/>
                <w:szCs w:val="12"/>
                <w:color w:val="0000EE"/>
                <w:w w:val="90"/>
              </w:rPr>
              <w:t>Certification pursuant to 18 U.S.C. Section 1350, as adopted pursuant to Section 906 of the Sarbanes-Oxley Act of 2002.</w:t>
            </w:r>
          </w:p>
        </w:tc>
        <w:tc>
          <w:tcPr>
            <w:tcW w:w="4520" w:type="dxa"/>
            <w:vAlign w:val="bottom"/>
          </w:tcPr>
          <w:p>
            <w:pPr>
              <w:spacing w:after="0"/>
              <w:rPr>
                <w:sz w:val="23"/>
                <w:szCs w:val="23"/>
                <w:color w:val="auto"/>
              </w:rPr>
            </w:pPr>
          </w:p>
        </w:tc>
      </w:tr>
      <w:tr>
        <w:trPr>
          <w:trHeight w:val="295"/>
        </w:trPr>
        <w:tc>
          <w:tcPr>
            <w:tcW w:w="540" w:type="dxa"/>
            <w:vAlign w:val="bottom"/>
          </w:tcPr>
          <w:p>
            <w:pPr>
              <w:spacing w:after="0"/>
              <w:rPr>
                <w:sz w:val="20"/>
                <w:szCs w:val="20"/>
                <w:color w:val="auto"/>
              </w:rPr>
            </w:pPr>
            <w:r>
              <w:rPr>
                <w:rFonts w:ascii="Arial" w:cs="Arial" w:eastAsia="Arial" w:hAnsi="Arial"/>
                <w:sz w:val="12"/>
                <w:szCs w:val="12"/>
                <w:color w:val="auto"/>
              </w:rPr>
              <w:t>101*</w:t>
            </w: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340" w:type="dxa"/>
            <w:vAlign w:val="bottom"/>
            <w:gridSpan w:val="3"/>
          </w:tcPr>
          <w:p>
            <w:pPr>
              <w:spacing w:after="0"/>
              <w:rPr>
                <w:sz w:val="20"/>
                <w:szCs w:val="20"/>
                <w:color w:val="auto"/>
              </w:rPr>
            </w:pPr>
            <w:r>
              <w:rPr>
                <w:rFonts w:ascii="Arial" w:cs="Arial" w:eastAsia="Arial" w:hAnsi="Arial"/>
                <w:sz w:val="12"/>
                <w:szCs w:val="12"/>
                <w:color w:val="auto"/>
                <w:w w:val="93"/>
              </w:rPr>
              <w:t>The following materials from Asure Software, Inc.'s Quarterly Report on Form 10-Q for the quarter ended September 30, 2012, formatted in XBRL (Extensible Business Reporting Language): (1) the Condensed</w:t>
            </w:r>
          </w:p>
        </w:tc>
      </w:tr>
    </w:tbl>
    <w:p>
      <w:pPr>
        <w:ind w:left="1140" w:right="40"/>
        <w:spacing w:after="0" w:line="261" w:lineRule="auto"/>
        <w:rPr>
          <w:sz w:val="20"/>
          <w:szCs w:val="20"/>
          <w:color w:val="auto"/>
        </w:rPr>
      </w:pPr>
      <w:r>
        <w:rPr>
          <w:rFonts w:ascii="Arial" w:cs="Arial" w:eastAsia="Arial" w:hAnsi="Arial"/>
          <w:sz w:val="12"/>
          <w:szCs w:val="12"/>
          <w:color w:val="auto"/>
        </w:rPr>
        <w:t>Consolidated Balance Sheets, (2) the Condensed Consolidated Statements of Operations, (3) the Condensed Consolidated Statements of Cash Flows, and (4) Notes to Consolidated Financial Statements, tagged as blocks of text.</w:t>
      </w:r>
    </w:p>
    <w:p>
      <w:pPr>
        <w:spacing w:after="0" w:line="123" w:lineRule="exact"/>
        <w:rPr>
          <w:sz w:val="20"/>
          <w:szCs w:val="20"/>
          <w:color w:val="auto"/>
        </w:rPr>
      </w:pPr>
    </w:p>
    <w:p>
      <w:pPr>
        <w:ind w:left="100"/>
        <w:spacing w:after="0"/>
        <w:rPr>
          <w:sz w:val="20"/>
          <w:szCs w:val="20"/>
          <w:color w:val="auto"/>
        </w:rPr>
      </w:pPr>
      <w:r>
        <w:rPr>
          <w:rFonts w:ascii="Arial" w:cs="Arial" w:eastAsia="Arial" w:hAnsi="Arial"/>
          <w:sz w:val="12"/>
          <w:szCs w:val="12"/>
          <w:color w:val="auto"/>
        </w:rPr>
        <w:t>* Filed herewith</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24" w:name="page25"/>
    <w:bookmarkEnd w:id="24"/>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127" w:lineRule="exact"/>
        <w:rPr>
          <w:sz w:val="20"/>
          <w:szCs w:val="20"/>
          <w:color w:val="auto"/>
        </w:rPr>
      </w:pPr>
    </w:p>
    <w:p>
      <w:pPr>
        <w:ind w:left="5340"/>
        <w:spacing w:after="0"/>
        <w:rPr>
          <w:sz w:val="20"/>
          <w:szCs w:val="20"/>
          <w:color w:val="auto"/>
        </w:rPr>
      </w:pPr>
      <w:r>
        <w:rPr>
          <w:rFonts w:ascii="Arial" w:cs="Arial" w:eastAsia="Arial" w:hAnsi="Arial"/>
          <w:sz w:val="12"/>
          <w:szCs w:val="12"/>
          <w:b w:val="1"/>
          <w:bCs w:val="1"/>
          <w:color w:val="auto"/>
        </w:rPr>
        <w:t>SIGNATURES</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0"/>
          <w:szCs w:val="10"/>
          <w:color w:val="auto"/>
        </w:rPr>
        <w:t>Pursuant to the requirements of the Securities Exchange Act of 1934, the registrant has duly caused this report to be signed on its behalf by the undersigned thereunto duly authorized.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320" w:type="dxa"/>
            <w:vAlign w:val="bottom"/>
          </w:tcPr>
          <w:p>
            <w:pPr>
              <w:spacing w:after="0"/>
              <w:rPr>
                <w:sz w:val="13"/>
                <w:szCs w:val="13"/>
                <w:color w:val="auto"/>
              </w:rPr>
            </w:pPr>
          </w:p>
        </w:tc>
        <w:tc>
          <w:tcPr>
            <w:tcW w:w="5080" w:type="dxa"/>
            <w:vAlign w:val="bottom"/>
            <w:gridSpan w:val="2"/>
          </w:tcPr>
          <w:p>
            <w:pPr>
              <w:ind w:left="1380"/>
              <w:spacing w:after="0"/>
              <w:rPr>
                <w:sz w:val="20"/>
                <w:szCs w:val="20"/>
                <w:color w:val="auto"/>
              </w:rPr>
            </w:pPr>
            <w:r>
              <w:rPr>
                <w:rFonts w:ascii="Arial" w:cs="Arial" w:eastAsia="Arial" w:hAnsi="Arial"/>
                <w:sz w:val="12"/>
                <w:szCs w:val="12"/>
                <w:b w:val="1"/>
                <w:bCs w:val="1"/>
                <w:color w:val="auto"/>
              </w:rPr>
              <w:t>ASURE SOFTWARE, INC.</w:t>
            </w:r>
          </w:p>
        </w:tc>
      </w:tr>
      <w:tr>
        <w:trPr>
          <w:trHeight w:val="432"/>
        </w:trPr>
        <w:tc>
          <w:tcPr>
            <w:tcW w:w="2320" w:type="dxa"/>
            <w:vAlign w:val="bottom"/>
          </w:tcPr>
          <w:p>
            <w:pPr>
              <w:spacing w:after="0"/>
              <w:rPr>
                <w:sz w:val="20"/>
                <w:szCs w:val="20"/>
                <w:color w:val="auto"/>
              </w:rPr>
            </w:pPr>
            <w:r>
              <w:rPr>
                <w:rFonts w:ascii="Arial" w:cs="Arial" w:eastAsia="Arial" w:hAnsi="Arial"/>
                <w:sz w:val="12"/>
                <w:szCs w:val="12"/>
                <w:color w:val="auto"/>
              </w:rPr>
              <w:t>November 19, 2012</w:t>
            </w:r>
          </w:p>
        </w:tc>
        <w:tc>
          <w:tcPr>
            <w:tcW w:w="1720" w:type="dxa"/>
            <w:vAlign w:val="bottom"/>
          </w:tcPr>
          <w:p>
            <w:pPr>
              <w:ind w:left="1380"/>
              <w:spacing w:after="0"/>
              <w:rPr>
                <w:sz w:val="20"/>
                <w:szCs w:val="20"/>
                <w:color w:val="auto"/>
              </w:rPr>
            </w:pPr>
            <w:r>
              <w:rPr>
                <w:rFonts w:ascii="Arial" w:cs="Arial" w:eastAsia="Arial" w:hAnsi="Arial"/>
                <w:sz w:val="12"/>
                <w:szCs w:val="12"/>
                <w:color w:val="auto"/>
              </w:rPr>
              <w:t>By:</w:t>
            </w:r>
          </w:p>
        </w:tc>
        <w:tc>
          <w:tcPr>
            <w:tcW w:w="33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PATRICK GOEPEL</w:t>
            </w:r>
          </w:p>
        </w:tc>
      </w:tr>
      <w:tr>
        <w:trPr>
          <w:trHeight w:val="133"/>
        </w:trPr>
        <w:tc>
          <w:tcPr>
            <w:tcW w:w="23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3360" w:type="dxa"/>
            <w:vAlign w:val="bottom"/>
          </w:tcPr>
          <w:p>
            <w:pPr>
              <w:spacing w:after="0" w:line="133" w:lineRule="exact"/>
              <w:rPr>
                <w:sz w:val="20"/>
                <w:szCs w:val="20"/>
                <w:color w:val="auto"/>
              </w:rPr>
            </w:pPr>
            <w:r>
              <w:rPr>
                <w:rFonts w:ascii="Arial" w:cs="Arial" w:eastAsia="Arial" w:hAnsi="Arial"/>
                <w:sz w:val="12"/>
                <w:szCs w:val="12"/>
                <w:color w:val="auto"/>
              </w:rPr>
              <w:t>Patrick Goepel</w:t>
            </w:r>
          </w:p>
        </w:tc>
      </w:tr>
      <w:tr>
        <w:trPr>
          <w:trHeight w:val="153"/>
        </w:trPr>
        <w:tc>
          <w:tcPr>
            <w:tcW w:w="23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3360" w:type="dxa"/>
            <w:vAlign w:val="bottom"/>
          </w:tcPr>
          <w:p>
            <w:pPr>
              <w:spacing w:after="0"/>
              <w:rPr>
                <w:sz w:val="20"/>
                <w:szCs w:val="20"/>
                <w:color w:val="auto"/>
              </w:rPr>
            </w:pPr>
            <w:r>
              <w:rPr>
                <w:rFonts w:ascii="Arial" w:cs="Arial" w:eastAsia="Arial" w:hAnsi="Arial"/>
                <w:sz w:val="12"/>
                <w:szCs w:val="12"/>
                <w:color w:val="auto"/>
              </w:rPr>
              <w:t>Chief Executive Officer</w:t>
            </w:r>
          </w:p>
        </w:tc>
      </w:tr>
      <w:tr>
        <w:trPr>
          <w:trHeight w:val="721"/>
        </w:trPr>
        <w:tc>
          <w:tcPr>
            <w:tcW w:w="2320" w:type="dxa"/>
            <w:vAlign w:val="bottom"/>
          </w:tcPr>
          <w:p>
            <w:pPr>
              <w:spacing w:after="0"/>
              <w:rPr>
                <w:sz w:val="20"/>
                <w:szCs w:val="20"/>
                <w:color w:val="auto"/>
              </w:rPr>
            </w:pPr>
            <w:r>
              <w:rPr>
                <w:rFonts w:ascii="Arial" w:cs="Arial" w:eastAsia="Arial" w:hAnsi="Arial"/>
                <w:sz w:val="12"/>
                <w:szCs w:val="12"/>
                <w:color w:val="auto"/>
              </w:rPr>
              <w:t>November 19, 2012</w:t>
            </w:r>
          </w:p>
        </w:tc>
        <w:tc>
          <w:tcPr>
            <w:tcW w:w="1720" w:type="dxa"/>
            <w:vAlign w:val="bottom"/>
          </w:tcPr>
          <w:p>
            <w:pPr>
              <w:ind w:left="1380"/>
              <w:spacing w:after="0"/>
              <w:rPr>
                <w:sz w:val="20"/>
                <w:szCs w:val="20"/>
                <w:color w:val="auto"/>
              </w:rPr>
            </w:pPr>
            <w:r>
              <w:rPr>
                <w:rFonts w:ascii="Arial" w:cs="Arial" w:eastAsia="Arial" w:hAnsi="Arial"/>
                <w:sz w:val="12"/>
                <w:szCs w:val="12"/>
                <w:color w:val="auto"/>
              </w:rPr>
              <w:t>By:</w:t>
            </w:r>
          </w:p>
        </w:tc>
        <w:tc>
          <w:tcPr>
            <w:tcW w:w="33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JENNIFER CROW</w:t>
            </w:r>
          </w:p>
        </w:tc>
      </w:tr>
      <w:tr>
        <w:trPr>
          <w:trHeight w:val="133"/>
        </w:trPr>
        <w:tc>
          <w:tcPr>
            <w:tcW w:w="23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3360" w:type="dxa"/>
            <w:vAlign w:val="bottom"/>
          </w:tcPr>
          <w:p>
            <w:pPr>
              <w:spacing w:after="0" w:line="133" w:lineRule="exact"/>
              <w:rPr>
                <w:sz w:val="20"/>
                <w:szCs w:val="20"/>
                <w:color w:val="auto"/>
              </w:rPr>
            </w:pPr>
            <w:r>
              <w:rPr>
                <w:rFonts w:ascii="Arial" w:cs="Arial" w:eastAsia="Arial" w:hAnsi="Arial"/>
                <w:sz w:val="12"/>
                <w:szCs w:val="12"/>
                <w:color w:val="auto"/>
              </w:rPr>
              <w:t>Jennifer Crow</w:t>
            </w:r>
          </w:p>
        </w:tc>
      </w:tr>
      <w:tr>
        <w:trPr>
          <w:trHeight w:val="153"/>
        </w:trPr>
        <w:tc>
          <w:tcPr>
            <w:tcW w:w="23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3360" w:type="dxa"/>
            <w:vAlign w:val="bottom"/>
          </w:tcPr>
          <w:p>
            <w:pPr>
              <w:spacing w:after="0"/>
              <w:rPr>
                <w:sz w:val="20"/>
                <w:szCs w:val="20"/>
                <w:color w:val="auto"/>
              </w:rPr>
            </w:pPr>
            <w:r>
              <w:rPr>
                <w:rFonts w:ascii="Arial" w:cs="Arial" w:eastAsia="Arial" w:hAnsi="Arial"/>
                <w:sz w:val="12"/>
                <w:szCs w:val="12"/>
                <w:color w:val="auto"/>
              </w:rPr>
              <w:t>Chief Financial Officer</w:t>
            </w:r>
          </w:p>
        </w:tc>
      </w:tr>
    </w:tbl>
    <w:p>
      <w:pPr>
        <w:spacing w:after="0" w:line="378" w:lineRule="exact"/>
        <w:rPr>
          <w:sz w:val="20"/>
          <w:szCs w:val="20"/>
          <w:color w:val="auto"/>
        </w:rPr>
      </w:pPr>
    </w:p>
    <w:p>
      <w:pPr>
        <w:ind w:left="5680"/>
        <w:spacing w:after="0"/>
        <w:rPr>
          <w:sz w:val="20"/>
          <w:szCs w:val="20"/>
          <w:color w:val="auto"/>
        </w:rPr>
      </w:pPr>
      <w:r>
        <w:rPr>
          <w:rFonts w:ascii="Arial" w:cs="Arial" w:eastAsia="Arial" w:hAnsi="Arial"/>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0239"/>
          </w:cols>
          <w:pgMar w:left="220" w:top="128" w:right="1440"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15"/>
        </w:trPr>
        <w:tc>
          <w:tcPr>
            <w:tcW w:w="920" w:type="dxa"/>
            <w:vAlign w:val="bottom"/>
            <w:gridSpan w:val="2"/>
          </w:tcPr>
          <w:p>
            <w:pPr>
              <w:spacing w:after="0"/>
              <w:rPr>
                <w:rFonts w:ascii="Arial" w:cs="Arial" w:eastAsia="Arial" w:hAnsi="Arial"/>
                <w:sz w:val="10"/>
                <w:szCs w:val="10"/>
                <w:color w:val="0000EE"/>
              </w:rPr>
            </w:pPr>
            <w:hyperlink w:anchor="page2">
              <w:r>
                <w:rPr>
                  <w:rFonts w:ascii="Arial" w:cs="Arial" w:eastAsia="Arial" w:hAnsi="Arial"/>
                  <w:sz w:val="10"/>
                  <w:szCs w:val="10"/>
                  <w:color w:val="0000EE"/>
                </w:rPr>
                <w:t>Table of Contents</w:t>
              </w:r>
            </w:hyperlink>
          </w:p>
        </w:tc>
        <w:tc>
          <w:tcPr>
            <w:tcW w:w="22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4520" w:type="dxa"/>
            <w:vAlign w:val="bottom"/>
          </w:tcPr>
          <w:p>
            <w:pPr>
              <w:spacing w:after="0"/>
              <w:rPr>
                <w:sz w:val="10"/>
                <w:szCs w:val="10"/>
                <w:color w:val="auto"/>
              </w:rPr>
            </w:pPr>
          </w:p>
        </w:tc>
      </w:tr>
      <w:tr>
        <w:trPr>
          <w:trHeight w:val="295"/>
        </w:trPr>
        <w:tc>
          <w:tcPr>
            <w:tcW w:w="68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6820" w:type="dxa"/>
            <w:vAlign w:val="bottom"/>
            <w:gridSpan w:val="2"/>
          </w:tcPr>
          <w:p>
            <w:pPr>
              <w:jc w:val="center"/>
              <w:ind w:right="4660"/>
              <w:spacing w:after="0"/>
              <w:rPr>
                <w:sz w:val="20"/>
                <w:szCs w:val="20"/>
                <w:color w:val="auto"/>
              </w:rPr>
            </w:pPr>
            <w:r>
              <w:rPr>
                <w:rFonts w:ascii="Arial" w:cs="Arial" w:eastAsia="Arial" w:hAnsi="Arial"/>
                <w:sz w:val="12"/>
                <w:szCs w:val="12"/>
                <w:b w:val="1"/>
                <w:bCs w:val="1"/>
                <w:color w:val="auto"/>
              </w:rPr>
              <w:t>INDEX TO EXHIBITS</w:t>
            </w:r>
          </w:p>
        </w:tc>
      </w:tr>
      <w:tr>
        <w:trPr>
          <w:trHeight w:val="275"/>
        </w:trPr>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EXHIBIT</w:t>
            </w:r>
          </w:p>
        </w:tc>
        <w:tc>
          <w:tcPr>
            <w:tcW w:w="220" w:type="dxa"/>
            <w:vAlign w:val="bottom"/>
          </w:tcPr>
          <w:p>
            <w:pPr>
              <w:spacing w:after="0"/>
              <w:rPr>
                <w:sz w:val="23"/>
                <w:szCs w:val="23"/>
                <w:color w:val="auto"/>
              </w:rPr>
            </w:pPr>
          </w:p>
        </w:tc>
        <w:tc>
          <w:tcPr>
            <w:tcW w:w="3520" w:type="dxa"/>
            <w:vAlign w:val="bottom"/>
          </w:tcPr>
          <w:p>
            <w:pPr>
              <w:spacing w:after="0"/>
              <w:rPr>
                <w:sz w:val="23"/>
                <w:szCs w:val="23"/>
                <w:color w:val="auto"/>
              </w:rPr>
            </w:pPr>
          </w:p>
        </w:tc>
        <w:tc>
          <w:tcPr>
            <w:tcW w:w="6820" w:type="dxa"/>
            <w:vAlign w:val="bottom"/>
            <w:gridSpan w:val="2"/>
          </w:tcPr>
          <w:p>
            <w:pPr>
              <w:ind w:left="1220"/>
              <w:spacing w:after="0"/>
              <w:rPr>
                <w:sz w:val="20"/>
                <w:szCs w:val="20"/>
                <w:color w:val="auto"/>
              </w:rPr>
            </w:pPr>
            <w:r>
              <w:rPr>
                <w:rFonts w:ascii="Arial" w:cs="Arial" w:eastAsia="Arial" w:hAnsi="Arial"/>
                <w:sz w:val="12"/>
                <w:szCs w:val="12"/>
                <w:b w:val="1"/>
                <w:bCs w:val="1"/>
                <w:color w:val="auto"/>
              </w:rPr>
              <w:t>DESCRIPTION</w:t>
            </w:r>
          </w:p>
        </w:tc>
      </w:tr>
      <w:tr>
        <w:trPr>
          <w:trHeight w:val="157"/>
        </w:trPr>
        <w:tc>
          <w:tcPr>
            <w:tcW w:w="920" w:type="dxa"/>
            <w:vAlign w:val="bottom"/>
            <w:tcBorders>
              <w:bottom w:val="single" w:sz="8" w:color="auto"/>
            </w:tcBorders>
            <w:gridSpan w:val="2"/>
          </w:tcPr>
          <w:p>
            <w:pPr>
              <w:spacing w:after="0"/>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3"/>
                <w:szCs w:val="13"/>
                <w:color w:val="auto"/>
              </w:rPr>
            </w:pPr>
          </w:p>
        </w:tc>
        <w:tc>
          <w:tcPr>
            <w:tcW w:w="3520" w:type="dxa"/>
            <w:vAlign w:val="bottom"/>
            <w:tcBorders>
              <w:bottom w:val="single" w:sz="8" w:color="auto"/>
            </w:tcBorders>
          </w:tcPr>
          <w:p>
            <w:pPr>
              <w:spacing w:after="0"/>
              <w:rPr>
                <w:sz w:val="13"/>
                <w:szCs w:val="13"/>
                <w:color w:val="auto"/>
              </w:rPr>
            </w:pPr>
          </w:p>
        </w:tc>
        <w:tc>
          <w:tcPr>
            <w:tcW w:w="2300" w:type="dxa"/>
            <w:vAlign w:val="bottom"/>
            <w:tcBorders>
              <w:bottom w:val="single" w:sz="8" w:color="auto"/>
            </w:tcBorders>
          </w:tcPr>
          <w:p>
            <w:pPr>
              <w:spacing w:after="0"/>
              <w:rPr>
                <w:sz w:val="13"/>
                <w:szCs w:val="13"/>
                <w:color w:val="auto"/>
              </w:rPr>
            </w:pPr>
          </w:p>
        </w:tc>
        <w:tc>
          <w:tcPr>
            <w:tcW w:w="4520" w:type="dxa"/>
            <w:vAlign w:val="bottom"/>
            <w:tcBorders>
              <w:bottom w:val="single" w:sz="8" w:color="auto"/>
            </w:tcBorders>
          </w:tcPr>
          <w:p>
            <w:pPr>
              <w:spacing w:after="0"/>
              <w:rPr>
                <w:sz w:val="13"/>
                <w:szCs w:val="13"/>
                <w:color w:val="auto"/>
              </w:rPr>
            </w:pPr>
          </w:p>
        </w:tc>
      </w:tr>
      <w:tr>
        <w:trPr>
          <w:trHeight w:val="115"/>
        </w:trPr>
        <w:tc>
          <w:tcPr>
            <w:tcW w:w="680" w:type="dxa"/>
            <w:vAlign w:val="bottom"/>
          </w:tcPr>
          <w:p>
            <w:pPr>
              <w:spacing w:after="0" w:line="115" w:lineRule="exact"/>
              <w:rPr>
                <w:sz w:val="20"/>
                <w:szCs w:val="20"/>
                <w:color w:val="auto"/>
              </w:rPr>
            </w:pPr>
            <w:r>
              <w:rPr>
                <w:rFonts w:ascii="Arial" w:cs="Arial" w:eastAsia="Arial" w:hAnsi="Arial"/>
                <w:sz w:val="12"/>
                <w:szCs w:val="12"/>
                <w:color w:val="auto"/>
              </w:rPr>
              <w:t>31.1*</w:t>
            </w: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520" w:type="dxa"/>
            <w:vAlign w:val="bottom"/>
            <w:tcBorders>
              <w:bottom w:val="single" w:sz="8" w:color="0000EE"/>
            </w:tcBorders>
          </w:tcPr>
          <w:p>
            <w:pPr>
              <w:spacing w:after="0" w:line="115" w:lineRule="exact"/>
              <w:rPr>
                <w:sz w:val="20"/>
                <w:szCs w:val="20"/>
                <w:color w:val="auto"/>
              </w:rPr>
            </w:pPr>
            <w:r>
              <w:rPr>
                <w:rFonts w:ascii="Arial" w:cs="Arial" w:eastAsia="Arial" w:hAnsi="Arial"/>
                <w:sz w:val="12"/>
                <w:szCs w:val="12"/>
                <w:color w:val="0000EE"/>
                <w:w w:val="91"/>
              </w:rPr>
              <w:t>Certification pursuant to Section 302 of the Sarbanes-Oxley Act of 2002.</w:t>
            </w:r>
          </w:p>
        </w:tc>
        <w:tc>
          <w:tcPr>
            <w:tcW w:w="6820" w:type="dxa"/>
            <w:vAlign w:val="bottom"/>
            <w:gridSpan w:val="2"/>
          </w:tcPr>
          <w:p>
            <w:pPr>
              <w:spacing w:after="0"/>
              <w:rPr>
                <w:sz w:val="10"/>
                <w:szCs w:val="10"/>
                <w:color w:val="auto"/>
              </w:rPr>
            </w:pPr>
          </w:p>
        </w:tc>
      </w:tr>
      <w:tr>
        <w:trPr>
          <w:trHeight w:val="268"/>
        </w:trPr>
        <w:tc>
          <w:tcPr>
            <w:tcW w:w="680" w:type="dxa"/>
            <w:vAlign w:val="bottom"/>
          </w:tcPr>
          <w:p>
            <w:pPr>
              <w:spacing w:after="0"/>
              <w:rPr>
                <w:sz w:val="20"/>
                <w:szCs w:val="20"/>
                <w:color w:val="auto"/>
              </w:rPr>
            </w:pPr>
            <w:r>
              <w:rPr>
                <w:rFonts w:ascii="Arial" w:cs="Arial" w:eastAsia="Arial" w:hAnsi="Arial"/>
                <w:sz w:val="12"/>
                <w:szCs w:val="12"/>
                <w:color w:val="auto"/>
              </w:rPr>
              <w:t>31.2*</w:t>
            </w:r>
          </w:p>
        </w:tc>
        <w:tc>
          <w:tcPr>
            <w:tcW w:w="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520" w:type="dxa"/>
            <w:vAlign w:val="bottom"/>
            <w:tcBorders>
              <w:bottom w:val="single" w:sz="8" w:color="0000EE"/>
            </w:tcBorders>
          </w:tcPr>
          <w:p>
            <w:pPr>
              <w:spacing w:after="0"/>
              <w:rPr>
                <w:sz w:val="20"/>
                <w:szCs w:val="20"/>
                <w:color w:val="auto"/>
              </w:rPr>
            </w:pPr>
            <w:r>
              <w:rPr>
                <w:rFonts w:ascii="Arial" w:cs="Arial" w:eastAsia="Arial" w:hAnsi="Arial"/>
                <w:sz w:val="12"/>
                <w:szCs w:val="12"/>
                <w:color w:val="0000EE"/>
                <w:w w:val="91"/>
              </w:rPr>
              <w:t>Certification pursuant to Section 302 of the Sarbanes-Oxley Act of 2002.</w:t>
            </w:r>
          </w:p>
        </w:tc>
        <w:tc>
          <w:tcPr>
            <w:tcW w:w="6820" w:type="dxa"/>
            <w:vAlign w:val="bottom"/>
            <w:gridSpan w:val="2"/>
          </w:tcPr>
          <w:p>
            <w:pPr>
              <w:spacing w:after="0"/>
              <w:rPr>
                <w:sz w:val="23"/>
                <w:szCs w:val="23"/>
                <w:color w:val="auto"/>
              </w:rPr>
            </w:pPr>
          </w:p>
        </w:tc>
      </w:tr>
      <w:tr>
        <w:trPr>
          <w:trHeight w:val="268"/>
        </w:trPr>
        <w:tc>
          <w:tcPr>
            <w:tcW w:w="680" w:type="dxa"/>
            <w:vAlign w:val="bottom"/>
          </w:tcPr>
          <w:p>
            <w:pPr>
              <w:spacing w:after="0"/>
              <w:rPr>
                <w:sz w:val="20"/>
                <w:szCs w:val="20"/>
                <w:color w:val="auto"/>
              </w:rPr>
            </w:pPr>
            <w:r>
              <w:rPr>
                <w:rFonts w:ascii="Arial" w:cs="Arial" w:eastAsia="Arial" w:hAnsi="Arial"/>
                <w:sz w:val="12"/>
                <w:szCs w:val="12"/>
                <w:color w:val="auto"/>
              </w:rPr>
              <w:t>32.1*</w:t>
            </w:r>
          </w:p>
        </w:tc>
        <w:tc>
          <w:tcPr>
            <w:tcW w:w="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820" w:type="dxa"/>
            <w:vAlign w:val="bottom"/>
            <w:tcBorders>
              <w:bottom w:val="single" w:sz="8" w:color="0000EE"/>
            </w:tcBorders>
            <w:gridSpan w:val="2"/>
          </w:tcPr>
          <w:p>
            <w:pPr>
              <w:spacing w:after="0"/>
              <w:rPr>
                <w:sz w:val="20"/>
                <w:szCs w:val="20"/>
                <w:color w:val="auto"/>
              </w:rPr>
            </w:pPr>
            <w:r>
              <w:rPr>
                <w:rFonts w:ascii="Arial" w:cs="Arial" w:eastAsia="Arial" w:hAnsi="Arial"/>
                <w:sz w:val="12"/>
                <w:szCs w:val="12"/>
                <w:color w:val="0000EE"/>
                <w:w w:val="90"/>
              </w:rPr>
              <w:t>Certification pursuant to 18 U.S.C. Section 1350, as adopted pursuant to Section 906 of the Sarbanes-Oxley Act of 2002.</w:t>
            </w:r>
          </w:p>
        </w:tc>
        <w:tc>
          <w:tcPr>
            <w:tcW w:w="4520" w:type="dxa"/>
            <w:vAlign w:val="bottom"/>
          </w:tcPr>
          <w:p>
            <w:pPr>
              <w:spacing w:after="0"/>
              <w:rPr>
                <w:sz w:val="23"/>
                <w:szCs w:val="23"/>
                <w:color w:val="auto"/>
              </w:rPr>
            </w:pPr>
          </w:p>
        </w:tc>
      </w:tr>
      <w:tr>
        <w:trPr>
          <w:trHeight w:val="268"/>
        </w:trPr>
        <w:tc>
          <w:tcPr>
            <w:tcW w:w="680" w:type="dxa"/>
            <w:vAlign w:val="bottom"/>
          </w:tcPr>
          <w:p>
            <w:pPr>
              <w:spacing w:after="0"/>
              <w:rPr>
                <w:sz w:val="20"/>
                <w:szCs w:val="20"/>
                <w:color w:val="auto"/>
              </w:rPr>
            </w:pPr>
            <w:r>
              <w:rPr>
                <w:rFonts w:ascii="Arial" w:cs="Arial" w:eastAsia="Arial" w:hAnsi="Arial"/>
                <w:sz w:val="12"/>
                <w:szCs w:val="12"/>
                <w:color w:val="auto"/>
              </w:rPr>
              <w:t>32.2*</w:t>
            </w:r>
          </w:p>
        </w:tc>
        <w:tc>
          <w:tcPr>
            <w:tcW w:w="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820" w:type="dxa"/>
            <w:vAlign w:val="bottom"/>
            <w:tcBorders>
              <w:bottom w:val="single" w:sz="8" w:color="0000EE"/>
            </w:tcBorders>
            <w:gridSpan w:val="2"/>
          </w:tcPr>
          <w:p>
            <w:pPr>
              <w:spacing w:after="0"/>
              <w:rPr>
                <w:sz w:val="20"/>
                <w:szCs w:val="20"/>
                <w:color w:val="auto"/>
              </w:rPr>
            </w:pPr>
            <w:r>
              <w:rPr>
                <w:rFonts w:ascii="Arial" w:cs="Arial" w:eastAsia="Arial" w:hAnsi="Arial"/>
                <w:sz w:val="12"/>
                <w:szCs w:val="12"/>
                <w:color w:val="0000EE"/>
                <w:w w:val="90"/>
              </w:rPr>
              <w:t>Certification pursuant to 18 U.S.C. Section 1350, as adopted pursuant to Section 906 of the Sarbanes-Oxley Act of 2002.</w:t>
            </w:r>
          </w:p>
        </w:tc>
        <w:tc>
          <w:tcPr>
            <w:tcW w:w="4520" w:type="dxa"/>
            <w:vAlign w:val="bottom"/>
          </w:tcPr>
          <w:p>
            <w:pPr>
              <w:spacing w:after="0"/>
              <w:rPr>
                <w:sz w:val="23"/>
                <w:szCs w:val="23"/>
                <w:color w:val="auto"/>
              </w:rPr>
            </w:pPr>
          </w:p>
        </w:tc>
      </w:tr>
      <w:tr>
        <w:trPr>
          <w:trHeight w:val="286"/>
        </w:trPr>
        <w:tc>
          <w:tcPr>
            <w:tcW w:w="680" w:type="dxa"/>
            <w:vAlign w:val="bottom"/>
          </w:tcPr>
          <w:p>
            <w:pPr>
              <w:spacing w:after="0"/>
              <w:rPr>
                <w:sz w:val="20"/>
                <w:szCs w:val="20"/>
                <w:color w:val="auto"/>
              </w:rPr>
            </w:pPr>
            <w:r>
              <w:rPr>
                <w:rFonts w:ascii="Arial" w:cs="Arial" w:eastAsia="Arial" w:hAnsi="Arial"/>
                <w:sz w:val="12"/>
                <w:szCs w:val="12"/>
                <w:color w:val="auto"/>
              </w:rPr>
              <w:t>101*</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340" w:type="dxa"/>
            <w:vAlign w:val="bottom"/>
            <w:gridSpan w:val="3"/>
          </w:tcPr>
          <w:p>
            <w:pPr>
              <w:spacing w:after="0"/>
              <w:rPr>
                <w:sz w:val="20"/>
                <w:szCs w:val="20"/>
                <w:color w:val="auto"/>
              </w:rPr>
            </w:pPr>
            <w:r>
              <w:rPr>
                <w:rFonts w:ascii="Arial" w:cs="Arial" w:eastAsia="Arial" w:hAnsi="Arial"/>
                <w:sz w:val="12"/>
                <w:szCs w:val="12"/>
                <w:color w:val="auto"/>
                <w:w w:val="93"/>
              </w:rPr>
              <w:t>The following materials from Asure Software, Inc.'s Quarterly Report on Form 10-Q for the quarter ended September 30, 2012, formatted in XBRL (Extensible Business Reporting Language): (1) the Condensed</w:t>
            </w:r>
          </w:p>
        </w:tc>
      </w:tr>
      <w:tr>
        <w:trPr>
          <w:trHeight w:val="144"/>
        </w:trPr>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340" w:type="dxa"/>
            <w:vAlign w:val="bottom"/>
            <w:gridSpan w:val="3"/>
          </w:tcPr>
          <w:p>
            <w:pPr>
              <w:spacing w:after="0"/>
              <w:rPr>
                <w:sz w:val="20"/>
                <w:szCs w:val="20"/>
                <w:color w:val="auto"/>
              </w:rPr>
            </w:pPr>
            <w:r>
              <w:rPr>
                <w:rFonts w:ascii="Arial" w:cs="Arial" w:eastAsia="Arial" w:hAnsi="Arial"/>
                <w:sz w:val="12"/>
                <w:szCs w:val="12"/>
                <w:color w:val="auto"/>
                <w:w w:val="90"/>
              </w:rPr>
              <w:t>Consolidated Balance Sheets, (2) the Condensed Consolidated Statements of Operations, (3) the Condensed Consolidated Statements of Cash Flows, and (4) Notes to Consolidated Financial Statements, tagged as</w:t>
            </w:r>
          </w:p>
        </w:tc>
      </w:tr>
      <w:tr>
        <w:trPr>
          <w:trHeight w:val="153"/>
        </w:trPr>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340" w:type="dxa"/>
            <w:vAlign w:val="bottom"/>
            <w:gridSpan w:val="3"/>
          </w:tcPr>
          <w:p>
            <w:pPr>
              <w:spacing w:after="0"/>
              <w:rPr>
                <w:sz w:val="20"/>
                <w:szCs w:val="20"/>
                <w:color w:val="auto"/>
              </w:rPr>
            </w:pPr>
            <w:r>
              <w:rPr>
                <w:rFonts w:ascii="Arial" w:cs="Arial" w:eastAsia="Arial" w:hAnsi="Arial"/>
                <w:sz w:val="12"/>
                <w:szCs w:val="12"/>
                <w:color w:val="auto"/>
              </w:rPr>
              <w:t>blocks of text.</w:t>
            </w:r>
          </w:p>
        </w:tc>
      </w:tr>
      <w:tr>
        <w:trPr>
          <w:trHeight w:val="387"/>
        </w:trPr>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40" w:type="dxa"/>
            <w:vAlign w:val="bottom"/>
            <w:gridSpan w:val="3"/>
          </w:tcPr>
          <w:p>
            <w:pPr>
              <w:jc w:val="right"/>
              <w:ind w:right="1100"/>
              <w:spacing w:after="0"/>
              <w:rPr>
                <w:sz w:val="20"/>
                <w:szCs w:val="20"/>
                <w:color w:val="auto"/>
              </w:rPr>
            </w:pPr>
            <w:r>
              <w:rPr>
                <w:rFonts w:ascii="Arial" w:cs="Arial" w:eastAsia="Arial" w:hAnsi="Arial"/>
                <w:sz w:val="12"/>
                <w:szCs w:val="12"/>
                <w:color w:val="auto"/>
              </w:rPr>
              <w:t>26</w:t>
            </w:r>
          </w:p>
        </w:tc>
        <w:tc>
          <w:tcPr>
            <w:tcW w:w="4520" w:type="dxa"/>
            <w:vAlign w:val="bottom"/>
          </w:tcPr>
          <w:p>
            <w:pPr>
              <w:spacing w:after="0"/>
              <w:rPr>
                <w:sz w:val="24"/>
                <w:szCs w:val="24"/>
                <w:color w:val="auto"/>
              </w:rPr>
            </w:pPr>
          </w:p>
        </w:tc>
      </w:tr>
      <w:tr>
        <w:trPr>
          <w:trHeight w:val="76"/>
        </w:trPr>
        <w:tc>
          <w:tcPr>
            <w:tcW w:w="68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3520" w:type="dxa"/>
            <w:vAlign w:val="bottom"/>
            <w:tcBorders>
              <w:bottom w:val="single" w:sz="8" w:color="808080"/>
            </w:tcBorders>
          </w:tcPr>
          <w:p>
            <w:pPr>
              <w:spacing w:after="0"/>
              <w:rPr>
                <w:sz w:val="6"/>
                <w:szCs w:val="6"/>
                <w:color w:val="auto"/>
              </w:rPr>
            </w:pPr>
          </w:p>
        </w:tc>
        <w:tc>
          <w:tcPr>
            <w:tcW w:w="2300" w:type="dxa"/>
            <w:vAlign w:val="bottom"/>
            <w:tcBorders>
              <w:bottom w:val="single" w:sz="8" w:color="808080"/>
            </w:tcBorders>
          </w:tcPr>
          <w:p>
            <w:pPr>
              <w:spacing w:after="0"/>
              <w:rPr>
                <w:sz w:val="6"/>
                <w:szCs w:val="6"/>
                <w:color w:val="auto"/>
              </w:rPr>
            </w:pPr>
          </w:p>
        </w:tc>
        <w:tc>
          <w:tcPr>
            <w:tcW w:w="4520" w:type="dxa"/>
            <w:vAlign w:val="bottom"/>
            <w:tcBorders>
              <w:bottom w:val="single" w:sz="8" w:color="808080"/>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15" w:right="199" w:bottom="1440" w:gutter="0" w:footer="0" w:header="0"/>
        </w:sectPr>
      </w:pPr>
    </w:p>
    <w:bookmarkStart w:id="26" w:name="page27"/>
    <w:bookmarkEnd w:id="26"/>
    <w:p>
      <w:pPr>
        <w:spacing w:after="0"/>
        <w:rPr>
          <w:rFonts w:ascii="Arial" w:cs="Arial" w:eastAsia="Arial" w:hAnsi="Arial"/>
          <w:sz w:val="8"/>
          <w:szCs w:val="8"/>
          <w:u w:val="single" w:color="auto"/>
          <w:color w:val="0000EE"/>
        </w:rPr>
      </w:pPr>
      <w:hyperlink w:anchor="page2">
        <w:r>
          <w:rPr>
            <w:rFonts w:ascii="Arial" w:cs="Arial" w:eastAsia="Arial" w:hAnsi="Arial"/>
            <w:sz w:val="8"/>
            <w:szCs w:val="8"/>
            <w:u w:val="single" w:color="auto"/>
            <w:color w:val="0000EE"/>
          </w:rPr>
          <w:t>Table of Contents</w:t>
        </w:r>
      </w:hyperlink>
    </w:p>
    <w:p>
      <w:pPr>
        <w:sectPr>
          <w:pgSz w:w="11900" w:h="16838" w:orient="portrait"/>
          <w:cols w:equalWidth="0" w:num="1">
            <w:col w:w="10239"/>
          </w:cols>
          <w:pgMar w:left="220" w:top="128" w:right="1440" w:bottom="1440" w:gutter="0" w:footer="0" w:header="0"/>
        </w:sectPr>
      </w:pPr>
    </w:p>
    <w:bookmarkStart w:id="27" w:name="page28"/>
    <w:bookmarkEnd w:id="27"/>
    <w:p>
      <w:pPr>
        <w:spacing w:after="0"/>
        <w:rPr>
          <w:sz w:val="20"/>
          <w:szCs w:val="20"/>
          <w:color w:val="auto"/>
        </w:rPr>
      </w:pPr>
      <w:r>
        <w:rPr>
          <w:rFonts w:ascii="Arial" w:cs="Arial" w:eastAsia="Arial" w:hAnsi="Arial"/>
          <w:sz w:val="12"/>
          <w:szCs w:val="12"/>
          <w:b w:val="1"/>
          <w:bCs w:val="1"/>
          <w:color w:val="auto"/>
        </w:rPr>
        <w:t>EXHIBIT 31.1</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OF PERIODIC REPORT</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PURSUANT TO SECTION 302 OF THE SARBANES-OXLEY ACT OF 2002</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color w:val="auto"/>
        </w:rPr>
        <w:t>I, the undersigned, Patrick Goepel, certify, that:</w:t>
      </w:r>
    </w:p>
    <w:p>
      <w:pPr>
        <w:spacing w:after="0" w:line="150" w:lineRule="exact"/>
        <w:rPr>
          <w:sz w:val="20"/>
          <w:szCs w:val="20"/>
          <w:color w:val="auto"/>
        </w:rPr>
      </w:pPr>
    </w:p>
    <w:p>
      <w:pPr>
        <w:ind w:left="320" w:hanging="112"/>
        <w:spacing w:after="0"/>
        <w:tabs>
          <w:tab w:leader="none" w:pos="320" w:val="left"/>
        </w:tabs>
        <w:numPr>
          <w:ilvl w:val="0"/>
          <w:numId w:val="3"/>
        </w:numPr>
        <w:rPr>
          <w:rFonts w:ascii="Arial" w:cs="Arial" w:eastAsia="Arial" w:hAnsi="Arial"/>
          <w:sz w:val="12"/>
          <w:szCs w:val="12"/>
          <w:color w:val="auto"/>
        </w:rPr>
      </w:pPr>
      <w:r>
        <w:rPr>
          <w:rFonts w:ascii="Arial" w:cs="Arial" w:eastAsia="Arial" w:hAnsi="Arial"/>
          <w:sz w:val="12"/>
          <w:szCs w:val="12"/>
          <w:color w:val="auto"/>
        </w:rPr>
        <w:t>I have reviewed this quarterly report on Form 10-Q of the Company (the “Report”);</w:t>
      </w:r>
    </w:p>
    <w:p>
      <w:pPr>
        <w:spacing w:after="0" w:line="150" w:lineRule="exact"/>
        <w:rPr>
          <w:rFonts w:ascii="Arial" w:cs="Arial" w:eastAsia="Arial" w:hAnsi="Arial"/>
          <w:sz w:val="12"/>
          <w:szCs w:val="12"/>
          <w:color w:val="auto"/>
        </w:rPr>
      </w:pPr>
    </w:p>
    <w:p>
      <w:pPr>
        <w:ind w:firstLine="208"/>
        <w:spacing w:after="0" w:line="276" w:lineRule="auto"/>
        <w:tabs>
          <w:tab w:leader="none" w:pos="342" w:val="left"/>
        </w:tabs>
        <w:numPr>
          <w:ilvl w:val="0"/>
          <w:numId w:val="3"/>
        </w:numPr>
        <w:rPr>
          <w:rFonts w:ascii="Arial" w:cs="Arial" w:eastAsia="Arial" w:hAnsi="Arial"/>
          <w:sz w:val="12"/>
          <w:szCs w:val="12"/>
          <w:color w:val="auto"/>
        </w:rPr>
      </w:pPr>
      <w:r>
        <w:rPr>
          <w:rFonts w:ascii="Arial" w:cs="Arial" w:eastAsia="Arial" w:hAnsi="Arial"/>
          <w:sz w:val="12"/>
          <w:szCs w:val="12"/>
          <w:color w:val="auto"/>
        </w:rPr>
        <w:t>Based on my knowledge, the Report does not contain any untrue statement of a material fact or omit to state a material fact necessary to make the statements made, in light of the circumstances under which such statements were made, not misleading with respect to the periods covered by this Report;</w:t>
      </w:r>
    </w:p>
    <w:p>
      <w:pPr>
        <w:spacing w:after="0" w:line="114" w:lineRule="exact"/>
        <w:rPr>
          <w:rFonts w:ascii="Arial" w:cs="Arial" w:eastAsia="Arial" w:hAnsi="Arial"/>
          <w:sz w:val="12"/>
          <w:szCs w:val="12"/>
          <w:color w:val="auto"/>
        </w:rPr>
      </w:pPr>
    </w:p>
    <w:p>
      <w:pPr>
        <w:ind w:firstLine="208"/>
        <w:spacing w:after="0" w:line="276" w:lineRule="auto"/>
        <w:tabs>
          <w:tab w:leader="none" w:pos="340" w:val="left"/>
        </w:tabs>
        <w:numPr>
          <w:ilvl w:val="0"/>
          <w:numId w:val="3"/>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the Report, fairly present in all material respects the financial condition, results of operations and cash flows of the Company as of, and for, the periods presented in the Report;</w:t>
      </w:r>
    </w:p>
    <w:p>
      <w:pPr>
        <w:spacing w:after="0" w:line="114" w:lineRule="exact"/>
        <w:rPr>
          <w:rFonts w:ascii="Arial" w:cs="Arial" w:eastAsia="Arial" w:hAnsi="Arial"/>
          <w:sz w:val="12"/>
          <w:szCs w:val="12"/>
          <w:color w:val="auto"/>
        </w:rPr>
      </w:pPr>
    </w:p>
    <w:p>
      <w:pPr>
        <w:ind w:firstLine="208"/>
        <w:spacing w:after="0" w:line="276" w:lineRule="auto"/>
        <w:tabs>
          <w:tab w:leader="none" w:pos="348"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we have:</w:t>
      </w:r>
    </w:p>
    <w:p>
      <w:pPr>
        <w:spacing w:after="0" w:line="114" w:lineRule="exact"/>
        <w:rPr>
          <w:rFonts w:ascii="Arial" w:cs="Arial" w:eastAsia="Arial" w:hAnsi="Arial"/>
          <w:sz w:val="12"/>
          <w:szCs w:val="12"/>
          <w:color w:val="auto"/>
        </w:rPr>
      </w:pPr>
    </w:p>
    <w:p>
      <w:pPr>
        <w:ind w:right="20" w:firstLine="424"/>
        <w:spacing w:after="0" w:line="276" w:lineRule="auto"/>
        <w:tabs>
          <w:tab w:leader="none" w:pos="596" w:val="left"/>
        </w:tabs>
        <w:numPr>
          <w:ilvl w:val="1"/>
          <w:numId w:val="3"/>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these entities, particularly during the period in which the Report is being prepared;</w:t>
      </w:r>
    </w:p>
    <w:p>
      <w:pPr>
        <w:spacing w:after="0" w:line="114" w:lineRule="exact"/>
        <w:rPr>
          <w:rFonts w:ascii="Arial" w:cs="Arial" w:eastAsia="Arial" w:hAnsi="Arial"/>
          <w:sz w:val="12"/>
          <w:szCs w:val="12"/>
          <w:color w:val="auto"/>
        </w:rPr>
      </w:pPr>
    </w:p>
    <w:p>
      <w:pPr>
        <w:ind w:firstLine="424"/>
        <w:spacing w:after="0" w:line="276" w:lineRule="auto"/>
        <w:tabs>
          <w:tab w:leader="none" w:pos="616" w:val="left"/>
        </w:tabs>
        <w:numPr>
          <w:ilvl w:val="1"/>
          <w:numId w:val="3"/>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4" w:lineRule="exact"/>
        <w:rPr>
          <w:rFonts w:ascii="Arial" w:cs="Arial" w:eastAsia="Arial" w:hAnsi="Arial"/>
          <w:sz w:val="12"/>
          <w:szCs w:val="12"/>
          <w:color w:val="auto"/>
        </w:rPr>
      </w:pPr>
    </w:p>
    <w:p>
      <w:pPr>
        <w:ind w:firstLine="424"/>
        <w:spacing w:after="0" w:line="276" w:lineRule="auto"/>
        <w:tabs>
          <w:tab w:leader="none" w:pos="596" w:val="left"/>
        </w:tabs>
        <w:numPr>
          <w:ilvl w:val="1"/>
          <w:numId w:val="3"/>
        </w:numPr>
        <w:rPr>
          <w:rFonts w:ascii="Arial" w:cs="Arial" w:eastAsia="Arial" w:hAnsi="Arial"/>
          <w:sz w:val="12"/>
          <w:szCs w:val="12"/>
          <w:color w:val="auto"/>
        </w:rPr>
      </w:pPr>
      <w:r>
        <w:rPr>
          <w:rFonts w:ascii="Arial" w:cs="Arial" w:eastAsia="Arial" w:hAnsi="Arial"/>
          <w:sz w:val="12"/>
          <w:szCs w:val="12"/>
          <w:color w:val="auto"/>
        </w:rPr>
        <w:t>Evaluated the effectiveness of the Company’s disclosure controls and procedures and presented in the Report our conclusions about the effectiveness of the disclosure controls and procedures, as of the end of the period covered by the Report based on such evaluation; and</w:t>
      </w:r>
    </w:p>
    <w:p>
      <w:pPr>
        <w:spacing w:after="0" w:line="114" w:lineRule="exact"/>
        <w:rPr>
          <w:rFonts w:ascii="Arial" w:cs="Arial" w:eastAsia="Arial" w:hAnsi="Arial"/>
          <w:sz w:val="12"/>
          <w:szCs w:val="12"/>
          <w:color w:val="auto"/>
        </w:rPr>
      </w:pPr>
    </w:p>
    <w:p>
      <w:pPr>
        <w:ind w:right="20" w:firstLine="424"/>
        <w:spacing w:after="0" w:line="276" w:lineRule="auto"/>
        <w:tabs>
          <w:tab w:leader="none" w:pos="604" w:val="left"/>
        </w:tabs>
        <w:numPr>
          <w:ilvl w:val="1"/>
          <w:numId w:val="3"/>
        </w:numPr>
        <w:rPr>
          <w:rFonts w:ascii="Arial" w:cs="Arial" w:eastAsia="Arial" w:hAnsi="Arial"/>
          <w:sz w:val="12"/>
          <w:szCs w:val="12"/>
          <w:color w:val="auto"/>
        </w:rPr>
      </w:pPr>
      <w:r>
        <w:rPr>
          <w:rFonts w:ascii="Arial" w:cs="Arial" w:eastAsia="Arial" w:hAnsi="Arial"/>
          <w:sz w:val="12"/>
          <w:szCs w:val="12"/>
          <w:color w:val="auto"/>
        </w:rPr>
        <w:t>Disclosed in the Report any change in the Company’s internal control over financial reporting that occurred during the Company’s most recent fiscal quarter (the quarter ended September 30, 2012) that has materially affected, or is reasonably likely to materially affect, the Company’s internal control over financial reporting; and</w:t>
      </w:r>
    </w:p>
    <w:p>
      <w:pPr>
        <w:spacing w:after="0" w:line="114" w:lineRule="exact"/>
        <w:rPr>
          <w:rFonts w:ascii="Arial" w:cs="Arial" w:eastAsia="Arial" w:hAnsi="Arial"/>
          <w:sz w:val="12"/>
          <w:szCs w:val="12"/>
          <w:color w:val="auto"/>
        </w:rPr>
      </w:pPr>
    </w:p>
    <w:p>
      <w:pPr>
        <w:ind w:left="320" w:hanging="112"/>
        <w:spacing w:after="0"/>
        <w:tabs>
          <w:tab w:leader="none" w:pos="320" w:val="left"/>
        </w:tabs>
        <w:numPr>
          <w:ilvl w:val="0"/>
          <w:numId w:val="3"/>
        </w:numPr>
        <w:rPr>
          <w:rFonts w:ascii="Arial" w:cs="Arial" w:eastAsia="Arial" w:hAnsi="Arial"/>
          <w:sz w:val="11"/>
          <w:szCs w:val="11"/>
          <w:color w:val="auto"/>
        </w:rPr>
      </w:pPr>
      <w:r>
        <w:rPr>
          <w:rFonts w:ascii="Arial" w:cs="Arial" w:eastAsia="Arial" w:hAnsi="Arial"/>
          <w:sz w:val="11"/>
          <w:szCs w:val="11"/>
          <w:color w:val="auto"/>
        </w:rPr>
        <w:t>The Company’s other certifying officer and I have disclosed, based on our most recent evaluation of internal control over financial reporting, to the Company’s auditors and to the Audit Committee of the Board of Directors:</w:t>
      </w:r>
    </w:p>
    <w:p>
      <w:pPr>
        <w:spacing w:after="0" w:line="161" w:lineRule="exact"/>
        <w:rPr>
          <w:rFonts w:ascii="Arial" w:cs="Arial" w:eastAsia="Arial" w:hAnsi="Arial"/>
          <w:sz w:val="11"/>
          <w:szCs w:val="11"/>
          <w:color w:val="auto"/>
        </w:rPr>
      </w:pPr>
    </w:p>
    <w:p>
      <w:pPr>
        <w:ind w:right="20" w:firstLine="424"/>
        <w:spacing w:after="0" w:line="276" w:lineRule="auto"/>
        <w:tabs>
          <w:tab w:leader="none" w:pos="599" w:val="left"/>
        </w:tabs>
        <w:numPr>
          <w:ilvl w:val="1"/>
          <w:numId w:val="3"/>
        </w:numPr>
        <w:rPr>
          <w:rFonts w:ascii="Arial" w:cs="Arial" w:eastAsia="Arial" w:hAnsi="Arial"/>
          <w:sz w:val="12"/>
          <w:szCs w:val="12"/>
          <w:color w:val="auto"/>
        </w:rPr>
      </w:pPr>
      <w:r>
        <w:rPr>
          <w:rFonts w:ascii="Arial" w:cs="Arial" w:eastAsia="Arial" w:hAnsi="Arial"/>
          <w:sz w:val="12"/>
          <w:szCs w:val="12"/>
          <w:color w:val="auto"/>
        </w:rPr>
        <w:t>All significant deficiencies or material weaknesses in the design or operation of internal control over financial reporting which are reasonably likely to adversely affect the Company’s ability to record, process, summarize and report financial information; and</w:t>
      </w:r>
    </w:p>
    <w:p>
      <w:pPr>
        <w:spacing w:after="0" w:line="114" w:lineRule="exact"/>
        <w:rPr>
          <w:rFonts w:ascii="Arial" w:cs="Arial" w:eastAsia="Arial" w:hAnsi="Arial"/>
          <w:sz w:val="12"/>
          <w:szCs w:val="12"/>
          <w:color w:val="auto"/>
        </w:rPr>
      </w:pPr>
    </w:p>
    <w:p>
      <w:pPr>
        <w:ind w:left="600" w:hanging="176"/>
        <w:spacing w:after="0"/>
        <w:tabs>
          <w:tab w:leader="none" w:pos="600" w:val="left"/>
        </w:tabs>
        <w:numPr>
          <w:ilvl w:val="1"/>
          <w:numId w:val="3"/>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Company’s internal control over financial reporting.</w:t>
      </w:r>
    </w:p>
    <w:p>
      <w:pPr>
        <w:spacing w:after="0" w:line="294" w:lineRule="exact"/>
        <w:rPr>
          <w:sz w:val="20"/>
          <w:szCs w:val="20"/>
          <w:color w:val="auto"/>
        </w:rPr>
      </w:pPr>
    </w:p>
    <w:p>
      <w:pPr>
        <w:spacing w:after="0"/>
        <w:tabs>
          <w:tab w:leader="none" w:pos="3920" w:val="left"/>
          <w:tab w:leader="none" w:pos="4400" w:val="left"/>
        </w:tabs>
        <w:rPr>
          <w:sz w:val="20"/>
          <w:szCs w:val="20"/>
          <w:color w:val="auto"/>
        </w:rPr>
      </w:pPr>
      <w:r>
        <w:rPr>
          <w:rFonts w:ascii="Arial" w:cs="Arial" w:eastAsia="Arial" w:hAnsi="Arial"/>
          <w:sz w:val="12"/>
          <w:szCs w:val="12"/>
          <w:color w:val="auto"/>
        </w:rPr>
        <w:t>Date: November 19, 2012</w:t>
      </w:r>
      <w:r>
        <w:rPr>
          <w:sz w:val="20"/>
          <w:szCs w:val="20"/>
          <w:color w:val="auto"/>
        </w:rPr>
        <w:tab/>
      </w:r>
      <w:r>
        <w:rPr>
          <w:rFonts w:ascii="Arial" w:cs="Arial" w:eastAsia="Arial" w:hAnsi="Arial"/>
          <w:sz w:val="12"/>
          <w:szCs w:val="12"/>
          <w:color w:val="auto"/>
        </w:rPr>
        <w:t>By:</w:t>
      </w:r>
      <w:r>
        <w:rPr>
          <w:sz w:val="20"/>
          <w:szCs w:val="20"/>
          <w:color w:val="auto"/>
        </w:rPr>
        <w:tab/>
      </w:r>
      <w:r>
        <w:rPr>
          <w:rFonts w:ascii="Arial" w:cs="Arial" w:eastAsia="Arial" w:hAnsi="Arial"/>
          <w:sz w:val="11"/>
          <w:szCs w:val="11"/>
          <w:color w:val="auto"/>
        </w:rPr>
        <w:t>/s/ PATRICK GOEPEL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2802890</wp:posOffset>
            </wp:positionH>
            <wp:positionV relativeFrom="paragraph">
              <wp:posOffset>9525</wp:posOffset>
            </wp:positionV>
            <wp:extent cx="2505075" cy="114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505075" cy="11430"/>
                    </a:xfrm>
                    <a:prstGeom prst="rect">
                      <a:avLst/>
                    </a:prstGeom>
                    <a:noFill/>
                  </pic:spPr>
                </pic:pic>
              </a:graphicData>
            </a:graphic>
          </wp:anchor>
        </w:drawing>
      </w:r>
    </w:p>
    <w:p>
      <w:pPr>
        <w:spacing w:after="0" w:line="4" w:lineRule="exact"/>
        <w:rPr>
          <w:sz w:val="20"/>
          <w:szCs w:val="20"/>
          <w:color w:val="auto"/>
        </w:rPr>
      </w:pPr>
    </w:p>
    <w:p>
      <w:pPr>
        <w:ind w:left="4420"/>
        <w:spacing w:after="0"/>
        <w:rPr>
          <w:sz w:val="20"/>
          <w:szCs w:val="20"/>
          <w:color w:val="auto"/>
        </w:rPr>
      </w:pPr>
      <w:r>
        <w:rPr>
          <w:rFonts w:ascii="Arial" w:cs="Arial" w:eastAsia="Arial" w:hAnsi="Arial"/>
          <w:sz w:val="12"/>
          <w:szCs w:val="12"/>
          <w:color w:val="auto"/>
        </w:rPr>
        <w:t>Patrick Goepel</w:t>
      </w:r>
    </w:p>
    <w:p>
      <w:pPr>
        <w:spacing w:after="0" w:line="15" w:lineRule="exact"/>
        <w:rPr>
          <w:sz w:val="20"/>
          <w:szCs w:val="20"/>
          <w:color w:val="auto"/>
        </w:rPr>
      </w:pPr>
    </w:p>
    <w:p>
      <w:pPr>
        <w:ind w:left="4420"/>
        <w:spacing w:after="0"/>
        <w:rPr>
          <w:sz w:val="20"/>
          <w:szCs w:val="20"/>
          <w:color w:val="auto"/>
        </w:rPr>
      </w:pPr>
      <w:r>
        <w:rPr>
          <w:rFonts w:ascii="Arial" w:cs="Arial" w:eastAsia="Arial" w:hAnsi="Arial"/>
          <w:sz w:val="12"/>
          <w:szCs w:val="12"/>
          <w:color w:val="auto"/>
        </w:rPr>
        <w:t>Chief Executive Officer</w:t>
      </w:r>
    </w:p>
    <w:p>
      <w:pPr>
        <w:sectPr>
          <w:pgSz w:w="11900" w:h="16838" w:orient="portrait"/>
          <w:cols w:equalWidth="0" w:num="1">
            <w:col w:w="11480"/>
          </w:cols>
          <w:pgMar w:left="220" w:top="271" w:right="199" w:bottom="1440" w:gutter="0" w:footer="0" w:header="0"/>
        </w:sectPr>
      </w:pPr>
    </w:p>
    <w:bookmarkStart w:id="28" w:name="page29"/>
    <w:bookmarkEnd w:id="28"/>
    <w:p>
      <w:pPr>
        <w:spacing w:after="0"/>
        <w:rPr>
          <w:sz w:val="20"/>
          <w:szCs w:val="20"/>
          <w:color w:val="auto"/>
        </w:rPr>
      </w:pPr>
      <w:r>
        <w:rPr>
          <w:rFonts w:ascii="Arial" w:cs="Arial" w:eastAsia="Arial" w:hAnsi="Arial"/>
          <w:sz w:val="12"/>
          <w:szCs w:val="12"/>
          <w:b w:val="1"/>
          <w:bCs w:val="1"/>
          <w:color w:val="auto"/>
        </w:rPr>
        <w:t>EXHIBIT 31.2</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OF PERIODIC REPORT</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PURSUANT TO SECTION 302 OF THE SARBANES-OXLEY ACT OF 2002</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color w:val="auto"/>
        </w:rPr>
        <w:t>I, the undersigned, Jennifer Crow, certify that:</w:t>
      </w:r>
    </w:p>
    <w:p>
      <w:pPr>
        <w:spacing w:after="0" w:line="150" w:lineRule="exact"/>
        <w:rPr>
          <w:sz w:val="20"/>
          <w:szCs w:val="20"/>
          <w:color w:val="auto"/>
        </w:rPr>
      </w:pPr>
    </w:p>
    <w:p>
      <w:pPr>
        <w:ind w:left="320" w:hanging="112"/>
        <w:spacing w:after="0"/>
        <w:tabs>
          <w:tab w:leader="none" w:pos="320" w:val="left"/>
        </w:tabs>
        <w:numPr>
          <w:ilvl w:val="0"/>
          <w:numId w:val="4"/>
        </w:numPr>
        <w:rPr>
          <w:rFonts w:ascii="Arial" w:cs="Arial" w:eastAsia="Arial" w:hAnsi="Arial"/>
          <w:sz w:val="12"/>
          <w:szCs w:val="12"/>
          <w:color w:val="auto"/>
        </w:rPr>
      </w:pPr>
      <w:r>
        <w:rPr>
          <w:rFonts w:ascii="Arial" w:cs="Arial" w:eastAsia="Arial" w:hAnsi="Arial"/>
          <w:sz w:val="12"/>
          <w:szCs w:val="12"/>
          <w:color w:val="auto"/>
        </w:rPr>
        <w:t>I have reviewed this quarterly report on Form 10-Q of the Company (the “Report”);</w:t>
      </w:r>
    </w:p>
    <w:p>
      <w:pPr>
        <w:spacing w:after="0" w:line="150" w:lineRule="exact"/>
        <w:rPr>
          <w:rFonts w:ascii="Arial" w:cs="Arial" w:eastAsia="Arial" w:hAnsi="Arial"/>
          <w:sz w:val="12"/>
          <w:szCs w:val="12"/>
          <w:color w:val="auto"/>
        </w:rPr>
      </w:pPr>
    </w:p>
    <w:p>
      <w:pPr>
        <w:ind w:firstLine="208"/>
        <w:spacing w:after="0" w:line="276" w:lineRule="auto"/>
        <w:tabs>
          <w:tab w:leader="none" w:pos="342" w:val="left"/>
        </w:tabs>
        <w:numPr>
          <w:ilvl w:val="0"/>
          <w:numId w:val="4"/>
        </w:numPr>
        <w:rPr>
          <w:rFonts w:ascii="Arial" w:cs="Arial" w:eastAsia="Arial" w:hAnsi="Arial"/>
          <w:sz w:val="12"/>
          <w:szCs w:val="12"/>
          <w:color w:val="auto"/>
        </w:rPr>
      </w:pPr>
      <w:r>
        <w:rPr>
          <w:rFonts w:ascii="Arial" w:cs="Arial" w:eastAsia="Arial" w:hAnsi="Arial"/>
          <w:sz w:val="12"/>
          <w:szCs w:val="12"/>
          <w:color w:val="auto"/>
        </w:rPr>
        <w:t>Based on my knowledge, the Report does not contain any untrue statement of a material fact or omit to state a material fact necessary to make the statements made, in light of the circumstances under which such statements were made, not misleading with respect to the periods covered by this Report;</w:t>
      </w:r>
    </w:p>
    <w:p>
      <w:pPr>
        <w:spacing w:after="0" w:line="114" w:lineRule="exact"/>
        <w:rPr>
          <w:rFonts w:ascii="Arial" w:cs="Arial" w:eastAsia="Arial" w:hAnsi="Arial"/>
          <w:sz w:val="12"/>
          <w:szCs w:val="12"/>
          <w:color w:val="auto"/>
        </w:rPr>
      </w:pPr>
    </w:p>
    <w:p>
      <w:pPr>
        <w:ind w:firstLine="208"/>
        <w:spacing w:after="0" w:line="276" w:lineRule="auto"/>
        <w:tabs>
          <w:tab w:leader="none" w:pos="340" w:val="left"/>
        </w:tabs>
        <w:numPr>
          <w:ilvl w:val="0"/>
          <w:numId w:val="4"/>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the Report, fairly present in all material respects the financial condition, results of operations and cash flows of the Company as of, and for, the periods presented in the Report;</w:t>
      </w:r>
    </w:p>
    <w:p>
      <w:pPr>
        <w:spacing w:after="0" w:line="114" w:lineRule="exact"/>
        <w:rPr>
          <w:rFonts w:ascii="Arial" w:cs="Arial" w:eastAsia="Arial" w:hAnsi="Arial"/>
          <w:sz w:val="12"/>
          <w:szCs w:val="12"/>
          <w:color w:val="auto"/>
        </w:rPr>
      </w:pPr>
    </w:p>
    <w:p>
      <w:pPr>
        <w:ind w:firstLine="208"/>
        <w:spacing w:after="0" w:line="276" w:lineRule="auto"/>
        <w:tabs>
          <w:tab w:leader="none" w:pos="348"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we have:</w:t>
      </w:r>
    </w:p>
    <w:p>
      <w:pPr>
        <w:spacing w:after="0" w:line="114" w:lineRule="exact"/>
        <w:rPr>
          <w:rFonts w:ascii="Arial" w:cs="Arial" w:eastAsia="Arial" w:hAnsi="Arial"/>
          <w:sz w:val="12"/>
          <w:szCs w:val="12"/>
          <w:color w:val="auto"/>
        </w:rPr>
      </w:pPr>
    </w:p>
    <w:p>
      <w:pPr>
        <w:ind w:right="20" w:firstLine="424"/>
        <w:spacing w:after="0" w:line="276" w:lineRule="auto"/>
        <w:tabs>
          <w:tab w:leader="none" w:pos="596" w:val="left"/>
        </w:tabs>
        <w:numPr>
          <w:ilvl w:val="1"/>
          <w:numId w:val="4"/>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these entities, particularly during the period in which the Report is being prepared;</w:t>
      </w:r>
    </w:p>
    <w:p>
      <w:pPr>
        <w:spacing w:after="0" w:line="114" w:lineRule="exact"/>
        <w:rPr>
          <w:rFonts w:ascii="Arial" w:cs="Arial" w:eastAsia="Arial" w:hAnsi="Arial"/>
          <w:sz w:val="12"/>
          <w:szCs w:val="12"/>
          <w:color w:val="auto"/>
        </w:rPr>
      </w:pPr>
    </w:p>
    <w:p>
      <w:pPr>
        <w:ind w:firstLine="424"/>
        <w:spacing w:after="0" w:line="276" w:lineRule="auto"/>
        <w:tabs>
          <w:tab w:leader="none" w:pos="616" w:val="left"/>
        </w:tabs>
        <w:numPr>
          <w:ilvl w:val="1"/>
          <w:numId w:val="4"/>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4" w:lineRule="exact"/>
        <w:rPr>
          <w:rFonts w:ascii="Arial" w:cs="Arial" w:eastAsia="Arial" w:hAnsi="Arial"/>
          <w:sz w:val="12"/>
          <w:szCs w:val="12"/>
          <w:color w:val="auto"/>
        </w:rPr>
      </w:pPr>
    </w:p>
    <w:p>
      <w:pPr>
        <w:ind w:firstLine="424"/>
        <w:spacing w:after="0" w:line="276" w:lineRule="auto"/>
        <w:tabs>
          <w:tab w:leader="none" w:pos="596" w:val="left"/>
        </w:tabs>
        <w:numPr>
          <w:ilvl w:val="1"/>
          <w:numId w:val="4"/>
        </w:numPr>
        <w:rPr>
          <w:rFonts w:ascii="Arial" w:cs="Arial" w:eastAsia="Arial" w:hAnsi="Arial"/>
          <w:sz w:val="12"/>
          <w:szCs w:val="12"/>
          <w:color w:val="auto"/>
        </w:rPr>
      </w:pPr>
      <w:r>
        <w:rPr>
          <w:rFonts w:ascii="Arial" w:cs="Arial" w:eastAsia="Arial" w:hAnsi="Arial"/>
          <w:sz w:val="12"/>
          <w:szCs w:val="12"/>
          <w:color w:val="auto"/>
        </w:rPr>
        <w:t>Evaluated the effectiveness of the Company’s disclosure controls and procedures and presented in the Report our conclusions about the effectiveness of the disclosure controls and procedures, as of the end of the period covered by the Report based on such evaluation; and</w:t>
      </w:r>
    </w:p>
    <w:p>
      <w:pPr>
        <w:spacing w:after="0" w:line="114" w:lineRule="exact"/>
        <w:rPr>
          <w:rFonts w:ascii="Arial" w:cs="Arial" w:eastAsia="Arial" w:hAnsi="Arial"/>
          <w:sz w:val="12"/>
          <w:szCs w:val="12"/>
          <w:color w:val="auto"/>
        </w:rPr>
      </w:pPr>
    </w:p>
    <w:p>
      <w:pPr>
        <w:ind w:right="20" w:firstLine="424"/>
        <w:spacing w:after="0" w:line="276" w:lineRule="auto"/>
        <w:tabs>
          <w:tab w:leader="none" w:pos="604" w:val="left"/>
        </w:tabs>
        <w:numPr>
          <w:ilvl w:val="1"/>
          <w:numId w:val="4"/>
        </w:numPr>
        <w:rPr>
          <w:rFonts w:ascii="Arial" w:cs="Arial" w:eastAsia="Arial" w:hAnsi="Arial"/>
          <w:sz w:val="12"/>
          <w:szCs w:val="12"/>
          <w:color w:val="auto"/>
        </w:rPr>
      </w:pPr>
      <w:r>
        <w:rPr>
          <w:rFonts w:ascii="Arial" w:cs="Arial" w:eastAsia="Arial" w:hAnsi="Arial"/>
          <w:sz w:val="12"/>
          <w:szCs w:val="12"/>
          <w:color w:val="auto"/>
        </w:rPr>
        <w:t>Disclosed in the Report any change in the Company’s internal control over financial reporting that occurred during the Company’s most recent fiscal quarter (the quarter ended September 30, 2012) that has materially affected, or is reasonably likely to materially affect, the Company’s internal control over financial reporting; and</w:t>
      </w:r>
    </w:p>
    <w:p>
      <w:pPr>
        <w:spacing w:after="0" w:line="114" w:lineRule="exact"/>
        <w:rPr>
          <w:rFonts w:ascii="Arial" w:cs="Arial" w:eastAsia="Arial" w:hAnsi="Arial"/>
          <w:sz w:val="12"/>
          <w:szCs w:val="12"/>
          <w:color w:val="auto"/>
        </w:rPr>
      </w:pPr>
    </w:p>
    <w:p>
      <w:pPr>
        <w:ind w:left="320" w:hanging="112"/>
        <w:spacing w:after="0"/>
        <w:tabs>
          <w:tab w:leader="none" w:pos="320" w:val="left"/>
        </w:tabs>
        <w:numPr>
          <w:ilvl w:val="0"/>
          <w:numId w:val="4"/>
        </w:numPr>
        <w:rPr>
          <w:rFonts w:ascii="Arial" w:cs="Arial" w:eastAsia="Arial" w:hAnsi="Arial"/>
          <w:sz w:val="11"/>
          <w:szCs w:val="11"/>
          <w:color w:val="auto"/>
        </w:rPr>
      </w:pPr>
      <w:r>
        <w:rPr>
          <w:rFonts w:ascii="Arial" w:cs="Arial" w:eastAsia="Arial" w:hAnsi="Arial"/>
          <w:sz w:val="11"/>
          <w:szCs w:val="11"/>
          <w:color w:val="auto"/>
        </w:rPr>
        <w:t>The Company’s other certifying officer and I have disclosed, based on our most recent evaluation of internal control over financial reporting, to the Company’s auditors and to the Audit Committee of the Board of Directors:</w:t>
      </w:r>
    </w:p>
    <w:p>
      <w:pPr>
        <w:spacing w:after="0" w:line="161" w:lineRule="exact"/>
        <w:rPr>
          <w:rFonts w:ascii="Arial" w:cs="Arial" w:eastAsia="Arial" w:hAnsi="Arial"/>
          <w:sz w:val="11"/>
          <w:szCs w:val="11"/>
          <w:color w:val="auto"/>
        </w:rPr>
      </w:pPr>
    </w:p>
    <w:p>
      <w:pPr>
        <w:ind w:right="20" w:firstLine="424"/>
        <w:spacing w:after="0" w:line="276" w:lineRule="auto"/>
        <w:tabs>
          <w:tab w:leader="none" w:pos="599" w:val="left"/>
        </w:tabs>
        <w:numPr>
          <w:ilvl w:val="1"/>
          <w:numId w:val="4"/>
        </w:numPr>
        <w:rPr>
          <w:rFonts w:ascii="Arial" w:cs="Arial" w:eastAsia="Arial" w:hAnsi="Arial"/>
          <w:sz w:val="12"/>
          <w:szCs w:val="12"/>
          <w:color w:val="auto"/>
        </w:rPr>
      </w:pPr>
      <w:r>
        <w:rPr>
          <w:rFonts w:ascii="Arial" w:cs="Arial" w:eastAsia="Arial" w:hAnsi="Arial"/>
          <w:sz w:val="12"/>
          <w:szCs w:val="12"/>
          <w:color w:val="auto"/>
        </w:rPr>
        <w:t>All significant deficiencies or material weaknesses in the design or operation of internal control over financial reporting which are reasonably likely to adversely affect the Company’s ability to record, process, summarize and report financial information; and</w:t>
      </w:r>
    </w:p>
    <w:p>
      <w:pPr>
        <w:spacing w:after="0" w:line="114" w:lineRule="exact"/>
        <w:rPr>
          <w:rFonts w:ascii="Arial" w:cs="Arial" w:eastAsia="Arial" w:hAnsi="Arial"/>
          <w:sz w:val="12"/>
          <w:szCs w:val="12"/>
          <w:color w:val="auto"/>
        </w:rPr>
      </w:pPr>
    </w:p>
    <w:p>
      <w:pPr>
        <w:ind w:left="600" w:hanging="176"/>
        <w:spacing w:after="0"/>
        <w:tabs>
          <w:tab w:leader="none" w:pos="600" w:val="left"/>
        </w:tabs>
        <w:numPr>
          <w:ilvl w:val="1"/>
          <w:numId w:val="4"/>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Company’s internal control over financial reporting.</w:t>
      </w:r>
    </w:p>
    <w:p>
      <w:pPr>
        <w:spacing w:after="0" w:line="294" w:lineRule="exact"/>
        <w:rPr>
          <w:sz w:val="20"/>
          <w:szCs w:val="20"/>
          <w:color w:val="auto"/>
        </w:rPr>
      </w:pPr>
    </w:p>
    <w:p>
      <w:pPr>
        <w:spacing w:after="0"/>
        <w:tabs>
          <w:tab w:leader="none" w:pos="4080" w:val="left"/>
          <w:tab w:leader="none" w:pos="4560" w:val="left"/>
        </w:tabs>
        <w:rPr>
          <w:sz w:val="20"/>
          <w:szCs w:val="20"/>
          <w:color w:val="auto"/>
        </w:rPr>
      </w:pPr>
      <w:r>
        <w:rPr>
          <w:rFonts w:ascii="Arial" w:cs="Arial" w:eastAsia="Arial" w:hAnsi="Arial"/>
          <w:sz w:val="12"/>
          <w:szCs w:val="12"/>
          <w:color w:val="auto"/>
        </w:rPr>
        <w:t>Date: November 19, 2012</w:t>
      </w:r>
      <w:r>
        <w:rPr>
          <w:sz w:val="20"/>
          <w:szCs w:val="20"/>
          <w:color w:val="auto"/>
        </w:rPr>
        <w:tab/>
      </w:r>
      <w:r>
        <w:rPr>
          <w:rFonts w:ascii="Arial" w:cs="Arial" w:eastAsia="Arial" w:hAnsi="Arial"/>
          <w:sz w:val="12"/>
          <w:szCs w:val="12"/>
          <w:color w:val="auto"/>
        </w:rPr>
        <w:t>By:</w:t>
      </w:r>
      <w:r>
        <w:rPr>
          <w:sz w:val="20"/>
          <w:szCs w:val="20"/>
          <w:color w:val="auto"/>
        </w:rPr>
        <w:tab/>
      </w:r>
      <w:r>
        <w:rPr>
          <w:rFonts w:ascii="Arial" w:cs="Arial" w:eastAsia="Arial" w:hAnsi="Arial"/>
          <w:sz w:val="11"/>
          <w:szCs w:val="11"/>
          <w:color w:val="auto"/>
        </w:rPr>
        <w:t>/s/ JENNIFER CROW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2906395</wp:posOffset>
            </wp:positionH>
            <wp:positionV relativeFrom="paragraph">
              <wp:posOffset>9525</wp:posOffset>
            </wp:positionV>
            <wp:extent cx="2533650" cy="114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533650" cy="11430"/>
                    </a:xfrm>
                    <a:prstGeom prst="rect">
                      <a:avLst/>
                    </a:prstGeom>
                    <a:noFill/>
                  </pic:spPr>
                </pic:pic>
              </a:graphicData>
            </a:graphic>
          </wp:anchor>
        </w:drawing>
      </w:r>
    </w:p>
    <w:p>
      <w:pPr>
        <w:spacing w:after="0" w:line="4" w:lineRule="exact"/>
        <w:rPr>
          <w:sz w:val="20"/>
          <w:szCs w:val="20"/>
          <w:color w:val="auto"/>
        </w:rPr>
      </w:pPr>
    </w:p>
    <w:p>
      <w:pPr>
        <w:ind w:left="4580"/>
        <w:spacing w:after="0"/>
        <w:rPr>
          <w:sz w:val="20"/>
          <w:szCs w:val="20"/>
          <w:color w:val="auto"/>
        </w:rPr>
      </w:pPr>
      <w:r>
        <w:rPr>
          <w:rFonts w:ascii="Arial" w:cs="Arial" w:eastAsia="Arial" w:hAnsi="Arial"/>
          <w:sz w:val="12"/>
          <w:szCs w:val="12"/>
          <w:color w:val="auto"/>
        </w:rPr>
        <w:t>Jennifer Crow</w:t>
      </w:r>
    </w:p>
    <w:p>
      <w:pPr>
        <w:spacing w:after="0" w:line="15" w:lineRule="exact"/>
        <w:rPr>
          <w:sz w:val="20"/>
          <w:szCs w:val="20"/>
          <w:color w:val="auto"/>
        </w:rPr>
      </w:pPr>
    </w:p>
    <w:p>
      <w:pPr>
        <w:ind w:left="4580"/>
        <w:spacing w:after="0"/>
        <w:rPr>
          <w:sz w:val="20"/>
          <w:szCs w:val="20"/>
          <w:color w:val="auto"/>
        </w:rPr>
      </w:pPr>
      <w:r>
        <w:rPr>
          <w:rFonts w:ascii="Arial" w:cs="Arial" w:eastAsia="Arial" w:hAnsi="Arial"/>
          <w:sz w:val="12"/>
          <w:szCs w:val="12"/>
          <w:color w:val="auto"/>
        </w:rPr>
        <w:t>Chief Financial Officer</w:t>
      </w:r>
    </w:p>
    <w:p>
      <w:pPr>
        <w:sectPr>
          <w:pgSz w:w="11900" w:h="16838" w:orient="portrait"/>
          <w:cols w:equalWidth="0" w:num="1">
            <w:col w:w="11480"/>
          </w:cols>
          <w:pgMar w:left="220" w:top="271" w:right="199" w:bottom="1440" w:gutter="0" w:footer="0" w:header="0"/>
        </w:sectPr>
      </w:pPr>
    </w:p>
    <w:bookmarkStart w:id="29" w:name="page30"/>
    <w:bookmarkEnd w:id="29"/>
    <w:p>
      <w:pPr>
        <w:spacing w:after="0"/>
        <w:rPr>
          <w:sz w:val="20"/>
          <w:szCs w:val="20"/>
          <w:color w:val="auto"/>
        </w:rPr>
      </w:pPr>
      <w:r>
        <w:rPr>
          <w:rFonts w:ascii="Arial" w:cs="Arial" w:eastAsia="Arial" w:hAnsi="Arial"/>
          <w:sz w:val="12"/>
          <w:szCs w:val="12"/>
          <w:b w:val="1"/>
          <w:bCs w:val="1"/>
          <w:color w:val="auto"/>
        </w:rPr>
        <w:t>EXHIBIT 32.1</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OF PERIODIC REPORT</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PURSUANT TO SECTION 906 OF THE SARBANES-OXLEY ACT OF 2002</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color w:val="auto"/>
        </w:rPr>
        <w:t>I, the undersigned, Patrick Goepel, do hereby certify, pursuant to 18 U.S.C. Section 1350, as adopted by Section 906 of the Sarbanes-Oxley Act of 2002, that:</w:t>
      </w:r>
    </w:p>
    <w:p>
      <w:pPr>
        <w:spacing w:after="0" w:line="150" w:lineRule="exact"/>
        <w:rPr>
          <w:sz w:val="20"/>
          <w:szCs w:val="20"/>
          <w:color w:val="auto"/>
        </w:rPr>
      </w:pPr>
    </w:p>
    <w:p>
      <w:pPr>
        <w:ind w:left="320" w:hanging="112"/>
        <w:spacing w:after="0"/>
        <w:tabs>
          <w:tab w:leader="none" w:pos="320" w:val="left"/>
        </w:tabs>
        <w:numPr>
          <w:ilvl w:val="0"/>
          <w:numId w:val="5"/>
        </w:numPr>
        <w:rPr>
          <w:rFonts w:ascii="Arial" w:cs="Arial" w:eastAsia="Arial" w:hAnsi="Arial"/>
          <w:sz w:val="11"/>
          <w:szCs w:val="11"/>
          <w:color w:val="auto"/>
        </w:rPr>
      </w:pPr>
      <w:r>
        <w:rPr>
          <w:rFonts w:ascii="Arial" w:cs="Arial" w:eastAsia="Arial" w:hAnsi="Arial"/>
          <w:sz w:val="11"/>
          <w:szCs w:val="11"/>
          <w:color w:val="auto"/>
        </w:rPr>
        <w:t>The quarterly report on Form 10-Q of the Company for the period ended September 30, 2012 (the “Report”) fully complies with the requirements of section 13(a) or 15(d) of the Securities Exchange Act of 1934 as amended, and</w:t>
      </w:r>
    </w:p>
    <w:p>
      <w:pPr>
        <w:spacing w:after="0" w:line="161" w:lineRule="exact"/>
        <w:rPr>
          <w:rFonts w:ascii="Arial" w:cs="Arial" w:eastAsia="Arial" w:hAnsi="Arial"/>
          <w:sz w:val="11"/>
          <w:szCs w:val="11"/>
          <w:color w:val="auto"/>
        </w:rPr>
      </w:pPr>
    </w:p>
    <w:p>
      <w:pPr>
        <w:ind w:left="320" w:hanging="112"/>
        <w:spacing w:after="0"/>
        <w:tabs>
          <w:tab w:leader="none" w:pos="320" w:val="left"/>
        </w:tabs>
        <w:numPr>
          <w:ilvl w:val="0"/>
          <w:numId w:val="5"/>
        </w:numPr>
        <w:rPr>
          <w:rFonts w:ascii="Arial" w:cs="Arial" w:eastAsia="Arial" w:hAnsi="Arial"/>
          <w:sz w:val="12"/>
          <w:szCs w:val="12"/>
          <w:color w:val="auto"/>
        </w:rPr>
      </w:pPr>
      <w:r>
        <w:rPr>
          <w:rFonts w:ascii="Arial" w:cs="Arial" w:eastAsia="Arial" w:hAnsi="Arial"/>
          <w:sz w:val="12"/>
          <w:szCs w:val="12"/>
          <w:color w:val="auto"/>
        </w:rPr>
        <w:t>The information contained in the Report fairly presents, in all material respects, the financial condition and results of operations of the Company.</w:t>
      </w:r>
    </w:p>
    <w:p>
      <w:pPr>
        <w:spacing w:after="0" w:line="294" w:lineRule="exact"/>
        <w:rPr>
          <w:sz w:val="20"/>
          <w:szCs w:val="20"/>
          <w:color w:val="auto"/>
        </w:rPr>
      </w:pPr>
    </w:p>
    <w:p>
      <w:pPr>
        <w:spacing w:after="0"/>
        <w:tabs>
          <w:tab w:leader="none" w:pos="4400" w:val="left"/>
          <w:tab w:leader="none" w:pos="4880" w:val="left"/>
        </w:tabs>
        <w:rPr>
          <w:sz w:val="20"/>
          <w:szCs w:val="20"/>
          <w:color w:val="auto"/>
        </w:rPr>
      </w:pPr>
      <w:r>
        <w:rPr>
          <w:rFonts w:ascii="Arial" w:cs="Arial" w:eastAsia="Arial" w:hAnsi="Arial"/>
          <w:sz w:val="12"/>
          <w:szCs w:val="12"/>
          <w:color w:val="auto"/>
        </w:rPr>
        <w:t>Date: November 19, 2012</w:t>
      </w:r>
      <w:r>
        <w:rPr>
          <w:sz w:val="20"/>
          <w:szCs w:val="20"/>
          <w:color w:val="auto"/>
        </w:rPr>
        <w:tab/>
      </w:r>
      <w:r>
        <w:rPr>
          <w:rFonts w:ascii="Arial" w:cs="Arial" w:eastAsia="Arial" w:hAnsi="Arial"/>
          <w:sz w:val="12"/>
          <w:szCs w:val="12"/>
          <w:color w:val="auto"/>
        </w:rPr>
        <w:t>By:</w:t>
      </w:r>
      <w:r>
        <w:rPr>
          <w:sz w:val="20"/>
          <w:szCs w:val="20"/>
          <w:color w:val="auto"/>
        </w:rPr>
        <w:tab/>
      </w:r>
      <w:r>
        <w:rPr>
          <w:rFonts w:ascii="Arial" w:cs="Arial" w:eastAsia="Arial" w:hAnsi="Arial"/>
          <w:sz w:val="11"/>
          <w:szCs w:val="11"/>
          <w:color w:val="auto"/>
        </w:rPr>
        <w:t>/s/ PATRICK GOEPEL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3106420</wp:posOffset>
            </wp:positionH>
            <wp:positionV relativeFrom="paragraph">
              <wp:posOffset>9525</wp:posOffset>
            </wp:positionV>
            <wp:extent cx="2350770" cy="114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350770" cy="11430"/>
                    </a:xfrm>
                    <a:prstGeom prst="rect">
                      <a:avLst/>
                    </a:prstGeom>
                    <a:noFill/>
                  </pic:spPr>
                </pic:pic>
              </a:graphicData>
            </a:graphic>
          </wp:anchor>
        </w:drawing>
      </w:r>
    </w:p>
    <w:p>
      <w:pPr>
        <w:spacing w:after="0" w:line="4" w:lineRule="exact"/>
        <w:rPr>
          <w:sz w:val="20"/>
          <w:szCs w:val="20"/>
          <w:color w:val="auto"/>
        </w:rPr>
      </w:pPr>
    </w:p>
    <w:p>
      <w:pPr>
        <w:ind w:left="4900"/>
        <w:spacing w:after="0"/>
        <w:rPr>
          <w:sz w:val="20"/>
          <w:szCs w:val="20"/>
          <w:color w:val="auto"/>
        </w:rPr>
      </w:pPr>
      <w:r>
        <w:rPr>
          <w:rFonts w:ascii="Arial" w:cs="Arial" w:eastAsia="Arial" w:hAnsi="Arial"/>
          <w:sz w:val="12"/>
          <w:szCs w:val="12"/>
          <w:color w:val="auto"/>
        </w:rPr>
        <w:t>Patrick Goepel</w:t>
      </w:r>
    </w:p>
    <w:p>
      <w:pPr>
        <w:spacing w:after="0" w:line="15" w:lineRule="exact"/>
        <w:rPr>
          <w:sz w:val="20"/>
          <w:szCs w:val="20"/>
          <w:color w:val="auto"/>
        </w:rPr>
      </w:pPr>
    </w:p>
    <w:p>
      <w:pPr>
        <w:ind w:left="4900"/>
        <w:spacing w:after="0"/>
        <w:rPr>
          <w:sz w:val="20"/>
          <w:szCs w:val="20"/>
          <w:color w:val="auto"/>
        </w:rPr>
      </w:pPr>
      <w:r>
        <w:rPr>
          <w:rFonts w:ascii="Arial" w:cs="Arial" w:eastAsia="Arial" w:hAnsi="Arial"/>
          <w:sz w:val="12"/>
          <w:szCs w:val="12"/>
          <w:color w:val="auto"/>
        </w:rPr>
        <w:t>Chief Executive Officer</w:t>
      </w:r>
    </w:p>
    <w:p>
      <w:pPr>
        <w:spacing w:after="0" w:line="141" w:lineRule="exact"/>
        <w:rPr>
          <w:sz w:val="20"/>
          <w:szCs w:val="20"/>
          <w:color w:val="auto"/>
        </w:rPr>
      </w:pPr>
    </w:p>
    <w:p>
      <w:pPr>
        <w:spacing w:after="0"/>
        <w:rPr>
          <w:sz w:val="20"/>
          <w:szCs w:val="20"/>
          <w:color w:val="auto"/>
        </w:rPr>
      </w:pPr>
      <w:r>
        <w:rPr>
          <w:rFonts w:ascii="Arial" w:cs="Arial" w:eastAsia="Arial" w:hAnsi="Arial"/>
          <w:sz w:val="10"/>
          <w:szCs w:val="10"/>
          <w:color w:val="auto"/>
        </w:rPr>
        <w:t>A signed original of this written statement required by Section 906 has been provided to Asure Software, Inc. and will be retained by Asure Software, Inc. and furnished to the Securities and Exchange Commission or its staff upon request.</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color w:val="auto"/>
        </w:rPr>
        <w:t>The foregoing certification is being furnished solely pursuant to 18 U.S.C. Section 1350 and is not being filed as part of the Report or as a separate disclosure document.</w:t>
      </w:r>
    </w:p>
    <w:p>
      <w:pPr>
        <w:sectPr>
          <w:pgSz w:w="11900" w:h="16838" w:orient="portrait"/>
          <w:cols w:equalWidth="0" w:num="1">
            <w:col w:w="11480"/>
          </w:cols>
          <w:pgMar w:left="220" w:top="271" w:right="199" w:bottom="1440" w:gutter="0" w:footer="0" w:header="0"/>
        </w:sectPr>
      </w:pPr>
    </w:p>
    <w:bookmarkStart w:id="30" w:name="page31"/>
    <w:bookmarkEnd w:id="30"/>
    <w:p>
      <w:pPr>
        <w:spacing w:after="0"/>
        <w:rPr>
          <w:sz w:val="20"/>
          <w:szCs w:val="20"/>
          <w:color w:val="auto"/>
        </w:rPr>
      </w:pPr>
      <w:r>
        <w:rPr>
          <w:rFonts w:ascii="Arial" w:cs="Arial" w:eastAsia="Arial" w:hAnsi="Arial"/>
          <w:sz w:val="12"/>
          <w:szCs w:val="12"/>
          <w:b w:val="1"/>
          <w:bCs w:val="1"/>
          <w:color w:val="auto"/>
        </w:rPr>
        <w:t>EXHIBIT 32.2</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OF PERIODIC REPORT</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PURSUANT TO SECTION 906 OF THE SARBANES-OXLEY ACT OF 2002</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color w:val="auto"/>
        </w:rPr>
        <w:t>I, the undersigned, Jennifer Crow, do hereby certify, pursuant to 18 U.S.C. Section 1350, as adopted by Section 906 of the Sarbanes-Oxley Act of 2002, that:</w:t>
      </w:r>
    </w:p>
    <w:p>
      <w:pPr>
        <w:spacing w:after="0" w:line="150" w:lineRule="exact"/>
        <w:rPr>
          <w:sz w:val="20"/>
          <w:szCs w:val="20"/>
          <w:color w:val="auto"/>
        </w:rPr>
      </w:pPr>
    </w:p>
    <w:p>
      <w:pPr>
        <w:ind w:left="320" w:hanging="112"/>
        <w:spacing w:after="0"/>
        <w:tabs>
          <w:tab w:leader="none" w:pos="320" w:val="left"/>
        </w:tabs>
        <w:numPr>
          <w:ilvl w:val="0"/>
          <w:numId w:val="6"/>
        </w:numPr>
        <w:rPr>
          <w:rFonts w:ascii="Arial" w:cs="Arial" w:eastAsia="Arial" w:hAnsi="Arial"/>
          <w:sz w:val="11"/>
          <w:szCs w:val="11"/>
          <w:color w:val="auto"/>
        </w:rPr>
      </w:pPr>
      <w:r>
        <w:rPr>
          <w:rFonts w:ascii="Arial" w:cs="Arial" w:eastAsia="Arial" w:hAnsi="Arial"/>
          <w:sz w:val="11"/>
          <w:szCs w:val="11"/>
          <w:color w:val="auto"/>
        </w:rPr>
        <w:t>The quarterly report on Form 10-Q of the Company for the period ended September 30, 2012 (the “Report”) fully complies with the requirements of section 13(a) or 15(d) of the Securities Exchange Act of 1934 as amended, and</w:t>
      </w:r>
    </w:p>
    <w:p>
      <w:pPr>
        <w:spacing w:after="0" w:line="161" w:lineRule="exact"/>
        <w:rPr>
          <w:rFonts w:ascii="Arial" w:cs="Arial" w:eastAsia="Arial" w:hAnsi="Arial"/>
          <w:sz w:val="11"/>
          <w:szCs w:val="11"/>
          <w:color w:val="auto"/>
        </w:rPr>
      </w:pPr>
    </w:p>
    <w:p>
      <w:pPr>
        <w:ind w:left="320" w:hanging="112"/>
        <w:spacing w:after="0"/>
        <w:tabs>
          <w:tab w:leader="none" w:pos="320" w:val="left"/>
        </w:tabs>
        <w:numPr>
          <w:ilvl w:val="0"/>
          <w:numId w:val="6"/>
        </w:numPr>
        <w:rPr>
          <w:rFonts w:ascii="Arial" w:cs="Arial" w:eastAsia="Arial" w:hAnsi="Arial"/>
          <w:sz w:val="12"/>
          <w:szCs w:val="12"/>
          <w:color w:val="auto"/>
        </w:rPr>
      </w:pPr>
      <w:r>
        <w:rPr>
          <w:rFonts w:ascii="Arial" w:cs="Arial" w:eastAsia="Arial" w:hAnsi="Arial"/>
          <w:sz w:val="12"/>
          <w:szCs w:val="12"/>
          <w:color w:val="auto"/>
        </w:rPr>
        <w:t>The information contained in the Report fairly presents, in all material respects, the financial condition and results of operations of the Company.</w:t>
      </w:r>
    </w:p>
    <w:p>
      <w:pPr>
        <w:spacing w:after="0" w:line="294" w:lineRule="exact"/>
        <w:rPr>
          <w:sz w:val="20"/>
          <w:szCs w:val="20"/>
          <w:color w:val="auto"/>
        </w:rPr>
      </w:pPr>
    </w:p>
    <w:p>
      <w:pPr>
        <w:spacing w:after="0"/>
        <w:tabs>
          <w:tab w:leader="none" w:pos="4080" w:val="left"/>
          <w:tab w:leader="none" w:pos="4560" w:val="left"/>
        </w:tabs>
        <w:rPr>
          <w:sz w:val="20"/>
          <w:szCs w:val="20"/>
          <w:color w:val="auto"/>
        </w:rPr>
      </w:pPr>
      <w:r>
        <w:rPr>
          <w:rFonts w:ascii="Arial" w:cs="Arial" w:eastAsia="Arial" w:hAnsi="Arial"/>
          <w:sz w:val="12"/>
          <w:szCs w:val="12"/>
          <w:color w:val="auto"/>
        </w:rPr>
        <w:t>Date: November 19, 2012</w:t>
      </w:r>
      <w:r>
        <w:rPr>
          <w:sz w:val="20"/>
          <w:szCs w:val="20"/>
          <w:color w:val="auto"/>
        </w:rPr>
        <w:tab/>
      </w:r>
      <w:r>
        <w:rPr>
          <w:rFonts w:ascii="Arial" w:cs="Arial" w:eastAsia="Arial" w:hAnsi="Arial"/>
          <w:sz w:val="12"/>
          <w:szCs w:val="12"/>
          <w:color w:val="auto"/>
        </w:rPr>
        <w:t>By:</w:t>
      </w:r>
      <w:r>
        <w:rPr>
          <w:sz w:val="20"/>
          <w:szCs w:val="20"/>
          <w:color w:val="auto"/>
        </w:rPr>
        <w:tab/>
      </w:r>
      <w:r>
        <w:rPr>
          <w:rFonts w:ascii="Arial" w:cs="Arial" w:eastAsia="Arial" w:hAnsi="Arial"/>
          <w:sz w:val="11"/>
          <w:szCs w:val="11"/>
          <w:color w:val="auto"/>
        </w:rPr>
        <w:t>/s/ JENNIFER CROW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2906395</wp:posOffset>
            </wp:positionH>
            <wp:positionV relativeFrom="paragraph">
              <wp:posOffset>9525</wp:posOffset>
            </wp:positionV>
            <wp:extent cx="2533650" cy="114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533650" cy="11430"/>
                    </a:xfrm>
                    <a:prstGeom prst="rect">
                      <a:avLst/>
                    </a:prstGeom>
                    <a:noFill/>
                  </pic:spPr>
                </pic:pic>
              </a:graphicData>
            </a:graphic>
          </wp:anchor>
        </w:drawing>
      </w:r>
    </w:p>
    <w:p>
      <w:pPr>
        <w:spacing w:after="0" w:line="4" w:lineRule="exact"/>
        <w:rPr>
          <w:sz w:val="20"/>
          <w:szCs w:val="20"/>
          <w:color w:val="auto"/>
        </w:rPr>
      </w:pPr>
    </w:p>
    <w:p>
      <w:pPr>
        <w:ind w:left="4580"/>
        <w:spacing w:after="0"/>
        <w:rPr>
          <w:sz w:val="20"/>
          <w:szCs w:val="20"/>
          <w:color w:val="auto"/>
        </w:rPr>
      </w:pPr>
      <w:r>
        <w:rPr>
          <w:rFonts w:ascii="Arial" w:cs="Arial" w:eastAsia="Arial" w:hAnsi="Arial"/>
          <w:sz w:val="12"/>
          <w:szCs w:val="12"/>
          <w:color w:val="auto"/>
        </w:rPr>
        <w:t>Jennifer Crow</w:t>
      </w:r>
    </w:p>
    <w:p>
      <w:pPr>
        <w:spacing w:after="0" w:line="15" w:lineRule="exact"/>
        <w:rPr>
          <w:sz w:val="20"/>
          <w:szCs w:val="20"/>
          <w:color w:val="auto"/>
        </w:rPr>
      </w:pPr>
    </w:p>
    <w:p>
      <w:pPr>
        <w:ind w:left="4580"/>
        <w:spacing w:after="0"/>
        <w:rPr>
          <w:sz w:val="20"/>
          <w:szCs w:val="20"/>
          <w:color w:val="auto"/>
        </w:rPr>
      </w:pPr>
      <w:r>
        <w:rPr>
          <w:rFonts w:ascii="Arial" w:cs="Arial" w:eastAsia="Arial" w:hAnsi="Arial"/>
          <w:sz w:val="12"/>
          <w:szCs w:val="12"/>
          <w:color w:val="auto"/>
        </w:rPr>
        <w:t>Chief Financial Officer</w:t>
      </w:r>
    </w:p>
    <w:p>
      <w:pPr>
        <w:spacing w:after="0" w:line="141" w:lineRule="exact"/>
        <w:rPr>
          <w:sz w:val="20"/>
          <w:szCs w:val="20"/>
          <w:color w:val="auto"/>
        </w:rPr>
      </w:pPr>
    </w:p>
    <w:p>
      <w:pPr>
        <w:spacing w:after="0"/>
        <w:rPr>
          <w:sz w:val="20"/>
          <w:szCs w:val="20"/>
          <w:color w:val="auto"/>
        </w:rPr>
      </w:pPr>
      <w:r>
        <w:rPr>
          <w:rFonts w:ascii="Arial" w:cs="Arial" w:eastAsia="Arial" w:hAnsi="Arial"/>
          <w:sz w:val="10"/>
          <w:szCs w:val="10"/>
          <w:color w:val="auto"/>
        </w:rPr>
        <w:t>A signed original of this written statement required by Section 906 has been provided to Asure Software, Inc. and will be retained by Asure Software, Inc. and furnished to the Securities and Exchange Commission or its staff upon request.</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color w:val="auto"/>
        </w:rPr>
        <w:t>The foregoing certification is being furnished solely pursuant to 18 U.S.C. Section 1350 and is not being filed as part of the Report or as a separate disclosure document.</w:t>
      </w:r>
    </w:p>
    <w:sectPr>
      <w:pgSz w:w="11900" w:h="16838" w:orient="portrait"/>
      <w:cols w:equalWidth="0" w:num="1">
        <w:col w:w="11480"/>
      </w:cols>
      <w:pgMar w:left="220" w:top="271"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x"/>
      <w:numFmt w:val="bullet"/>
      <w:start w:val="1"/>
    </w:lvl>
  </w:abstractNum>
  <w:abstractNum w:abstractNumId="1">
    <w:nsid w:val="625558EC"/>
    <w:multiLevelType w:val="hybridMultilevel"/>
    <w:lvl w:ilvl="0">
      <w:lvlJc w:val="left"/>
      <w:lvlText w:val="o"/>
      <w:numFmt w:val="bullet"/>
      <w:start w:val="1"/>
    </w:lvl>
  </w:abstractNum>
  <w:abstractNum w:abstractNumId="2">
    <w:nsid w:val="238E1F29"/>
    <w:multiLevelType w:val="hybridMultilevel"/>
    <w:lvl w:ilvl="0">
      <w:lvlJc w:val="left"/>
      <w:lvlText w:val="%1."/>
      <w:numFmt w:val="decimal"/>
      <w:start w:val="1"/>
    </w:lvl>
    <w:lvl w:ilvl="1">
      <w:lvlJc w:val="left"/>
      <w:lvlText w:val="(%2)"/>
      <w:numFmt w:val="lowerLetter"/>
      <w:start w:val="1"/>
    </w:lvl>
  </w:abstractNum>
  <w:abstractNum w:abstractNumId="3">
    <w:nsid w:val="46E87CCD"/>
    <w:multiLevelType w:val="hybridMultilevel"/>
    <w:lvl w:ilvl="0">
      <w:lvlJc w:val="left"/>
      <w:lvlText w:val="%1."/>
      <w:numFmt w:val="decimal"/>
      <w:start w:val="1"/>
    </w:lvl>
    <w:lvl w:ilvl="1">
      <w:lvlJc w:val="left"/>
      <w:lvlText w:val="(%2)"/>
      <w:numFmt w:val="lowerLetter"/>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2019-12-09T11:31:09Z</dcterms:created>
  <dcterms:modified xsi:type="dcterms:W3CDTF">2019-12-09T11:31:09Z</dcterms:modified>
</cp:coreProperties>
</file>