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469.xml.htm"/>
      <w:bookmarkStart w:id="1" w:name="kswkform4_17833694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Eyal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2"/>
        <w:gridCol w:w="904"/>
        <w:gridCol w:w="773"/>
        <w:gridCol w:w="600"/>
        <w:gridCol w:w="351"/>
        <w:gridCol w:w="855"/>
        <w:gridCol w:w="462"/>
        <w:gridCol w:w="676"/>
        <w:gridCol w:w="1176"/>
        <w:gridCol w:w="1007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879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8.13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421,491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1,804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8.13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419,687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1,837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8.13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417,850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February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represent the payment of tax liability associated with the vesting of restricted stock units that were originally granted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represent the payment of tax liability associated with the vesting of restricted stock units that were originally granted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Eyal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2239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3689</Characters>
  <CharactersWithSpaces>4296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