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227965</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229870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80" w:right="1680" w:hanging="3748"/>
        <w:spacing w:after="0" w:line="564" w:lineRule="auto"/>
        <w:tabs>
          <w:tab w:leader="none" w:pos="59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2012</w:t>
      </w:r>
    </w:p>
    <w:p>
      <w:pPr>
        <w:spacing w:after="0" w:line="378" w:lineRule="exact"/>
        <w:rPr>
          <w:sz w:val="24"/>
          <w:szCs w:val="24"/>
          <w:color w:val="auto"/>
        </w:rPr>
      </w:pPr>
    </w:p>
    <w:p>
      <w:pPr>
        <w:ind w:left="580" w:hanging="348"/>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REPORTPURSUANT TO SECTION 13 OR 15(d) OF THE SECURITIES EXCHANGE ACT OF 1934</w:t>
      </w:r>
    </w:p>
    <w:p>
      <w:pPr>
        <w:spacing w:after="0" w:line="212" w:lineRule="exact"/>
        <w:rPr>
          <w:sz w:val="24"/>
          <w:szCs w:val="24"/>
          <w:color w:val="auto"/>
        </w:rPr>
      </w:pPr>
    </w:p>
    <w:tbl>
      <w:tblPr>
        <w:tblLayout w:type="fixed"/>
        <w:tblInd w:w="3720" w:type="dxa"/>
        <w:tblCellMar>
          <w:top w:w="0" w:type="dxa"/>
          <w:left w:w="0" w:type="dxa"/>
          <w:bottom w:w="0" w:type="dxa"/>
          <w:right w:w="0" w:type="dxa"/>
        </w:tblCellMar>
      </w:tblPr>
      <w:tr>
        <w:trPr>
          <w:trHeight w:val="207"/>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For the transition period from</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r>
      <w:tr>
        <w:trPr>
          <w:trHeight w:val="439"/>
        </w:trPr>
        <w:tc>
          <w:tcPr>
            <w:tcW w:w="3300" w:type="dxa"/>
            <w:vAlign w:val="bottom"/>
            <w:gridSpan w:val="4"/>
          </w:tcPr>
          <w:p>
            <w:pPr>
              <w:ind w:left="700"/>
              <w:spacing w:after="0"/>
              <w:rPr>
                <w:sz w:val="20"/>
                <w:szCs w:val="20"/>
                <w:color w:val="auto"/>
              </w:rPr>
            </w:pPr>
            <w:r>
              <w:rPr>
                <w:rFonts w:ascii="Arial" w:cs="Arial" w:eastAsia="Arial" w:hAnsi="Arial"/>
                <w:sz w:val="18"/>
                <w:szCs w:val="18"/>
                <w:b w:val="1"/>
                <w:bCs w:val="1"/>
                <w:color w:val="auto"/>
                <w:w w:val="89"/>
              </w:rPr>
              <w:t>Commission file number: 0-20008</w:t>
            </w: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4500245</wp:posOffset>
            </wp:positionH>
            <wp:positionV relativeFrom="paragraph">
              <wp:posOffset>-299720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ASURE SOFTWARE,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4620" w:type="dxa"/>
            <w:vAlign w:val="bottom"/>
            <w:gridSpan w:val="4"/>
          </w:tcPr>
          <w:p>
            <w:pPr>
              <w:spacing w:after="0"/>
              <w:rPr>
                <w:sz w:val="18"/>
                <w:szCs w:val="18"/>
                <w:color w:val="auto"/>
              </w:rPr>
            </w:pPr>
          </w:p>
        </w:tc>
        <w:tc>
          <w:tcPr>
            <w:tcW w:w="144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6460" w:type="dxa"/>
            <w:vAlign w:val="bottom"/>
            <w:gridSpan w:val="7"/>
          </w:tcPr>
          <w:p>
            <w:pPr>
              <w:jc w:val="center"/>
              <w:ind w:right="3520"/>
              <w:spacing w:after="0"/>
              <w:rPr>
                <w:sz w:val="20"/>
                <w:szCs w:val="20"/>
                <w:color w:val="auto"/>
              </w:rPr>
            </w:pPr>
            <w:r>
              <w:rPr>
                <w:rFonts w:ascii="Arial" w:cs="Arial" w:eastAsia="Arial" w:hAnsi="Arial"/>
                <w:sz w:val="18"/>
                <w:szCs w:val="18"/>
                <w:color w:val="auto"/>
                <w:w w:val="93"/>
              </w:rPr>
              <w:t>(State of other jurisdiction of</w:t>
            </w:r>
          </w:p>
        </w:tc>
        <w:tc>
          <w:tcPr>
            <w:tcW w:w="1440" w:type="dxa"/>
            <w:vAlign w:val="bottom"/>
            <w:gridSpan w:val="5"/>
          </w:tcPr>
          <w:p>
            <w:pPr>
              <w:jc w:val="center"/>
              <w:ind w:left="10"/>
              <w:spacing w:after="0"/>
              <w:rPr>
                <w:sz w:val="20"/>
                <w:szCs w:val="20"/>
                <w:color w:val="auto"/>
              </w:rPr>
            </w:pPr>
            <w:r>
              <w:rPr>
                <w:rFonts w:ascii="Arial" w:cs="Arial" w:eastAsia="Arial" w:hAnsi="Arial"/>
                <w:sz w:val="18"/>
                <w:szCs w:val="18"/>
                <w:color w:val="auto"/>
                <w:w w:val="92"/>
              </w:rPr>
              <w:t>(I.R.S. Employer</w:t>
            </w:r>
          </w:p>
        </w:tc>
      </w:tr>
      <w:tr>
        <w:trPr>
          <w:trHeight w:val="230"/>
        </w:trPr>
        <w:tc>
          <w:tcPr>
            <w:tcW w:w="6460" w:type="dxa"/>
            <w:vAlign w:val="bottom"/>
            <w:gridSpan w:val="7"/>
          </w:tcPr>
          <w:p>
            <w:pPr>
              <w:jc w:val="center"/>
              <w:ind w:right="3520"/>
              <w:spacing w:after="0"/>
              <w:rPr>
                <w:sz w:val="20"/>
                <w:szCs w:val="20"/>
                <w:color w:val="auto"/>
              </w:rPr>
            </w:pPr>
            <w:r>
              <w:rPr>
                <w:rFonts w:ascii="Arial" w:cs="Arial" w:eastAsia="Arial" w:hAnsi="Arial"/>
                <w:sz w:val="18"/>
                <w:szCs w:val="18"/>
                <w:color w:val="auto"/>
                <w:w w:val="93"/>
              </w:rPr>
              <w:t>incorporation or organization)</w:t>
            </w:r>
          </w:p>
        </w:tc>
        <w:tc>
          <w:tcPr>
            <w:tcW w:w="1440" w:type="dxa"/>
            <w:vAlign w:val="bottom"/>
            <w:gridSpan w:val="5"/>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60" w:type="dxa"/>
            <w:vAlign w:val="bottom"/>
            <w:gridSpan w:val="7"/>
          </w:tcPr>
          <w:p>
            <w:pPr>
              <w:jc w:val="center"/>
              <w:ind w:right="3520"/>
              <w:spacing w:after="0"/>
              <w:rPr>
                <w:sz w:val="20"/>
                <w:szCs w:val="20"/>
                <w:color w:val="auto"/>
              </w:rPr>
            </w:pPr>
            <w:r>
              <w:rPr>
                <w:rFonts w:ascii="Arial" w:cs="Arial" w:eastAsia="Arial" w:hAnsi="Arial"/>
                <w:sz w:val="18"/>
                <w:szCs w:val="18"/>
                <w:b w:val="1"/>
                <w:bCs w:val="1"/>
                <w:color w:val="auto"/>
                <w:w w:val="90"/>
              </w:rPr>
              <w:t>110 Wild Basin Road, Suite 100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5500" w:type="dxa"/>
            <w:vAlign w:val="bottom"/>
            <w:gridSpan w:val="6"/>
          </w:tcPr>
          <w:p>
            <w:pPr>
              <w:jc w:val="center"/>
              <w:ind w:right="4480"/>
              <w:spacing w:after="0" w:line="194" w:lineRule="exact"/>
              <w:rPr>
                <w:sz w:val="20"/>
                <w:szCs w:val="20"/>
                <w:color w:val="auto"/>
              </w:rPr>
            </w:pPr>
            <w:r>
              <w:rPr>
                <w:rFonts w:ascii="Arial" w:cs="Arial" w:eastAsia="Arial" w:hAnsi="Arial"/>
                <w:sz w:val="18"/>
                <w:szCs w:val="18"/>
                <w:b w:val="1"/>
                <w:bCs w:val="1"/>
                <w:color w:val="auto"/>
                <w:w w:val="87"/>
              </w:rPr>
              <w:t>Austin, Texas</w:t>
            </w:r>
          </w:p>
        </w:tc>
        <w:tc>
          <w:tcPr>
            <w:tcW w:w="120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78746</w:t>
            </w:r>
          </w:p>
        </w:tc>
        <w:tc>
          <w:tcPr>
            <w:tcW w:w="24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6460" w:type="dxa"/>
            <w:vAlign w:val="bottom"/>
            <w:gridSpan w:val="7"/>
          </w:tcPr>
          <w:p>
            <w:pPr>
              <w:jc w:val="center"/>
              <w:ind w:right="3520"/>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20"/>
                <w:szCs w:val="20"/>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8"/>
                <w:szCs w:val="18"/>
                <w:color w:val="auto"/>
                <w:w w:val="91"/>
              </w:rPr>
              <w:t>(Zip Code)</w:t>
            </w:r>
          </w:p>
        </w:tc>
      </w:tr>
      <w:tr>
        <w:trPr>
          <w:trHeight w:val="392"/>
        </w:trPr>
        <w:tc>
          <w:tcPr>
            <w:tcW w:w="4940" w:type="dxa"/>
            <w:vAlign w:val="bottom"/>
            <w:gridSpan w:val="6"/>
          </w:tcPr>
          <w:p>
            <w:pPr>
              <w:jc w:val="right"/>
              <w:spacing w:after="0"/>
              <w:rPr>
                <w:sz w:val="20"/>
                <w:szCs w:val="20"/>
                <w:color w:val="auto"/>
              </w:rPr>
            </w:pPr>
            <w:r>
              <w:rPr>
                <w:rFonts w:ascii="Arial" w:cs="Arial" w:eastAsia="Arial" w:hAnsi="Arial"/>
                <w:sz w:val="18"/>
                <w:szCs w:val="18"/>
                <w:b w:val="1"/>
                <w:bCs w:val="1"/>
                <w:color w:val="auto"/>
              </w:rPr>
              <w:t>(512) 437-2700</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(Registrant’s Telephone Number, including Area Code)</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297" w:right="239" w:bottom="1440" w:gutter="0" w:footer="0" w:header="0"/>
        </w:sectPr>
      </w:pPr>
    </w:p>
    <w:p>
      <w:pPr>
        <w:spacing w:after="0" w:line="19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320" w:space="720"/>
            <w:col w:w="1640" w:space="720"/>
            <w:col w:w="2220" w:space="720"/>
            <w:col w:w="3080"/>
          </w:cols>
          <w:pgMar w:left="240" w:top="297"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80" w:space="180"/>
            <w:col w:w="440" w:space="220"/>
            <w:col w:w="2400"/>
          </w:cols>
          <w:pgMar w:left="240" w:top="297"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August 10, 2012, the registrant had outstanding 5,237,498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620" w:type="dxa"/>
            <w:vAlign w:val="bottom"/>
            <w:gridSpan w:val="20"/>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0" w:type="dxa"/>
            <w:vAlign w:val="bottom"/>
          </w:tcPr>
          <w:p>
            <w:pPr>
              <w:spacing w:after="0"/>
              <w:rPr>
                <w:sz w:val="14"/>
                <w:szCs w:val="14"/>
                <w:color w:val="auto"/>
              </w:rPr>
            </w:pPr>
          </w:p>
        </w:tc>
      </w:tr>
      <w:tr>
        <w:trPr>
          <w:trHeight w:val="426"/>
        </w:trPr>
        <w:tc>
          <w:tcPr>
            <w:tcW w:w="8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20" w:type="dxa"/>
            <w:vAlign w:val="bottom"/>
            <w:gridSpan w:val="10"/>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Page</w:t>
            </w:r>
          </w:p>
        </w:tc>
      </w:tr>
      <w:tr>
        <w:trPr>
          <w:trHeight w:val="241"/>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Number</w:t>
            </w:r>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10"/>
          </w:tcPr>
          <w:p>
            <w:pPr>
              <w:jc w:val="center"/>
              <w:ind w:right="2700"/>
              <w:spacing w:after="0"/>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18"/>
                <w:szCs w:val="18"/>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8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800" w:type="dxa"/>
            <w:vAlign w:val="bottom"/>
          </w:tcPr>
          <w:p>
            <w:pPr>
              <w:spacing w:after="0"/>
              <w:rPr>
                <w:sz w:val="24"/>
                <w:szCs w:val="24"/>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2012 and December 31, 2011</w:t>
              </w:r>
            </w:hyperlink>
          </w:p>
        </w:tc>
        <w:tc>
          <w:tcPr>
            <w:tcW w:w="334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June 30, 2012 and 2011</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Months and Six Months ended June 30,2012</w:t>
              </w:r>
            </w:hyperlink>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2011</w:t>
              </w:r>
            </w:hyperlink>
          </w:p>
        </w:tc>
        <w:tc>
          <w:tcPr>
            <w:tcW w:w="880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2012 and 2011</w:t>
              </w:r>
            </w:hyperlink>
          </w:p>
        </w:tc>
        <w:tc>
          <w:tcPr>
            <w:tcW w:w="210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48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8"/>
              </w:rPr>
            </w:pPr>
            <w:hyperlink w:anchor="page17">
              <w:r>
                <w:rPr>
                  <w:rFonts w:ascii="Arial" w:cs="Arial" w:eastAsia="Arial" w:hAnsi="Arial"/>
                  <w:sz w:val="18"/>
                  <w:szCs w:val="18"/>
                  <w:b w:val="1"/>
                  <w:bCs w:val="1"/>
                  <w:color w:val="0000EE"/>
                  <w:w w:val="88"/>
                </w:rPr>
                <w:t>Management’s Discussion and Analysis of Financial Condition and Results of Operations</w:t>
              </w:r>
            </w:hyperlink>
          </w:p>
        </w:tc>
        <w:tc>
          <w:tcPr>
            <w:tcW w:w="296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9780" w:type="dxa"/>
            <w:vAlign w:val="bottom"/>
            <w:gridSpan w:val="19"/>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Quantitative and Qualitative Disclosures About Market Risk</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464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Controls and Procedures</w:t>
              </w:r>
            </w:hyperlink>
          </w:p>
        </w:tc>
        <w:tc>
          <w:tcPr>
            <w:tcW w:w="514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53"/>
        </w:trPr>
        <w:tc>
          <w:tcPr>
            <w:tcW w:w="8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20" w:type="dxa"/>
            <w:vAlign w:val="bottom"/>
            <w:gridSpan w:val="10"/>
          </w:tcPr>
          <w:p>
            <w:pPr>
              <w:jc w:val="center"/>
              <w:ind w:right="2720"/>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tcPr>
          <w:p>
            <w:pPr>
              <w:spacing w:after="0"/>
              <w:rPr>
                <w:sz w:val="24"/>
                <w:szCs w:val="24"/>
                <w:color w:val="auto"/>
              </w:rPr>
            </w:pPr>
          </w:p>
        </w:tc>
      </w:tr>
      <w:tr>
        <w:trPr>
          <w:trHeight w:val="414"/>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80" w:type="dxa"/>
            <w:vAlign w:val="bottom"/>
            <w:gridSpan w:val="19"/>
          </w:tcPr>
          <w:p>
            <w:pPr>
              <w:spacing w:after="0"/>
              <w:rPr>
                <w:sz w:val="20"/>
                <w:szCs w:val="20"/>
                <w:color w:val="auto"/>
              </w:rPr>
            </w:pPr>
            <w:r>
              <w:rPr>
                <w:rFonts w:ascii="Arial" w:cs="Arial" w:eastAsia="Arial" w:hAnsi="Arial"/>
                <w:sz w:val="18"/>
                <w:szCs w:val="18"/>
                <w:b w:val="1"/>
                <w:bCs w:val="1"/>
                <w:color w:val="auto"/>
              </w:rPr>
              <w:t>Legal Proceedings</w:t>
            </w:r>
          </w:p>
        </w:tc>
        <w:tc>
          <w:tcPr>
            <w:tcW w:w="800" w:type="dxa"/>
            <w:vAlign w:val="bottom"/>
          </w:tcPr>
          <w:p>
            <w:pPr>
              <w:spacing w:after="0"/>
              <w:rPr>
                <w:sz w:val="24"/>
                <w:szCs w:val="24"/>
                <w:color w:val="auto"/>
              </w:rPr>
            </w:pPr>
          </w:p>
        </w:tc>
      </w:tr>
      <w:tr>
        <w:trPr>
          <w:trHeight w:val="194"/>
        </w:trPr>
        <w:tc>
          <w:tcPr>
            <w:tcW w:w="840" w:type="dxa"/>
            <w:vAlign w:val="bottom"/>
          </w:tcPr>
          <w:p>
            <w:pPr>
              <w:spacing w:after="0" w:line="194" w:lineRule="exact"/>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4"/>
          </w:tcPr>
          <w:p>
            <w:pPr>
              <w:spacing w:after="0" w:line="194" w:lineRule="exact"/>
              <w:rPr>
                <w:rFonts w:ascii="Arial" w:cs="Arial" w:eastAsia="Arial" w:hAnsi="Arial"/>
                <w:sz w:val="18"/>
                <w:szCs w:val="18"/>
                <w:b w:val="1"/>
                <w:bCs w:val="1"/>
                <w:color w:val="0000EE"/>
                <w:w w:val="86"/>
              </w:rPr>
            </w:pPr>
            <w:hyperlink w:anchor="page23">
              <w:r>
                <w:rPr>
                  <w:rFonts w:ascii="Arial" w:cs="Arial" w:eastAsia="Arial" w:hAnsi="Arial"/>
                  <w:sz w:val="18"/>
                  <w:szCs w:val="18"/>
                  <w:b w:val="1"/>
                  <w:bCs w:val="1"/>
                  <w:color w:val="0000EE"/>
                  <w:w w:val="86"/>
                </w:rPr>
                <w:t>Risk Factors</w:t>
              </w:r>
            </w:hyperlink>
          </w:p>
        </w:tc>
        <w:tc>
          <w:tcPr>
            <w:tcW w:w="8820" w:type="dxa"/>
            <w:vAlign w:val="bottom"/>
            <w:gridSpan w:val="15"/>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9780" w:type="dxa"/>
            <w:vAlign w:val="bottom"/>
            <w:gridSpan w:val="19"/>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Unregistered Sales of Equity Securities and Use of Proceeds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24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Defaults upon Senior Securities</w:t>
              </w:r>
            </w:hyperlink>
          </w:p>
        </w:tc>
        <w:tc>
          <w:tcPr>
            <w:tcW w:w="2140" w:type="dxa"/>
            <w:vAlign w:val="bottom"/>
            <w:tcBorders>
              <w:top w:val="single" w:sz="8" w:color="0000EE"/>
            </w:tcBorders>
            <w:gridSpan w:val="4"/>
          </w:tcPr>
          <w:p>
            <w:pPr>
              <w:spacing w:after="0"/>
              <w:rPr>
                <w:sz w:val="17"/>
                <w:szCs w:val="17"/>
                <w:color w:val="auto"/>
              </w:rPr>
            </w:pPr>
          </w:p>
        </w:tc>
        <w:tc>
          <w:tcPr>
            <w:tcW w:w="524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4.</w:t>
            </w:r>
          </w:p>
        </w:tc>
        <w:tc>
          <w:tcPr>
            <w:tcW w:w="9780" w:type="dxa"/>
            <w:vAlign w:val="bottom"/>
            <w:gridSpan w:val="19"/>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Submission of Matters to a Vote of Security Holders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5.</w:t>
            </w:r>
          </w:p>
        </w:tc>
        <w:tc>
          <w:tcPr>
            <w:tcW w:w="396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Other Information</w:t>
              </w:r>
            </w:hyperlink>
          </w:p>
        </w:tc>
        <w:tc>
          <w:tcPr>
            <w:tcW w:w="582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5"/>
              </w:rPr>
            </w:pPr>
            <w:hyperlink w:anchor="page23">
              <w:r>
                <w:rPr>
                  <w:rFonts w:ascii="Arial" w:cs="Arial" w:eastAsia="Arial" w:hAnsi="Arial"/>
                  <w:sz w:val="18"/>
                  <w:szCs w:val="18"/>
                  <w:b w:val="1"/>
                  <w:bCs w:val="1"/>
                  <w:color w:val="0000EE"/>
                  <w:w w:val="85"/>
                </w:rPr>
                <w:t>Exhibits</w:t>
              </w:r>
            </w:hyperlink>
          </w:p>
        </w:tc>
        <w:tc>
          <w:tcPr>
            <w:tcW w:w="800" w:type="dxa"/>
            <w:vAlign w:val="bottom"/>
            <w:tcBorders>
              <w:top w:val="single" w:sz="8" w:color="0000EE"/>
            </w:tcBorders>
            <w:gridSpan w:val="3"/>
          </w:tcPr>
          <w:p>
            <w:pPr>
              <w:spacing w:after="0"/>
              <w:rPr>
                <w:sz w:val="17"/>
                <w:szCs w:val="17"/>
                <w:color w:val="auto"/>
              </w:rPr>
            </w:pPr>
          </w:p>
        </w:tc>
        <w:tc>
          <w:tcPr>
            <w:tcW w:w="836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412"/>
        </w:trPr>
        <w:tc>
          <w:tcPr>
            <w:tcW w:w="10620" w:type="dxa"/>
            <w:vAlign w:val="bottom"/>
            <w:gridSpan w:val="20"/>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868"/>
        </w:trPr>
        <w:tc>
          <w:tcPr>
            <w:tcW w:w="840" w:type="dxa"/>
            <w:vAlign w:val="bottom"/>
            <w:tcBorders>
              <w:top w:val="single" w:sz="8" w:color="0000EE"/>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280" w:type="dxa"/>
            <w:vAlign w:val="bottom"/>
          </w:tcPr>
          <w:p>
            <w:pPr>
              <w:jc w:val="center"/>
              <w:ind w:left="203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80" w:type="dxa"/>
            <w:vAlign w:val="bottom"/>
          </w:tcPr>
          <w:p>
            <w:pPr>
              <w:jc w:val="center"/>
              <w:ind w:left="2010"/>
              <w:spacing w:after="0"/>
              <w:rPr>
                <w:sz w:val="20"/>
                <w:szCs w:val="20"/>
                <w:color w:val="auto"/>
              </w:rPr>
            </w:pPr>
            <w:r>
              <w:rPr>
                <w:rFonts w:ascii="Arial" w:cs="Arial" w:eastAsia="Arial" w:hAnsi="Arial"/>
                <w:sz w:val="18"/>
                <w:szCs w:val="18"/>
                <w:b w:val="1"/>
                <w:bCs w:val="1"/>
                <w:color w:val="auto"/>
                <w:w w:val="98"/>
              </w:rPr>
              <w:t>ASURE SOFTWARE, INC.</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80" w:type="dxa"/>
            <w:vAlign w:val="bottom"/>
          </w:tcPr>
          <w:p>
            <w:pPr>
              <w:jc w:val="center"/>
              <w:ind w:left="20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80" w:type="dxa"/>
            <w:vAlign w:val="bottom"/>
          </w:tcPr>
          <w:p>
            <w:pPr>
              <w:jc w:val="center"/>
              <w:ind w:left="2010"/>
              <w:spacing w:after="0"/>
              <w:rPr>
                <w:sz w:val="20"/>
                <w:szCs w:val="20"/>
                <w:color w:val="auto"/>
              </w:rPr>
            </w:pPr>
            <w:r>
              <w:rPr>
                <w:rFonts w:ascii="Arial" w:cs="Arial" w:eastAsia="Arial" w:hAnsi="Arial"/>
                <w:sz w:val="18"/>
                <w:szCs w:val="18"/>
                <w:color w:val="auto"/>
                <w:w w:val="89"/>
              </w:rPr>
              <w:t>(Amounts in thousands, except per share data)</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80" w:type="dxa"/>
            <w:vAlign w:val="bottom"/>
          </w:tcPr>
          <w:p>
            <w:pPr>
              <w:jc w:val="center"/>
              <w:ind w:left="201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0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Accounts receivable, net of allowance for doubtful accounts of $56 and $19 at</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tcPr>
          <w:p>
            <w:pPr>
              <w:ind w:left="260"/>
              <w:spacing w:after="0"/>
              <w:rPr>
                <w:sz w:val="20"/>
                <w:szCs w:val="20"/>
                <w:color w:val="auto"/>
              </w:rPr>
            </w:pPr>
            <w:r>
              <w:rPr>
                <w:rFonts w:ascii="Arial" w:cs="Arial" w:eastAsia="Arial" w:hAnsi="Arial"/>
                <w:sz w:val="18"/>
                <w:szCs w:val="18"/>
                <w:color w:val="auto"/>
              </w:rPr>
              <w:t>June 30, 2012 and December 31, 2011, respectively</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Notes receivable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15,833</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260"/>
              <w:spacing w:after="0"/>
              <w:rPr>
                <w:sz w:val="20"/>
                <w:szCs w:val="20"/>
                <w:color w:val="auto"/>
              </w:rPr>
            </w:pPr>
            <w:r>
              <w:rPr>
                <w:rFonts w:ascii="Arial" w:cs="Arial" w:eastAsia="Arial" w:hAnsi="Arial"/>
                <w:sz w:val="18"/>
                <w:szCs w:val="18"/>
                <w:color w:val="auto"/>
              </w:rPr>
              <w:t>Line of credit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Current portion of notes payable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260"/>
              <w:spacing w:after="0"/>
              <w:rPr>
                <w:sz w:val="20"/>
                <w:szCs w:val="20"/>
                <w:color w:val="auto"/>
              </w:rPr>
            </w:pPr>
            <w:r>
              <w:rPr>
                <w:rFonts w:ascii="Arial" w:cs="Arial" w:eastAsia="Arial" w:hAnsi="Arial"/>
                <w:sz w:val="18"/>
                <w:szCs w:val="18"/>
                <w:color w:val="auto"/>
              </w:rPr>
              <w:t>Subordinated notes payable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Subordinated convertible notes payable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260"/>
              <w:spacing w:after="0"/>
              <w:rPr>
                <w:sz w:val="20"/>
                <w:szCs w:val="20"/>
                <w:color w:val="auto"/>
              </w:rPr>
            </w:pPr>
            <w:r>
              <w:rPr>
                <w:rFonts w:ascii="Arial" w:cs="Arial" w:eastAsia="Arial" w:hAnsi="Arial"/>
                <w:sz w:val="18"/>
                <w:szCs w:val="18"/>
                <w:color w:val="auto"/>
              </w:rPr>
              <w:t>Derivative liability</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 long-term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480"/>
              <w:spacing w:after="0"/>
              <w:rPr>
                <w:sz w:val="20"/>
                <w:szCs w:val="20"/>
                <w:color w:val="auto"/>
              </w:rPr>
            </w:pPr>
            <w:r>
              <w:rPr>
                <w:rFonts w:ascii="Arial" w:cs="Arial" w:eastAsia="Arial" w:hAnsi="Arial"/>
                <w:sz w:val="18"/>
                <w:szCs w:val="18"/>
                <w:color w:val="auto"/>
              </w:rPr>
              <w:t>Total Long-Term Liabilities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Common stock, $.01 par value; 11,000 shares authorized; 5,366 and 5,014 shares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issued; 4,982 and 4,630 shares outstanding at June 30, 2012 and December 31, 2011, respectively</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Treasury stock at cost, 384 shares at June 30, 2012 and December 31, 2011</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(5,017 )</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273,361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(265,362 )</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(264,190 )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2"/>
          </w:tcPr>
          <w:p>
            <w:pPr>
              <w:ind w:left="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15,833</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14"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 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rPr>
              <w:t>FOR THE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rPr>
              <w:t>FOR THE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510"/>
              <w:spacing w:after="0"/>
              <w:rPr>
                <w:sz w:val="20"/>
                <w:szCs w:val="20"/>
                <w:color w:val="auto"/>
              </w:rPr>
            </w:pPr>
            <w:r>
              <w:rPr>
                <w:rFonts w:ascii="Arial" w:cs="Arial" w:eastAsia="Arial" w:hAnsi="Arial"/>
                <w:sz w:val="18"/>
                <w:szCs w:val="18"/>
                <w:b w:val="1"/>
                <w:bCs w:val="1"/>
                <w:color w:val="auto"/>
                <w:w w:val="94"/>
              </w:rPr>
              <w:t>JUNE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4"/>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4,205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2,434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8,357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(991 )</w:t>
            </w:r>
          </w:p>
        </w:tc>
        <w:tc>
          <w:tcPr>
            <w:tcW w:w="9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(2,037 )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(877 )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3,214</w:t>
            </w: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1,997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2,334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3,217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1,956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From Operations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(loss)/gain</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(1 )</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(Loss) on disposal of assets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(26 )</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debt conversion</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ind w:left="320"/>
              <w:spacing w:after="0" w:line="201" w:lineRule="exact"/>
              <w:rPr>
                <w:sz w:val="20"/>
                <w:szCs w:val="20"/>
                <w:color w:val="auto"/>
              </w:rPr>
            </w:pPr>
            <w:r>
              <w:rPr>
                <w:rFonts w:ascii="Arial" w:cs="Arial" w:eastAsia="Arial" w:hAnsi="Arial"/>
                <w:sz w:val="18"/>
                <w:szCs w:val="18"/>
                <w:color w:val="auto"/>
                <w:w w:val="94"/>
              </w:rPr>
              <w:t>Interest expense- amortization of OID and derivative mark-to</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market</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(56 )</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(591 )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and other</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(118 )</w:t>
            </w: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(200 )</w:t>
            </w:r>
          </w:p>
        </w:tc>
        <w:tc>
          <w:tcPr>
            <w:tcW w:w="9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(1,090 )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(Loss)/Income From Operations Before Income Taxes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(203 )</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(1,004 )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(120 )</w:t>
            </w: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Net (Loss)/Income</w:t>
            </w:r>
          </w:p>
        </w:tc>
        <w:tc>
          <w:tcPr>
            <w:tcW w:w="20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xml:space="preserve">(323 </w:t>
            </w:r>
            <w:r>
              <w:rPr>
                <w:rFonts w:ascii="Arial" w:cs="Arial" w:eastAsia="Arial" w:hAnsi="Arial"/>
                <w:sz w:val="18"/>
                <w:szCs w:val="18"/>
                <w:color w:val="auto"/>
              </w:rPr>
              <w:t>)</w:t>
            </w:r>
          </w:p>
        </w:tc>
        <w:tc>
          <w:tcPr>
            <w:tcW w:w="900" w:type="dxa"/>
            <w:vAlign w:val="bottom"/>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 xml:space="preserve">(1,170 </w:t>
            </w: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Basic (Loss)/Income Per Share</w:t>
            </w:r>
          </w:p>
        </w:tc>
        <w:tc>
          <w:tcPr>
            <w:tcW w:w="10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(0.06 )</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(0.24 )</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(Loss)/Income Per Share</w:t>
            </w:r>
          </w:p>
        </w:tc>
        <w:tc>
          <w:tcPr>
            <w:tcW w:w="10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(0.06 )</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(0.24 )</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Shares Used In Computing Basic (Loss)/Income Per Share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w w:val="95"/>
              </w:rPr>
              <w:t>Shares Used In Computing Diluted (Loss)/Income Per Share</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4,982</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4,632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3"/>
          </w:tcPr>
          <w:p>
            <w:pPr>
              <w:jc w:val="center"/>
              <w:ind w:right="670"/>
              <w:spacing w:after="0"/>
              <w:rPr>
                <w:sz w:val="20"/>
                <w:szCs w:val="20"/>
                <w:color w:val="auto"/>
              </w:rPr>
            </w:pPr>
            <w:r>
              <w:rPr>
                <w:rFonts w:ascii="Arial" w:cs="Arial" w:eastAsia="Arial" w:hAnsi="Arial"/>
                <w:sz w:val="18"/>
                <w:szCs w:val="18"/>
                <w:b w:val="1"/>
                <w:bCs w:val="1"/>
                <w:color w:val="auto"/>
              </w:rPr>
              <w:t>FOR THE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rPr>
              <w:t>FOR THE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620" w:type="dxa"/>
            <w:vAlign w:val="bottom"/>
            <w:gridSpan w:val="4"/>
          </w:tcPr>
          <w:p>
            <w:pPr>
              <w:jc w:val="center"/>
              <w:ind w:left="75"/>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670"/>
              <w:spacing w:after="0"/>
              <w:rPr>
                <w:sz w:val="20"/>
                <w:szCs w:val="20"/>
                <w:color w:val="auto"/>
              </w:rPr>
            </w:pPr>
            <w:r>
              <w:rPr>
                <w:rFonts w:ascii="Arial" w:cs="Arial" w:eastAsia="Arial" w:hAnsi="Arial"/>
                <w:sz w:val="18"/>
                <w:szCs w:val="18"/>
                <w:b w:val="1"/>
                <w:bCs w:val="1"/>
                <w:color w:val="auto"/>
                <w:w w:val="94"/>
              </w:rPr>
              <w:t>JUNE 30,</w:t>
            </w:r>
          </w:p>
        </w:tc>
        <w:tc>
          <w:tcPr>
            <w:tcW w:w="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4"/>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(Loss)/Income</w:t>
            </w:r>
          </w:p>
        </w:tc>
        <w:tc>
          <w:tcPr>
            <w:tcW w:w="920" w:type="dxa"/>
            <w:vAlign w:val="bottom"/>
            <w:shd w:val="clear" w:color="auto" w:fill="CCEEFF"/>
          </w:tcPr>
          <w:p>
            <w:pPr>
              <w:jc w:val="right"/>
              <w:ind w:right="755"/>
              <w:spacing w:after="0"/>
              <w:rPr>
                <w:sz w:val="20"/>
                <w:szCs w:val="20"/>
                <w:color w:val="auto"/>
              </w:rPr>
            </w:pPr>
            <w:r>
              <w:rPr>
                <w:rFonts w:ascii="Arial" w:cs="Arial" w:eastAsia="Arial" w:hAnsi="Arial"/>
                <w:sz w:val="15"/>
                <w:szCs w:val="15"/>
                <w:color w:val="auto"/>
                <w:w w:val="71"/>
              </w:rPr>
              <w:t>$</w:t>
            </w:r>
          </w:p>
        </w:tc>
        <w:tc>
          <w:tcPr>
            <w:tcW w:w="170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(323 )  $</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(1,170 )  $</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comprehensive (Loss)/Income:</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(loss)/Gain</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(2 )</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(4 )</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92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xml:space="preserve">(325 </w:t>
            </w: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 xml:space="preserve">(1,144 </w:t>
            </w: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2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FOR THE SIX MONTHS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ENDED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(1,170 )</w:t>
            </w: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Interest expense – amortization of OID and derivative mark-to-market</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on sale/disposal of assets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Loss on debt conversion</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Notes receivable</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8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top w:val="single" w:sz="8" w:color="CCEEFF"/>
            </w:tcBorders>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1,016</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Net purchases of property and equipment</w:t>
            </w:r>
          </w:p>
        </w:tc>
        <w:tc>
          <w:tcPr>
            <w:tcW w:w="8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(Issuance) or collection of note receivable</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notes payable and capital leases</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Payments on notes payable conversion</w:t>
            </w:r>
          </w:p>
        </w:tc>
        <w:tc>
          <w:tcPr>
            <w:tcW w:w="8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Line of credit</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Net proceeds from exercise of options</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financing activities</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exchange rates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equivalents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Cash and equivalents at beginning of period</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end of period</w:t>
            </w: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1,493</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2,026</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Interest Paid</w:t>
            </w:r>
          </w:p>
        </w:tc>
        <w:tc>
          <w:tcPr>
            <w:tcW w:w="840" w:type="dxa"/>
            <w:vAlign w:val="bottom"/>
          </w:tcPr>
          <w:p>
            <w:pPr>
              <w:jc w:val="right"/>
              <w:ind w:right="679"/>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Payments of accelerated interest on subordinated convertible notes payable on conversion</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Non-Cash Financing Activity – conversion of subordinated convertible notes payable to equity</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AND BASIS OF FINANCIAL STATEMENTS</w:t>
      </w:r>
    </w:p>
    <w:p>
      <w:pPr>
        <w:spacing w:after="0" w:line="229"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rules and regulations of the Securities and Exchange Commission and accordingly,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the financial position of Asure Software, Inc. (“Asure” or the “Company”) as of June 30, 2012 and December 31, 2011, the results of operations for the three and six months ended June 30, 2012 and 2011, and the cash flows for the six months ended June 30, 2012 and 2011. These condensed consolidated financial statements should be read in conjunction with the Company’s audited consolidated financial statements and notes thereto filed with the Securities and Exchange Commission in the Company’s annual report on Form 10-K for the fiscal year ended December 31, 2011. The results for the interim periods are not necessarily indicative of results for a full fiscal year.</w:t>
      </w:r>
    </w:p>
    <w:p>
      <w:pPr>
        <w:spacing w:after="0" w:line="166"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On March 27, 2012, the Board of Directors declared a 3-for-2 stock split, payable April 30, 2012 to the holders of record of the Company’s common stock as of the close of business on April 23, 2012. The Company will make cash payments based upon the closing price of the Company’s shares on the record date in lieu of the issuance of fractional shares. Share and per share information in these financial statements reflect the impact of the 3 for 2 stock split.</w:t>
      </w:r>
    </w:p>
    <w:p>
      <w:pPr>
        <w:spacing w:after="0" w:line="21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As of June 30, 2012, Asure’s principal source of liquidity consisted of $1,493 of current cash and cash equivalents as well as future cash generated from operations. The increase of cash and cash equivalents of $426 for the six months ended June 30, 2012 is due primarily to cash generated from operations. The Company believes that it has and/or will generate sufficient cash for its short and long term needs. The Company is continuing to reduce expenses and thus may utilize its cash balances in the short-term to reduce long-term costs. The Company expects that it will be able to generate positive cash flows from operating activities for the remainder of 2012.</w:t>
      </w:r>
    </w:p>
    <w:p>
      <w:pPr>
        <w:spacing w:after="0" w:line="215"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Management is focused on growing its existing software operations and looking to make strategic acquisitions in the near future. In the short-term, any acquisitions will be funded with equity, cash on the balance sheet, cash from operations, or cash or debt raised from outside sources.</w:t>
      </w:r>
    </w:p>
    <w:p>
      <w:pPr>
        <w:spacing w:after="0" w:line="14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20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Effective July 1, Asure entered into a stock purchase agreement to acquire Meeting Maker – United States, Inc. (“Meeting Maker”) for a combination of cash, debt and stock transaction. The purchase price was composed of $9,800 cash paid at closing; a $3,000, two-year seller’s note; and the issuance of 255,000 shares of common stock, representing just under five percent of Asure’s outstanding shares (see Note 9 - Subsequent Events for further details).</w:t>
      </w:r>
    </w:p>
    <w:p>
      <w:pPr>
        <w:spacing w:after="0" w:line="187"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The Company will record the transaction, using the acquisition method of accounting and will recognize assets and liabilities assumed at their fair value as of the date of acquisition. The results of Meeting Maker’s operations will be included in Asure’s consolidated operations beginning on the effective date of the acquisition.</w:t>
      </w:r>
    </w:p>
    <w:p>
      <w:pPr>
        <w:spacing w:after="0" w:line="181"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cash used in the transaction is from a new $14,500 debt financing facility. In addition to funding the acquisition, the new facility allowed the Company to re-finance certain of its existing debt (see Note 9 - Subsequent Events for further details).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INTANGIBLE ASSETS</w:t>
      </w:r>
    </w:p>
    <w:p>
      <w:pPr>
        <w:spacing w:after="0" w:line="22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Asure accounted for its historical acquisitions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recorded the amount exceeding the fair value of net assets acquired at the date of acquisition as goodwill. The Company recorded intangible assets apart from goodwill if the assets had contractual or other legal rights or if the assets could be separated and sold, transferred, licensed, rented or exchanged. Asure’s goodwill relates to the previous year acquisitions of ADI Time and Legiant. Asure’s intangible assets relate to ADI Time, Legiant and its acquisition of iSarla Inc. and the iEmployee operations.</w:t>
      </w:r>
    </w:p>
    <w:p>
      <w:pPr>
        <w:spacing w:after="0" w:line="215"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In accordance with FASB ASC 350, Asure reviews and evaluates its long-lived assets for impairment whenever events or changes in circumstances indicate that their net book value may not be recoverable. When such factors and circumstances exist, including those noted above, the Company compares the assets’ carrying amounts against the estimated undiscounted cash flows to be generated by those assets over their estimated useful lives. If the carrying amounts are greater than the undiscounted cash flows, the fair values of those assets are estimated by discounting the projected cash flows. Any excess of the carrying amounts over the fair values are recorded as impairments in that fiscal period.</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gross carrying amount and accumulated amortization of the Company’s intangible assets as of June 30, 2012 and December 31, 2011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June 30, 2012</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144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80" w:type="dxa"/>
            <w:vAlign w:val="bottom"/>
          </w:tcPr>
          <w:p>
            <w:pPr>
              <w:spacing w:after="0"/>
              <w:rPr>
                <w:sz w:val="20"/>
                <w:szCs w:val="20"/>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Period (Years)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Amortization</w:t>
            </w:r>
          </w:p>
        </w:tc>
        <w:tc>
          <w:tcPr>
            <w:tcW w:w="32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(923 )</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40" w:type="dxa"/>
            <w:vAlign w:val="bottom"/>
            <w:gridSpan w:val="2"/>
          </w:tcPr>
          <w:p>
            <w:pPr>
              <w:jc w:val="right"/>
              <w:ind w:right="57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(2,643 )</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Trade Names</w:t>
            </w:r>
          </w:p>
        </w:tc>
        <w:tc>
          <w:tcPr>
            <w:tcW w:w="1540" w:type="dxa"/>
            <w:vAlign w:val="bottom"/>
            <w:gridSpan w:val="2"/>
          </w:tcPr>
          <w:p>
            <w:pPr>
              <w:jc w:val="right"/>
              <w:ind w:right="57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(301 )</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5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9,713</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(4,120 )</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5,593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3"/>
        </w:trPr>
        <w:tc>
          <w:tcPr>
            <w:tcW w:w="1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w w:val="87"/>
              </w:rPr>
              <w:t>December 31, 2011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8"/>
        </w:trPr>
        <w:tc>
          <w:tcPr>
            <w:tcW w:w="14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144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80" w:type="dxa"/>
            <w:vAlign w:val="bottom"/>
          </w:tcPr>
          <w:p>
            <w:pPr>
              <w:spacing w:after="0"/>
              <w:rPr>
                <w:sz w:val="20"/>
                <w:szCs w:val="20"/>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Period (Years)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Amortization</w:t>
            </w:r>
          </w:p>
        </w:tc>
        <w:tc>
          <w:tcPr>
            <w:tcW w:w="32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(794 )</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40" w:type="dxa"/>
            <w:vAlign w:val="bottom"/>
            <w:gridSpan w:val="2"/>
          </w:tcPr>
          <w:p>
            <w:pPr>
              <w:jc w:val="right"/>
              <w:ind w:right="57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(2,175 )</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Reseller Relationships</w:t>
            </w:r>
          </w:p>
        </w:tc>
        <w:tc>
          <w:tcPr>
            <w:tcW w:w="15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Trade Names</w:t>
            </w:r>
          </w:p>
        </w:tc>
        <w:tc>
          <w:tcPr>
            <w:tcW w:w="1540" w:type="dxa"/>
            <w:vAlign w:val="bottom"/>
            <w:gridSpan w:val="2"/>
          </w:tcPr>
          <w:p>
            <w:pPr>
              <w:jc w:val="right"/>
              <w:ind w:right="57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(253 )</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5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9,713</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(3,406 )</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6,307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74"/>
        </w:trPr>
        <w:tc>
          <w:tcPr>
            <w:tcW w:w="1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7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11"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Amortization expense is recorded using the straight-line method over the estimated economic useful lives of the intangible assets, as noted above. Amortization expense for the three months ended June 30, 2012 and 2011 was $292 and $150 included in Operating Expenses and $65 and $45 respectively included in Cost of Goods Sold. Amortization expense for the six months ended June 30, 2012 and 2011 was $586 and $298 included in Operating Expenses, and $128 and $92 respectively included in Cost of Goods Sold. The following table summarizes the estimated amortization expense relating to the Company’s intangible assets for the current year and the next four years and thereafter:</w:t>
      </w:r>
    </w:p>
    <w:p>
      <w:pPr>
        <w:spacing w:after="0" w:line="169"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Twelve Months Ended</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
        </w:trPr>
        <w:tc>
          <w:tcPr>
            <w:tcW w:w="6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9"/>
                <w:szCs w:val="19"/>
                <w:color w:val="auto"/>
              </w:rPr>
            </w:pPr>
          </w:p>
        </w:tc>
      </w:tr>
      <w:tr>
        <w:trPr>
          <w:trHeight w:val="257"/>
        </w:trPr>
        <w:tc>
          <w:tcPr>
            <w:tcW w:w="6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Effective August 1, 2008, Asure adopted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establishes a framework for measuring fair value in U.S. generally accepted accounting principles and expands disclosures about fair value measurements. The adoption of FASB ASC 820 did not have a material impact to the Company’s consolidated financial statements.</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Level  Quoted prices in active markets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xml:space="preserve">Level  Quoted prices in active markets for </w:t>
      </w:r>
      <w:r>
        <w:rPr>
          <w:rFonts w:ascii="Arial" w:cs="Arial" w:eastAsia="Arial" w:hAnsi="Arial"/>
          <w:sz w:val="16"/>
          <w:szCs w:val="16"/>
          <w:i w:val="1"/>
          <w:iCs w:val="1"/>
          <w:color w:val="auto"/>
        </w:rPr>
        <w:t>similar</w:t>
      </w:r>
      <w:r>
        <w:rPr>
          <w:rFonts w:ascii="Arial" w:cs="Arial" w:eastAsia="Arial" w:hAnsi="Arial"/>
          <w:sz w:val="16"/>
          <w:szCs w:val="16"/>
          <w:color w:val="auto"/>
        </w:rPr>
        <w:t xml:space="preserve"> assets or liabilities; quoted prices in markets that are not active for identical or similar assets or</w:t>
      </w:r>
    </w:p>
    <w:p>
      <w:pPr>
        <w:spacing w:after="0" w:line="46" w:lineRule="exact"/>
        <w:rPr>
          <w:sz w:val="20"/>
          <w:szCs w:val="20"/>
          <w:color w:val="auto"/>
        </w:rPr>
      </w:pPr>
    </w:p>
    <w:p>
      <w:pPr>
        <w:ind w:left="1260" w:hanging="1252"/>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liabilities; and model-driven valuations whose significant inputs are observable; and</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Level  Unobservable inputs that are supported by little or no market activity and that are significant to the fair value of the assets or liabilities.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11"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following table presents the fair value hierarchy for the Company’s financial assets measured at fair value on a recurring basis as of June 30, 2012 and December 31, 2011,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gridSpan w:val="8"/>
          </w:tcPr>
          <w:p>
            <w:pPr>
              <w:ind w:left="500"/>
              <w:spacing w:after="0"/>
              <w:rPr>
                <w:sz w:val="20"/>
                <w:szCs w:val="20"/>
                <w:color w:val="auto"/>
              </w:rPr>
            </w:pPr>
            <w:r>
              <w:rPr>
                <w:rFonts w:ascii="Arial" w:cs="Arial" w:eastAsia="Arial" w:hAnsi="Arial"/>
                <w:sz w:val="18"/>
                <w:szCs w:val="18"/>
                <w:b w:val="1"/>
                <w:bCs w:val="1"/>
                <w:color w:val="auto"/>
              </w:rPr>
              <w:t>Fair Value Measure at June 30, 2012</w:t>
            </w: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90"/>
              <w:spacing w:after="0" w:line="198" w:lineRule="exact"/>
              <w:rPr>
                <w:sz w:val="20"/>
                <w:szCs w:val="20"/>
                <w:color w:val="auto"/>
              </w:rPr>
            </w:pPr>
            <w:r>
              <w:rPr>
                <w:rFonts w:ascii="Arial" w:cs="Arial" w:eastAsia="Arial" w:hAnsi="Arial"/>
                <w:sz w:val="18"/>
                <w:szCs w:val="18"/>
                <w:b w:val="1"/>
                <w:bCs w:val="1"/>
                <w:color w:val="auto"/>
                <w:w w:val="91"/>
              </w:rPr>
              <w:t>Quoted</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85"/>
              </w:rPr>
              <w:t>Prices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Value at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in Active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Observable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Unobservable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Market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(Level 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2"/>
                <w:szCs w:val="22"/>
                <w:color w:val="auto"/>
              </w:rPr>
            </w:pPr>
          </w:p>
        </w:tc>
      </w:tr>
      <w:tr>
        <w:trPr>
          <w:trHeight w:val="574"/>
        </w:trPr>
        <w:tc>
          <w:tcPr>
            <w:tcW w:w="1440" w:type="dxa"/>
            <w:vAlign w:val="bottom"/>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gridSpan w:val="8"/>
          </w:tcPr>
          <w:p>
            <w:pPr>
              <w:ind w:left="300"/>
              <w:spacing w:after="0"/>
              <w:rPr>
                <w:sz w:val="20"/>
                <w:szCs w:val="20"/>
                <w:color w:val="auto"/>
              </w:rPr>
            </w:pPr>
            <w:r>
              <w:rPr>
                <w:rFonts w:ascii="Arial" w:cs="Arial" w:eastAsia="Arial" w:hAnsi="Arial"/>
                <w:sz w:val="18"/>
                <w:szCs w:val="18"/>
                <w:b w:val="1"/>
                <w:bCs w:val="1"/>
                <w:color w:val="auto"/>
              </w:rPr>
              <w:t>Fair Value Measure at December 31, 2011</w:t>
            </w:r>
          </w:p>
        </w:tc>
        <w:tc>
          <w:tcPr>
            <w:tcW w:w="0" w:type="dxa"/>
            <w:vAlign w:val="bottom"/>
          </w:tcPr>
          <w:p>
            <w:pPr>
              <w:spacing w:after="0"/>
              <w:rPr>
                <w:sz w:val="1"/>
                <w:szCs w:val="1"/>
                <w:color w:val="auto"/>
              </w:rPr>
            </w:pPr>
          </w:p>
        </w:tc>
      </w:tr>
      <w:tr>
        <w:trPr>
          <w:trHeight w:val="34"/>
        </w:trPr>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210"/>
              <w:spacing w:after="0" w:line="198" w:lineRule="exact"/>
              <w:rPr>
                <w:sz w:val="20"/>
                <w:szCs w:val="20"/>
                <w:color w:val="auto"/>
              </w:rPr>
            </w:pPr>
            <w:r>
              <w:rPr>
                <w:rFonts w:ascii="Arial" w:cs="Arial" w:eastAsia="Arial" w:hAnsi="Arial"/>
                <w:sz w:val="18"/>
                <w:szCs w:val="18"/>
                <w:b w:val="1"/>
                <w:bCs w:val="1"/>
                <w:color w:val="auto"/>
                <w:w w:val="88"/>
              </w:rPr>
              <w:t>Quoted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Prices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Value at</w:t>
            </w:r>
          </w:p>
        </w:tc>
        <w:tc>
          <w:tcPr>
            <w:tcW w:w="20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in Active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Observable</w:t>
            </w:r>
          </w:p>
        </w:tc>
        <w:tc>
          <w:tcPr>
            <w:tcW w:w="1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Market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Derivative Liability</w:t>
            </w:r>
          </w:p>
        </w:tc>
        <w:tc>
          <w:tcPr>
            <w:tcW w:w="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(835 )</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(835 )</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RECENT ACCOUNTING PRONOUNCEMENTS</w:t>
      </w:r>
    </w:p>
    <w:p>
      <w:pPr>
        <w:spacing w:after="0" w:line="256"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 xml:space="preserve">On May 12, 2011, the FASB issued ASU 2011-04 (Topic 220):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 The new guidance creates a uniform framework for applying fair value measurement principles. It eliminates differences between GAAP and International Financial Reporting Standards issued by the International Accounting Standards Board. New disclosures required by the guidance include: quantitative information about the significant unobservable inputs used for Level 3 measurements; a qualitative discussion about the sensitivity of recurring Level 3 measurements to changes in the unobservable inputs disclosed, including the interrelationship between inputs; and a description of the company's valuation processes. This guidance is effective for interim and annual periods beginning after December 15, 2011, and all amendments will be applied prospectively with any changes in measurements recognized in income in the period of adoption. The adoption of these standards did not materially affect our financial position or results of operations. On June 17, 2011, the FASB issued ASU 2011-05 (Topic 820):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 The new guidance amends disclosure requirements for the presentation of comprehensive income. The amended guidance eliminates the option to present components of other comprehensive income (“OCI”) as part of the statement of changes in shareholders' equity. All changes in OCI will be presented either in a single continuous statement of comprehensive income or in two separate but consecutive financial statements. The guidance does not change the items that must be reported in OCI. This guidance is effective for fiscal years and interim reporting periods within those years beginning after December 15, 2011 with early adoption permitted. The adoption of this guidance will not impact the Company's consolidated financial position, results of operations or cash flows and will only impact the presentation of OCI in the consolidated financial statements. We adopted these standards in the first quarter of fiscal 2012. The adoption of these standards did not affect our financial position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BASED COMPENSATION</w:t>
      </w:r>
    </w:p>
    <w:p>
      <w:pPr>
        <w:spacing w:after="0" w:line="22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Share based compensation for the Company’s stock option plans for the three months ended June 30, 2012 and 2011 were $25 and $14, respectively and $35 and $28 for the six months ended June 30, 2012 and 2011. The Company issued 1.5 thousand and 0 shares of common stock related to exercises of stock options granted from its Stock Option plan for the three months ended June 30, 2012 and 2011 respectively.</w:t>
      </w:r>
    </w:p>
    <w:p>
      <w:pPr>
        <w:spacing w:after="0" w:line="16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Asure has one active equity plan, the 2009 Equity Plan (the "2009 Plan"). The 2009 Plan provides for the issuance of non-qualified and incentive stock options to employees and consultants of the Company. Stock options are generally granted with exercise price greater than or equal to the fair market value at the time of grant and the options generally vest over three to four years and are exercisable for a period of five to ten years beginning with date of grant. The Company’s 1996 Plan expired in April 2006, whereby the Company can no longer grant options under these plans. The Company’s 2009 Equity Plan was amended and approved by the shareholders during the Annual meeting of the Stockholders on June 26, 2012 to increase the number of shares reserved under the plan from 525 thousand to 900 thousand. A total of 637 options have been granted and are outstanding pursuant to the plan as of June 30, 2012.</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CONTINGENCIES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Asure was the defendant or plaintiff in various actions that arose in the normal course of business. None of the pending legal proceedings to which the Company is a party are material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(LOSS) PER SHARE</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Basic Income (Loss) per share (EPS) is computed based on the weighted average number of common shares outstanding for the period. Diluted EPS reflects the maximum dilution that would have resulted from incremental common shares issuable upon the exercise of stock options. The number of common share equivalents, which includes stock options, is computed using the treasury stock method.</w:t>
      </w:r>
    </w:p>
    <w:p>
      <w:pPr>
        <w:spacing w:after="0" w:line="181"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following tables provide the components of the basic and diluted EPS computations for the three and six month periods ended June 30, 2012 and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500" w:type="dxa"/>
            <w:vAlign w:val="bottom"/>
            <w:gridSpan w:val="5"/>
          </w:tcPr>
          <w:p>
            <w:pPr>
              <w:jc w:val="center"/>
              <w:ind w:left="196"/>
              <w:spacing w:after="0"/>
              <w:rPr>
                <w:sz w:val="20"/>
                <w:szCs w:val="20"/>
                <w:color w:val="auto"/>
              </w:rPr>
            </w:pPr>
            <w:r>
              <w:rPr>
                <w:rFonts w:ascii="Arial" w:cs="Arial" w:eastAsia="Arial" w:hAnsi="Arial"/>
                <w:sz w:val="18"/>
                <w:szCs w:val="18"/>
                <w:b w:val="1"/>
                <w:bCs w:val="1"/>
                <w:color w:val="auto"/>
                <w:w w:val="92"/>
              </w:rPr>
              <w:t>For the Three Months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500" w:type="dxa"/>
            <w:vAlign w:val="bottom"/>
            <w:tcBorders>
              <w:bottom w:val="single" w:sz="8" w:color="auto"/>
            </w:tcBorders>
            <w:gridSpan w:val="5"/>
          </w:tcPr>
          <w:p>
            <w:pPr>
              <w:jc w:val="center"/>
              <w:ind w:left="196"/>
              <w:spacing w:after="0"/>
              <w:rPr>
                <w:sz w:val="20"/>
                <w:szCs w:val="20"/>
                <w:color w:val="auto"/>
              </w:rPr>
            </w:pPr>
            <w:r>
              <w:rPr>
                <w:rFonts w:ascii="Arial" w:cs="Arial" w:eastAsia="Arial" w:hAnsi="Arial"/>
                <w:sz w:val="18"/>
                <w:szCs w:val="18"/>
                <w:b w:val="1"/>
                <w:bCs w:val="1"/>
                <w:color w:val="auto"/>
                <w:w w:val="89"/>
              </w:rPr>
              <w:t>Ended June 30,</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350"/>
              <w:spacing w:after="0"/>
              <w:rPr>
                <w:sz w:val="20"/>
                <w:szCs w:val="20"/>
                <w:color w:val="auto"/>
              </w:rPr>
            </w:pPr>
            <w:r>
              <w:rPr>
                <w:rFonts w:ascii="Arial" w:cs="Arial" w:eastAsia="Arial" w:hAnsi="Arial"/>
                <w:sz w:val="18"/>
                <w:szCs w:val="18"/>
                <w:b w:val="1"/>
                <w:bCs w:val="1"/>
                <w:color w:val="auto"/>
                <w:w w:val="89"/>
              </w:rPr>
              <w:t>Ended 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Basic EPS Computation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(Loss)/Income</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(323 )</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(1,170 )</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4,982</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4,627</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Basic Net (Loss)/Income per share</w:t>
            </w:r>
          </w:p>
        </w:tc>
        <w:tc>
          <w:tcPr>
            <w:tcW w:w="900" w:type="dxa"/>
            <w:vAlign w:val="bottom"/>
          </w:tcPr>
          <w:p>
            <w:pPr>
              <w:jc w:val="right"/>
              <w:ind w:right="736"/>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(0.06 )</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(0.24 )</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(0.01 )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500" w:type="dxa"/>
            <w:vAlign w:val="bottom"/>
            <w:gridSpan w:val="5"/>
          </w:tcPr>
          <w:p>
            <w:pPr>
              <w:jc w:val="center"/>
              <w:ind w:left="196"/>
              <w:spacing w:after="0"/>
              <w:rPr>
                <w:sz w:val="20"/>
                <w:szCs w:val="20"/>
                <w:color w:val="auto"/>
              </w:rPr>
            </w:pPr>
            <w:r>
              <w:rPr>
                <w:rFonts w:ascii="Arial" w:cs="Arial" w:eastAsia="Arial" w:hAnsi="Arial"/>
                <w:sz w:val="18"/>
                <w:szCs w:val="18"/>
                <w:b w:val="1"/>
                <w:bCs w:val="1"/>
                <w:color w:val="auto"/>
                <w:w w:val="92"/>
              </w:rPr>
              <w:t>For the Three Months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500" w:type="dxa"/>
            <w:vAlign w:val="bottom"/>
            <w:tcBorders>
              <w:bottom w:val="single" w:sz="8" w:color="auto"/>
            </w:tcBorders>
            <w:gridSpan w:val="5"/>
          </w:tcPr>
          <w:p>
            <w:pPr>
              <w:jc w:val="center"/>
              <w:ind w:left="196"/>
              <w:spacing w:after="0"/>
              <w:rPr>
                <w:sz w:val="20"/>
                <w:szCs w:val="20"/>
                <w:color w:val="auto"/>
              </w:rPr>
            </w:pPr>
            <w:r>
              <w:rPr>
                <w:rFonts w:ascii="Arial" w:cs="Arial" w:eastAsia="Arial" w:hAnsi="Arial"/>
                <w:sz w:val="18"/>
                <w:szCs w:val="18"/>
                <w:b w:val="1"/>
                <w:bCs w:val="1"/>
                <w:color w:val="auto"/>
                <w:w w:val="89"/>
              </w:rPr>
              <w:t>Ended June 30,</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350"/>
              <w:spacing w:after="0"/>
              <w:rPr>
                <w:sz w:val="20"/>
                <w:szCs w:val="20"/>
                <w:color w:val="auto"/>
              </w:rPr>
            </w:pPr>
            <w:r>
              <w:rPr>
                <w:rFonts w:ascii="Arial" w:cs="Arial" w:eastAsia="Arial" w:hAnsi="Arial"/>
                <w:sz w:val="18"/>
                <w:szCs w:val="18"/>
                <w:b w:val="1"/>
                <w:bCs w:val="1"/>
                <w:color w:val="auto"/>
                <w:w w:val="89"/>
              </w:rPr>
              <w:t>Ended 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Diluted EPS Computation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(Loss)/Income</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(323 )</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(1,170 )</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4,627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Common shares equivalents</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outstanding</w:t>
            </w:r>
          </w:p>
        </w:tc>
        <w:tc>
          <w:tcPr>
            <w:tcW w:w="9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4,982</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4,632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Basic Net (Loss)/Income per share</w:t>
            </w:r>
          </w:p>
        </w:tc>
        <w:tc>
          <w:tcPr>
            <w:tcW w:w="900" w:type="dxa"/>
            <w:vAlign w:val="bottom"/>
          </w:tcPr>
          <w:p>
            <w:pPr>
              <w:jc w:val="right"/>
              <w:ind w:right="736"/>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(0.06 )</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(0.24 )</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(0.01 )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Stock options to acquire 637 thousand shares for the three and six month periods ended June 30, 2012 were excluded in the computations of diluted EPS because the effect of including the stock options would have been anti-dilutive and stock options to acquire 240 thousand and 261 thousand shares for the three and six months ended June 30, 2011 were excluded in the computations of diluted EPS because the effect of including the stock options would have been anti-dilutive.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issued or assumed the following debt instruments: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as of</w:t>
            </w:r>
          </w:p>
        </w:tc>
        <w:tc>
          <w:tcPr>
            <w:tcW w:w="2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Balance as of</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Notes Payable and Line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Stated Interest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of Credit</w:t>
            </w:r>
          </w:p>
        </w:tc>
        <w:tc>
          <w:tcPr>
            <w:tcW w:w="120" w:type="dxa"/>
            <w:vAlign w:val="bottom"/>
          </w:tcPr>
          <w:p>
            <w:pPr>
              <w:spacing w:after="0"/>
              <w:rPr>
                <w:sz w:val="20"/>
                <w:szCs w:val="20"/>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Rate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15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Short Term</w:t>
            </w:r>
          </w:p>
        </w:tc>
        <w:tc>
          <w:tcPr>
            <w:tcW w:w="22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Long Term</w:t>
            </w:r>
          </w:p>
        </w:tc>
      </w:tr>
      <w:tr>
        <w:trPr>
          <w:trHeight w:val="202"/>
        </w:trPr>
        <w:tc>
          <w:tcPr>
            <w:tcW w:w="20" w:type="dxa"/>
            <w:vAlign w:val="bottom"/>
          </w:tcPr>
          <w:p>
            <w:pPr>
              <w:spacing w:after="0"/>
              <w:rPr>
                <w:sz w:val="17"/>
                <w:szCs w:val="17"/>
                <w:color w:val="auto"/>
              </w:rPr>
            </w:pPr>
          </w:p>
        </w:tc>
        <w:tc>
          <w:tcPr>
            <w:tcW w:w="19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ADI Time - Sellers Note</w:t>
            </w:r>
          </w:p>
        </w:tc>
        <w:tc>
          <w:tcPr>
            <w:tcW w:w="120" w:type="dxa"/>
            <w:vAlign w:val="bottom"/>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of unamortized</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discount of $206)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10/1/2014</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0.16 %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Legiant - Sellers Note 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2/1/2012</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0.20 %</w:t>
            </w:r>
          </w:p>
        </w:tc>
        <w:tc>
          <w:tcPr>
            <w:tcW w:w="1360" w:type="dxa"/>
            <w:vAlign w:val="bottom"/>
          </w:tcPr>
          <w:p>
            <w:pPr>
              <w:jc w:val="right"/>
              <w:spacing w:after="0"/>
              <w:rPr>
                <w:sz w:val="20"/>
                <w:szCs w:val="20"/>
                <w:color w:val="auto"/>
              </w:rPr>
            </w:pPr>
            <w:r>
              <w:rPr>
                <w:rFonts w:ascii="Arial" w:cs="Arial" w:eastAsia="Arial" w:hAnsi="Arial"/>
                <w:sz w:val="18"/>
                <w:szCs w:val="18"/>
                <w:color w:val="auto"/>
              </w:rPr>
              <w:t>250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Legiant - Sellers Note 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10/1/2014</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5.00 %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Legiant - Sellers Note 3</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(net of unamortized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discount of $347)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10/1/2014</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0.20 %</w:t>
            </w:r>
          </w:p>
        </w:tc>
        <w:tc>
          <w:tcPr>
            <w:tcW w:w="1360" w:type="dxa"/>
            <w:vAlign w:val="bottom"/>
          </w:tcPr>
          <w:p>
            <w:pPr>
              <w:jc w:val="right"/>
              <w:spacing w:after="0"/>
              <w:rPr>
                <w:sz w:val="20"/>
                <w:szCs w:val="20"/>
                <w:color w:val="auto"/>
              </w:rPr>
            </w:pPr>
            <w:r>
              <w:rPr>
                <w:rFonts w:ascii="Arial" w:cs="Arial" w:eastAsia="Arial" w:hAnsi="Arial"/>
                <w:sz w:val="18"/>
                <w:szCs w:val="18"/>
                <w:color w:val="auto"/>
              </w:rPr>
              <w:t>1,384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1,446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Subordinated Convertible</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of unamortized</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discount of $54)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9/30/2014</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9.00 %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Subordinated Notes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9/30/2014</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15.00 %</w:t>
            </w:r>
          </w:p>
        </w:tc>
        <w:tc>
          <w:tcPr>
            <w:tcW w:w="1360" w:type="dxa"/>
            <w:vAlign w:val="bottom"/>
          </w:tcPr>
          <w:p>
            <w:pPr>
              <w:jc w:val="right"/>
              <w:spacing w:after="0"/>
              <w:rPr>
                <w:sz w:val="20"/>
                <w:szCs w:val="20"/>
                <w:color w:val="auto"/>
              </w:rPr>
            </w:pPr>
            <w:r>
              <w:rPr>
                <w:rFonts w:ascii="Arial" w:cs="Arial" w:eastAsia="Arial" w:hAnsi="Arial"/>
                <w:sz w:val="18"/>
                <w:szCs w:val="18"/>
                <w:color w:val="auto"/>
              </w:rPr>
              <w:t>1,700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9/28/2012</w:t>
            </w:r>
          </w:p>
        </w:tc>
        <w:tc>
          <w:tcPr>
            <w:tcW w:w="1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4.25 %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5,340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4,676</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Time - Sellers Note</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 conjunction with the acquisition of ADI Software, LLC; the Company entered into a Promissory Note in the amount of $1,095 with the Seller. The Promissory Note bears interest at an annual rate of 0.16%, will mature on October 1, 2014, and is guaranteed by the Company. The Purchaser may offset any indemnification payments owed by the Seller under the APA against up to $1,000 under the Purchaser Note. The Company recorded the note at fair value using a discount rate of 9%, which resulted in an unamortized discount of $226, which will accrete up the note to its aggregate principal amount over the course of the life of the loan using the effective interest method.</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 conjunction with the acquisition of Legiant Software, LLC the Company entered into three separate Promissory Notes all payable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Sellers. The details of each of the Promissory Notes are as follows: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 Sellers Note #1</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Legiant Acquisition-Sellers Note #1 was for an aggregate principal amount of $250 bears interest at an annual rate of 0.20%, matured on February 1, 2012, and was paid in full.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Acquisition-Sellers Note #2</w:t>
      </w:r>
    </w:p>
    <w:p>
      <w:pPr>
        <w:spacing w:after="0" w:line="225"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Legiant Acquisition-Sellers Note #2 is for the principal amount of $478, bears interest at an annual rate of 5.00% and requires monthly payments of $10 until the maturity date of October 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Legiant Acquisition-Sellers Note #3</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Legiant Acquisition-Sellers Note #3 is for an aggregate principal amount of $1,761, bears interest at an annual rate of 0.20%, and will mature on October 1, 2014 when all interest and principal are due. The Company may offset any indemnification payments owed by the Seller under the acquisition agreement against up to $1 million under Sellers Note #3. The Company recorded the note at fair value using a discount rate of 9%, which resulted in an unamortized discount of $377, which will accrete up the note to its aggregate principal amount over the course of the life of the loan using the effective interest method and will be payable, in cash, on October 1, 2014.</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All three promissory notes are guaranteed by the Company and are subordinated to the Company’s bank financing discussed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Convertible Notes Payable</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On September 30, 2011, the Company entered into a Securities Purchase Agreement (the “9% Note Purchase Agreement”) relating to the sale of $1,500 aggregate principal amount of the Company’s 9% subordinated convertible notes (“9% Notes”) in a private placement to accredited investors to finance the ADI acquisition. The 9% Notes will pay interest on each of March 31, June 30, September 30 and December 31, beginning on December 31, 2011, at a rate of 9% per year. The 9% Note will mature on September 30, 2014. The 9% Note is secured by all of the assets of the Company and is subordinated to the Company’s obligations to the Bank and the 15% Notes.</w:t>
      </w:r>
    </w:p>
    <w:p>
      <w:pPr>
        <w:spacing w:after="0" w:line="215"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Beginning 12 months from the date of issuance, the holder may convert the 9% Notes into shares of the Company’s common stock at a conversion price of $5.00 per share. The conversion price will be adjusted for certain events, such as stock dividends and stock splits. Additionally, if the Company subsequently issues common stock at a price below the then current conversion price, the conversion price will be reset to the greater of $3.27 per share (the closing price of the Company’s Common Stock on September 30, 2011) or such lower price. In the event that a holder of a 9% Note elects to convert the 9% Note into equity, and the Company determines that such conversion would jeopardize the Company’s tax benefits under Section 382 of the Internal Revenue Code, the Company may elect to prepay any or all of such 9% Notes prior to conversion, subject to certain limitations at a purchase price equal to the product of the number of shares into which the 9% Note is convertible and the volume weighted average closing price during the 20 day trading period beginning on the 10th day before the conversion notice is received by the Company multiplied by the Premium Rate. The Premium Rate is 1.1 if a holder notifies the Company of an intention to convert their 9% Note into equity prior to the date that is 90 days before the maturity date and 1.5 if such notification is made within 90 days of the maturity date. The 9% Notes also contain customary terms of default.</w:t>
      </w:r>
    </w:p>
    <w:p>
      <w:pPr>
        <w:spacing w:after="0" w:line="19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9% Note Purchase Agreement provides that, if the Company issues common stock below $3.25 per share, each holder of the 9% Notes outstanding at that time will have the right to purchase its pro rata portion of such stock issuance.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11"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These convertible notes contain embedded derivative instruments related to the conversion feature that are accounted for separately. The derivative instruments entered into to finance the ADI acquisition. The fair values of these instruments are re-measured each reporting period and a gain or loss is recorded for the change in fair value. At inception, the conversion feature was valued at $274 and resulted in an original issue discount on the convertible debt, which will accrete up the note to its aggregate principal amount over the course of the life of the loan using the effective interest method. The Company used a Monte Carlo simulation in a risk-neutral framework to simulate market capitalization outcomes of the Company, including considerations of the Company’s projected share price volatility, to estimate the fair value of the embedded derivative. The fair value of the conversion feature was $835 at December 31, 2011, with $561 being recorded in the income statement for the mark-to-market impact. This amount of $561 was recorded in interest expense – amortization of OID and derivative mark-to-market in the consolidated statements of operations.</w:t>
      </w:r>
    </w:p>
    <w:p>
      <w:pPr>
        <w:spacing w:after="0" w:line="179"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Effective on March 10, 2012, the terms of the convertible notes were amended to eliminate the embedded derivative features resulting in a settlement or extinguishment of the derivative liability. Under the terms of the amendment, each holder of 9% Notes is permitted to convert the outstanding principal balance due there under into shares of Common Stock of the Company at the conversion price originally set forth in the 9% Notes ($5.00 per share of Common Stock) on or before March 15, 2012, to provide to the holders of the 9% Notes, as consideration for agreeing to the terms of the amendment, a one time cash payment, in such amount as follows: (i) with respect to holders of 9% Notes who do not elect to convert their Convertible Note prior to March 16, 2012, an amount equal to 3% of the outstanding principal amount of their 9% Note and (B) with respect to holders of 9% Notes who elect to convert their Convertible Note prior to March 16, 2012, an amount equal to 80% of the interest that such holder would have received if such holder had held the 9% Note to maturity, and remove the dilution protection provision which would have reset the conversion price below $5.00 per share in the event that the Company made certain issuances of Common Stock at a price below $5.00 per share of Common Stock . Approximately $1,150 of the total $1,500 of principal amount of 9% Notes was converted to shares of Common Stock.</w:t>
      </w:r>
    </w:p>
    <w:p>
      <w:pPr>
        <w:spacing w:after="0" w:line="178"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The amendment to the 9% Notes resulted in a change of accounting treatment of the derivatives. Effective on March 10, 2012, the derivatives were no longer required to be accounted for on a separate basis. Therefore, the Company will no longer be required to re-measure the value of the derivatives after the amendment date. The fair value of the conversion feature was $1,300 at March 31, 2012, with $465 being recorded in the income statement for the mark-to-market impact. This amount of $465 was recorded in interest expense – amortization of OID and derivative mark-to-market in the consolidated statements of operations. The conversion of the 9% Notes and elimination of the derivative liability resulted in a loss on debt conversion of $199, a reduction in the carrying value of the 9% Notes to $296 at March 31, 2012, and an increase in additional paid in capital of $2,255 for the issuance of 230 shares for the Common Stock issued upon conversion. The Company also made cash payments of $211 to holders that elected to convert in accordance with the terms of the amendment.</w:t>
      </w:r>
    </w:p>
    <w:p>
      <w:pPr>
        <w:spacing w:after="0" w:line="192"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Mr. Goepel, the Company’s Chief Executive Officer, purchased $200 of the 9% Notes. Red Oak Fund, LP purchased $600 of the 9% Notes. Mr. Sandberg, the Company’s Chairman, is the controlling member of Red Oak Partners, LLC, which manages the Red Oak Fund. Both parties subsequently converted the 9% Notes under the terms of the amendment.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Subordinated Notes Payable</w:t>
      </w:r>
    </w:p>
    <w:p>
      <w:pPr>
        <w:spacing w:after="0" w:line="25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On September 30, 2011, the Company entered into a Securities Purchase Agreement (the “15% Note Purchase Agreement”) relating to the sale of $1,700 aggregate principal amount of the Company’s 15% subordinated notes (“15% Notes”) in a private placement to accredited investors. The 15% Note will pay interest on each of March 31, June 30, September 30 and December 31, beginning on December 31, 2011, at a rate of 15% per year. The 15% Notes were to mature on September 30, 2014, but were paid in full from proceeds of the loan agreement effective July 1,2012 discussed in Note 9. The 15% Notes are secured by all of the assets of the Company and are subordinated to the Company’s obligations to the Bank. The 15% Notes also contain customary terms of default.</w:t>
      </w:r>
    </w:p>
    <w:p>
      <w:pPr>
        <w:spacing w:after="0" w:line="220"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Patrick Goepel, the Company’s Chief Executive Officer purchased $500 of the 15% Notes. Pinnacle Fund, LLLP purchased $300 of the 15% Notes. David Sandberg, the Company’s Chairman, is the controlling member of Red Oak Partners, LLC, which owns 50% of Pinnacle Partners, LLC, which is the general partner of the Pinnacle Fund, LLLP. Red Oak Partners, LLC is also the manager of the Pinnacle Fund, LLLP.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6"/>
          <w:szCs w:val="16"/>
          <w:color w:val="auto"/>
        </w:rPr>
        <w:t>On September 29, 2011, the Company entered into a Credit Agreement with JPMorgan Chase Bank N.A. (“Bank”), providing for a $500 line of credit (the “Credit Agreement”), which was fully utilized as of June 30, 2012. The line of credit bears interest at a rate of 1.5% above the CB Floating Rate and matures on September 28, 2012. The CB Floating rate is defined as the Bank’s prime rate, as announced from time to time, provided that the CB Floating Rate may not be less than the adjusted one month LIBOR rate. The aggregate principal amount of advances outstanding at any one time under the line of credit may not exceed 80% of eligible trade accounts and accounts receivable or the maximum principal amount then available, whichever is less.</w:t>
      </w:r>
    </w:p>
    <w:p>
      <w:pPr>
        <w:spacing w:after="0" w:line="158"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 Company’s obligations to the Bank are guaranteed by ADI Software, LLC, a wholly owned subsidiary of the Company, and secured by all of the assets of the Company and its subsidiaries. The Credit Agreement contains customary affirmative and negative covenants, including but not limited to limitations with respect to debt, liens, sale of equity interests, mergers and acquisitions, sale of assets, and loans or advances to and investments in others. The Company is also required to maintain total cash and marketable securities of not less than $300, beginning on December 31, 2011; a debt service coverage ratio of not less than 1.2 to 1.0 for each period of four consecutive fiscal quarters beginning the twelve months ending December 31, 2011; and EBITDA of not less than $100 for each fiscal quarter beginning the quarter ending December 31, 2011. The Company was in compliance with these covenants at December 31, 2011.</w:t>
      </w:r>
    </w:p>
    <w:p>
      <w:pPr>
        <w:spacing w:after="0" w:line="18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Events of default under the Credit Agreement include, among others, (i) the failure to pay when due the obligations owing to the Bank, (ii) the failure to perform covenants set forth in the Credit Agreement (as described above), (iii) any materially incorrect or misleading representation, warranty or certificate to the Bank, (iv) any materially incorrect or misleading representation in any financial statement or other information delivered to the Bank, (v) certain cross defaults and cross accelerations, (vi) the failure to perform under the guaranty, (vii) the occurrence of certain bankruptcy or insolvency events,</w:t>
      </w:r>
    </w:p>
    <w:p>
      <w:pPr>
        <w:spacing w:after="0" w:line="2" w:lineRule="exact"/>
        <w:rPr>
          <w:sz w:val="20"/>
          <w:szCs w:val="20"/>
          <w:color w:val="auto"/>
        </w:rPr>
      </w:pPr>
    </w:p>
    <w:p>
      <w:pPr>
        <w:ind w:firstLine="8"/>
        <w:spacing w:after="0" w:line="261" w:lineRule="auto"/>
        <w:tabs>
          <w:tab w:leader="none" w:pos="435" w:val="left"/>
        </w:tabs>
        <w:numPr>
          <w:ilvl w:val="0"/>
          <w:numId w:val="4"/>
        </w:numPr>
        <w:rPr>
          <w:rFonts w:ascii="Arial" w:cs="Arial" w:eastAsia="Arial" w:hAnsi="Arial"/>
          <w:sz w:val="18"/>
          <w:szCs w:val="18"/>
          <w:color w:val="auto"/>
        </w:rPr>
      </w:pPr>
      <w:r>
        <w:rPr>
          <w:rFonts w:ascii="Arial" w:cs="Arial" w:eastAsia="Arial" w:hAnsi="Arial"/>
          <w:sz w:val="18"/>
          <w:szCs w:val="18"/>
          <w:color w:val="auto"/>
        </w:rPr>
        <w:t>judgments against the Company or its subsidiaries, and (ix) certain material adverse changes. In some cases, the events of default are subject to customary notice and grace period provisions.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currently has $555 borrowed under the line of credit for working capital.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(Amounts in thousands, except per share data or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225"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Effective July 1, 2012, we and our wholly-owned subsidiaries entered into a Loan Agreement (the “Loan Agreement”) with Deerpath Funding, LP, a Delaware limited partnership, as lender, administrative agent and collateral agent (“Deerpath”).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Loan Agreement provides for a single advance senior secured term loan in the amount of $14,500,000, made on July 5, 2012, which was used to</w:t>
      </w:r>
    </w:p>
    <w:p>
      <w:pPr>
        <w:spacing w:after="0" w:line="46" w:lineRule="exact"/>
        <w:rPr>
          <w:sz w:val="20"/>
          <w:szCs w:val="20"/>
          <w:color w:val="auto"/>
        </w:rPr>
      </w:pPr>
    </w:p>
    <w:p>
      <w:pPr>
        <w:jc w:val="both"/>
        <w:ind w:firstLine="8"/>
        <w:spacing w:after="0" w:line="271" w:lineRule="auto"/>
        <w:tabs>
          <w:tab w:leader="none" w:pos="216" w:val="left"/>
        </w:tabs>
        <w:numPr>
          <w:ilvl w:val="0"/>
          <w:numId w:val="5"/>
        </w:numPr>
        <w:rPr>
          <w:rFonts w:ascii="Arial" w:cs="Arial" w:eastAsia="Arial" w:hAnsi="Arial"/>
          <w:sz w:val="17"/>
          <w:szCs w:val="17"/>
          <w:color w:val="auto"/>
        </w:rPr>
      </w:pPr>
      <w:r>
        <w:rPr>
          <w:rFonts w:ascii="Arial" w:cs="Arial" w:eastAsia="Arial" w:hAnsi="Arial"/>
          <w:sz w:val="17"/>
          <w:szCs w:val="17"/>
          <w:color w:val="auto"/>
        </w:rPr>
        <w:t>finance the cash purchase consideration for the acquisition, (ii) pay outstanding indebtedness under the 15% subordinated promissory notes due September 2014 (including partial interest and subordination consent payments of $134,375 to Patrick Goepel, our Chief Executive Officer, and $80,625 to Pinnacle Fund, which is controlled by David Sandberg, our Chairman of the Board of Directors) and the JPMorgan Chase Bank line of credit, and (iii) pay transaction costs and expenses of the term loan and the acquisition. With the full and partial payoff of outstanding debts, the total debt remaining is $17.2million. Asure is not required to pay any cash interest until October, 2014 on the outstanding $2.7million of non-Deerpath debt.</w:t>
      </w:r>
    </w:p>
    <w:p>
      <w:pPr>
        <w:spacing w:after="0" w:line="20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The Loan Agreement also provides for a conditional commitment to provide additional single advance senior secured term loans from time to time in an aggregate amount not to exceed $5,000,000 to be used for refinancing certain other indebtedness, funding permitted acquisitions or other growth initiatives, and paying fees and expenses of the term loans and permitted acquisitions.</w:t>
      </w:r>
    </w:p>
    <w:p>
      <w:pPr>
        <w:spacing w:after="0" w:line="208"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 term loan bears interest at a floating annual rate equal to LIBOR plus 8.00%, subject to a LIBOR floor of 2.00%, and requires monthly payments of interest only beginning on August 1, 2012 and quarterly principal payments of $362,500 beginning on October 1, 2012, with any remaining principal due on July 1, 2016. We may prepay all or a portion of the principal amount outstanding at any time, subject to a premium ranging from 1% to 5% of the principal amount being prepaid depending on if the prepayment occurs on or before the first, second or third anniversary of the closing date. The term loan requires mandatory prepayments of outstanding principal with 75% of excess cash flow (such percentage to be reduced to 50% if a specified senior debt to EBITDA ratio is achieved) and, at Deerpath’s election, with proceeds from certain events, including 100% of the net proceeds of any asset sales and issuance of equity securities.</w:t>
      </w:r>
    </w:p>
    <w:p>
      <w:pPr>
        <w:spacing w:after="0" w:line="18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term loan is secured by a first priority lien on all of our and our subsidiaries’ assets and pledges of 100% of the equity interests in our domestic subsidiaries and 65% of the equity interests in our foreign subsidiaries.</w:t>
      </w:r>
    </w:p>
    <w:p>
      <w:pPr>
        <w:spacing w:after="0" w:line="170"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The Loan Agreement contains customary covenants, including but not limited to limitations with respect to debt, liens, mergers and acquisitions, sale of assets, loans or advances to and investments in others, dividends or other distributions, capital expenditures and management compensation. We are also required to maintain EBITDA of not less than $5.65 million beginning with the quarter ending September 30, 2012, with the amount stepping up thereafter; a total debt to EBITDA ratio of not greater than 3.75 to 1.00 beginning with the quarter ending September 30, 2012, with the levels stepping down thereafter; a senior debt to EBITDA ratio of not greater than 2.75 to 1.00 beginning with the quarter ending September 30, 2012, with the levels stepping down thereafter; and a fixed charge coverage ratio of not less than 0.60 to 1.00 beginning with the quarter ending September 30, 2012, with the levels stepping up thereafter. Deerpath may designate one representative to attend all meetings of our and our subsidiaries’ boards of directors as a non-voting observer.</w:t>
      </w:r>
    </w:p>
    <w:p>
      <w:pPr>
        <w:spacing w:after="0" w:line="21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The Loan Agreement contains customary events of default, including, among others, (i) payment defaults, (ii) covenant defaults, (iii) incorrect representations or warranties, (iv) bankruptcy and insolvency events, (v) certain cross defaults and cross accelerations, (vi) certain change of control or change of management events and (vii) certain material adverse events. In some cases, the defaults are subject to customary notice and grace period provisions.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Meeting Maker-United States, Inc.</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Effective July 1, 2012, we acquired all of the issued and outstanding shares of common stock (the “Shares”) of Meeting Maker – United States, Inc., a Delaware corporation (“Meeting Maker - US”), pursuant to a Stock Purchase Agreement (the “Stock Purchase Agreement”) by and among Meeting Maker Holding BV, a besloten vennootschap organized under the laws of the Netherlands (“Seller”), PeopleCube Holding BV, a besloten vennootschap organized under the laws of the Netherlands, and us. The Stock Purchase Agreement contains certain customary representations, warranties, indemnities and covenants.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aggregate consideration for the Shares consisted of (i) $9.8 million in cash, subject to a post-closing working capital adjustment, (ii) 255,000 shares of our common stock, par value $0.01 per share, and (iii) an additional $3 million seller’s note that is due on October 31, 2014, subject to offset of any amounts owed by Seller under the indemnification provisions of the Stock Purchase Agreement. The $9.8 million cash portion of the purchase price was funded with proceeds from the Loan Agreement. As a result of the acquisition, Meeting Maker - US became our direct wholly-owned subsidiary.</w:t>
      </w:r>
    </w:p>
    <w:p>
      <w:pPr>
        <w:sectPr>
          <w:pgSz w:w="11900" w:h="16838" w:orient="portrait"/>
          <w:cols w:equalWidth="0" w:num="1">
            <w:col w:w="11420"/>
          </w:cols>
          <w:pgMar w:left="240" w:top="122"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The following review of Asure’s financial position as of June 30, 2012 and December 31, 2011 and for the three and six months ended June 30, 2012 and 2011 should be read in conjunction with the Company’s 2011 Annual Report on Form 10-K filed with the Securities and Exchange Commission. Asure’s internet website address is http://www.asuresoftware.com. The Company’s annual reports on Form 10-K, quarterly reports on Form 10-Q, current reports on Form 8-K and amendments to those reports filed or furnished pursuant to Section 13(a) or 15(d) of the Securities Exchange Act of 1934 are available through the investor relations page of the Company’s internet website free of charge as soon as reasonably practicable after they are electronically filed, or furnished to, the Securities and Exchange Commission. Asure’s internet website and the information contained therein or connected thereto are not intended to be incorporated into this Quarterly Report on Form 10-Q.</w:t>
      </w:r>
    </w:p>
    <w:p>
      <w:pPr>
        <w:spacing w:after="0" w:line="178"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 Company currently offers two main product lines in its software and services business: NetSimplicity and iEmployee. Asure’s NetSimplicity product line provides simple and affordable solutions to common office administration problems. NetSimplicity’s flagship product, Meeting Room Manager (“MRM”), automates the entire facility scheduling process: reserving rooms, requesting equipment, ordering food, sending invitations, reporting on the meeting environment and more. Asure’s iEmployee product line helps simplify the HR process and improves employee productivity by managing and communicating human resources, employee benefits and payroll information. iEmployee's web-based solutions include Time &amp; Attendance, Timesheets, Human Resource Benefits, Expenses and others.</w:t>
      </w:r>
    </w:p>
    <w:p>
      <w:pPr>
        <w:spacing w:after="0" w:line="22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On March 27, 2012, the Board of Directors declared a 3 for 2 stock split, payable April 30, 2012 to the holders of record of the Company’s common stock as of the close of business on April 23, 2012. The Company will make cash payments based upon the closing price of the Company’s shares on the record date in lieu of the issuance of fractional shares. Share and per share information in these financial statements reflect the impact of the 3 for 2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w:t>
      </w:r>
    </w:p>
    <w:p>
      <w:pPr>
        <w:spacing w:after="0" w:line="187"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are believed to be reasonable as of the filing date of this report, they inherently are subject to certain risks and uncertainties. Additionally, Asure is under no obligation to update any of the forward-looking statements after the date of this Form 10-Q to conform such statements to actual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The following table sets forth the percentage of total revenues represented by certain items in Asure’s Consolidated Statements of Operations for the fiscal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4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rPr>
              <w:t>FOR THE THREE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rPr>
              <w:t>FOR THE SIX</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4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rPr>
              <w:t>MONTHS ENDED</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rPr>
              <w:t>MONTHS ENDED</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530"/>
              <w:spacing w:after="0"/>
              <w:rPr>
                <w:sz w:val="20"/>
                <w:szCs w:val="20"/>
                <w:color w:val="auto"/>
              </w:rPr>
            </w:pPr>
            <w:r>
              <w:rPr>
                <w:rFonts w:ascii="Arial" w:cs="Arial" w:eastAsia="Arial" w:hAnsi="Arial"/>
                <w:sz w:val="18"/>
                <w:szCs w:val="18"/>
                <w:b w:val="1"/>
                <w:bCs w:val="1"/>
                <w:color w:val="auto"/>
                <w:w w:val="94"/>
              </w:rPr>
              <w:t>JUNE 30,</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4"/>
              </w:rPr>
              <w:t>JUNE 30,</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9"/>
              </w:rPr>
              <w:t>2011</w:t>
            </w:r>
          </w:p>
        </w:tc>
        <w:tc>
          <w:tcPr>
            <w:tcW w:w="4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2011</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100 %</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100 %</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100 %</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100 %</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20" w:type="dxa"/>
            <w:vAlign w:val="bottom"/>
          </w:tcPr>
          <w:p>
            <w:pPr>
              <w:jc w:val="right"/>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82.0</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81.7</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CEEFF"/>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2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Amortization of intangible</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76.5</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80.4</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74.6</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(4.8 )</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(0.1 )</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(13.0 )</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(0.6 )</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(7.7 )</w:t>
            </w: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(14.0 )</w:t>
            </w:r>
          </w:p>
        </w:tc>
        <w:tc>
          <w:tcPr>
            <w:tcW w:w="4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(0.7 )</w:t>
            </w:r>
          </w:p>
        </w:tc>
        <w:tc>
          <w:tcPr>
            <w:tcW w:w="1440" w:type="dxa"/>
            <w:vAlign w:val="bottom"/>
          </w:tcPr>
          <w:p>
            <w:pPr>
              <w:spacing w:after="0"/>
              <w:rPr>
                <w:sz w:val="20"/>
                <w:szCs w:val="20"/>
                <w:color w:val="auto"/>
              </w:rPr>
            </w:pPr>
          </w:p>
        </w:tc>
      </w:tr>
      <w:tr>
        <w:trPr>
          <w:trHeight w:val="593"/>
        </w:trPr>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gridSpan w:val="3"/>
          </w:tcPr>
          <w:p>
            <w:pPr>
              <w:ind w:left="120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2012 AND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Consolidated revenues of the Company and its subsidiaries, include sales of the Company’s scheduling software, human resource and time and attendance software, complementary hardware devices to enhance its software products, software maintenance and support services, installation and training services and other professional services.</w:t>
      </w:r>
    </w:p>
    <w:p>
      <w:pPr>
        <w:spacing w:after="0" w:line="181" w:lineRule="exact"/>
        <w:rPr>
          <w:sz w:val="20"/>
          <w:szCs w:val="20"/>
          <w:color w:val="auto"/>
        </w:rPr>
      </w:pPr>
    </w:p>
    <w:p>
      <w:pPr>
        <w:jc w:val="both"/>
        <w:ind w:right="20" w:firstLine="972"/>
        <w:spacing w:after="0" w:line="342" w:lineRule="auto"/>
        <w:rPr>
          <w:sz w:val="20"/>
          <w:szCs w:val="20"/>
          <w:color w:val="auto"/>
        </w:rPr>
      </w:pPr>
      <w:r>
        <w:rPr>
          <w:rFonts w:ascii="Arial" w:cs="Arial" w:eastAsia="Arial" w:hAnsi="Arial"/>
          <w:sz w:val="16"/>
          <w:szCs w:val="16"/>
          <w:color w:val="auto"/>
        </w:rPr>
        <w:t>Revenues for the three months ended June 30, 2012 were $4,205, an increase of $1,771, or 72.8%, from the $2,434 reported for the three months ended June 30, 2011. The increase was primarily due to $1,763 of revenues generated by ADI Time and Legiant acquired during the fourth quarter of 2011.</w:t>
      </w:r>
    </w:p>
    <w:p>
      <w:pPr>
        <w:spacing w:after="0" w:line="124" w:lineRule="exact"/>
        <w:rPr>
          <w:sz w:val="20"/>
          <w:szCs w:val="20"/>
          <w:color w:val="auto"/>
        </w:rPr>
      </w:pPr>
    </w:p>
    <w:p>
      <w:pPr>
        <w:jc w:val="both"/>
        <w:ind w:firstLine="1030"/>
        <w:spacing w:after="0" w:line="342" w:lineRule="auto"/>
        <w:rPr>
          <w:sz w:val="20"/>
          <w:szCs w:val="20"/>
          <w:color w:val="auto"/>
        </w:rPr>
      </w:pPr>
      <w:r>
        <w:rPr>
          <w:rFonts w:ascii="Arial" w:cs="Arial" w:eastAsia="Arial" w:hAnsi="Arial"/>
          <w:sz w:val="16"/>
          <w:szCs w:val="16"/>
          <w:color w:val="auto"/>
        </w:rPr>
        <w:t>Revenues for the six months ended June 30, 2012 were $8,357, an increase of $3,566 or 74.4%, from the $4,791 reported for the six months ended June 30, 2011. The increase was primarily due to $3,474 of revenues generated by ADI Time and Legiant, acquired during the fourth quarter of 2011.</w:t>
      </w:r>
    </w:p>
    <w:p>
      <w:pPr>
        <w:spacing w:after="0" w:line="15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Asure will continue to target small and medium businesses and divisions of enterprises. In addition to continuing to develop its workforce management solutions and release new software updates and enhancements, the Company is actively exploring other opportunities to acquire additional products or technologies to complement its current software and services. In 2011, the Company acquired ADI Time and Legiant to enhance both its channel delivery capabilities and its time and labor management technology.</w:t>
      </w:r>
    </w:p>
    <w:p>
      <w:pPr>
        <w:spacing w:after="0" w:line="214" w:lineRule="exact"/>
        <w:rPr>
          <w:sz w:val="20"/>
          <w:szCs w:val="20"/>
          <w:color w:val="auto"/>
        </w:rPr>
      </w:pPr>
    </w:p>
    <w:p>
      <w:pPr>
        <w:jc w:val="both"/>
        <w:ind w:right="20" w:firstLine="1012"/>
        <w:spacing w:after="0" w:line="264" w:lineRule="auto"/>
        <w:rPr>
          <w:sz w:val="20"/>
          <w:szCs w:val="20"/>
          <w:color w:val="auto"/>
        </w:rPr>
      </w:pPr>
      <w:r>
        <w:rPr>
          <w:rFonts w:ascii="Arial" w:cs="Arial" w:eastAsia="Arial" w:hAnsi="Arial"/>
          <w:sz w:val="18"/>
          <w:szCs w:val="18"/>
          <w:color w:val="auto"/>
        </w:rPr>
        <w:t>Asure also is implementing marketing initiatives, including tailoring its solutions to provide increased value and a simplified purchasing model to targeted customers. As the overall workforce management solutions market continues to experience significant growth related to software as a service (“SaaS”) products, Asure will continue to focus on sales of its MRM, iEmployee and ADI SaaS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Gross margins for the three months ended June 30, 2012 were $3,214, an increase of $1,217, or 60.9%, from the $1,997 reported for the three months ended June 30, 2011. Gross margins as a percentage of revenues were 76.4% and 82% for the three months ended June 30, 2012 and 2011, respectively. Of the total increase in gross margins of $1,217, $1,210 was attributable to the acquisition of ADI Time and Legiant in the fourth quarter 2011.</w:t>
      </w:r>
    </w:p>
    <w:p>
      <w:pPr>
        <w:spacing w:after="0" w:line="174" w:lineRule="exact"/>
        <w:rPr>
          <w:sz w:val="20"/>
          <w:szCs w:val="20"/>
          <w:color w:val="auto"/>
        </w:rPr>
      </w:pPr>
    </w:p>
    <w:p>
      <w:pPr>
        <w:jc w:val="both"/>
        <w:ind w:firstLine="1032"/>
        <w:spacing w:after="0" w:line="264" w:lineRule="auto"/>
        <w:rPr>
          <w:sz w:val="20"/>
          <w:szCs w:val="20"/>
          <w:color w:val="auto"/>
        </w:rPr>
      </w:pPr>
      <w:r>
        <w:rPr>
          <w:rFonts w:ascii="Arial" w:cs="Arial" w:eastAsia="Arial" w:hAnsi="Arial"/>
          <w:sz w:val="18"/>
          <w:szCs w:val="18"/>
          <w:color w:val="auto"/>
        </w:rPr>
        <w:t>Gross margins for the six months ended June 30, 2012 were $6,320, an increase of $2,406, or 61.5%, from the $3,914 reported for the six months ended June 30, 2011. Gross margins as a percentage of revenues were 75.6% and 81.7% for the six months ended June 30, 2012 and 2011,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Selling, general and administrative (“SG&amp;A”) expenses for the three months ended June 30, 2012 were $2,334, an increase of $921 or 65.2%, from the $1,413 reported for the three months ended June 30, 2011. SG&amp;A expenses as a percentage of revenues were 55.5% and 58.1% for the three months ended June 30, 2012 and 2011, respectively. The increase of $921 was driven by the following: An increase of $327 due to acquisition of ADI Time and Legiant in the fourth quarter of 2011, an increase of $280 due to increases in headcount, merit raises and bonus accruals and an increase of $230 related to acquisition related professional and legal services.</w:t>
      </w:r>
    </w:p>
    <w:p>
      <w:pPr>
        <w:spacing w:after="0" w:line="18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Selling, general and administrative (“SG&amp;A”) expenses for the six months ended June 30, 2012 were $4,467, an increase of $1,652 or 58.7%, from the $2,815 reported for the six months ended June 30, 2011. SG&amp;A expenses as a percentage of revenues were 53.5% and 58.8% for the six months ended June 30, 2012 and 2011, respectively. The increase of $1,652 was driven by the following: An increase of $692 due to the acquisition of ADI Time and Legiant in the fourth quarter of 2011, an increase of $486 due to increases in headcount, merit raises, sales commissions and bonus accruals, and an increase of $335 related to acquisition related professional and legal services.</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Throughout its operations, Asure continues to evaluate any unnecessary SG&amp;A expenses and plans to further reduce expenses as appropriate.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Research and development (“R&amp;D”) expenses for the three months ended June 30, 2012 were $591, an increase of $198, or 50.4%, from the $393 reported for the three months ended June 30, 2011. R&amp;D expenses as a percentage of revenues were 14.1% and 16.1% for the three months ended June 30, 2012 and 2011, respectively. Of the total increase in R&amp;D expenses , $350 was driven by acquisition of ADI Time and Legiant in the fourth quarter of 2011 which was offset by decrease in salaries $152k and rent expenses $15k due to closure of India and Canada operations in 2012.</w:t>
      </w:r>
    </w:p>
    <w:p>
      <w:pPr>
        <w:spacing w:after="0" w:line="198" w:lineRule="exact"/>
        <w:rPr>
          <w:sz w:val="20"/>
          <w:szCs w:val="20"/>
          <w:color w:val="auto"/>
        </w:rPr>
      </w:pPr>
    </w:p>
    <w:p>
      <w:pPr>
        <w:jc w:val="both"/>
        <w:ind w:firstLine="1030"/>
        <w:spacing w:after="0" w:line="279" w:lineRule="auto"/>
        <w:rPr>
          <w:sz w:val="20"/>
          <w:szCs w:val="20"/>
          <w:color w:val="auto"/>
        </w:rPr>
      </w:pPr>
      <w:r>
        <w:rPr>
          <w:rFonts w:ascii="Arial" w:cs="Arial" w:eastAsia="Arial" w:hAnsi="Arial"/>
          <w:sz w:val="17"/>
          <w:szCs w:val="17"/>
          <w:color w:val="auto"/>
        </w:rPr>
        <w:t>Research and development (“R&amp;D”) expenses for the six months ended June 30, 2012 were $1,181, an increase of $397, or 50.6%, from the $784 reported for the six months ended June 30, 2011. Research and development expenses as a percentage of revenues were 14.1% and 16.4% for the six months ended June 30, 2012 and 2011, respectively. The $625 of the increase was due to acquisition of ADI Time and Legiant in the fourth quarter of 2011 which was offset by decrease in salaries of $224 due primarily to closure of India and Canada operations in 2012.</w:t>
      </w:r>
    </w:p>
    <w:p>
      <w:pPr>
        <w:spacing w:after="0" w:line="198"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Asure continues to improve its products and technologies through organic improvements and through acquired intellectual property. The workforce product line continued to innovate by adding mobile solutions, world class SaaS hosting infrastructure and a proprietary time clock product set. The proprietary time clock product set includes multiple models which incorporate keypad and touch screen user interfaces, as well as proximity card, bar code card, and biometric data input. The workforce software product lines continued to evolve through quarterly feature releases and monthly maintenance releases. These product releases continued to serve client requests, and maintain a technological edge with competition.</w:t>
      </w:r>
    </w:p>
    <w:p>
      <w:pPr>
        <w:spacing w:after="0" w:line="200" w:lineRule="exact"/>
        <w:rPr>
          <w:sz w:val="20"/>
          <w:szCs w:val="20"/>
          <w:color w:val="auto"/>
        </w:rPr>
      </w:pPr>
    </w:p>
    <w:p>
      <w:pPr>
        <w:jc w:val="both"/>
        <w:ind w:right="20" w:firstLine="972"/>
        <w:spacing w:after="0" w:line="264" w:lineRule="auto"/>
        <w:rPr>
          <w:sz w:val="20"/>
          <w:szCs w:val="20"/>
          <w:color w:val="auto"/>
        </w:rPr>
      </w:pPr>
      <w:r>
        <w:rPr>
          <w:rFonts w:ascii="Arial" w:cs="Arial" w:eastAsia="Arial" w:hAnsi="Arial"/>
          <w:sz w:val="18"/>
          <w:szCs w:val="18"/>
          <w:color w:val="auto"/>
        </w:rPr>
        <w:t>Additionally, Asure continues to develop Meeting Room Manager and released a few minor versions in 2010 that enhanced the Microsoft Outlook Plug-in, Web and Interactive LCD interfaces, allowed assigned delegates the ability to schedule meetings on behalf of others, and provided more sophisticated conflict resolution options for scheduling recurring meetings via Microsoft Outlook.</w:t>
      </w:r>
    </w:p>
    <w:p>
      <w:pPr>
        <w:spacing w:after="0" w:line="181"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auto"/>
        </w:rPr>
        <w:t>Asure’s development efforts for future releases and enhancements are driven by feedback received from its existing and potential customers and by gauging market trends. Management believes it has the appropriate development team to design and further improve its workforce management solutions.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 in Operating Expenses</w:t>
      </w:r>
    </w:p>
    <w:p>
      <w:pPr>
        <w:spacing w:after="0" w:line="229"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6"/>
          <w:szCs w:val="16"/>
          <w:color w:val="auto"/>
        </w:rPr>
        <w:t>Amortization expenses for the three months ended June 30, 2012 were $292, an increase of $142 or 94.7% from the $150 reported for the three months ended June 30, 2011. Amortization expenses as a percentage of revenues were 6.9% and 6.2% for the three months ended June 30, 2012 and 2011, respectively. Amortization expense for the six months ended June 30, 2012 were $586, an increase of $288 or 96.6% compared to $298, reported for the six months ended Jun 30, 2011. Amortization expenses as a percentage of revenues were 7.0% and 6.2% for the six months ended June 30, 2012 and 2011, respectively. The increase in amortization expense relate to the acquisition of ADI Time and Legiant in the fourth quarter of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Income tax expense for the period ended June 30, 2012 was $121, an increase of $109 from the $12 reported for the three months ended June 30, 2011, respectively. The increase in income tax expense is due primarily to an increase of $28 due to the tax effect of amortization of goodwill and a one-time charge of $60 for income taxes associated with closing the Company’s India operations.</w:t>
      </w:r>
    </w:p>
    <w:p>
      <w:pPr>
        <w:spacing w:after="0" w:line="18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Income tax expense for the six month period ended June 30, 2012 was $166, an increase of $145 from the $21 reported for the six months ended June 30, 2011, respectively. The increase in income tax expense is due primarily to an increase of $70 due to the tax effect of amortization of goodwill and a one-time charge of $60 for income taxes associated with closing the Company’s India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22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Other expense for the period ended June 30, 2012 was $200, an increase of $198 from the $2 reported for the three months ended June 30, 2011. Other expense as a percentage of revenues was 4.8% and 0.1% for the three months ended June 30, 2012 and 2011, respectively. The increase in other expense is due to amortization of OID and derivative mark-to-market of $56 and quarterly interest expense on debt of $118.</w:t>
      </w:r>
    </w:p>
    <w:p>
      <w:pPr>
        <w:spacing w:after="0" w:line="193" w:lineRule="exact"/>
        <w:rPr>
          <w:sz w:val="20"/>
          <w:szCs w:val="20"/>
          <w:color w:val="auto"/>
        </w:rPr>
      </w:pPr>
    </w:p>
    <w:p>
      <w:pPr>
        <w:jc w:val="both"/>
        <w:ind w:firstLine="1022"/>
        <w:spacing w:after="0" w:line="259" w:lineRule="auto"/>
        <w:rPr>
          <w:sz w:val="20"/>
          <w:szCs w:val="20"/>
          <w:color w:val="auto"/>
        </w:rPr>
      </w:pPr>
      <w:r>
        <w:rPr>
          <w:rFonts w:ascii="Arial" w:cs="Arial" w:eastAsia="Arial" w:hAnsi="Arial"/>
          <w:sz w:val="18"/>
          <w:szCs w:val="18"/>
          <w:color w:val="auto"/>
        </w:rPr>
        <w:t>Other expense for the six month period ended June 30, 2012 was $1,090, an increase of $1,061 from the $29 reported for the six months ended June 30, 2011. Other expense as a percentage of revenues was 13.0% and 0.6% for the six months ended June 30, 2012 and 2011, respectively. The increase in other expense is due to primarily to amortization of OID and derivative mark-to-market of $591, loss on debt conversion of $198 and an increase in interest expense of $223 and quarterly interest expense on debt of $118.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56"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Asure generated a net loss of $323, or $(0.06) per share, during the three months ended June 30, 2012, compared to a net income of $27 or $0.01 per share reported for the three months ended June 30, 2011. Net loss as a percentage of total revenues were 7.7% for the three months ended June 30, 2012 compared to net income of 1.1% for the three months ended June 30, 2011. The net loss in Q2-12 was primarily to one-time expenses of $487k, largely related to acquisition activity.</w:t>
      </w:r>
    </w:p>
    <w:p>
      <w:pPr>
        <w:spacing w:after="0" w:line="214" w:lineRule="exact"/>
        <w:rPr>
          <w:sz w:val="20"/>
          <w:szCs w:val="20"/>
          <w:color w:val="auto"/>
        </w:rPr>
      </w:pPr>
    </w:p>
    <w:p>
      <w:pPr>
        <w:jc w:val="both"/>
        <w:ind w:firstLine="1007"/>
        <w:spacing w:after="0" w:line="264" w:lineRule="auto"/>
        <w:rPr>
          <w:sz w:val="20"/>
          <w:szCs w:val="20"/>
          <w:color w:val="auto"/>
        </w:rPr>
      </w:pPr>
      <w:r>
        <w:rPr>
          <w:rFonts w:ascii="Arial" w:cs="Arial" w:eastAsia="Arial" w:hAnsi="Arial"/>
          <w:sz w:val="18"/>
          <w:szCs w:val="18"/>
          <w:color w:val="auto"/>
        </w:rPr>
        <w:t>Asure generated a net loss of $1,170, or $(0.24) per share (basic and diluted), during the six months ended June 30, 2012, compared to a net loss of $33 or $(0.01) per share reported for the six months ended June 30, 2011. Net loss as a percentage of total revenues were 14.0 % and 0.7% for the six months ended June 30, 2012 and 2011, respectively.</w:t>
      </w:r>
    </w:p>
    <w:p>
      <w:pPr>
        <w:spacing w:after="0" w:line="18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Asure will continue to implement its corporate strategy for growing its software and services business by modestly investing in areas that directly generate revenue and positive cash flows for the Company. However, uncertainties and challenges remain, especially during this macroeconomic environment downturn, and there can be no assurance that the Company can successfully grow its revenues or achieve profitability during the remainder of fiscal year 2012.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2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rPr>
              <w:t>FOR THE SIX MONTHS ENDED</w:t>
            </w:r>
          </w:p>
        </w:tc>
      </w:tr>
      <w:tr>
        <w:trPr>
          <w:trHeight w:val="241"/>
        </w:trPr>
        <w:tc>
          <w:tcPr>
            <w:tcW w:w="14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4"/>
              </w:rPr>
              <w:t>JUNE 30,</w:t>
            </w: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r>
      <w:tr>
        <w:trPr>
          <w:trHeight w:val="234"/>
        </w:trPr>
        <w:tc>
          <w:tcPr>
            <w:tcW w:w="14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6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(4,203 )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provided/(used) in operating activities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Cash provided/(used) in investing activities</w:t>
            </w: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(79 )</w:t>
            </w: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(45 )</w:t>
            </w:r>
          </w:p>
        </w:tc>
      </w:tr>
      <w:tr>
        <w:trPr>
          <w:trHeight w:val="216"/>
        </w:trPr>
        <w:tc>
          <w:tcPr>
            <w:tcW w:w="14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provided/(used) in financing activities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(459 )</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(24 )</w:t>
            </w:r>
          </w:p>
        </w:tc>
      </w:tr>
    </w:tbl>
    <w:p>
      <w:pPr>
        <w:spacing w:after="0" w:line="202"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Working capital was ($4,203) on June 30, 2012, a decrease of $,4,327 from $124 on June 30, 2011. The decrease was due to increase in Deferred Revenue $2,481 primarily due to acquired companies, increase in account payable $946, increase in other liabilities $311 and due to increase of $656 in note payable and Line of credit.</w:t>
      </w:r>
    </w:p>
    <w:p>
      <w:pPr>
        <w:spacing w:after="0" w:line="181"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Cash provided by operating activities was $938 for the six months ended June 30, 2012 primarily due to a loss of ($1,170) which was offset by the non-cash loss on debt conversion of $198, depreciation and amortization of $819, interest expense on amortization of OID and derivative mark-to-market of $591, and due to increase in accounts payable of $400. Cash provided by operating activities was $1,016 for the six months ended June 30, 2011 was due to reduction in accounts receivable of $297, depreciation and amortization of $471 and increase in deferred revenue of $290.</w:t>
      </w:r>
    </w:p>
    <w:p>
      <w:pPr>
        <w:spacing w:after="0" w:line="19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Cash used in investing activities was ($79) for the six months ended June 30, 2012 due to net purchases of property and equipment for $151 which was offset by collection of notes receivable for $72. Cash used in investing activities was ($45) for the six months ended June 30, 2011 due to net purchases of property and equipment. Asure’s current operations are not capital intensive and management does not anticipate any significant capital expenditures during the remainder of calendar year 2012.</w:t>
      </w:r>
    </w:p>
    <w:p>
      <w:pPr>
        <w:spacing w:after="0" w:line="187"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The Company leases office space and equipment under non-cancelable operating leases that expire at various dates through 2015. Certain leases obligate Asure to pay property taxes, maintenance and insurance and include escalation clauses. Approximately $1,235 or 77.5% of the Company’s total operating lease obligations relate to its corporate office facility at Wild Basin in Austin, Texas.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Management continues to evaluate and reduce any unnecessary expenditure, while continuing to closely monitor all of its cash sources and uses as it manages its operations.</w:t>
      </w:r>
    </w:p>
    <w:p>
      <w:pPr>
        <w:spacing w:after="0" w:line="170"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6"/>
          <w:szCs w:val="16"/>
          <w:color w:val="auto"/>
        </w:rPr>
        <w:t>Cash used in financing activities was ($459) for the six months ended June 30, 2012 which was primarily related to payments on notes payable conversion of $222 and on capital leases and notes payable of $308 which was offset by proceeds from exercise of options $16 and $55 from Line of credit. Cash used in financing activities was ($24) for the six months ended June 30, 2011 related to payments on capital leases. Management believes it currently has sufficient cash and short-term investments on hand to fund its operations during the next twelve months and beyond without needing to obtain long-term financing. Therefore, the Company does not anticipate that it will be affected by any credit shortage in the current economic business environment.</w:t>
      </w:r>
    </w:p>
    <w:p>
      <w:pPr>
        <w:spacing w:after="0" w:line="15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Pursuant to Asure’s stock repurchase plan, the Company is allowed to repurchase up to 450,000 shares (adjusted for the 3 for 2 stock split) of the Company’s common stock. In total, Asure has repurchased 384,161 shares for approximately $5.0 million over the life of the plan, including 65,046 (adjusted for 3 for 2 stock split) shares of common stock for $110 purchased in 2010. Management will periodically assess repurchasing additional shares, depending on the Company’s cash position, market conditions and other factors.</w:t>
      </w:r>
    </w:p>
    <w:p>
      <w:pPr>
        <w:spacing w:after="0" w:line="187"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As of June 30, 2012, Asure’s principal source of liquidity consisted of $1,493 of current cash and cash equivalents as well as future cash generated from operations. The Company continues to make effort to reduce expenses and thus may utilize its cash balances in the short-term to reduce long-term costs. The Company expects that it will be able to generate positive cash flows from operating activities for the remainder of 2012.</w:t>
      </w:r>
    </w:p>
    <w:p>
      <w:pPr>
        <w:spacing w:after="0" w:line="166"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Effective July 1st, Asure acquired Meeting Maker US, Inc (d/b/a "Peoplecube"). Peoplecube was NetSimplicity's largest competitor in the Meeting Room management industry. Asure issued $14.5 million in new debt to fund this acquisition, in combination with paying down existing Asure and Peoplecube debt and paying onetime costs related to the acquisition. Asure's management expects this acquisition will result in an increase in EBITDA (Net Income before Interest, Taxes, Depreciation and Amortization and Stock Compensation expense) and free cash flow perspective immediately; excluding onetime costs related to the acquisition. Please see Asure's Form 8-K from July 6, 2012 for additional details.</w:t>
      </w:r>
    </w:p>
    <w:p>
      <w:pPr>
        <w:spacing w:after="0" w:line="173"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Management is focused on growing its existing software operations and looking to make strategic acquisitions in the near future. In the short-term, any acquisitions will be funded with equity, cash on the balance sheet, cash from operations, and cash or debt raised from outside sources.</w:t>
      </w:r>
    </w:p>
    <w:p>
      <w:pPr>
        <w:spacing w:after="0" w:line="14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2011. For additional information on critical accounting policies, refer to “Management’s Discussion and Analysis” in our 2011 Annual Report on Form 10-K.</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Company is a smaller reporting company as defined by Rule 12b-2 under the Exchange Act and is not required to provide the information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for the Company. 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effective as of as of June 30, 2012 to provide reasonable assurance that information required to be disclosed by the Company in reports that it files or submits under the Exchange Act is (i) recorded, processed, summarized and reported within the time periods specified in the Securities and Exchange Commission rules and forms and (ii) accumulated and communicated to the Company’s management, including its principal executive officer and principal financial officer, as appropriate to allow timely decisions regarding required disclosure.</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During the period ended June 30, 2012, there were no changes in the Company’s internal control over financial reporting that have materially affected, or are reasonably likely to materially affect, the Company’s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Company is a smaller reporting company as defined by Rule 12b-2 of the Exchange Act and is not required to provide the information required under this item.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580" w:type="dxa"/>
            <w:vAlign w:val="bottom"/>
            <w:gridSpan w:val="6"/>
          </w:tcPr>
          <w:p>
            <w:pPr>
              <w:ind w:left="60"/>
              <w:spacing w:after="0"/>
              <w:rPr>
                <w:sz w:val="20"/>
                <w:szCs w:val="20"/>
                <w:color w:val="auto"/>
              </w:rPr>
            </w:pPr>
            <w:r>
              <w:rPr>
                <w:rFonts w:ascii="Arial" w:cs="Arial" w:eastAsia="Arial" w:hAnsi="Arial"/>
                <w:sz w:val="18"/>
                <w:szCs w:val="18"/>
                <w:b w:val="1"/>
                <w:bCs w:val="1"/>
                <w:color w:val="auto"/>
              </w:rPr>
              <w:t>UNREGISTERED SALES OF EQUITY SECURITIES AND USE OF PROCEEDS</w:t>
            </w:r>
          </w:p>
        </w:tc>
      </w:tr>
      <w:tr>
        <w:trPr>
          <w:trHeight w:val="432"/>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60" w:type="dxa"/>
            <w:vAlign w:val="bottom"/>
            <w:gridSpan w:val="5"/>
          </w:tcPr>
          <w:p>
            <w:pPr>
              <w:ind w:left="120"/>
              <w:spacing w:after="0"/>
              <w:rPr>
                <w:sz w:val="20"/>
                <w:szCs w:val="20"/>
                <w:color w:val="auto"/>
              </w:rPr>
            </w:pPr>
            <w:r>
              <w:rPr>
                <w:rFonts w:ascii="Arial" w:cs="Arial" w:eastAsia="Arial" w:hAnsi="Arial"/>
                <w:sz w:val="18"/>
                <w:szCs w:val="18"/>
                <w:color w:val="auto"/>
              </w:rPr>
              <w:t>None</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580" w:type="dxa"/>
            <w:vAlign w:val="bottom"/>
            <w:gridSpan w:val="6"/>
          </w:tcPr>
          <w:p>
            <w:pPr>
              <w:ind w:left="60"/>
              <w:spacing w:after="0"/>
              <w:rPr>
                <w:sz w:val="20"/>
                <w:szCs w:val="20"/>
                <w:color w:val="auto"/>
              </w:rPr>
            </w:pPr>
            <w:r>
              <w:rPr>
                <w:rFonts w:ascii="Arial" w:cs="Arial" w:eastAsia="Arial" w:hAnsi="Arial"/>
                <w:sz w:val="18"/>
                <w:szCs w:val="18"/>
                <w:b w:val="1"/>
                <w:bCs w:val="1"/>
                <w:color w:val="auto"/>
              </w:rPr>
              <w:t>DEFAULTS UPON SENIOR SECURITIES</w:t>
            </w:r>
          </w:p>
        </w:tc>
      </w:tr>
      <w:tr>
        <w:trPr>
          <w:trHeight w:val="432"/>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60" w:type="dxa"/>
            <w:vAlign w:val="bottom"/>
            <w:gridSpan w:val="5"/>
          </w:tcPr>
          <w:p>
            <w:pPr>
              <w:ind w:left="120"/>
              <w:spacing w:after="0"/>
              <w:rPr>
                <w:sz w:val="20"/>
                <w:szCs w:val="20"/>
                <w:color w:val="auto"/>
              </w:rPr>
            </w:pPr>
            <w:r>
              <w:rPr>
                <w:rFonts w:ascii="Arial" w:cs="Arial" w:eastAsia="Arial" w:hAnsi="Arial"/>
                <w:sz w:val="18"/>
                <w:szCs w:val="18"/>
                <w:color w:val="auto"/>
              </w:rPr>
              <w:t>None</w:t>
            </w:r>
          </w:p>
        </w:tc>
      </w:tr>
      <w:tr>
        <w:trPr>
          <w:trHeight w:val="459"/>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580" w:type="dxa"/>
            <w:vAlign w:val="bottom"/>
            <w:gridSpan w:val="6"/>
          </w:tcPr>
          <w:p>
            <w:pPr>
              <w:ind w:left="60"/>
              <w:spacing w:after="0"/>
              <w:rPr>
                <w:sz w:val="20"/>
                <w:szCs w:val="20"/>
                <w:color w:val="auto"/>
              </w:rPr>
            </w:pPr>
            <w:r>
              <w:rPr>
                <w:rFonts w:ascii="Arial" w:cs="Arial" w:eastAsia="Arial" w:hAnsi="Arial"/>
                <w:sz w:val="18"/>
                <w:szCs w:val="18"/>
                <w:b w:val="1"/>
                <w:bCs w:val="1"/>
                <w:color w:val="auto"/>
              </w:rPr>
              <w:t>SUBMISSION OF MATTERS TO A VOTE OF SECURITY HOLDERS</w:t>
            </w:r>
          </w:p>
        </w:tc>
      </w:tr>
      <w:tr>
        <w:trPr>
          <w:trHeight w:val="459"/>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60" w:type="dxa"/>
            <w:vAlign w:val="bottom"/>
            <w:gridSpan w:val="5"/>
          </w:tcPr>
          <w:p>
            <w:pPr>
              <w:ind w:left="120"/>
              <w:spacing w:after="0"/>
              <w:rPr>
                <w:sz w:val="20"/>
                <w:szCs w:val="20"/>
                <w:color w:val="auto"/>
              </w:rPr>
            </w:pPr>
            <w:r>
              <w:rPr>
                <w:rFonts w:ascii="Arial" w:cs="Arial" w:eastAsia="Arial" w:hAnsi="Arial"/>
                <w:sz w:val="18"/>
                <w:szCs w:val="18"/>
                <w:color w:val="auto"/>
              </w:rPr>
              <w:t>None</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20" w:type="dxa"/>
            <w:vAlign w:val="bottom"/>
          </w:tcPr>
          <w:p>
            <w:pPr>
              <w:spacing w:after="0"/>
              <w:rPr>
                <w:sz w:val="24"/>
                <w:szCs w:val="24"/>
                <w:color w:val="auto"/>
              </w:rPr>
            </w:pPr>
          </w:p>
        </w:tc>
        <w:tc>
          <w:tcPr>
            <w:tcW w:w="10560" w:type="dxa"/>
            <w:vAlign w:val="bottom"/>
            <w:gridSpan w:val="5"/>
          </w:tcPr>
          <w:p>
            <w:pPr>
              <w:ind w:left="4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60" w:type="dxa"/>
            <w:vAlign w:val="bottom"/>
            <w:gridSpan w:val="5"/>
          </w:tcPr>
          <w:p>
            <w:pPr>
              <w:ind w:left="120"/>
              <w:spacing w:after="0"/>
              <w:rPr>
                <w:sz w:val="20"/>
                <w:szCs w:val="20"/>
                <w:color w:val="auto"/>
              </w:rPr>
            </w:pPr>
            <w:r>
              <w:rPr>
                <w:rFonts w:ascii="Arial" w:cs="Arial" w:eastAsia="Arial" w:hAnsi="Arial"/>
                <w:sz w:val="18"/>
                <w:szCs w:val="18"/>
                <w:color w:val="auto"/>
              </w:rPr>
              <w:t>None</w:t>
            </w: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4"/>
                <w:szCs w:val="24"/>
                <w:color w:val="auto"/>
              </w:rPr>
            </w:pPr>
          </w:p>
        </w:tc>
        <w:tc>
          <w:tcPr>
            <w:tcW w:w="10560" w:type="dxa"/>
            <w:vAlign w:val="bottom"/>
            <w:gridSpan w:val="5"/>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15"/>
                <w:szCs w:val="15"/>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w w:val="94"/>
              </w:rPr>
              <w:t>The following materials from Asure Software, Inc.'s Quarterly Report on Form 10-Q for the quarter ended June 30, 2012, formatted in</w:t>
            </w:r>
          </w:p>
        </w:tc>
      </w:tr>
    </w:tbl>
    <w:p>
      <w:pPr>
        <w:jc w:val="both"/>
        <w:ind w:left="1420" w:right="20"/>
        <w:spacing w:after="0" w:line="255" w:lineRule="auto"/>
        <w:rPr>
          <w:sz w:val="20"/>
          <w:szCs w:val="20"/>
          <w:color w:val="auto"/>
        </w:rPr>
      </w:pPr>
      <w:r>
        <w:rPr>
          <w:rFonts w:ascii="Arial" w:cs="Arial" w:eastAsia="Arial" w:hAnsi="Arial"/>
          <w:sz w:val="18"/>
          <w:szCs w:val="18"/>
          <w:color w:val="auto"/>
        </w:rPr>
        <w:t>XBRL (Extensible Business Reporting Language): (1) the Condensed Consolidated Balance Sheets, (2) the Condensed Consolidated Statements of Operations, (3) the Condensed Consolidated Statements of Cash Flows, and (4) Notes to Consolidated Financial Statements, tagged as blocks of text.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ASURE SOFTWARE, INC.</w:t>
      </w:r>
    </w:p>
    <w:p>
      <w:pPr>
        <w:spacing w:after="0" w:line="200" w:lineRule="exact"/>
        <w:rPr>
          <w:sz w:val="20"/>
          <w:szCs w:val="20"/>
          <w:color w:val="auto"/>
        </w:rPr>
      </w:pPr>
    </w:p>
    <w:p>
      <w:pPr>
        <w:spacing w:after="0" w:line="245" w:lineRule="exact"/>
        <w:rPr>
          <w:sz w:val="20"/>
          <w:szCs w:val="20"/>
          <w:color w:val="auto"/>
        </w:rPr>
      </w:pPr>
    </w:p>
    <w:p>
      <w:pPr>
        <w:spacing w:after="0"/>
        <w:tabs>
          <w:tab w:leader="none" w:pos="3660" w:val="left"/>
        </w:tabs>
        <w:rPr>
          <w:sz w:val="20"/>
          <w:szCs w:val="20"/>
          <w:color w:val="auto"/>
        </w:rPr>
      </w:pPr>
      <w:r>
        <w:rPr>
          <w:rFonts w:ascii="Arial" w:cs="Arial" w:eastAsia="Arial" w:hAnsi="Arial"/>
          <w:sz w:val="18"/>
          <w:szCs w:val="18"/>
          <w:color w:val="auto"/>
        </w:rPr>
        <w:t>August 14 , 2012</w:t>
      </w:r>
      <w:r>
        <w:rPr>
          <w:sz w:val="20"/>
          <w:szCs w:val="20"/>
          <w:color w:val="auto"/>
        </w:rPr>
        <w:tab/>
      </w: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14605</wp:posOffset>
            </wp:positionV>
            <wp:extent cx="21094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09470" cy="17145"/>
                    </a:xfrm>
                    <a:prstGeom prst="rect">
                      <a:avLst/>
                    </a:prstGeom>
                    <a:noFill/>
                  </pic:spPr>
                </pic:pic>
              </a:graphicData>
            </a:graphic>
          </wp:anchor>
        </w:drawing>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3660" w:val="left"/>
        </w:tabs>
        <w:rPr>
          <w:sz w:val="20"/>
          <w:szCs w:val="20"/>
          <w:color w:val="auto"/>
        </w:rPr>
      </w:pPr>
      <w:r>
        <w:rPr>
          <w:rFonts w:ascii="Arial" w:cs="Arial" w:eastAsia="Arial" w:hAnsi="Arial"/>
          <w:sz w:val="18"/>
          <w:szCs w:val="18"/>
          <w:color w:val="auto"/>
        </w:rPr>
        <w:t>August 14, 2012</w:t>
      </w:r>
      <w:r>
        <w:rPr>
          <w:sz w:val="20"/>
          <w:szCs w:val="20"/>
          <w:color w:val="auto"/>
        </w:rPr>
        <w:tab/>
      </w:r>
      <w:r>
        <w:rPr>
          <w:rFonts w:ascii="Arial" w:cs="Arial" w:eastAsia="Arial" w:hAnsi="Arial"/>
          <w:sz w:val="17"/>
          <w:szCs w:val="17"/>
          <w:color w:val="auto"/>
        </w:rPr>
        <w:t>By: /s/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14605</wp:posOffset>
            </wp:positionV>
            <wp:extent cx="21094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09470" cy="17145"/>
                    </a:xfrm>
                    <a:prstGeom prst="rect">
                      <a:avLst/>
                    </a:prstGeom>
                    <a:noFill/>
                  </pic:spPr>
                </pic:pic>
              </a:graphicData>
            </a:graphic>
          </wp:anchor>
        </w:drawing>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26"/>
        </w:trPr>
        <w:tc>
          <w:tcPr>
            <w:tcW w:w="10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ind w:left="3400"/>
              <w:spacing w:after="0"/>
              <w:rPr>
                <w:sz w:val="20"/>
                <w:szCs w:val="20"/>
                <w:color w:val="auto"/>
              </w:rPr>
            </w:pPr>
            <w:r>
              <w:rPr>
                <w:rFonts w:ascii="Arial" w:cs="Arial" w:eastAsia="Arial" w:hAnsi="Arial"/>
                <w:sz w:val="18"/>
                <w:szCs w:val="18"/>
                <w:b w:val="1"/>
                <w:bCs w:val="1"/>
                <w:color w:val="auto"/>
              </w:rPr>
              <w:t>INDEX TO EXHIBITS</w:t>
            </w:r>
          </w:p>
        </w:tc>
      </w:tr>
      <w:tr>
        <w:trPr>
          <w:trHeight w:val="441"/>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000" w:type="dxa"/>
            <w:vAlign w:val="bottom"/>
            <w:gridSpan w:val="3"/>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60" w:type="dxa"/>
            <w:vAlign w:val="bottom"/>
            <w:tcBorders>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15"/>
                <w:szCs w:val="15"/>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474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0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8"/>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w w:val="94"/>
              </w:rPr>
              <w:t>The following materials from Asure Software, Inc.'s Quarterly Report on Form 10-Q for the quarter ended June 30, 2012, formatted in</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w w:val="93"/>
              </w:rPr>
              <w:t>XBRL (Extensible Business Reporting Language): (1) the Condensed Consolidated Balance Sheets, (2) the Condensed Consolidated</w:t>
            </w:r>
          </w:p>
        </w:tc>
      </w:tr>
    </w:tbl>
    <w:p>
      <w:pPr>
        <w:ind w:left="1420" w:right="20"/>
        <w:spacing w:after="0" w:line="261" w:lineRule="auto"/>
        <w:rPr>
          <w:sz w:val="20"/>
          <w:szCs w:val="20"/>
          <w:color w:val="auto"/>
        </w:rPr>
      </w:pPr>
      <w:r>
        <w:rPr>
          <w:rFonts w:ascii="Arial" w:cs="Arial" w:eastAsia="Arial" w:hAnsi="Arial"/>
          <w:sz w:val="18"/>
          <w:szCs w:val="18"/>
          <w:color w:val="auto"/>
        </w:rPr>
        <w:t>Statements of Operations, (3) the Condensed Consolidated Statements of Cash Flows, and (4) Notes to Consolidated Financial Statements, tagged as blocks of text.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0219"/>
          </w:cols>
          <w:pgMar w:left="240" w:top="121"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Patrick Goepel, certify, that:</w:t>
      </w:r>
    </w:p>
    <w:p>
      <w:pPr>
        <w:spacing w:after="0" w:line="225" w:lineRule="exact"/>
        <w:rPr>
          <w:sz w:val="20"/>
          <w:szCs w:val="20"/>
          <w:color w:val="auto"/>
        </w:rPr>
      </w:pPr>
    </w:p>
    <w:p>
      <w:pPr>
        <w:ind w:left="520" w:hanging="188"/>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June 30, 2012)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tabs>
          <w:tab w:leader="none" w:pos="3900" w:val="left"/>
          <w:tab w:leader="none" w:pos="4360" w:val="left"/>
        </w:tabs>
        <w:rPr>
          <w:sz w:val="20"/>
          <w:szCs w:val="20"/>
          <w:color w:val="auto"/>
        </w:rPr>
      </w:pPr>
      <w:r>
        <w:rPr>
          <w:rFonts w:ascii="Arial" w:cs="Arial" w:eastAsia="Arial" w:hAnsi="Arial"/>
          <w:sz w:val="18"/>
          <w:szCs w:val="18"/>
          <w:color w:val="auto"/>
        </w:rPr>
        <w:t>Date: August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14605</wp:posOffset>
            </wp:positionV>
            <wp:extent cx="24955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David Scoglio, certify that:</w:t>
      </w:r>
    </w:p>
    <w:p>
      <w:pPr>
        <w:spacing w:after="0" w:line="225" w:lineRule="exact"/>
        <w:rPr>
          <w:sz w:val="20"/>
          <w:szCs w:val="20"/>
          <w:color w:val="auto"/>
        </w:rPr>
      </w:pPr>
    </w:p>
    <w:p>
      <w:pPr>
        <w:ind w:left="520" w:hanging="188"/>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Company (the “Report”);</w:t>
      </w:r>
    </w:p>
    <w:p>
      <w:pPr>
        <w:spacing w:after="0" w:line="225" w:lineRule="exact"/>
        <w:rPr>
          <w:rFonts w:ascii="Arial" w:cs="Arial" w:eastAsia="Arial" w:hAnsi="Arial"/>
          <w:sz w:val="18"/>
          <w:szCs w:val="18"/>
          <w:color w:val="auto"/>
        </w:rPr>
      </w:pPr>
    </w:p>
    <w:p>
      <w:pPr>
        <w:ind w:right="20" w:firstLine="332"/>
        <w:spacing w:after="0" w:line="342" w:lineRule="auto"/>
        <w:tabs>
          <w:tab w:leader="none" w:pos="519"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4"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June 30, 2012)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p>
      <w:pPr>
        <w:spacing w:after="0"/>
        <w:tabs>
          <w:tab w:leader="none" w:pos="4080" w:val="left"/>
          <w:tab w:leader="none" w:pos="4540" w:val="left"/>
        </w:tabs>
        <w:rPr>
          <w:sz w:val="20"/>
          <w:szCs w:val="20"/>
          <w:color w:val="auto"/>
        </w:rPr>
      </w:pPr>
      <w:r>
        <w:rPr>
          <w:rFonts w:ascii="Arial" w:cs="Arial" w:eastAsia="Arial" w:hAnsi="Arial"/>
          <w:sz w:val="18"/>
          <w:szCs w:val="18"/>
          <w:color w:val="auto"/>
        </w:rPr>
        <w:t>Date: August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14605</wp:posOffset>
            </wp:positionV>
            <wp:extent cx="252158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8" w:lineRule="exact"/>
        <w:rPr>
          <w:sz w:val="20"/>
          <w:szCs w:val="20"/>
          <w:color w:val="auto"/>
        </w:rPr>
      </w:pPr>
    </w:p>
    <w:p>
      <w:pPr>
        <w:ind w:right="20" w:firstLine="332"/>
        <w:spacing w:after="0" w:line="277" w:lineRule="auto"/>
        <w:tabs>
          <w:tab w:leader="none" w:pos="5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2012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4400" w:val="left"/>
          <w:tab w:leader="none" w:pos="4860" w:val="left"/>
        </w:tabs>
        <w:rPr>
          <w:sz w:val="20"/>
          <w:szCs w:val="20"/>
          <w:color w:val="auto"/>
        </w:rPr>
      </w:pPr>
      <w:r>
        <w:rPr>
          <w:rFonts w:ascii="Arial" w:cs="Arial" w:eastAsia="Arial" w:hAnsi="Arial"/>
          <w:sz w:val="18"/>
          <w:szCs w:val="18"/>
          <w:color w:val="auto"/>
        </w:rPr>
        <w:t>Date: August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14605</wp:posOffset>
            </wp:positionV>
            <wp:extent cx="23412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41245"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David Scoglio, do hereby certify, pursuant to 18 U.S.C. Section 1350, as adopted by Section 906 of the Sarbanes-Oxley Act of 2002, that:</w:t>
      </w:r>
    </w:p>
    <w:p>
      <w:pPr>
        <w:spacing w:after="0" w:line="248" w:lineRule="exact"/>
        <w:rPr>
          <w:sz w:val="20"/>
          <w:szCs w:val="20"/>
          <w:color w:val="auto"/>
        </w:rPr>
      </w:pPr>
    </w:p>
    <w:p>
      <w:pPr>
        <w:ind w:right="20" w:firstLine="332"/>
        <w:spacing w:after="0" w:line="277" w:lineRule="auto"/>
        <w:tabs>
          <w:tab w:leader="none" w:pos="5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2012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4080" w:val="left"/>
          <w:tab w:leader="none" w:pos="4540" w:val="left"/>
        </w:tabs>
        <w:rPr>
          <w:sz w:val="20"/>
          <w:szCs w:val="20"/>
          <w:color w:val="auto"/>
        </w:rPr>
      </w:pPr>
      <w:r>
        <w:rPr>
          <w:rFonts w:ascii="Arial" w:cs="Arial" w:eastAsia="Arial" w:hAnsi="Arial"/>
          <w:sz w:val="18"/>
          <w:szCs w:val="18"/>
          <w:color w:val="auto"/>
        </w:rPr>
        <w:t>Date: August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14605</wp:posOffset>
            </wp:positionV>
            <wp:extent cx="252158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906 has been provided to Asure Software, Inc. and will be retained by Asure Software,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furnished to the Securities and Exchange Commission or its staff upon request. The foregoing certification is being furnished solely pursuant to 18 U.S.C.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lowerRoman"/>
      <w:start w:val="8"/>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2019-12-09T09:36:10Z</dcterms:created>
  <dcterms:modified xsi:type="dcterms:W3CDTF">2019-12-09T09:36:10Z</dcterms:modified>
</cp:coreProperties>
</file>