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3188970</wp:posOffset>
            </wp:positionH>
            <wp:positionV relativeFrom="paragraph">
              <wp:posOffset>208915</wp:posOffset>
            </wp:positionV>
            <wp:extent cx="8794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3188970</wp:posOffset>
            </wp:positionH>
            <wp:positionV relativeFrom="paragraph">
              <wp:posOffset>226695</wp:posOffset>
            </wp:positionV>
            <wp:extent cx="879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3" w:lineRule="exact"/>
        <w:rPr>
          <w:sz w:val="24"/>
          <w:szCs w:val="24"/>
          <w:color w:val="auto"/>
        </w:rPr>
      </w:pPr>
    </w:p>
    <w:p>
      <w:pPr>
        <w:ind w:left="3760" w:right="1920" w:hanging="3638"/>
        <w:spacing w:after="0" w:line="560" w:lineRule="auto"/>
        <w:tabs>
          <w:tab w:leader="none" w:pos="39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378" w:lineRule="exact"/>
        <w:rPr>
          <w:sz w:val="24"/>
          <w:szCs w:val="24"/>
          <w:color w:val="auto"/>
        </w:rPr>
      </w:pPr>
    </w:p>
    <w:p>
      <w:pPr>
        <w:ind w:left="12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9"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437"/>
        </w:trPr>
        <w:tc>
          <w:tcPr>
            <w:tcW w:w="328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4496435</wp:posOffset>
            </wp:positionH>
            <wp:positionV relativeFrom="paragraph">
              <wp:posOffset>-297815</wp:posOffset>
            </wp:positionV>
            <wp:extent cx="398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145" cy="8255"/>
                    </a:xfrm>
                    <a:prstGeom prst="rect">
                      <a:avLst/>
                    </a:prstGeom>
                    <a:noFill/>
                  </pic:spPr>
                </pic:pic>
              </a:graphicData>
            </a:graphic>
          </wp:anchor>
        </w:drawing>
      </w:r>
    </w:p>
    <w:p>
      <w:pPr>
        <w:spacing w:after="0" w:line="163" w:lineRule="exact"/>
        <w:rPr>
          <w:sz w:val="24"/>
          <w:szCs w:val="24"/>
          <w:color w:val="auto"/>
        </w:rPr>
      </w:pPr>
    </w:p>
    <w:tbl>
      <w:tblPr>
        <w:tblLayout w:type="fixed"/>
        <w:tblInd w:w="920" w:type="dxa"/>
        <w:tblCellMar>
          <w:top w:w="0" w:type="dxa"/>
          <w:left w:w="0" w:type="dxa"/>
          <w:bottom w:w="0" w:type="dxa"/>
          <w:right w:w="0" w:type="dxa"/>
        </w:tblCellMar>
      </w:tblPr>
      <w:tr>
        <w:trPr>
          <w:trHeight w:val="368"/>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0" w:type="dxa"/>
            <w:vAlign w:val="bottom"/>
            <w:gridSpan w:val="4"/>
          </w:tcPr>
          <w:p>
            <w:pPr>
              <w:jc w:val="center"/>
              <w:ind w:right="380"/>
              <w:spacing w:after="0"/>
              <w:rPr>
                <w:sz w:val="20"/>
                <w:szCs w:val="20"/>
                <w:color w:val="auto"/>
              </w:rPr>
            </w:pPr>
            <w:r>
              <w:rPr>
                <w:rFonts w:ascii="Arial" w:cs="Arial" w:eastAsia="Arial" w:hAnsi="Arial"/>
                <w:sz w:val="32"/>
                <w:szCs w:val="32"/>
                <w:b w:val="1"/>
                <w:bCs w:val="1"/>
                <w:color w:val="auto"/>
                <w:w w:val="99"/>
              </w:rPr>
              <w:t>ASURE SOFTWARE, INC.</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42"/>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00" w:type="dxa"/>
            <w:vAlign w:val="bottom"/>
            <w:gridSpan w:val="5"/>
          </w:tcPr>
          <w:p>
            <w:pPr>
              <w:jc w:val="center"/>
              <w:ind w:left="430"/>
              <w:spacing w:after="0"/>
              <w:rPr>
                <w:sz w:val="20"/>
                <w:szCs w:val="20"/>
                <w:color w:val="auto"/>
              </w:rPr>
            </w:pPr>
            <w:r>
              <w:rPr>
                <w:rFonts w:ascii="Arial" w:cs="Arial" w:eastAsia="Arial" w:hAnsi="Arial"/>
                <w:sz w:val="18"/>
                <w:szCs w:val="18"/>
                <w:color w:val="auto"/>
                <w:w w:val="90"/>
              </w:rPr>
              <w:t>(Exact Name of Registrant as Specified in its Charter)</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0"/>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gridSpan w:val="6"/>
          </w:tcPr>
          <w:p>
            <w:pPr>
              <w:spacing w:after="0"/>
              <w:rPr>
                <w:sz w:val="24"/>
                <w:szCs w:val="24"/>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1"/>
        </w:trPr>
        <w:tc>
          <w:tcPr>
            <w:tcW w:w="7080" w:type="dxa"/>
            <w:vAlign w:val="bottom"/>
            <w:gridSpan w:val="9"/>
          </w:tcPr>
          <w:p>
            <w:pPr>
              <w:jc w:val="center"/>
              <w:ind w:right="4160"/>
              <w:spacing w:after="0"/>
              <w:rPr>
                <w:sz w:val="20"/>
                <w:szCs w:val="20"/>
                <w:color w:val="auto"/>
              </w:rPr>
            </w:pPr>
            <w:r>
              <w:rPr>
                <w:rFonts w:ascii="Arial" w:cs="Arial" w:eastAsia="Arial" w:hAnsi="Arial"/>
                <w:sz w:val="18"/>
                <w:szCs w:val="18"/>
                <w:color w:val="auto"/>
                <w:w w:val="92"/>
              </w:rPr>
              <w:t>(State or other jurisdiction of</w:t>
            </w:r>
          </w:p>
        </w:tc>
        <w:tc>
          <w:tcPr>
            <w:tcW w:w="1660" w:type="dxa"/>
            <w:vAlign w:val="bottom"/>
            <w:gridSpan w:val="5"/>
          </w:tcPr>
          <w:p>
            <w:pPr>
              <w:jc w:val="center"/>
              <w:ind w:left="230"/>
              <w:spacing w:after="0"/>
              <w:rPr>
                <w:sz w:val="20"/>
                <w:szCs w:val="20"/>
                <w:color w:val="auto"/>
              </w:rPr>
            </w:pPr>
            <w:r>
              <w:rPr>
                <w:rFonts w:ascii="Arial" w:cs="Arial" w:eastAsia="Arial" w:hAnsi="Arial"/>
                <w:sz w:val="18"/>
                <w:szCs w:val="18"/>
                <w:color w:val="auto"/>
                <w:w w:val="92"/>
              </w:rPr>
              <w:t>(I.R.S. Employer</w:t>
            </w:r>
          </w:p>
        </w:tc>
      </w:tr>
      <w:tr>
        <w:trPr>
          <w:trHeight w:val="230"/>
        </w:trPr>
        <w:tc>
          <w:tcPr>
            <w:tcW w:w="7080" w:type="dxa"/>
            <w:vAlign w:val="bottom"/>
            <w:gridSpan w:val="9"/>
          </w:tcPr>
          <w:p>
            <w:pPr>
              <w:jc w:val="center"/>
              <w:ind w:right="4160"/>
              <w:spacing w:after="0"/>
              <w:rPr>
                <w:sz w:val="20"/>
                <w:szCs w:val="20"/>
                <w:color w:val="auto"/>
              </w:rPr>
            </w:pPr>
            <w:r>
              <w:rPr>
                <w:rFonts w:ascii="Arial" w:cs="Arial" w:eastAsia="Arial" w:hAnsi="Arial"/>
                <w:sz w:val="18"/>
                <w:szCs w:val="18"/>
                <w:color w:val="auto"/>
                <w:w w:val="92"/>
              </w:rPr>
              <w:t>incorporation or organization)</w:t>
            </w:r>
          </w:p>
        </w:tc>
        <w:tc>
          <w:tcPr>
            <w:tcW w:w="1660" w:type="dxa"/>
            <w:vAlign w:val="bottom"/>
            <w:gridSpan w:val="5"/>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2"/>
        </w:trPr>
        <w:tc>
          <w:tcPr>
            <w:tcW w:w="7080" w:type="dxa"/>
            <w:vAlign w:val="bottom"/>
            <w:gridSpan w:val="9"/>
          </w:tcPr>
          <w:p>
            <w:pPr>
              <w:jc w:val="center"/>
              <w:ind w:right="4160"/>
              <w:spacing w:after="0"/>
              <w:rPr>
                <w:sz w:val="20"/>
                <w:szCs w:val="20"/>
                <w:color w:val="auto"/>
              </w:rPr>
            </w:pPr>
            <w:r>
              <w:rPr>
                <w:rFonts w:ascii="Arial" w:cs="Arial" w:eastAsia="Arial" w:hAnsi="Arial"/>
                <w:sz w:val="18"/>
                <w:szCs w:val="18"/>
                <w:b w:val="1"/>
                <w:bCs w:val="1"/>
                <w:color w:val="auto"/>
                <w:w w:val="90"/>
              </w:rPr>
              <w:t>110 Wild Basin Road, Suite 100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3"/>
        </w:trPr>
        <w:tc>
          <w:tcPr>
            <w:tcW w:w="940" w:type="dxa"/>
            <w:vAlign w:val="bottom"/>
          </w:tcPr>
          <w:p>
            <w:pPr>
              <w:spacing w:after="0"/>
              <w:rPr>
                <w:sz w:val="16"/>
                <w:szCs w:val="16"/>
                <w:color w:val="auto"/>
              </w:rPr>
            </w:pPr>
          </w:p>
        </w:tc>
        <w:tc>
          <w:tcPr>
            <w:tcW w:w="1040" w:type="dxa"/>
            <w:vAlign w:val="bottom"/>
            <w:gridSpan w:val="3"/>
          </w:tcPr>
          <w:p>
            <w:pPr>
              <w:jc w:val="center"/>
              <w:spacing w:after="0" w:line="193" w:lineRule="exact"/>
              <w:rPr>
                <w:sz w:val="20"/>
                <w:szCs w:val="20"/>
                <w:color w:val="auto"/>
              </w:rPr>
            </w:pPr>
            <w:r>
              <w:rPr>
                <w:rFonts w:ascii="Arial" w:cs="Arial" w:eastAsia="Arial" w:hAnsi="Arial"/>
                <w:sz w:val="18"/>
                <w:szCs w:val="18"/>
                <w:b w:val="1"/>
                <w:bCs w:val="1"/>
                <w:color w:val="auto"/>
                <w:w w:val="88"/>
              </w:rPr>
              <w:t>Austin, Texas</w:t>
            </w:r>
          </w:p>
        </w:tc>
        <w:tc>
          <w:tcPr>
            <w:tcW w:w="5100" w:type="dxa"/>
            <w:vAlign w:val="bottom"/>
            <w:gridSpan w:val="5"/>
          </w:tcPr>
          <w:p>
            <w:pPr>
              <w:spacing w:after="0"/>
              <w:rPr>
                <w:sz w:val="16"/>
                <w:szCs w:val="16"/>
                <w:color w:val="auto"/>
              </w:rPr>
            </w:pPr>
          </w:p>
        </w:tc>
        <w:tc>
          <w:tcPr>
            <w:tcW w:w="760" w:type="dxa"/>
            <w:vAlign w:val="bottom"/>
            <w:gridSpan w:val="2"/>
          </w:tcPr>
          <w:p>
            <w:pPr>
              <w:spacing w:after="0"/>
              <w:rPr>
                <w:sz w:val="16"/>
                <w:szCs w:val="16"/>
                <w:color w:val="auto"/>
              </w:rPr>
            </w:pPr>
          </w:p>
        </w:tc>
        <w:tc>
          <w:tcPr>
            <w:tcW w:w="660" w:type="dxa"/>
            <w:vAlign w:val="bottom"/>
            <w:gridSpan w:val="2"/>
          </w:tcPr>
          <w:p>
            <w:pPr>
              <w:jc w:val="right"/>
              <w:ind w:right="220"/>
              <w:spacing w:after="0" w:line="193" w:lineRule="exact"/>
              <w:rPr>
                <w:sz w:val="20"/>
                <w:szCs w:val="20"/>
                <w:color w:val="auto"/>
              </w:rPr>
            </w:pPr>
            <w:r>
              <w:rPr>
                <w:rFonts w:ascii="Arial" w:cs="Arial" w:eastAsia="Arial" w:hAnsi="Arial"/>
                <w:sz w:val="18"/>
                <w:szCs w:val="18"/>
                <w:b w:val="1"/>
                <w:bCs w:val="1"/>
                <w:color w:val="auto"/>
                <w:w w:val="83"/>
              </w:rPr>
              <w:t>78746</w:t>
            </w:r>
          </w:p>
        </w:tc>
        <w:tc>
          <w:tcPr>
            <w:tcW w:w="2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36"/>
        </w:trPr>
        <w:tc>
          <w:tcPr>
            <w:tcW w:w="7080" w:type="dxa"/>
            <w:vAlign w:val="bottom"/>
            <w:gridSpan w:val="9"/>
          </w:tcPr>
          <w:p>
            <w:pPr>
              <w:jc w:val="center"/>
              <w:ind w:right="416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(Zip Code)</w:t>
            </w:r>
          </w:p>
        </w:tc>
      </w:tr>
      <w:tr>
        <w:trPr>
          <w:trHeight w:val="390"/>
        </w:trPr>
        <w:tc>
          <w:tcPr>
            <w:tcW w:w="5360" w:type="dxa"/>
            <w:vAlign w:val="bottom"/>
            <w:gridSpan w:val="7"/>
          </w:tcPr>
          <w:p>
            <w:pPr>
              <w:jc w:val="center"/>
              <w:ind w:left="4150"/>
              <w:spacing w:after="0"/>
              <w:rPr>
                <w:sz w:val="20"/>
                <w:szCs w:val="20"/>
                <w:color w:val="auto"/>
              </w:rPr>
            </w:pPr>
            <w:r>
              <w:rPr>
                <w:rFonts w:ascii="Arial" w:cs="Arial" w:eastAsia="Arial" w:hAnsi="Arial"/>
                <w:sz w:val="18"/>
                <w:szCs w:val="18"/>
                <w:b w:val="1"/>
                <w:bCs w:val="1"/>
                <w:color w:val="auto"/>
                <w:w w:val="90"/>
              </w:rPr>
              <w:t>(512) 437-2700</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5"/>
          </w:tcPr>
          <w:p>
            <w:pPr>
              <w:jc w:val="center"/>
              <w:ind w:left="430"/>
              <w:spacing w:after="0"/>
              <w:rPr>
                <w:sz w:val="20"/>
                <w:szCs w:val="20"/>
                <w:color w:val="auto"/>
              </w:rPr>
            </w:pPr>
            <w:r>
              <w:rPr>
                <w:rFonts w:ascii="Arial" w:cs="Arial" w:eastAsia="Arial" w:hAnsi="Arial"/>
                <w:sz w:val="18"/>
                <w:szCs w:val="18"/>
                <w:color w:val="auto"/>
                <w:w w:val="90"/>
              </w:rPr>
              <w:t>(Registrant’s Telephone Number, including Area Code)</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1"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2"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2" w:lineRule="exact"/>
        <w:rPr>
          <w:sz w:val="24"/>
          <w:szCs w:val="24"/>
          <w:color w:val="auto"/>
        </w:rPr>
      </w:pPr>
    </w:p>
    <w:p>
      <w:pPr>
        <w:jc w:val="both"/>
        <w:spacing w:after="0" w:line="27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296" w:right="239" w:bottom="1440" w:gutter="0" w:footer="0" w:header="0"/>
        </w:sectPr>
      </w:pPr>
    </w:p>
    <w:p>
      <w:pPr>
        <w:spacing w:after="0" w:line="198"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80" w:space="720"/>
            <w:col w:w="1640" w:space="720"/>
            <w:col w:w="2180" w:space="720"/>
            <w:col w:w="3060"/>
          </w:cols>
          <w:pgMar w:left="240" w:top="296" w:right="239"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40" w:space="180"/>
            <w:col w:w="440" w:space="220"/>
            <w:col w:w="2440"/>
          </w:cols>
          <w:pgMar w:left="240" w:top="296" w:right="23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10, 2014, the registrant had outstanding 6,049,596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479425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20" w:type="dxa"/>
            <w:vAlign w:val="bottom"/>
            <w:gridSpan w:val="17"/>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0" w:type="dxa"/>
            <w:vAlign w:val="bottom"/>
          </w:tcPr>
          <w:p>
            <w:pPr>
              <w:spacing w:after="0"/>
              <w:rPr>
                <w:sz w:val="14"/>
                <w:szCs w:val="14"/>
                <w:color w:val="auto"/>
              </w:rPr>
            </w:pPr>
          </w:p>
        </w:tc>
      </w:tr>
      <w:tr>
        <w:trPr>
          <w:trHeight w:val="424"/>
        </w:trPr>
        <w:tc>
          <w:tcPr>
            <w:tcW w:w="8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20" w:type="dxa"/>
            <w:vAlign w:val="bottom"/>
            <w:gridSpan w:val="7"/>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12"/>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240"/>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Number</w:t>
            </w:r>
          </w:p>
        </w:tc>
      </w:tr>
      <w:tr>
        <w:trPr>
          <w:trHeight w:val="215"/>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20" w:type="dxa"/>
            <w:vAlign w:val="bottom"/>
            <w:gridSpan w:val="7"/>
          </w:tcPr>
          <w:p>
            <w:pPr>
              <w:ind w:left="68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18"/>
                <w:szCs w:val="18"/>
                <w:color w:val="auto"/>
              </w:rPr>
            </w:pPr>
          </w:p>
        </w:tc>
      </w:tr>
      <w:tr>
        <w:trPr>
          <w:trHeight w:val="39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EE"/>
            </w:tcBorders>
            <w:gridSpan w:val="9"/>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Financial Statements (Unaudited)</w:t>
              </w:r>
            </w:hyperlink>
          </w:p>
        </w:tc>
        <w:tc>
          <w:tcPr>
            <w:tcW w:w="72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80" w:type="dxa"/>
            <w:vAlign w:val="bottom"/>
            <w:gridSpan w:val="14"/>
          </w:tcPr>
          <w:p>
            <w:pPr>
              <w:spacing w:after="0" w:line="195"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2014 and December 31, 2013</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320" w:type="dxa"/>
            <w:vAlign w:val="bottom"/>
            <w:tcBorders>
              <w:bottom w:val="single" w:sz="8" w:color="0000EE"/>
            </w:tcBorders>
            <w:gridSpan w:val="13"/>
          </w:tcPr>
          <w:p>
            <w:pPr>
              <w:spacing w:after="0" w:line="195"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for the Three and Nine Months Ended September 30, 2014</w:t>
              </w:r>
            </w:hyperlink>
          </w:p>
        </w:tc>
        <w:tc>
          <w:tcPr>
            <w:tcW w:w="16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0000EE"/>
            </w:tcBorders>
            <w:gridSpan w:val="3"/>
          </w:tcPr>
          <w:p>
            <w:pPr>
              <w:spacing w:after="0" w:line="195"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2013</w:t>
              </w:r>
            </w:hyperlink>
          </w:p>
        </w:tc>
        <w:tc>
          <w:tcPr>
            <w:tcW w:w="8820" w:type="dxa"/>
            <w:vAlign w:val="bottom"/>
            <w:gridSpan w:val="11"/>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80" w:type="dxa"/>
            <w:vAlign w:val="bottom"/>
            <w:gridSpan w:val="14"/>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2014 and 2013</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195"/>
        </w:trPr>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900" w:type="dxa"/>
            <w:vAlign w:val="bottom"/>
            <w:tcBorders>
              <w:top w:val="single" w:sz="8" w:color="0000EE"/>
            </w:tcBorders>
            <w:gridSpan w:val="4"/>
          </w:tcPr>
          <w:p>
            <w:pPr>
              <w:spacing w:after="0"/>
              <w:rPr>
                <w:sz w:val="16"/>
                <w:szCs w:val="16"/>
                <w:color w:val="auto"/>
              </w:rPr>
            </w:pPr>
          </w:p>
        </w:tc>
        <w:tc>
          <w:tcPr>
            <w:tcW w:w="1600" w:type="dxa"/>
            <w:vAlign w:val="bottom"/>
            <w:gridSpan w:val="2"/>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3"/>
          </w:tcPr>
          <w:p>
            <w:pPr>
              <w:spacing w:after="0" w:line="195"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Management’s Discussion and Analysis of Financial Condition and Results of Operations</w:t>
              </w:r>
            </w:hyperlink>
          </w:p>
        </w:tc>
        <w:tc>
          <w:tcPr>
            <w:tcW w:w="2940" w:type="dxa"/>
            <w:vAlign w:val="bottom"/>
            <w:gridSpan w:val="3"/>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Item 3.</w:t>
            </w:r>
          </w:p>
        </w:tc>
        <w:tc>
          <w:tcPr>
            <w:tcW w:w="4620" w:type="dxa"/>
            <w:vAlign w:val="bottom"/>
            <w:tcBorders>
              <w:bottom w:val="single" w:sz="8" w:color="0000EE"/>
            </w:tcBorders>
            <w:gridSpan w:val="12"/>
          </w:tcPr>
          <w:p>
            <w:pPr>
              <w:spacing w:after="0" w:line="195" w:lineRule="exact"/>
              <w:rPr>
                <w:rFonts w:ascii="Arial" w:cs="Arial" w:eastAsia="Arial" w:hAnsi="Arial"/>
                <w:sz w:val="18"/>
                <w:szCs w:val="18"/>
                <w:b w:val="1"/>
                <w:bCs w:val="1"/>
                <w:color w:val="0000EE"/>
                <w:w w:val="90"/>
              </w:rPr>
            </w:pPr>
            <w:hyperlink w:anchor="page22">
              <w:r>
                <w:rPr>
                  <w:rFonts w:ascii="Arial" w:cs="Arial" w:eastAsia="Arial" w:hAnsi="Arial"/>
                  <w:sz w:val="18"/>
                  <w:szCs w:val="18"/>
                  <w:b w:val="1"/>
                  <w:bCs w:val="1"/>
                  <w:color w:val="0000EE"/>
                  <w:w w:val="90"/>
                </w:rPr>
                <w:t>Quantitative and Qualitative Disclosures About Market Risk</w:t>
              </w:r>
            </w:hyperlink>
          </w:p>
        </w:tc>
        <w:tc>
          <w:tcPr>
            <w:tcW w:w="5160" w:type="dxa"/>
            <w:vAlign w:val="bottom"/>
            <w:gridSpan w:val="4"/>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Item 4.</w:t>
            </w:r>
          </w:p>
        </w:tc>
        <w:tc>
          <w:tcPr>
            <w:tcW w:w="9780" w:type="dxa"/>
            <w:vAlign w:val="bottom"/>
            <w:gridSpan w:val="16"/>
          </w:tcPr>
          <w:p>
            <w:pPr>
              <w:spacing w:after="0" w:line="195"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Controls and Procedures</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451"/>
        </w:trPr>
        <w:tc>
          <w:tcPr>
            <w:tcW w:w="8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20" w:type="dxa"/>
            <w:vAlign w:val="bottom"/>
            <w:gridSpan w:val="7"/>
          </w:tcPr>
          <w:p>
            <w:pPr>
              <w:jc w:val="center"/>
              <w:ind w:right="260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39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80" w:type="dxa"/>
            <w:vAlign w:val="bottom"/>
            <w:gridSpan w:val="1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Item 1A.</w:t>
            </w:r>
          </w:p>
        </w:tc>
        <w:tc>
          <w:tcPr>
            <w:tcW w:w="1360" w:type="dxa"/>
            <w:vAlign w:val="bottom"/>
            <w:tcBorders>
              <w:top w:val="single" w:sz="8" w:color="0000EE"/>
            </w:tcBorders>
            <w:gridSpan w:val="6"/>
          </w:tcPr>
          <w:p>
            <w:pPr>
              <w:spacing w:after="0" w:line="195"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Risk Factors</w:t>
              </w:r>
            </w:hyperlink>
          </w:p>
        </w:tc>
        <w:tc>
          <w:tcPr>
            <w:tcW w:w="8420" w:type="dxa"/>
            <w:vAlign w:val="bottom"/>
            <w:gridSpan w:val="10"/>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Item 2.</w:t>
            </w:r>
          </w:p>
        </w:tc>
        <w:tc>
          <w:tcPr>
            <w:tcW w:w="9780" w:type="dxa"/>
            <w:vAlign w:val="bottom"/>
            <w:gridSpan w:val="16"/>
          </w:tcPr>
          <w:p>
            <w:pPr>
              <w:spacing w:after="0" w:line="195"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Unregistered Sales of Equity Securities and Use of Proceeds</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Item 3.</w:t>
            </w:r>
          </w:p>
        </w:tc>
        <w:tc>
          <w:tcPr>
            <w:tcW w:w="238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b w:val="1"/>
                <w:bCs w:val="1"/>
                <w:color w:val="0000EE"/>
                <w:w w:val="86"/>
              </w:rPr>
            </w:pPr>
            <w:hyperlink w:anchor="page23">
              <w:r>
                <w:rPr>
                  <w:rFonts w:ascii="Arial" w:cs="Arial" w:eastAsia="Arial" w:hAnsi="Arial"/>
                  <w:sz w:val="18"/>
                  <w:szCs w:val="18"/>
                  <w:b w:val="1"/>
                  <w:bCs w:val="1"/>
                  <w:color w:val="0000EE"/>
                  <w:w w:val="86"/>
                </w:rPr>
                <w:t>Defaults upon Senior Securities</w:t>
              </w:r>
            </w:hyperlink>
          </w:p>
        </w:tc>
        <w:tc>
          <w:tcPr>
            <w:tcW w:w="2140" w:type="dxa"/>
            <w:vAlign w:val="bottom"/>
            <w:tcBorders>
              <w:top w:val="single" w:sz="8" w:color="0000EE"/>
            </w:tcBorders>
            <w:gridSpan w:val="3"/>
          </w:tcPr>
          <w:p>
            <w:pPr>
              <w:spacing w:after="0"/>
              <w:rPr>
                <w:sz w:val="16"/>
                <w:szCs w:val="16"/>
                <w:color w:val="auto"/>
              </w:rPr>
            </w:pPr>
          </w:p>
        </w:tc>
        <w:tc>
          <w:tcPr>
            <w:tcW w:w="5260" w:type="dxa"/>
            <w:vAlign w:val="bottom"/>
            <w:gridSpan w:val="5"/>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EE"/>
            </w:tcBorders>
            <w:gridSpan w:val="3"/>
          </w:tcPr>
          <w:p>
            <w:pPr>
              <w:spacing w:after="0" w:line="195" w:lineRule="exact"/>
              <w:rPr>
                <w:rFonts w:ascii="Arial" w:cs="Arial" w:eastAsia="Arial" w:hAnsi="Arial"/>
                <w:sz w:val="18"/>
                <w:szCs w:val="18"/>
                <w:b w:val="1"/>
                <w:bCs w:val="1"/>
                <w:color w:val="0000EE"/>
                <w:w w:val="85"/>
              </w:rPr>
            </w:pPr>
            <w:hyperlink w:anchor="page23">
              <w:r>
                <w:rPr>
                  <w:rFonts w:ascii="Arial" w:cs="Arial" w:eastAsia="Arial" w:hAnsi="Arial"/>
                  <w:sz w:val="18"/>
                  <w:szCs w:val="18"/>
                  <w:b w:val="1"/>
                  <w:bCs w:val="1"/>
                  <w:color w:val="0000EE"/>
                  <w:w w:val="85"/>
                </w:rPr>
                <w:t>Exhibits</w:t>
              </w:r>
            </w:hyperlink>
          </w:p>
        </w:tc>
        <w:tc>
          <w:tcPr>
            <w:tcW w:w="9160" w:type="dxa"/>
            <w:vAlign w:val="bottom"/>
            <w:gridSpan w:val="13"/>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r>
      <w:tr>
        <w:trPr>
          <w:trHeight w:val="410"/>
        </w:trPr>
        <w:tc>
          <w:tcPr>
            <w:tcW w:w="10620" w:type="dxa"/>
            <w:vAlign w:val="bottom"/>
            <w:gridSpan w:val="17"/>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716"/>
        </w:trPr>
        <w:tc>
          <w:tcPr>
            <w:tcW w:w="84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4"/>
        </w:trPr>
        <w:tc>
          <w:tcPr>
            <w:tcW w:w="1020" w:type="dxa"/>
            <w:vAlign w:val="bottom"/>
            <w:tcBorders>
              <w:top w:val="single" w:sz="8" w:color="0000EE"/>
            </w:tcBorders>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1020" w:type="dxa"/>
            <w:vAlign w:val="bottom"/>
          </w:tcPr>
          <w:p>
            <w:pPr>
              <w:spacing w:after="0"/>
              <w:rPr>
                <w:sz w:val="24"/>
                <w:szCs w:val="24"/>
                <w:color w:val="auto"/>
              </w:rPr>
            </w:pPr>
          </w:p>
        </w:tc>
        <w:tc>
          <w:tcPr>
            <w:tcW w:w="7340" w:type="dxa"/>
            <w:vAlign w:val="bottom"/>
          </w:tcPr>
          <w:p>
            <w:pPr>
              <w:jc w:val="center"/>
              <w:ind w:left="1970"/>
              <w:spacing w:after="0"/>
              <w:rPr>
                <w:sz w:val="20"/>
                <w:szCs w:val="20"/>
                <w:color w:val="auto"/>
              </w:rPr>
            </w:pPr>
            <w:r>
              <w:rPr>
                <w:rFonts w:ascii="Arial" w:cs="Arial" w:eastAsia="Arial" w:hAnsi="Arial"/>
                <w:sz w:val="18"/>
                <w:szCs w:val="18"/>
                <w:b w:val="1"/>
                <w:bCs w:val="1"/>
                <w:color w:val="auto"/>
                <w:w w:val="97"/>
              </w:rPr>
              <w:t>ASURE SOFTWARE, INC.</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1020" w:type="dxa"/>
            <w:vAlign w:val="bottom"/>
          </w:tcPr>
          <w:p>
            <w:pPr>
              <w:spacing w:after="0"/>
              <w:rPr>
                <w:sz w:val="19"/>
                <w:szCs w:val="19"/>
                <w:color w:val="auto"/>
              </w:rPr>
            </w:pPr>
          </w:p>
        </w:tc>
        <w:tc>
          <w:tcPr>
            <w:tcW w:w="7340" w:type="dxa"/>
            <w:vAlign w:val="bottom"/>
          </w:tcPr>
          <w:p>
            <w:pPr>
              <w:jc w:val="center"/>
              <w:ind w:left="19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1020" w:type="dxa"/>
            <w:vAlign w:val="bottom"/>
          </w:tcPr>
          <w:p>
            <w:pPr>
              <w:spacing w:after="0"/>
              <w:rPr>
                <w:sz w:val="18"/>
                <w:szCs w:val="18"/>
                <w:color w:val="auto"/>
              </w:rPr>
            </w:pPr>
          </w:p>
        </w:tc>
        <w:tc>
          <w:tcPr>
            <w:tcW w:w="7340" w:type="dxa"/>
            <w:vAlign w:val="bottom"/>
          </w:tcPr>
          <w:p>
            <w:pPr>
              <w:jc w:val="center"/>
              <w:ind w:left="1970"/>
              <w:spacing w:after="0"/>
              <w:rPr>
                <w:sz w:val="20"/>
                <w:szCs w:val="20"/>
                <w:color w:val="auto"/>
              </w:rPr>
            </w:pPr>
            <w:r>
              <w:rPr>
                <w:rFonts w:ascii="Arial" w:cs="Arial" w:eastAsia="Arial" w:hAnsi="Arial"/>
                <w:sz w:val="18"/>
                <w:szCs w:val="18"/>
                <w:color w:val="auto"/>
                <w:w w:val="90"/>
              </w:rPr>
              <w:t>(Amounts in thousands)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19"/>
                <w:szCs w:val="19"/>
                <w:color w:val="auto"/>
              </w:rPr>
            </w:pPr>
          </w:p>
        </w:tc>
        <w:tc>
          <w:tcPr>
            <w:tcW w:w="7340" w:type="dxa"/>
            <w:vAlign w:val="bottom"/>
          </w:tcPr>
          <w:p>
            <w:pPr>
              <w:jc w:val="center"/>
              <w:ind w:left="199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2"/>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0"/>
        </w:trPr>
        <w:tc>
          <w:tcPr>
            <w:tcW w:w="10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01"/>
        </w:trPr>
        <w:tc>
          <w:tcPr>
            <w:tcW w:w="8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5"/>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01"/>
        </w:trPr>
        <w:tc>
          <w:tcPr>
            <w:tcW w:w="83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$120 and $168 at September 30, 2014 and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2013, respectively</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w:t>
            </w:r>
          </w:p>
        </w:tc>
      </w:tr>
      <w:tr>
        <w:trPr>
          <w:trHeight w:val="215"/>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2"/>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r>
      <w:tr>
        <w:trPr>
          <w:trHeight w:val="215"/>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9,660</w:t>
            </w:r>
          </w:p>
        </w:tc>
      </w:tr>
      <w:tr>
        <w:trPr>
          <w:trHeight w:val="215"/>
        </w:trPr>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r>
      <w:tr>
        <w:trPr>
          <w:trHeight w:val="215"/>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15,005</w:t>
            </w:r>
          </w:p>
        </w:tc>
      </w:tr>
      <w:tr>
        <w:trPr>
          <w:trHeight w:val="215"/>
        </w:trPr>
        <w:tc>
          <w:tcPr>
            <w:tcW w:w="83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9,679</w:t>
            </w:r>
          </w:p>
        </w:tc>
      </w:tr>
      <w:tr>
        <w:trPr>
          <w:trHeight w:val="222"/>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34,844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35,615</w:t>
            </w:r>
          </w:p>
        </w:tc>
      </w:tr>
      <w:tr>
        <w:trPr>
          <w:trHeight w:val="20"/>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r>
      <w:tr>
        <w:trPr>
          <w:trHeight w:val="215"/>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r>
      <w:tr>
        <w:trPr>
          <w:trHeight w:val="215"/>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r>
      <w:tr>
        <w:trPr>
          <w:trHeight w:val="222"/>
        </w:trPr>
        <w:tc>
          <w:tcPr>
            <w:tcW w:w="8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17,497</w:t>
            </w:r>
          </w:p>
        </w:tc>
      </w:tr>
      <w:tr>
        <w:trPr>
          <w:trHeight w:val="215"/>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12,698</w:t>
            </w:r>
          </w:p>
        </w:tc>
      </w:tr>
      <w:tr>
        <w:trPr>
          <w:trHeight w:val="222"/>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r>
      <w:tr>
        <w:trPr>
          <w:trHeight w:val="215"/>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13,901</w:t>
            </w:r>
          </w:p>
        </w:tc>
      </w:tr>
      <w:tr>
        <w:trPr>
          <w:trHeight w:val="215"/>
        </w:trPr>
        <w:tc>
          <w:tcPr>
            <w:tcW w:w="8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3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Common stock, $.01 par value; 11,000 shares authorized; 6,434 and 6,353 shares issued,</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360" w:type="dxa"/>
            <w:vAlign w:val="bottom"/>
            <w:gridSpan w:val="2"/>
          </w:tcPr>
          <w:p>
            <w:pPr>
              <w:ind w:left="240"/>
              <w:spacing w:after="0"/>
              <w:rPr>
                <w:sz w:val="20"/>
                <w:szCs w:val="20"/>
                <w:color w:val="auto"/>
              </w:rPr>
            </w:pPr>
            <w:r>
              <w:rPr>
                <w:rFonts w:ascii="Arial" w:cs="Arial" w:eastAsia="Arial" w:hAnsi="Arial"/>
                <w:sz w:val="18"/>
                <w:szCs w:val="18"/>
                <w:color w:val="auto"/>
              </w:rPr>
              <w:t>6,050 and 5,969 shares outstanding at September 30, 2014 and December 31, 2013, respectively</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384 shares at September 30, 2014 and December 31, 2013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r>
      <w:tr>
        <w:trPr>
          <w:trHeight w:val="215"/>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278,562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278,159</w:t>
            </w:r>
          </w:p>
        </w:tc>
      </w:tr>
      <w:tr>
        <w:trPr>
          <w:trHeight w:val="215"/>
        </w:trPr>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(269,238)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(268,884)</w:t>
            </w:r>
          </w:p>
        </w:tc>
      </w:tr>
      <w:tr>
        <w:trPr>
          <w:trHeight w:val="222"/>
        </w:trPr>
        <w:tc>
          <w:tcPr>
            <w:tcW w:w="836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22"/>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10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34,844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35,615</w:t>
            </w:r>
          </w:p>
        </w:tc>
      </w:tr>
      <w:tr>
        <w:trPr>
          <w:trHeight w:val="20"/>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rPr>
              <w:t>FOR THE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rPr>
              <w:t>FOR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8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rPr>
              <w:t>NINE MONTHS ENDED</w:t>
            </w:r>
          </w:p>
        </w:tc>
      </w:tr>
      <w:tr>
        <w:trPr>
          <w:trHeight w:val="240"/>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7,030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20,105</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18,742</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1,595</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4,526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4,801</w:t>
            </w:r>
          </w:p>
        </w:tc>
      </w:tr>
      <w:tr>
        <w:trPr>
          <w:trHeight w:val="27"/>
        </w:trPr>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5,435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4,928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15,579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13,941</w:t>
            </w:r>
          </w:p>
        </w:tc>
      </w:tr>
      <w:tr>
        <w:trPr>
          <w:trHeight w:val="215"/>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1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3,553</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10,410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9,939</w:t>
            </w:r>
          </w:p>
        </w:tc>
      </w:tr>
      <w:tr>
        <w:trPr>
          <w:trHeight w:val="215"/>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5"/>
        </w:trPr>
        <w:tc>
          <w:tcPr>
            <w:tcW w:w="516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494</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r>
      <w:tr>
        <w:trPr>
          <w:trHeight w:val="27"/>
        </w:trPr>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4,915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4,449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14,342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13,701</w:t>
            </w:r>
          </w:p>
        </w:tc>
      </w:tr>
      <w:tr>
        <w:trPr>
          <w:trHeight w:val="215"/>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520</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w:t>
            </w:r>
          </w:p>
        </w:tc>
      </w:tr>
      <w:tr>
        <w:trPr>
          <w:trHeight w:val="215"/>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160" w:type="dxa"/>
            <w:vAlign w:val="bottom"/>
          </w:tcPr>
          <w:p>
            <w:pPr>
              <w:ind w:left="160"/>
              <w:spacing w:after="0"/>
              <w:rPr>
                <w:sz w:val="20"/>
                <w:szCs w:val="20"/>
                <w:color w:val="auto"/>
              </w:rPr>
            </w:pPr>
            <w:r>
              <w:rPr>
                <w:rFonts w:ascii="Arial" w:cs="Arial" w:eastAsia="Arial" w:hAnsi="Arial"/>
                <w:sz w:val="18"/>
                <w:szCs w:val="18"/>
                <w:color w:val="auto"/>
              </w:rPr>
              <w:t>Gain on settlement of note payable and litigation</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5"/>
        </w:trPr>
        <w:tc>
          <w:tcPr>
            <w:tcW w:w="5160" w:type="dxa"/>
            <w:vAlign w:val="bottom"/>
          </w:tcPr>
          <w:p>
            <w:pPr>
              <w:ind w:left="160"/>
              <w:spacing w:after="0"/>
              <w:rPr>
                <w:sz w:val="20"/>
                <w:szCs w:val="20"/>
                <w:color w:val="auto"/>
              </w:rPr>
            </w:pPr>
            <w:r>
              <w:rPr>
                <w:rFonts w:ascii="Arial" w:cs="Arial" w:eastAsia="Arial" w:hAnsi="Arial"/>
                <w:sz w:val="18"/>
                <w:szCs w:val="18"/>
                <w:color w:val="auto"/>
              </w:rPr>
              <w:t>Gain (loss) on sale/disposal of assets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5"/>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debt refinancing</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160" w:type="dxa"/>
            <w:vAlign w:val="bottom"/>
          </w:tcPr>
          <w:p>
            <w:pPr>
              <w:ind w:left="16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5"/>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and other</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Interest expense- amortization of original issue discount (OID)</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r>
      <w:tr>
        <w:trPr>
          <w:trHeight w:val="27"/>
        </w:trPr>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other income (loss), net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(296)</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(1,680)</w:t>
            </w:r>
          </w:p>
        </w:tc>
      </w:tr>
      <w:tr>
        <w:trPr>
          <w:trHeight w:val="215"/>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(1,440)</w:t>
            </w:r>
          </w:p>
        </w:tc>
      </w:tr>
      <w:tr>
        <w:trPr>
          <w:trHeight w:val="215"/>
        </w:trPr>
        <w:tc>
          <w:tcPr>
            <w:tcW w:w="51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7"/>
        </w:trPr>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5"/>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(354)</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(1,560)</w:t>
            </w:r>
          </w:p>
        </w:tc>
      </w:tr>
      <w:tr>
        <w:trPr>
          <w:trHeight w:val="209"/>
        </w:trPr>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gain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175</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(358)</w:t>
            </w: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(1,552)</w:t>
            </w: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6,008,000</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5,929,000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5,986,000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5,565,000</w:t>
            </w: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6,284,000</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6,217,000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5,986,000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5,565,000</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gridSpan w:val="3"/>
          </w:tcPr>
          <w:p>
            <w:pPr>
              <w:jc w:val="center"/>
              <w:ind w:right="263"/>
              <w:spacing w:after="0"/>
              <w:rPr>
                <w:sz w:val="20"/>
                <w:szCs w:val="20"/>
                <w:color w:val="auto"/>
              </w:rPr>
            </w:pPr>
            <w:r>
              <w:rPr>
                <w:rFonts w:ascii="Arial" w:cs="Arial" w:eastAsia="Arial" w:hAnsi="Arial"/>
                <w:sz w:val="18"/>
                <w:szCs w:val="18"/>
                <w:b w:val="1"/>
                <w:bCs w:val="1"/>
                <w:color w:val="auto"/>
              </w:rPr>
              <w:t>FOR THE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tcPr>
          <w:p>
            <w:pPr>
              <w:spacing w:after="0"/>
              <w:rPr>
                <w:sz w:val="18"/>
                <w:szCs w:val="18"/>
                <w:color w:val="auto"/>
              </w:rPr>
            </w:pPr>
          </w:p>
        </w:tc>
        <w:tc>
          <w:tcPr>
            <w:tcW w:w="2480" w:type="dxa"/>
            <w:vAlign w:val="bottom"/>
            <w:gridSpan w:val="4"/>
          </w:tcPr>
          <w:p>
            <w:pPr>
              <w:jc w:val="center"/>
              <w:ind w:left="399"/>
              <w:spacing w:after="0"/>
              <w:rPr>
                <w:sz w:val="20"/>
                <w:szCs w:val="20"/>
                <w:color w:val="auto"/>
              </w:rPr>
            </w:pPr>
            <w:r>
              <w:rPr>
                <w:rFonts w:ascii="Arial" w:cs="Arial" w:eastAsia="Arial" w:hAnsi="Arial"/>
                <w:sz w:val="18"/>
                <w:szCs w:val="18"/>
                <w:b w:val="1"/>
                <w:bCs w:val="1"/>
                <w:color w:val="auto"/>
              </w:rPr>
              <w:t>NINE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8360" w:type="dxa"/>
            <w:vAlign w:val="bottom"/>
          </w:tcPr>
          <w:p>
            <w:pPr>
              <w:spacing w:after="0"/>
              <w:rPr>
                <w:sz w:val="20"/>
                <w:szCs w:val="20"/>
                <w:color w:val="auto"/>
              </w:rPr>
            </w:pPr>
          </w:p>
        </w:tc>
        <w:tc>
          <w:tcPr>
            <w:tcW w:w="24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8"/>
                <w:szCs w:val="18"/>
                <w:b w:val="1"/>
                <w:bCs w:val="1"/>
                <w:color w:val="auto"/>
                <w:w w:val="97"/>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8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(1,560)</w:t>
            </w:r>
          </w:p>
        </w:tc>
      </w:tr>
      <w:tr>
        <w:trPr>
          <w:trHeight w:val="215"/>
        </w:trPr>
        <w:tc>
          <w:tcPr>
            <w:tcW w:w="836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r>
      <w:tr>
        <w:trPr>
          <w:trHeight w:val="215"/>
        </w:trPr>
        <w:tc>
          <w:tcPr>
            <w:tcW w:w="836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5"/>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5"/>
        </w:trPr>
        <w:tc>
          <w:tcPr>
            <w:tcW w:w="8360" w:type="dxa"/>
            <w:vAlign w:val="bottom"/>
          </w:tcPr>
          <w:p>
            <w:pPr>
              <w:ind w:left="340"/>
              <w:spacing w:after="0"/>
              <w:rPr>
                <w:sz w:val="20"/>
                <w:szCs w:val="20"/>
                <w:color w:val="auto"/>
              </w:rPr>
            </w:pPr>
            <w:r>
              <w:rPr>
                <w:rFonts w:ascii="Arial" w:cs="Arial" w:eastAsia="Arial" w:hAnsi="Arial"/>
                <w:sz w:val="18"/>
                <w:szCs w:val="18"/>
                <w:color w:val="auto"/>
              </w:rPr>
              <w:t>Amortization of original issue discount (OID)</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r>
      <w:tr>
        <w:trPr>
          <w:trHeight w:val="215"/>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settlement of note payable and litigation</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360" w:type="dxa"/>
            <w:vAlign w:val="bottom"/>
          </w:tcPr>
          <w:p>
            <w:pPr>
              <w:ind w:left="240"/>
              <w:spacing w:after="0"/>
              <w:rPr>
                <w:sz w:val="20"/>
                <w:szCs w:val="20"/>
                <w:color w:val="auto"/>
              </w:rPr>
            </w:pPr>
            <w:r>
              <w:rPr>
                <w:rFonts w:ascii="Arial" w:cs="Arial" w:eastAsia="Arial" w:hAnsi="Arial"/>
                <w:sz w:val="18"/>
                <w:szCs w:val="18"/>
                <w:color w:val="auto"/>
              </w:rPr>
              <w:t>(Gain) loss on sale/disposal of assets</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5"/>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 on settlement</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5"/>
        </w:trPr>
        <w:tc>
          <w:tcPr>
            <w:tcW w:w="8360" w:type="dxa"/>
            <w:vAlign w:val="bottom"/>
          </w:tcPr>
          <w:p>
            <w:pPr>
              <w:ind w:left="380"/>
              <w:spacing w:after="0"/>
              <w:rPr>
                <w:sz w:val="20"/>
                <w:szCs w:val="20"/>
                <w:color w:val="auto"/>
              </w:rPr>
            </w:pPr>
            <w:r>
              <w:rPr>
                <w:rFonts w:ascii="Arial" w:cs="Arial" w:eastAsia="Arial" w:hAnsi="Arial"/>
                <w:sz w:val="18"/>
                <w:szCs w:val="18"/>
                <w:color w:val="auto"/>
              </w:rPr>
              <w:t>Discount on early payoff of Legiant Notes</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5"/>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debt refinancing</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3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Restricted cash</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15"/>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r>
      <w:tr>
        <w:trPr>
          <w:trHeight w:val="215"/>
        </w:trPr>
        <w:tc>
          <w:tcPr>
            <w:tcW w:w="8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5"/>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8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5"/>
        </w:trPr>
        <w:tc>
          <w:tcPr>
            <w:tcW w:w="8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r>
      <w:tr>
        <w:trPr>
          <w:trHeight w:val="215"/>
        </w:trPr>
        <w:tc>
          <w:tcPr>
            <w:tcW w:w="8360" w:type="dxa"/>
            <w:vAlign w:val="bottom"/>
          </w:tcPr>
          <w:p>
            <w:pPr>
              <w:ind w:left="500"/>
              <w:spacing w:after="0"/>
              <w:rPr>
                <w:sz w:val="20"/>
                <w:szCs w:val="20"/>
                <w:color w:val="auto"/>
              </w:rPr>
            </w:pPr>
            <w:r>
              <w:rPr>
                <w:rFonts w:ascii="Arial" w:cs="Arial" w:eastAsia="Arial" w:hAnsi="Arial"/>
                <w:sz w:val="18"/>
                <w:szCs w:val="18"/>
                <w:color w:val="auto"/>
              </w:rPr>
              <w:t>Accrued expenses and other long-term obligations</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r>
      <w:tr>
        <w:trPr>
          <w:trHeight w:val="215"/>
        </w:trPr>
        <w:tc>
          <w:tcPr>
            <w:tcW w:w="8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r>
      <w:tr>
        <w:trPr>
          <w:trHeight w:val="27"/>
        </w:trPr>
        <w:tc>
          <w:tcPr>
            <w:tcW w:w="83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8360" w:type="dxa"/>
            <w:vAlign w:val="bottom"/>
          </w:tcPr>
          <w:p>
            <w:pPr>
              <w:ind w:left="660"/>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1,671</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1,169</w:t>
            </w:r>
          </w:p>
        </w:tc>
      </w:tr>
      <w:tr>
        <w:trPr>
          <w:trHeight w:val="215"/>
        </w:trPr>
        <w:tc>
          <w:tcPr>
            <w:tcW w:w="8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Acquisitions net of cash acquired</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360" w:type="dxa"/>
            <w:vAlign w:val="bottom"/>
          </w:tcPr>
          <w:p>
            <w:pPr>
              <w:ind w:left="160"/>
              <w:spacing w:after="0"/>
              <w:rPr>
                <w:sz w:val="20"/>
                <w:szCs w:val="20"/>
                <w:color w:val="auto"/>
              </w:rPr>
            </w:pPr>
            <w:r>
              <w:rPr>
                <w:rFonts w:ascii="Arial" w:cs="Arial" w:eastAsia="Arial" w:hAnsi="Arial"/>
                <w:sz w:val="18"/>
                <w:szCs w:val="18"/>
                <w:color w:val="auto"/>
              </w:rPr>
              <w:t>Net purchases of property and equipment</w:t>
            </w:r>
          </w:p>
        </w:tc>
        <w:tc>
          <w:tcPr>
            <w:tcW w:w="8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5"/>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Collection of note receivable</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7"/>
        </w:trPr>
        <w:tc>
          <w:tcPr>
            <w:tcW w:w="83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8360" w:type="dxa"/>
            <w:vAlign w:val="bottom"/>
          </w:tcPr>
          <w:p>
            <w:pPr>
              <w:ind w:left="660"/>
              <w:spacing w:after="0"/>
              <w:rPr>
                <w:sz w:val="20"/>
                <w:szCs w:val="20"/>
                <w:color w:val="auto"/>
              </w:rPr>
            </w:pPr>
            <w:r>
              <w:rPr>
                <w:rFonts w:ascii="Arial" w:cs="Arial" w:eastAsia="Arial" w:hAnsi="Arial"/>
                <w:sz w:val="18"/>
                <w:szCs w:val="18"/>
                <w:b w:val="1"/>
                <w:bCs w:val="1"/>
                <w:color w:val="auto"/>
              </w:rPr>
              <w:t>Net cash used in investing activities</w:t>
            </w:r>
          </w:p>
        </w:tc>
        <w:tc>
          <w:tcPr>
            <w:tcW w:w="8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(3,449)</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(133)</w:t>
            </w:r>
          </w:p>
        </w:tc>
      </w:tr>
      <w:tr>
        <w:trPr>
          <w:trHeight w:val="215"/>
        </w:trPr>
        <w:tc>
          <w:tcPr>
            <w:tcW w:w="8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notes payable</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(17,723)</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(5,707)</w:t>
            </w:r>
          </w:p>
        </w:tc>
      </w:tr>
      <w:tr>
        <w:trPr>
          <w:trHeight w:val="215"/>
        </w:trPr>
        <w:tc>
          <w:tcPr>
            <w:tcW w:w="8360" w:type="dxa"/>
            <w:vAlign w:val="bottom"/>
          </w:tcPr>
          <w:p>
            <w:pPr>
              <w:ind w:left="160"/>
              <w:spacing w:after="0"/>
              <w:rPr>
                <w:sz w:val="20"/>
                <w:szCs w:val="20"/>
                <w:color w:val="auto"/>
              </w:rPr>
            </w:pPr>
            <w:r>
              <w:rPr>
                <w:rFonts w:ascii="Arial" w:cs="Arial" w:eastAsia="Arial" w:hAnsi="Arial"/>
                <w:sz w:val="18"/>
                <w:szCs w:val="18"/>
                <w:color w:val="auto"/>
              </w:rPr>
              <w:t>Proceeds from notes payable</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18,179</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5"/>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36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3,435</w:t>
            </w:r>
          </w:p>
        </w:tc>
      </w:tr>
      <w:tr>
        <w:trPr>
          <w:trHeight w:val="215"/>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financing fees</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r>
      <w:tr>
        <w:trPr>
          <w:trHeight w:val="215"/>
        </w:trPr>
        <w:tc>
          <w:tcPr>
            <w:tcW w:w="8360" w:type="dxa"/>
            <w:vAlign w:val="bottom"/>
          </w:tcPr>
          <w:p>
            <w:pPr>
              <w:ind w:left="160"/>
              <w:spacing w:after="0"/>
              <w:rPr>
                <w:sz w:val="20"/>
                <w:szCs w:val="20"/>
                <w:color w:val="auto"/>
              </w:rPr>
            </w:pPr>
            <w:r>
              <w:rPr>
                <w:rFonts w:ascii="Arial" w:cs="Arial" w:eastAsia="Arial" w:hAnsi="Arial"/>
                <w:sz w:val="18"/>
                <w:szCs w:val="18"/>
                <w:color w:val="auto"/>
              </w:rPr>
              <w:t>Insurance proceeds for settlement of notes payable dispute, net of expenses</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5"/>
        </w:trPr>
        <w:tc>
          <w:tcPr>
            <w:tcW w:w="8360" w:type="dxa"/>
            <w:vAlign w:val="bottom"/>
          </w:tcPr>
          <w:p>
            <w:pPr>
              <w:ind w:left="160"/>
              <w:spacing w:after="0"/>
              <w:rPr>
                <w:sz w:val="20"/>
                <w:szCs w:val="20"/>
                <w:color w:val="auto"/>
              </w:rPr>
            </w:pPr>
            <w:r>
              <w:rPr>
                <w:rFonts w:ascii="Arial" w:cs="Arial" w:eastAsia="Arial" w:hAnsi="Arial"/>
                <w:sz w:val="18"/>
                <w:szCs w:val="18"/>
                <w:color w:val="auto"/>
              </w:rPr>
              <w:t>Net proceeds from exercise of options</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7"/>
        </w:trPr>
        <w:tc>
          <w:tcPr>
            <w:tcW w:w="8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83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financing activities</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(520)</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(121)</w:t>
            </w:r>
          </w:p>
        </w:tc>
      </w:tr>
      <w:tr>
        <w:trPr>
          <w:trHeight w:val="215"/>
        </w:trPr>
        <w:tc>
          <w:tcPr>
            <w:tcW w:w="8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translation exchange rates</w:t>
            </w: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r>
      <w:tr>
        <w:trPr>
          <w:trHeight w:val="215"/>
        </w:trPr>
        <w:tc>
          <w:tcPr>
            <w:tcW w:w="83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(2,301)</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929</w:t>
            </w:r>
          </w:p>
        </w:tc>
      </w:tr>
      <w:tr>
        <w:trPr>
          <w:trHeight w:val="215"/>
        </w:trPr>
        <w:tc>
          <w:tcPr>
            <w:tcW w:w="8360" w:type="dxa"/>
            <w:vAlign w:val="bottom"/>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3,938</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2,177</w:t>
            </w:r>
          </w:p>
        </w:tc>
      </w:tr>
      <w:tr>
        <w:trPr>
          <w:trHeight w:val="27"/>
        </w:trPr>
        <w:tc>
          <w:tcPr>
            <w:tcW w:w="8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5"/>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1,637</w:t>
            </w: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3,106</w:t>
            </w:r>
          </w:p>
        </w:tc>
      </w:tr>
      <w:tr>
        <w:trPr>
          <w:trHeight w:val="209"/>
        </w:trPr>
        <w:tc>
          <w:tcPr>
            <w:tcW w:w="83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60" w:type="dxa"/>
            <w:vAlign w:val="bottom"/>
          </w:tcPr>
          <w:p>
            <w:pPr>
              <w:spacing w:after="0"/>
              <w:rPr>
                <w:sz w:val="20"/>
                <w:szCs w:val="20"/>
                <w:color w:val="auto"/>
              </w:rPr>
            </w:pPr>
            <w:r>
              <w:rPr>
                <w:rFonts w:ascii="Arial" w:cs="Arial" w:eastAsia="Arial" w:hAnsi="Arial"/>
                <w:sz w:val="18"/>
                <w:szCs w:val="18"/>
                <w:color w:val="auto"/>
              </w:rPr>
              <w:t>Cash paid for:</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457"/>
        </w:trPr>
        <w:tc>
          <w:tcPr>
            <w:tcW w:w="83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subordinated convertible notes payable to equity</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Accrued contingent consideration upon acquisition</w:t>
            </w:r>
          </w:p>
        </w:tc>
        <w:tc>
          <w:tcPr>
            <w:tcW w:w="8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8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2860" w:right="2540" w:hanging="260"/>
        <w:spacing w:after="0" w:line="321" w:lineRule="auto"/>
        <w:rPr>
          <w:sz w:val="20"/>
          <w:szCs w:val="20"/>
          <w:color w:val="auto"/>
        </w:rPr>
      </w:pPr>
      <w:r>
        <w:rPr>
          <w:rFonts w:ascii="Arial" w:cs="Arial" w:eastAsia="Arial" w:hAnsi="Arial"/>
          <w:sz w:val="16"/>
          <w:szCs w:val="16"/>
          <w:b w:val="1"/>
          <w:bCs w:val="1"/>
          <w:color w:val="auto"/>
        </w:rPr>
        <w:t xml:space="preserve">NOTES TO THE CONDENSED CONSOLIDATED FINANCIAL STATEMENTS </w:t>
      </w:r>
      <w:r>
        <w:rPr>
          <w:rFonts w:ascii="Arial" w:cs="Arial" w:eastAsia="Arial" w:hAnsi="Arial"/>
          <w:sz w:val="16"/>
          <w:szCs w:val="16"/>
          <w:color w:val="auto"/>
        </w:rPr>
        <w:t>(Amounts in thousands, except share and per share data unless otherwise noted)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7"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Asure Software, Inc., a Delaware corporation, is a provider of cloud-based software-as-a-service (“SaaS”) time and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197"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September 30, 2014 and December 31, 2013, the results of operations for the three and nine months ended September 30, 2014 and 2013, and the cash flows for the nine months ended September 30, 2014 and 2013.</w:t>
      </w:r>
    </w:p>
    <w:p>
      <w:pPr>
        <w:spacing w:after="0" w:line="18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2013. The results for the interim periods are not necessarily indicative of results for a full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Restricted cash represents a certificate of deposit held in a cash collateral account as required by JPMorgan Chase Bank N.A. (“Bank”), to secure our obligations under our credit card line with the Bank. As of September 30, 2014, there is no restricted cash.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4"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As of September 30, 2014, Asure’s principal source of liquidity consisted of $1,637 of current cash and cash equivalents, future cash generated from operations and amounts available for borrowing under our Wells Fargo revolver discussed in Note 6 – Notes Payable. We believe that we have and/or will generate sufficient cash for our short- and long-term needs, including meeting the requirements of our Term Loan, and the related debt covenant requirements. Based on current internal projections, we believe that we currently have and/or will generate sufficient cash for our operational needs, including any required debt payments, for at least the next twelve months.</w:t>
      </w:r>
    </w:p>
    <w:p>
      <w:pPr>
        <w:spacing w:after="0" w:line="21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have made and will continue to explore additional strategic acquisitions. In July 2014, we acquired all of the outstanding common stock of FotoPunch, Inc. and in August 2014, we acquired substantially all the assets of Roomtag, LLC. We expect to fund any future acquisitions with equity, available cash, future cash from operations, or debt from outside sources.</w:t>
      </w:r>
    </w:p>
    <w:p>
      <w:pPr>
        <w:spacing w:after="0" w:line="212"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7"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In July 2013, the Financial Accounting Standards Board (“FASB”) issued Accounting Standards Update No. 2013-11 (ASU 2013-11), which updated the guidance in Accounting Standards Codification (“ASC”) Topic 740, Income Taxes.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became effective for us as of January 1, 2014 and is consistent with our present practice.</w:t>
      </w:r>
    </w:p>
    <w:p>
      <w:pPr>
        <w:spacing w:after="0" w:line="187"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In April 2014, the FASB issued ASU No. 2014-08, “Reporting Discontinued Operations and Disclosures of Disposals of Components of an Entity”, which changes the criteria for reporting discontinued operations and requires additional disclosures about discontinued operations. ASU 2014-08 requires that an entity report as a discontinued operation only a disposal that represents a strategic shift in operations that has a major effect on its operations and financial results. ASU 2014-08 is effective for us beginning on or after December 15, 2014. Early adoption is permitted, but only for a disposal (or classification as held for sale) that has not been reported in financial statements previously issued or made available for issuance. The ASU must be applied prospectively. We believe that its adoption will not have a material impact on our consolidated results of operations or financial condition.</w:t>
      </w:r>
    </w:p>
    <w:p>
      <w:pPr>
        <w:spacing w:after="0" w:line="189"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In May 2014, the FASB issued a new accounting standard related to revenue recognition. This new standard will replace all current U.S. GAAP guidance on this topic and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We will adopt this standard effective January 1, 2017, as required. The standard can be applied either retrospectively to each period presented or as a cumulative-effect adjustment as of the date of adoption. We are evaluating the impact of adopting this new standard on our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7"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47"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0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Although Asure has been the defendant or plaintiff in various actions that arose in the normal course of business, as of September 30, 2014, we are not party to any pending 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Level 1:</w:t>
            </w:r>
          </w:p>
        </w:tc>
        <w:tc>
          <w:tcPr>
            <w:tcW w:w="10200" w:type="dxa"/>
            <w:vAlign w:val="bottom"/>
          </w:tcPr>
          <w:p>
            <w:pPr>
              <w:ind w:left="620"/>
              <w:spacing w:after="0"/>
              <w:rPr>
                <w:sz w:val="20"/>
                <w:szCs w:val="20"/>
                <w:color w:val="auto"/>
              </w:rPr>
            </w:pP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assets or liabilities;</w:t>
            </w:r>
          </w:p>
        </w:tc>
      </w:tr>
      <w:tr>
        <w:trPr>
          <w:trHeight w:val="416"/>
        </w:trPr>
        <w:tc>
          <w:tcPr>
            <w:tcW w:w="1220" w:type="dxa"/>
            <w:vAlign w:val="bottom"/>
          </w:tcPr>
          <w:p>
            <w:pPr>
              <w:spacing w:after="0"/>
              <w:rPr>
                <w:sz w:val="20"/>
                <w:szCs w:val="20"/>
                <w:color w:val="auto"/>
              </w:rPr>
            </w:pPr>
            <w:r>
              <w:rPr>
                <w:rFonts w:ascii="Arial" w:cs="Arial" w:eastAsia="Arial" w:hAnsi="Arial"/>
                <w:sz w:val="18"/>
                <w:szCs w:val="18"/>
                <w:color w:val="auto"/>
              </w:rPr>
              <w:t>Level 2:</w:t>
            </w:r>
          </w:p>
        </w:tc>
        <w:tc>
          <w:tcPr>
            <w:tcW w:w="10200" w:type="dxa"/>
            <w:vAlign w:val="bottom"/>
          </w:tcPr>
          <w:p>
            <w:pPr>
              <w:ind w:left="620"/>
              <w:spacing w:after="0"/>
              <w:rPr>
                <w:sz w:val="20"/>
                <w:szCs w:val="20"/>
                <w:color w:val="auto"/>
              </w:rPr>
            </w:pPr>
            <w:r>
              <w:rPr>
                <w:rFonts w:ascii="Arial" w:cs="Arial" w:eastAsia="Arial" w:hAnsi="Arial"/>
                <w:sz w:val="18"/>
                <w:szCs w:val="18"/>
                <w:color w:val="auto"/>
                <w:w w:val="94"/>
              </w:rPr>
              <w:t xml:space="preserve">Quoted prices in active markets for </w:t>
            </w:r>
            <w:r>
              <w:rPr>
                <w:rFonts w:ascii="Arial" w:cs="Arial" w:eastAsia="Arial" w:hAnsi="Arial"/>
                <w:sz w:val="18"/>
                <w:szCs w:val="18"/>
                <w:i w:val="1"/>
                <w:iCs w:val="1"/>
                <w:color w:val="auto"/>
                <w:w w:val="94"/>
              </w:rPr>
              <w:t>similar</w:t>
            </w:r>
            <w:r>
              <w:rPr>
                <w:rFonts w:ascii="Arial" w:cs="Arial" w:eastAsia="Arial" w:hAnsi="Arial"/>
                <w:sz w:val="18"/>
                <w:szCs w:val="18"/>
                <w:color w:val="auto"/>
                <w:w w:val="94"/>
              </w:rPr>
              <w:t xml:space="preserve"> assets or liabilities; quoted prices in markets that are not active for identical or similar</w:t>
            </w:r>
          </w:p>
        </w:tc>
      </w:tr>
      <w:tr>
        <w:trPr>
          <w:trHeight w:val="230"/>
        </w:trPr>
        <w:tc>
          <w:tcPr>
            <w:tcW w:w="1220" w:type="dxa"/>
            <w:vAlign w:val="bottom"/>
          </w:tcPr>
          <w:p>
            <w:pPr>
              <w:spacing w:after="0"/>
              <w:rPr>
                <w:sz w:val="19"/>
                <w:szCs w:val="19"/>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assets or liabilities; and model-driven valuations whose significant inputs are observable; and</w:t>
            </w:r>
          </w:p>
        </w:tc>
      </w:tr>
      <w:tr>
        <w:trPr>
          <w:trHeight w:val="442"/>
        </w:trPr>
        <w:tc>
          <w:tcPr>
            <w:tcW w:w="1220" w:type="dxa"/>
            <w:vAlign w:val="bottom"/>
          </w:tcPr>
          <w:p>
            <w:pPr>
              <w:spacing w:after="0"/>
              <w:rPr>
                <w:sz w:val="20"/>
                <w:szCs w:val="20"/>
                <w:color w:val="auto"/>
              </w:rPr>
            </w:pPr>
            <w:r>
              <w:rPr>
                <w:rFonts w:ascii="Arial" w:cs="Arial" w:eastAsia="Arial" w:hAnsi="Arial"/>
                <w:sz w:val="18"/>
                <w:szCs w:val="18"/>
                <w:color w:val="auto"/>
              </w:rPr>
              <w:t>Level 3:</w:t>
            </w:r>
          </w:p>
        </w:tc>
        <w:tc>
          <w:tcPr>
            <w:tcW w:w="10200" w:type="dxa"/>
            <w:vAlign w:val="bottom"/>
          </w:tcPr>
          <w:p>
            <w:pPr>
              <w:ind w:left="620"/>
              <w:spacing w:after="0"/>
              <w:rPr>
                <w:sz w:val="20"/>
                <w:szCs w:val="20"/>
                <w:color w:val="auto"/>
              </w:rPr>
            </w:pPr>
            <w:r>
              <w:rPr>
                <w:rFonts w:ascii="Arial" w:cs="Arial" w:eastAsia="Arial" w:hAnsi="Arial"/>
                <w:sz w:val="18"/>
                <w:szCs w:val="18"/>
                <w:color w:val="auto"/>
                <w:w w:val="97"/>
              </w:rPr>
              <w:t>Unobservable inputs that are supported by little or no market activity and that are significant to the fair value of the assets or</w:t>
            </w:r>
          </w:p>
        </w:tc>
      </w:tr>
      <w:tr>
        <w:trPr>
          <w:trHeight w:val="230"/>
        </w:trPr>
        <w:tc>
          <w:tcPr>
            <w:tcW w:w="1220" w:type="dxa"/>
            <w:vAlign w:val="bottom"/>
          </w:tcPr>
          <w:p>
            <w:pPr>
              <w:spacing w:after="0"/>
              <w:rPr>
                <w:sz w:val="19"/>
                <w:szCs w:val="19"/>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liabilities.</w:t>
            </w:r>
          </w:p>
        </w:tc>
      </w:tr>
      <w:tr>
        <w:trPr>
          <w:trHeight w:val="672"/>
        </w:trPr>
        <w:tc>
          <w:tcPr>
            <w:tcW w:w="1220" w:type="dxa"/>
            <w:vAlign w:val="bottom"/>
          </w:tcPr>
          <w:p>
            <w:pPr>
              <w:spacing w:after="0"/>
              <w:rPr>
                <w:sz w:val="24"/>
                <w:szCs w:val="24"/>
                <w:color w:val="auto"/>
              </w:rPr>
            </w:pPr>
          </w:p>
        </w:tc>
        <w:tc>
          <w:tcPr>
            <w:tcW w:w="10200" w:type="dxa"/>
            <w:vAlign w:val="bottom"/>
          </w:tcPr>
          <w:p>
            <w:pPr>
              <w:ind w:left="4440"/>
              <w:spacing w:after="0"/>
              <w:rPr>
                <w:sz w:val="20"/>
                <w:szCs w:val="20"/>
                <w:color w:val="auto"/>
              </w:rPr>
            </w:pPr>
            <w:r>
              <w:rPr>
                <w:rFonts w:ascii="Arial" w:cs="Arial" w:eastAsia="Arial" w:hAnsi="Arial"/>
                <w:sz w:val="18"/>
                <w:szCs w:val="18"/>
                <w:color w:val="auto"/>
              </w:rPr>
              <w:t>7</w:t>
            </w:r>
          </w:p>
        </w:tc>
      </w:tr>
      <w:tr>
        <w:trPr>
          <w:trHeight w:val="117"/>
        </w:trPr>
        <w:tc>
          <w:tcPr>
            <w:tcW w:w="1220" w:type="dxa"/>
            <w:vAlign w:val="bottom"/>
            <w:tcBorders>
              <w:bottom w:val="single" w:sz="8" w:color="808080"/>
            </w:tcBorders>
          </w:tcPr>
          <w:p>
            <w:pPr>
              <w:spacing w:after="0"/>
              <w:rPr>
                <w:sz w:val="10"/>
                <w:szCs w:val="10"/>
                <w:color w:val="auto"/>
              </w:rPr>
            </w:pPr>
          </w:p>
        </w:tc>
        <w:tc>
          <w:tcPr>
            <w:tcW w:w="10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1"/>
              </w:rPr>
              <w:t>Fair Value Measure at September 30, 2014</w:t>
            </w: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360"/>
              <w:spacing w:after="0" w:line="197"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60"/>
              <w:spacing w:after="0" w:line="197" w:lineRule="exact"/>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00"/>
              <w:spacing w:after="0" w:line="197"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Value at</w:t>
            </w: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Unobservable</w:t>
            </w: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Market</w:t>
            </w: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Inputs</w:t>
            </w:r>
          </w:p>
        </w:tc>
      </w:tr>
      <w:tr>
        <w:trPr>
          <w:trHeight w:val="24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504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1,637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Fair Value Measure at December 31, 2013</w:t>
            </w: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360"/>
              <w:spacing w:after="0" w:line="197"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60"/>
              <w:spacing w:after="0" w:line="197" w:lineRule="exact"/>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00"/>
              <w:spacing w:after="0" w:line="197"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Value at</w:t>
            </w: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Unobservable</w:t>
            </w: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Market</w:t>
            </w: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Inputs</w:t>
            </w:r>
          </w:p>
        </w:tc>
      </w:tr>
      <w:tr>
        <w:trPr>
          <w:trHeight w:val="24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Restricted cash - certificate of deposit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our level 2 asset, the fair value is based on information obtained from our third party service provider and approximates carrying value.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w:t>
      </w:r>
    </w:p>
    <w:p>
      <w:pPr>
        <w:spacing w:after="0" w:line="254"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In July 2012, Asure acquired the capital stock of Meeting Maker – United States, Inc.,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209"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will accrete up the note to its aggregate principal amount over the course of the life of the loan using the effective interest method. Details regarding the financing of the acquisition are described in Note 6 – Notes Payable. Transaction costs for this acquisition were $905 and we expensed them as incurred.</w:t>
      </w:r>
    </w:p>
    <w:p>
      <w:pPr>
        <w:spacing w:after="0" w:line="176"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9"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254"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July 2014, we acquired all of the issued and outstanding shares of common stock (the “Shares”) of FotoPunch, Inc., a Delaware corporation (“FotoPunch”),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aggregate consideration for the Shares consisted of (i) $1,500 in cash, a portion of which was used to pay certain obligations of FotoPunch and</w:t>
      </w:r>
    </w:p>
    <w:p>
      <w:pPr>
        <w:spacing w:after="0" w:line="46" w:lineRule="exact"/>
        <w:rPr>
          <w:sz w:val="20"/>
          <w:szCs w:val="20"/>
          <w:color w:val="auto"/>
        </w:rPr>
      </w:pPr>
    </w:p>
    <w:p>
      <w:pPr>
        <w:ind w:firstLine="8"/>
        <w:spacing w:after="0" w:line="258"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an additional $3,000 in post-closing earnout payments. We funded the $1,500 cash payment with proceeds from our credit agreement with Wells Fargo.</w:t>
      </w:r>
    </w:p>
    <w:p>
      <w:pPr>
        <w:spacing w:after="0" w:line="213"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The $3,000 earnout is payable over three earnout periods (with the first, second and third periods ending June 30, 2015, June 30, 2016 and June 30, 2018, respectively) based on the FotoPunch operations achieving specified target revenues in an earnout period. At least 75% of the target revenues must be achieved in the first and second earnout periods and at least 50% of the target revenues must be achieved in the third earnout period.</w:t>
      </w:r>
    </w:p>
    <w:p>
      <w:pPr>
        <w:spacing w:after="0" w:line="14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In August 2014, we acquired substantially all the assets of Roomtag, LLC (“Roomtag”). The aggregate consideration for the assets consisted of (i) $933 in cash, and (ii) an unsecured subordinated promissory note (“Note”) for $754. We funded the $933 cash payment with proceeds from our credit agreement with Wells Fargo. The Note bears interest at an annual rate of 5.00% and is payable on October 31, 2016.</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7"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w:t>
      </w:r>
    </w:p>
    <w:p>
      <w:pPr>
        <w:spacing w:after="0" w:line="197"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the changes in our goodwill:</w:t>
            </w:r>
          </w:p>
        </w:tc>
        <w:tc>
          <w:tcPr>
            <w:tcW w:w="2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4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4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16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w w:val="95"/>
              </w:rPr>
              <w:t>Goodwill recognized upon acquisition of FotoPunch</w:t>
            </w:r>
          </w:p>
        </w:tc>
        <w:tc>
          <w:tcPr>
            <w:tcW w:w="2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 recognized upon acquisition of Roomtag</w:t>
            </w:r>
          </w:p>
        </w:tc>
        <w:tc>
          <w:tcPr>
            <w:tcW w:w="2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6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Foreign exchange adjustment to goodwill</w:t>
            </w:r>
          </w:p>
        </w:tc>
        <w:tc>
          <w:tcPr>
            <w:tcW w:w="2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2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18,401</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2"/>
        </w:trPr>
        <w:tc>
          <w:tcPr>
            <w:tcW w:w="1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960" w:type="dxa"/>
            <w:vAlign w:val="bottom"/>
          </w:tcPr>
          <w:p>
            <w:pPr>
              <w:jc w:val="right"/>
              <w:ind w:right="263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September 30, 2014 and December 31, 2013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6"/>
              </w:rPr>
              <w:t>September 30, 2014</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7"/>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30"/>
              <w:spacing w:after="0" w:line="197"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Period (in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0"/>
        </w:trPr>
        <w:tc>
          <w:tcPr>
            <w:tcW w:w="512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r>
      <w:tr>
        <w:trPr>
          <w:trHeight w:val="215"/>
        </w:trPr>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8</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1,953</w:t>
            </w: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(6,761)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5,720</w:t>
            </w: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3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Trade Names</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7"/>
        </w:trPr>
        <w:tc>
          <w:tcPr>
            <w:tcW w:w="5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7.2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17,810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(9,650)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8,160</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0"/>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December 31, 2013</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30"/>
              <w:spacing w:after="0" w:line="197"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Period (in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0"/>
        </w:trPr>
        <w:tc>
          <w:tcPr>
            <w:tcW w:w="512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r>
      <w:tr>
        <w:trPr>
          <w:trHeight w:val="215"/>
        </w:trPr>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8.3</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1,983</w:t>
            </w: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(5,370)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7,111</w:t>
            </w: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3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Trade Names</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7"/>
        </w:trPr>
        <w:tc>
          <w:tcPr>
            <w:tcW w:w="5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7.2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17,605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(7,926)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9,679</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We record amortization expense using the straight-line method over the estimated economic useful lives of the intangible assets, as noted above. Amortization expenses for the three months ended September 30, 2014 and 2013 were $494 and $497, respectively, included in Operating Expenses. Amortization expenses recorded in Cost of Sales were $84 and $102 for the three months ended September 30, 2014 and 2013, respectively. Amortization expenses for the nine months ended September 30, 2014 and 2013 were $1,488 and $1,662 included in Operating Expenses, and $236 and $241, respectively, included in Cost of Sales.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00" w:type="dxa"/>
            <w:vAlign w:val="bottom"/>
            <w:gridSpan w:val="2"/>
          </w:tcPr>
          <w:p>
            <w:pPr>
              <w:ind w:left="2860"/>
              <w:spacing w:after="0"/>
              <w:rPr>
                <w:sz w:val="20"/>
                <w:szCs w:val="20"/>
                <w:color w:val="auto"/>
              </w:rPr>
            </w:pPr>
            <w:r>
              <w:rPr>
                <w:rFonts w:ascii="Arial" w:cs="Arial" w:eastAsia="Arial" w:hAnsi="Arial"/>
                <w:sz w:val="18"/>
                <w:szCs w:val="18"/>
                <w:b w:val="1"/>
                <w:bCs w:val="1"/>
                <w:color w:val="auto"/>
              </w:rPr>
              <w:t>Twelve Months Ended</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15"/>
        </w:trPr>
        <w:tc>
          <w:tcPr>
            <w:tcW w:w="288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December 31, 2014 (remaining)</w:t>
            </w:r>
          </w:p>
        </w:tc>
        <w:tc>
          <w:tcPr>
            <w:tcW w:w="1540" w:type="dxa"/>
            <w:vAlign w:val="bottom"/>
            <w:tcBorders>
              <w:top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5"/>
        </w:trPr>
        <w:tc>
          <w:tcPr>
            <w:tcW w:w="28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December 31, 2015</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2,178</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5"/>
        </w:trPr>
        <w:tc>
          <w:tcPr>
            <w:tcW w:w="288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5"/>
        </w:trPr>
        <w:tc>
          <w:tcPr>
            <w:tcW w:w="28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December 31, 2017</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5"/>
        </w:trPr>
        <w:tc>
          <w:tcPr>
            <w:tcW w:w="288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28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Thereafter</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55"/>
        </w:trPr>
        <w:tc>
          <w:tcPr>
            <w:tcW w:w="2880" w:type="dxa"/>
            <w:vAlign w:val="bottom"/>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8,160</w:t>
            </w:r>
          </w:p>
        </w:tc>
        <w:tc>
          <w:tcPr>
            <w:tcW w:w="1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r>
      <w:tr>
        <w:trPr>
          <w:trHeight w:val="599"/>
        </w:trPr>
        <w:tc>
          <w:tcPr>
            <w:tcW w:w="2880" w:type="dxa"/>
            <w:vAlign w:val="bottom"/>
          </w:tcPr>
          <w:p>
            <w:pPr>
              <w:spacing w:after="0"/>
              <w:rPr>
                <w:sz w:val="24"/>
                <w:szCs w:val="24"/>
                <w:color w:val="auto"/>
              </w:rPr>
            </w:pPr>
          </w:p>
        </w:tc>
        <w:tc>
          <w:tcPr>
            <w:tcW w:w="252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jc w:val="right"/>
              <w:ind w:right="105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40" w:type="dxa"/>
            <w:vAlign w:val="bottom"/>
          </w:tcPr>
          <w:p>
            <w:pPr>
              <w:spacing w:after="0"/>
              <w:rPr>
                <w:sz w:val="24"/>
                <w:szCs w:val="24"/>
                <w:color w:val="auto"/>
              </w:rPr>
            </w:pPr>
          </w:p>
        </w:tc>
      </w:tr>
      <w:tr>
        <w:trPr>
          <w:trHeight w:val="117"/>
        </w:trPr>
        <w:tc>
          <w:tcPr>
            <w:tcW w:w="288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line="73"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Stated Interest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7"/>
              </w:rPr>
              <w:t>Balance as of</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Arial" w:cs="Arial" w:eastAsia="Arial" w:hAnsi="Arial"/>
                <w:sz w:val="18"/>
                <w:szCs w:val="18"/>
                <w:b w:val="1"/>
                <w:bCs w:val="1"/>
                <w:color w:val="auto"/>
              </w:rPr>
              <w:t>Payable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Maturity</w:t>
            </w:r>
          </w:p>
        </w:tc>
        <w:tc>
          <w:tcPr>
            <w:tcW w:w="228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Rate</w:t>
            </w:r>
          </w:p>
        </w:tc>
        <w:tc>
          <w:tcPr>
            <w:tcW w:w="640" w:type="dxa"/>
            <w:vAlign w:val="bottom"/>
          </w:tcPr>
          <w:p>
            <w:pPr>
              <w:spacing w:after="0"/>
              <w:rPr>
                <w:sz w:val="20"/>
                <w:szCs w:val="20"/>
                <w:color w:val="auto"/>
              </w:rPr>
            </w:pPr>
          </w:p>
        </w:tc>
        <w:tc>
          <w:tcPr>
            <w:tcW w:w="22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September 30, 2014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1"/>
        </w:trPr>
        <w:tc>
          <w:tcPr>
            <w:tcW w:w="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9"/>
              </w:rPr>
              <w:t>Subordinated</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Convertible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Payable –</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9% Notes</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9/30/2014</w:t>
            </w:r>
          </w:p>
        </w:tc>
        <w:tc>
          <w:tcPr>
            <w:tcW w:w="7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1"/>
        </w:trPr>
        <w:tc>
          <w:tcPr>
            <w:tcW w:w="980" w:type="dxa"/>
            <w:vAlign w:val="bottom"/>
          </w:tcPr>
          <w:p>
            <w:pPr>
              <w:spacing w:after="0" w:line="201" w:lineRule="exact"/>
              <w:rPr>
                <w:sz w:val="20"/>
                <w:szCs w:val="20"/>
                <w:color w:val="auto"/>
              </w:rPr>
            </w:pPr>
            <w:r>
              <w:rPr>
                <w:rFonts w:ascii="Arial" w:cs="Arial" w:eastAsia="Arial" w:hAnsi="Arial"/>
                <w:sz w:val="18"/>
                <w:szCs w:val="18"/>
                <w:color w:val="auto"/>
                <w:w w:val="89"/>
              </w:rPr>
              <w:t>Subordinated</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Notes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Payable: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w w:val="96"/>
              </w:rPr>
              <w:t>PeopleCube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Acquisition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Note</w:t>
            </w:r>
          </w:p>
        </w:tc>
        <w:tc>
          <w:tcPr>
            <w:tcW w:w="1560" w:type="dxa"/>
            <w:vAlign w:val="bottom"/>
            <w:gridSpan w:val="3"/>
          </w:tcPr>
          <w:p>
            <w:pPr>
              <w:jc w:val="center"/>
              <w:ind w:left="610"/>
              <w:spacing w:after="0"/>
              <w:rPr>
                <w:sz w:val="20"/>
                <w:szCs w:val="20"/>
                <w:color w:val="auto"/>
              </w:rPr>
            </w:pPr>
            <w:r>
              <w:rPr>
                <w:rFonts w:ascii="Arial" w:cs="Arial" w:eastAsia="Arial" w:hAnsi="Arial"/>
                <w:sz w:val="18"/>
                <w:szCs w:val="18"/>
                <w:color w:val="auto"/>
                <w:w w:val="90"/>
              </w:rPr>
              <w:t>10/31/2014</w:t>
            </w:r>
          </w:p>
        </w:tc>
        <w:tc>
          <w:tcPr>
            <w:tcW w:w="700" w:type="dxa"/>
            <w:vAlign w:val="bottom"/>
          </w:tcPr>
          <w:p>
            <w:pPr>
              <w:spacing w:after="0"/>
              <w:rPr>
                <w:sz w:val="19"/>
                <w:szCs w:val="19"/>
                <w:color w:val="auto"/>
              </w:rPr>
            </w:pPr>
          </w:p>
        </w:tc>
        <w:tc>
          <w:tcPr>
            <w:tcW w:w="228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01"/>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Subordinated</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Roomtag</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Note</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10/31/2016</w:t>
            </w:r>
          </w:p>
        </w:tc>
        <w:tc>
          <w:tcPr>
            <w:tcW w:w="7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0.36%</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980" w:type="dxa"/>
            <w:vAlign w:val="bottom"/>
          </w:tcPr>
          <w:p>
            <w:pPr>
              <w:spacing w:after="0" w:line="201" w:lineRule="exact"/>
              <w:rPr>
                <w:sz w:val="20"/>
                <w:szCs w:val="20"/>
                <w:color w:val="auto"/>
              </w:rPr>
            </w:pPr>
            <w:r>
              <w:rPr>
                <w:rFonts w:ascii="Arial" w:cs="Arial" w:eastAsia="Arial" w:hAnsi="Arial"/>
                <w:sz w:val="18"/>
                <w:szCs w:val="18"/>
                <w:color w:val="auto"/>
              </w:rPr>
              <w:t>Senior Note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Payable</w:t>
            </w:r>
          </w:p>
        </w:tc>
        <w:tc>
          <w:tcPr>
            <w:tcW w:w="156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7/01/2016</w:t>
            </w:r>
          </w:p>
        </w:tc>
        <w:tc>
          <w:tcPr>
            <w:tcW w:w="700" w:type="dxa"/>
            <w:vAlign w:val="bottom"/>
          </w:tcPr>
          <w:p>
            <w:pPr>
              <w:spacing w:after="0"/>
              <w:rPr>
                <w:sz w:val="19"/>
                <w:szCs w:val="19"/>
                <w:color w:val="auto"/>
              </w:rPr>
            </w:pPr>
          </w:p>
        </w:tc>
        <w:tc>
          <w:tcPr>
            <w:tcW w:w="2280" w:type="dxa"/>
            <w:vAlign w:val="bottom"/>
            <w:gridSpan w:val="2"/>
          </w:tcPr>
          <w:p>
            <w:pPr>
              <w:jc w:val="right"/>
              <w:ind w:right="620"/>
              <w:spacing w:after="0"/>
              <w:rPr>
                <w:sz w:val="20"/>
                <w:szCs w:val="20"/>
                <w:color w:val="auto"/>
              </w:rPr>
            </w:pPr>
            <w:r>
              <w:rPr>
                <w:rFonts w:ascii="Arial" w:cs="Arial" w:eastAsia="Arial" w:hAnsi="Arial"/>
                <w:sz w:val="18"/>
                <w:szCs w:val="18"/>
                <w:color w:val="auto"/>
              </w:rPr>
              <w:t>11.50%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8"/>
                <w:szCs w:val="18"/>
                <w:color w:val="auto"/>
              </w:rPr>
              <w:t>14,548</w:t>
            </w:r>
          </w:p>
        </w:tc>
        <w:tc>
          <w:tcPr>
            <w:tcW w:w="0" w:type="dxa"/>
            <w:vAlign w:val="bottom"/>
          </w:tcPr>
          <w:p>
            <w:pPr>
              <w:spacing w:after="0"/>
              <w:rPr>
                <w:sz w:val="1"/>
                <w:szCs w:val="1"/>
                <w:color w:val="auto"/>
              </w:rPr>
            </w:pPr>
          </w:p>
        </w:tc>
      </w:tr>
      <w:tr>
        <w:trPr>
          <w:trHeight w:val="201"/>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Term Loan -</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9"/>
              </w:rPr>
              <w:t>Wells Fargo</w:t>
            </w:r>
          </w:p>
        </w:tc>
        <w:tc>
          <w:tcPr>
            <w:tcW w:w="156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2"/>
              </w:rPr>
              <w:t>3/31/2019</w:t>
            </w:r>
          </w:p>
        </w:tc>
        <w:tc>
          <w:tcPr>
            <w:tcW w:w="7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980" w:type="dxa"/>
            <w:vAlign w:val="bottom"/>
          </w:tcPr>
          <w:p>
            <w:pPr>
              <w:spacing w:after="0" w:line="201" w:lineRule="exact"/>
              <w:rPr>
                <w:sz w:val="20"/>
                <w:szCs w:val="20"/>
                <w:color w:val="auto"/>
              </w:rPr>
            </w:pPr>
            <w:r>
              <w:rPr>
                <w:rFonts w:ascii="Arial" w:cs="Arial" w:eastAsia="Arial" w:hAnsi="Arial"/>
                <w:sz w:val="18"/>
                <w:szCs w:val="18"/>
                <w:color w:val="auto"/>
              </w:rPr>
              <w:t>Revolver-</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w w:val="99"/>
              </w:rPr>
              <w:t>Wells Fargo</w:t>
            </w:r>
          </w:p>
        </w:tc>
        <w:tc>
          <w:tcPr>
            <w:tcW w:w="156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3/31/2019</w:t>
            </w:r>
          </w:p>
        </w:tc>
        <w:tc>
          <w:tcPr>
            <w:tcW w:w="700" w:type="dxa"/>
            <w:vAlign w:val="bottom"/>
          </w:tcPr>
          <w:p>
            <w:pPr>
              <w:spacing w:after="0"/>
              <w:rPr>
                <w:sz w:val="20"/>
                <w:szCs w:val="20"/>
                <w:color w:val="auto"/>
              </w:rPr>
            </w:pPr>
          </w:p>
        </w:tc>
        <w:tc>
          <w:tcPr>
            <w:tcW w:w="2280" w:type="dxa"/>
            <w:vAlign w:val="bottom"/>
            <w:gridSpan w:val="2"/>
          </w:tcPr>
          <w:p>
            <w:pPr>
              <w:jc w:val="right"/>
              <w:ind w:right="620"/>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980" w:type="dxa"/>
            <w:vAlign w:val="bottom"/>
            <w:shd w:val="clear" w:color="auto" w:fill="CCEEFF"/>
          </w:tcPr>
          <w:p>
            <w:pPr>
              <w:ind w:left="160"/>
              <w:spacing w:after="0" w:line="197" w:lineRule="exact"/>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16,710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17,006</w:t>
            </w:r>
          </w:p>
        </w:tc>
        <w:tc>
          <w:tcPr>
            <w:tcW w:w="0" w:type="dxa"/>
            <w:vAlign w:val="bottom"/>
          </w:tcPr>
          <w:p>
            <w:pPr>
              <w:spacing w:after="0"/>
              <w:rPr>
                <w:sz w:val="1"/>
                <w:szCs w:val="1"/>
                <w:color w:val="auto"/>
              </w:rPr>
            </w:pPr>
          </w:p>
        </w:tc>
      </w:tr>
      <w:tr>
        <w:trPr>
          <w:trHeight w:val="201"/>
        </w:trPr>
        <w:tc>
          <w:tcPr>
            <w:tcW w:w="980" w:type="dxa"/>
            <w:vAlign w:val="bottom"/>
          </w:tcPr>
          <w:p>
            <w:pPr>
              <w:ind w:left="340"/>
              <w:spacing w:after="0" w:line="201" w:lineRule="exact"/>
              <w:rPr>
                <w:sz w:val="20"/>
                <w:szCs w:val="20"/>
                <w:color w:val="auto"/>
              </w:rPr>
            </w:pPr>
            <w:r>
              <w:rPr>
                <w:rFonts w:ascii="Arial" w:cs="Arial" w:eastAsia="Arial" w:hAnsi="Arial"/>
                <w:sz w:val="18"/>
                <w:szCs w:val="18"/>
                <w:color w:val="auto"/>
              </w:rPr>
              <w:t>Short-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Arial" w:cs="Arial" w:eastAsia="Arial" w:hAnsi="Arial"/>
                <w:sz w:val="18"/>
                <w:szCs w:val="18"/>
                <w:color w:val="auto"/>
              </w:rPr>
              <w:t>term notes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payable</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0"/>
              <w:spacing w:after="0"/>
              <w:rPr>
                <w:sz w:val="20"/>
                <w:szCs w:val="20"/>
                <w:color w:val="auto"/>
              </w:rPr>
            </w:pPr>
            <w:r>
              <w:rPr>
                <w:rFonts w:ascii="Arial" w:cs="Arial" w:eastAsia="Arial" w:hAnsi="Arial"/>
                <w:sz w:val="18"/>
                <w:szCs w:val="18"/>
                <w:color w:val="auto"/>
              </w:rPr>
              <w:t>750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200" w:type="dxa"/>
            <w:vAlign w:val="bottom"/>
            <w:gridSpan w:val="4"/>
          </w:tcPr>
          <w:p>
            <w:pPr>
              <w:jc w:val="right"/>
              <w:ind w:right="7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01"/>
        </w:trPr>
        <w:tc>
          <w:tcPr>
            <w:tcW w:w="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Long-</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term notes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15,960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457"/>
        </w:trPr>
        <w:tc>
          <w:tcPr>
            <w:tcW w:w="8400" w:type="dxa"/>
            <w:vAlign w:val="bottom"/>
            <w:gridSpan w:val="11"/>
          </w:tcPr>
          <w:p>
            <w:pPr>
              <w:ind w:left="660"/>
              <w:spacing w:after="0"/>
              <w:rPr>
                <w:sz w:val="20"/>
                <w:szCs w:val="20"/>
                <w:color w:val="auto"/>
              </w:rPr>
            </w:pPr>
            <w:r>
              <w:rPr>
                <w:rFonts w:ascii="Arial" w:cs="Arial" w:eastAsia="Arial" w:hAnsi="Arial"/>
                <w:sz w:val="18"/>
                <w:szCs w:val="18"/>
                <w:color w:val="auto"/>
              </w:rPr>
              <w:t>The following table summarizes the future principal payments related to our outstanding debt: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980" w:type="dxa"/>
            <w:vAlign w:val="bottom"/>
          </w:tcPr>
          <w:p>
            <w:pPr>
              <w:spacing w:after="0"/>
              <w:rPr>
                <w:sz w:val="24"/>
                <w:szCs w:val="24"/>
                <w:color w:val="auto"/>
              </w:rPr>
            </w:pPr>
          </w:p>
        </w:tc>
        <w:tc>
          <w:tcPr>
            <w:tcW w:w="2260" w:type="dxa"/>
            <w:vAlign w:val="bottom"/>
            <w:gridSpan w:val="4"/>
          </w:tcPr>
          <w:p>
            <w:pPr>
              <w:ind w:left="460"/>
              <w:spacing w:after="0"/>
              <w:rPr>
                <w:sz w:val="20"/>
                <w:szCs w:val="20"/>
                <w:color w:val="auto"/>
              </w:rPr>
            </w:pPr>
            <w:r>
              <w:rPr>
                <w:rFonts w:ascii="Arial" w:cs="Arial" w:eastAsia="Arial" w:hAnsi="Arial"/>
                <w:sz w:val="18"/>
                <w:szCs w:val="18"/>
                <w:b w:val="1"/>
                <w:bCs w:val="1"/>
                <w:color w:val="auto"/>
              </w:rPr>
              <w:t>Year Ended</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6"/>
          </w:tcPr>
          <w:p>
            <w:pPr>
              <w:jc w:val="right"/>
              <w:ind w:right="1780"/>
              <w:spacing w:after="0"/>
              <w:rPr>
                <w:sz w:val="20"/>
                <w:szCs w:val="20"/>
                <w:color w:val="auto"/>
              </w:rPr>
            </w:pPr>
            <w:r>
              <w:rPr>
                <w:rFonts w:ascii="Arial" w:cs="Arial" w:eastAsia="Arial" w:hAnsi="Arial"/>
                <w:sz w:val="18"/>
                <w:szCs w:val="18"/>
                <w:b w:val="1"/>
                <w:bCs w:val="1"/>
                <w:color w:val="auto"/>
                <w:w w:val="97"/>
              </w:rPr>
              <w:t>Gross Amount</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9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11,150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Gross Notes Payable</w:t>
            </w: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16,779</w:t>
            </w:r>
          </w:p>
        </w:tc>
        <w:tc>
          <w:tcPr>
            <w:tcW w:w="120" w:type="dxa"/>
            <w:vAlign w:val="bottom"/>
            <w:shd w:val="clear" w:color="auto" w:fill="CCEEFF"/>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4080" w:type="dxa"/>
            <w:vAlign w:val="bottom"/>
            <w:gridSpan w:val="5"/>
          </w:tcPr>
          <w:p>
            <w:pPr>
              <w:spacing w:after="0"/>
              <w:rPr>
                <w:sz w:val="20"/>
                <w:szCs w:val="20"/>
                <w:color w:val="auto"/>
              </w:rPr>
            </w:pPr>
            <w:r>
              <w:rPr>
                <w:rFonts w:ascii="Arial" w:cs="Arial" w:eastAsia="Arial" w:hAnsi="Arial"/>
                <w:sz w:val="18"/>
                <w:szCs w:val="18"/>
                <w:b w:val="1"/>
                <w:bCs w:val="1"/>
                <w:color w:val="auto"/>
              </w:rPr>
              <w:t>Unamortized Original Issue Discount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16,710</w:t>
            </w:r>
          </w:p>
        </w:tc>
        <w:tc>
          <w:tcPr>
            <w:tcW w:w="120" w:type="dxa"/>
            <w:vAlign w:val="bottom"/>
            <w:shd w:val="clear" w:color="auto" w:fill="CCEEFF"/>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 - 9% Notes</w:t>
      </w:r>
    </w:p>
    <w:p>
      <w:pPr>
        <w:spacing w:after="0" w:line="250" w:lineRule="exact"/>
        <w:rPr>
          <w:sz w:val="20"/>
          <w:szCs w:val="20"/>
          <w:color w:val="auto"/>
        </w:rPr>
      </w:pPr>
    </w:p>
    <w:p>
      <w:pPr>
        <w:jc w:val="both"/>
        <w:ind w:right="100" w:firstLine="645"/>
        <w:spacing w:after="0" w:line="258" w:lineRule="auto"/>
        <w:rPr>
          <w:sz w:val="20"/>
          <w:szCs w:val="20"/>
          <w:color w:val="auto"/>
        </w:rPr>
      </w:pPr>
      <w:r>
        <w:rPr>
          <w:rFonts w:ascii="Arial" w:cs="Arial" w:eastAsia="Arial" w:hAnsi="Arial"/>
          <w:sz w:val="18"/>
          <w:szCs w:val="18"/>
          <w:color w:val="auto"/>
        </w:rPr>
        <w:t>In September 2011, we sold $1,500 of our 9% subordinated convertible notes (“9% Notes”) in a private placement to accredited investors to finance the ADI acquisition. The 9% Notes pay interest on each of March 31, June 30, September 30 and December 31, beginning on December 31, 2011, at a rate of 9% per year and will mature on September 30, 2014. The 9% Notes are secured by all of our assets, but are subordinated to our obligations under the Term Loan discussed below.</w:t>
      </w:r>
    </w:p>
    <w:p>
      <w:pPr>
        <w:spacing w:after="0" w:line="212" w:lineRule="exact"/>
        <w:rPr>
          <w:sz w:val="20"/>
          <w:szCs w:val="20"/>
          <w:color w:val="auto"/>
        </w:rPr>
      </w:pPr>
    </w:p>
    <w:p>
      <w:pPr>
        <w:jc w:val="both"/>
        <w:ind w:right="100" w:firstLine="645"/>
        <w:spacing w:after="0" w:line="286" w:lineRule="auto"/>
        <w:rPr>
          <w:sz w:val="20"/>
          <w:szCs w:val="20"/>
          <w:color w:val="auto"/>
        </w:rPr>
      </w:pPr>
      <w:r>
        <w:rPr>
          <w:rFonts w:ascii="Arial" w:cs="Arial" w:eastAsia="Arial" w:hAnsi="Arial"/>
          <w:sz w:val="16"/>
          <w:szCs w:val="16"/>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 under into shares of our common stock at the conversion price originally set forth in the 9% Notes ($5.00 per share of common stock) on or before March 15, 2012.</w:t>
      </w:r>
    </w:p>
    <w:p>
      <w:pPr>
        <w:spacing w:after="0" w:line="2" w:lineRule="exact"/>
        <w:rPr>
          <w:sz w:val="20"/>
          <w:szCs w:val="20"/>
          <w:color w:val="auto"/>
        </w:rPr>
      </w:pPr>
    </w:p>
    <w:p>
      <w:pPr>
        <w:jc w:val="both"/>
        <w:ind w:right="100"/>
        <w:spacing w:after="0" w:line="288" w:lineRule="auto"/>
        <w:rPr>
          <w:sz w:val="20"/>
          <w:szCs w:val="20"/>
          <w:color w:val="auto"/>
        </w:rPr>
      </w:pPr>
      <w:r>
        <w:rPr>
          <w:rFonts w:ascii="Arial" w:cs="Arial" w:eastAsia="Arial" w:hAnsi="Arial"/>
          <w:sz w:val="17"/>
          <w:szCs w:val="17"/>
          <w:color w:val="auto"/>
        </w:rPr>
        <w:t>Holders of approximately $1,400 of the total $1,500 of principal amount of 9% Notes converted their 9% Notes to common stock. The 9% Notes matured September 30, 2014. At September 30, 2014 and December 31, 2013, we had $0 and $238 outstanding, respectively, under the 9%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PeopleCube Acquisition Note</w:t>
      </w:r>
    </w:p>
    <w:p>
      <w:pPr>
        <w:spacing w:after="0" w:line="250" w:lineRule="exact"/>
        <w:rPr>
          <w:sz w:val="20"/>
          <w:szCs w:val="20"/>
          <w:color w:val="auto"/>
        </w:rPr>
      </w:pPr>
    </w:p>
    <w:p>
      <w:pPr>
        <w:jc w:val="both"/>
        <w:ind w:right="100" w:firstLine="645"/>
        <w:spacing w:after="0" w:line="340" w:lineRule="auto"/>
        <w:rPr>
          <w:sz w:val="20"/>
          <w:szCs w:val="20"/>
          <w:color w:val="auto"/>
        </w:rPr>
      </w:pPr>
      <w:r>
        <w:rPr>
          <w:rFonts w:ascii="Arial" w:cs="Arial" w:eastAsia="Arial" w:hAnsi="Arial"/>
          <w:sz w:val="16"/>
          <w:szCs w:val="16"/>
          <w:color w:val="auto"/>
        </w:rPr>
        <w:t>In July 2012, we issued a $3,000 Note to the seller in the PeopleCube stock acquisition. The note was due October 31, 2014, subject to offset of any amounts owed by the seller to us under the indemnification provisions of the stock purchase agreement. We recorded the note at fair value using a discount</w:t>
      </w:r>
    </w:p>
    <w:p>
      <w:pPr>
        <w:sectPr>
          <w:pgSz w:w="11900" w:h="16911" w:orient="portrait"/>
          <w:cols w:equalWidth="0" w:num="1">
            <w:col w:w="11520"/>
          </w:cols>
          <w:pgMar w:left="240" w:top="122" w:right="139" w:bottom="0" w:gutter="0" w:footer="0" w:header="0"/>
        </w:sectPr>
      </w:pPr>
    </w:p>
    <w:bookmarkStart w:id="11" w:name="page12"/>
    <w:bookmarkEnd w:id="11"/>
    <w:p>
      <w:pPr>
        <w:spacing w:after="0" w:line="275" w:lineRule="auto"/>
        <w:rPr>
          <w:sz w:val="20"/>
          <w:szCs w:val="20"/>
          <w:color w:val="auto"/>
        </w:rPr>
      </w:pPr>
      <w:r>
        <w:rPr>
          <w:rFonts w:ascii="Arial" w:cs="Arial" w:eastAsia="Arial" w:hAnsi="Arial"/>
          <w:sz w:val="18"/>
          <w:szCs w:val="18"/>
          <w:color w:val="auto"/>
        </w:rPr>
        <w:t>rate of 10%, which resulted in an original issue discount of $622, which will accrete up the note to its aggregate principal amount over the course of the life of the loan using the effective interest method.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9"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In the third quarter of 2013, we reached an agreement to settle our post-closing working capital adjustment dispute with PeopleCube Holding B.V. and Meeting Maker Holding B.V., the sellers of the capital stock of Meeting Maker – United States, Inc. (dba PeopleCube). The parties agreed to a post-closing adjustment due to us of $496, with accrued interest of $44, totaling $540. The parties agreed to reduce the original $3,000 deferred purchase payment by the post-closing adjustment amount of $540. This also had the effect of reducing our note by a like amount. The remaining deferred purchase price balance under the Subordinated Notes Payable: PeopleCube Acquisition Note became $2,460.</w:t>
      </w:r>
    </w:p>
    <w:p>
      <w:pPr>
        <w:spacing w:after="0" w:line="175" w:lineRule="exact"/>
        <w:rPr>
          <w:sz w:val="20"/>
          <w:szCs w:val="20"/>
          <w:color w:val="auto"/>
        </w:rPr>
      </w:pPr>
    </w:p>
    <w:p>
      <w:pPr>
        <w:jc w:val="both"/>
        <w:ind w:firstLine="690"/>
        <w:spacing w:after="0" w:line="290" w:lineRule="auto"/>
        <w:rPr>
          <w:sz w:val="20"/>
          <w:szCs w:val="20"/>
          <w:color w:val="auto"/>
        </w:rPr>
      </w:pPr>
      <w:r>
        <w:rPr>
          <w:rFonts w:ascii="Arial" w:cs="Arial" w:eastAsia="Arial" w:hAnsi="Arial"/>
          <w:sz w:val="16"/>
          <w:szCs w:val="16"/>
          <w:color w:val="auto"/>
        </w:rPr>
        <w:t>In February 2014, we reached an agreement to settle all claims and dismiss all pending litigation with PeopleCube Holding B.V. and Meeting Maker Holding B.V., the sellers of the capital stock of Meeting Maker – United States, Inc. (dba PeopleCube). 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Roomtag Acquisition Note</w:t>
      </w:r>
    </w:p>
    <w:p>
      <w:pPr>
        <w:spacing w:after="0" w:line="250"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In August 2014, we acquired substantially all the assets of Roomtag, LLC (“Roomtag”). The aggregate consideration for the assets consisted of (i) $933 in cash, and (ii) an unsecured subordinated promissory note (“Note”) for $754. We funded the $933 cash payment with proceeds from our credit agreement with Wells Fargo. The Note bears interest at an annual rate of 5.00% and is payable on October 31, 2016. We recorded the Note at fair value using a discount rate of 5%, which resulted in an original issue discount of $75, which will accrete up the note to its aggregate principal amount over the course of the life of the loan using the effective interest method. This Note is subordinated to our obligations under the Term Loan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Payable</w:t>
      </w:r>
    </w:p>
    <w:p>
      <w:pPr>
        <w:spacing w:after="0" w:line="22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175"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We made quarterly principal payments of $362 each on the senior note payable beginning October 1, 2012. We paid the required $2,000 principal payment in May 2013. The balance of this note of $14,085 was refinanced under a new facility with Wells Fargo Bank, N.A. in March 2014, as discussed below. We were in compliance with all covenant requirements as of December 31, 2013 and through the payoff date. We recorded a loss on debt refinancing of $1,402 in the first quarter of 2014, of which $704 is a pre-payment premium and $698 is non-cash deferred financing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 Fargo</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 and the payment of certain fees, cost and expenses related to the Credit Agreement.</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Credit Agreement provides for a term loan in the amount of $15,000. The term loan will mature in March 2019. The outstanding principal amount of the term loan is payable follows:</w:t>
      </w:r>
    </w:p>
    <w:p>
      <w:pPr>
        <w:spacing w:after="0" w:line="171" w:lineRule="exact"/>
        <w:rPr>
          <w:sz w:val="20"/>
          <w:szCs w:val="20"/>
          <w:color w:val="auto"/>
        </w:rPr>
      </w:pPr>
    </w:p>
    <w:p>
      <w:pPr>
        <w:ind w:left="1300" w:hanging="129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$188 on June 30, 2014 and the last day of each fiscal quarter thereafter up to March 31, 2016;</w:t>
      </w:r>
    </w:p>
    <w:p>
      <w:pPr>
        <w:spacing w:after="0" w:line="22" w:lineRule="exact"/>
        <w:rPr>
          <w:rFonts w:ascii="Arial" w:cs="Arial" w:eastAsia="Arial" w:hAnsi="Arial"/>
          <w:sz w:val="18"/>
          <w:szCs w:val="18"/>
          <w:color w:val="auto"/>
        </w:rPr>
      </w:pPr>
    </w:p>
    <w:p>
      <w:pPr>
        <w:ind w:left="1300" w:hanging="129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$281 on June 30, 2016 and the last day of each fiscal quarter thereafter up to March 31, 2017; and</w:t>
      </w:r>
    </w:p>
    <w:p>
      <w:pPr>
        <w:spacing w:after="0" w:line="8" w:lineRule="exact"/>
        <w:rPr>
          <w:rFonts w:ascii="Arial" w:cs="Arial" w:eastAsia="Arial" w:hAnsi="Arial"/>
          <w:sz w:val="18"/>
          <w:szCs w:val="18"/>
          <w:color w:val="auto"/>
        </w:rPr>
      </w:pPr>
    </w:p>
    <w:p>
      <w:pPr>
        <w:ind w:left="1300" w:right="360" w:hanging="1292"/>
        <w:spacing w:after="0" w:line="25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$375 on June 30, 2017 and the last day of each fiscal quarter thereafter, with a final payment of the remaining balance due on March 31, 2019</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first two scheduled principal payments of $188 each were made timely in June and September 2014.</w:t>
      </w:r>
    </w:p>
    <w:p>
      <w:pPr>
        <w:spacing w:after="0" w:line="223"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Under the revolver, $1,400 was outstanding and $1,600 was available for borrowing at September 30, 2014. In July 2014, we borrowed $1,500 under the revolver, which was used to fund a portion of the acquisition cost of all of the issued and outstanding shares of common stock of FotoPunch, Inc. In August 2014, we borrowed $1,000 under the revolver which was used to fund a portion of the acquisition cost of substantially all the assets of Roomtag, LLC. In September 2014, we repaid $1,100 on the revolver, leaving a balance of $1,400 at September 30, 2014.</w:t>
      </w:r>
    </w:p>
    <w:p>
      <w:pPr>
        <w:spacing w:after="0" w:line="16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was 5% for the first six months ended September 30, 2014. Interest is payable quarterly and the margin varies based upon our leverage ratio. See table below of applicable margin rates.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Base Rate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LIBOR Rate</w:t>
            </w:r>
          </w:p>
        </w:tc>
      </w:tr>
      <w:tr>
        <w:trPr>
          <w:trHeight w:val="240"/>
        </w:trPr>
        <w:tc>
          <w:tcPr>
            <w:tcW w:w="20" w:type="dxa"/>
            <w:vAlign w:val="bottom"/>
          </w:tcPr>
          <w:p>
            <w:pPr>
              <w:spacing w:after="0"/>
              <w:rPr>
                <w:sz w:val="20"/>
                <w:szCs w:val="20"/>
                <w:color w:val="auto"/>
              </w:rPr>
            </w:pPr>
          </w:p>
        </w:tc>
        <w:tc>
          <w:tcPr>
            <w:tcW w:w="52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Total Leverage Ratio</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Margin</w:t>
            </w:r>
          </w:p>
        </w:tc>
        <w:tc>
          <w:tcPr>
            <w:tcW w:w="3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&gt; 2.75:1.0</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&lt; 2.75:1.0 but &gt; 2.25:1</w:t>
            </w:r>
          </w:p>
        </w:tc>
        <w:tc>
          <w:tcPr>
            <w:tcW w:w="1740" w:type="dxa"/>
            <w:vAlign w:val="bottom"/>
            <w:gridSpan w:val="3"/>
          </w:tcPr>
          <w:p>
            <w:pPr>
              <w:jc w:val="right"/>
              <w:ind w:right="160"/>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&lt; 2.25:1</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201"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We may voluntarily prepay the principal amount outstanding under the revolving loan at any time without penalty or premium. However,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w:t>
      </w:r>
    </w:p>
    <w:p>
      <w:pPr>
        <w:spacing w:after="0" w:line="162"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The Credit Agreement was amended in August 2014. The Amendment revised the leverage ratio beginning with the quarter ending September 30, 2014 to a leverage ratio of not greater than 3.6 to 1.0 with the levels stepping down thereafter.</w:t>
      </w:r>
    </w:p>
    <w:p>
      <w:pPr>
        <w:spacing w:after="0" w:line="19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98" w:lineRule="exact"/>
        <w:rPr>
          <w:sz w:val="20"/>
          <w:szCs w:val="20"/>
          <w:color w:val="auto"/>
        </w:rPr>
      </w:pPr>
    </w:p>
    <w:p>
      <w:pPr>
        <w:jc w:val="both"/>
        <w:ind w:right="20" w:firstLine="699"/>
        <w:spacing w:after="0" w:line="340" w:lineRule="auto"/>
        <w:rPr>
          <w:sz w:val="20"/>
          <w:szCs w:val="20"/>
          <w:color w:val="auto"/>
        </w:rPr>
      </w:pPr>
      <w:r>
        <w:rPr>
          <w:rFonts w:ascii="Arial" w:cs="Arial" w:eastAsia="Arial" w:hAnsi="Arial"/>
          <w:sz w:val="16"/>
          <w:szCs w:val="16"/>
          <w:color w:val="auto"/>
        </w:rPr>
        <w:t>We were in compliance with the covenant requirements as of September 30, 2014 and expect to be in compliance or be able to obtain compliance through debt repayments with the available cash on hand or as expected to be generated from operations over the subsequent twelve month period.</w:t>
      </w:r>
    </w:p>
    <w:p>
      <w:pPr>
        <w:spacing w:after="0" w:line="124"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82"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2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Share based compensation for our stock option plans for the three months ended September 30, 2014 and 2013 were $50 and $44, respectively, and $131 and $113 for the nine months ended September 30, 2014 and 2013, respectively. We issued 1,500 and 0 shares of common stock related to exercises of stock options granted from our Stock Option Plan for the three months ended September 30, 2014 and 2013, respectively.</w:t>
      </w:r>
    </w:p>
    <w:p>
      <w:pPr>
        <w:spacing w:after="0" w:line="164"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728,000 options granted and outstanding pursuant to the 2009 Plan as of September 30,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LOSS</w:t>
      </w:r>
    </w:p>
    <w:p>
      <w:pPr>
        <w:spacing w:after="0" w:line="254"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Comprehensive loss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net of tax:</w:t>
      </w: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Accumulated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Foreign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Currency Items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Loss Items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2013</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Amounts reclassified from accumulated other comprehensive income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current-period other comprehensive loss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tax benefit (expense) allocated to each component of other comprehensive income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2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0"/>
              </w:rPr>
              <w:t>Three Months Ended September 30, 2014</w:t>
            </w:r>
          </w:p>
        </w:tc>
        <w:tc>
          <w:tcPr>
            <w:tcW w:w="1420" w:type="dxa"/>
            <w:vAlign w:val="bottom"/>
          </w:tcPr>
          <w:p>
            <w:pPr>
              <w:spacing w:after="0"/>
              <w:rPr>
                <w:sz w:val="20"/>
                <w:szCs w:val="20"/>
                <w:color w:val="auto"/>
              </w:rPr>
            </w:pPr>
          </w:p>
        </w:tc>
      </w:tr>
      <w:tr>
        <w:trPr>
          <w:trHeight w:val="222"/>
        </w:trPr>
        <w:tc>
          <w:tcPr>
            <w:tcW w:w="14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Before Tax</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Tax Benefit</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5"/>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79"/>
              </w:rPr>
              <w:t>14</w:t>
            </w:r>
          </w:p>
        </w:tc>
        <w:tc>
          <w:tcPr>
            <w:tcW w:w="12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5"/>
        </w:trPr>
        <w:tc>
          <w:tcPr>
            <w:tcW w:w="144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79"/>
              </w:rPr>
              <w:t>14</w:t>
            </w:r>
          </w:p>
        </w:tc>
        <w:tc>
          <w:tcPr>
            <w:tcW w:w="120" w:type="dxa"/>
            <w:vAlign w:val="bottom"/>
            <w:shd w:val="clear" w:color="auto" w:fill="CCEEFF"/>
          </w:tcPr>
          <w:p>
            <w:pPr>
              <w:spacing w:after="0"/>
              <w:rPr>
                <w:sz w:val="20"/>
                <w:szCs w:val="20"/>
                <w:color w:val="auto"/>
              </w:rPr>
            </w:pPr>
          </w:p>
        </w:tc>
        <w:tc>
          <w:tcPr>
            <w:tcW w:w="1420" w:type="dxa"/>
            <w:vAlign w:val="bottom"/>
          </w:tcPr>
          <w:p>
            <w:pPr>
              <w:spacing w:after="0"/>
              <w:rPr>
                <w:sz w:val="20"/>
                <w:szCs w:val="20"/>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57"/>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9"/>
          </w:tcPr>
          <w:p>
            <w:pPr>
              <w:ind w:left="540"/>
              <w:spacing w:after="0"/>
              <w:rPr>
                <w:sz w:val="20"/>
                <w:szCs w:val="20"/>
                <w:color w:val="auto"/>
              </w:rPr>
            </w:pPr>
            <w:r>
              <w:rPr>
                <w:rFonts w:ascii="Arial" w:cs="Arial" w:eastAsia="Arial" w:hAnsi="Arial"/>
                <w:sz w:val="18"/>
                <w:szCs w:val="18"/>
                <w:b w:val="1"/>
                <w:bCs w:val="1"/>
                <w:color w:val="auto"/>
              </w:rPr>
              <w:t>Nine Months Ended September 30, 2014</w:t>
            </w:r>
          </w:p>
        </w:tc>
        <w:tc>
          <w:tcPr>
            <w:tcW w:w="142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Before Tax</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Tax Benefit</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5"/>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(4)</w:t>
            </w:r>
          </w:p>
        </w:tc>
        <w:tc>
          <w:tcPr>
            <w:tcW w:w="142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5"/>
        </w:trPr>
        <w:tc>
          <w:tcPr>
            <w:tcW w:w="1440" w:type="dxa"/>
            <w:vAlign w:val="bottom"/>
          </w:tcPr>
          <w:p>
            <w:pPr>
              <w:spacing w:after="0"/>
              <w:rPr>
                <w:sz w:val="22"/>
                <w:szCs w:val="2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(4)</w:t>
            </w:r>
          </w:p>
        </w:tc>
        <w:tc>
          <w:tcPr>
            <w:tcW w:w="1420" w:type="dxa"/>
            <w:vAlign w:val="bottom"/>
          </w:tcPr>
          <w:p>
            <w:pPr>
              <w:spacing w:after="0"/>
              <w:rPr>
                <w:sz w:val="22"/>
                <w:szCs w:val="22"/>
                <w:color w:val="auto"/>
              </w:rPr>
            </w:pPr>
          </w:p>
        </w:tc>
      </w:tr>
      <w:tr>
        <w:trPr>
          <w:trHeight w:val="599"/>
        </w:trPr>
        <w:tc>
          <w:tcPr>
            <w:tcW w:w="1440" w:type="dxa"/>
            <w:vAlign w:val="bottom"/>
          </w:tcPr>
          <w:p>
            <w:pPr>
              <w:spacing w:after="0"/>
              <w:rPr>
                <w:sz w:val="24"/>
                <w:szCs w:val="24"/>
                <w:color w:val="auto"/>
              </w:rPr>
            </w:pPr>
          </w:p>
        </w:tc>
        <w:tc>
          <w:tcPr>
            <w:tcW w:w="33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20" w:type="dxa"/>
            <w:vAlign w:val="bottom"/>
          </w:tcPr>
          <w:p>
            <w:pPr>
              <w:spacing w:after="0"/>
              <w:rPr>
                <w:sz w:val="24"/>
                <w:szCs w:val="24"/>
                <w:color w:val="auto"/>
              </w:rPr>
            </w:pPr>
          </w:p>
        </w:tc>
      </w:tr>
      <w:tr>
        <w:trPr>
          <w:trHeight w:val="117"/>
        </w:trPr>
        <w:tc>
          <w:tcPr>
            <w:tcW w:w="144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INCOME (LOSS) PER SHARE</w:t>
      </w:r>
    </w:p>
    <w:p>
      <w:pPr>
        <w:spacing w:after="0" w:line="254"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We compute net income (loss) per share based on the weighted average number of common shares outstanding for the period. Diluted net income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209,000 and 728,000 shares for the three and nine months ended September 30, 2014, respectively, and 158,725 and 691,000 shares for the three and nine months ended September 30, 2013, respectively, from the computation of the dilutive stock options because the effect of including the stock options would have been anti-dilutive.</w:t>
      </w:r>
    </w:p>
    <w:p>
      <w:pPr>
        <w:spacing w:after="0" w:line="218"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The following table sets forth the computation of basic and diluted net loss per common share for the three and nine months ended September 30, 2014 and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7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For the Nine Months</w:t>
            </w:r>
          </w:p>
        </w:tc>
      </w:tr>
      <w:tr>
        <w:trPr>
          <w:trHeight w:val="240"/>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Ended September 30,</w:t>
            </w:r>
          </w:p>
        </w:tc>
        <w:tc>
          <w:tcPr>
            <w:tcW w:w="280" w:type="dxa"/>
            <w:vAlign w:val="bottom"/>
          </w:tcPr>
          <w:p>
            <w:pPr>
              <w:spacing w:after="0"/>
              <w:rPr>
                <w:sz w:val="20"/>
                <w:szCs w:val="20"/>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Ended September 30,</w:t>
            </w:r>
          </w:p>
        </w:tc>
      </w:tr>
      <w:tr>
        <w:trPr>
          <w:trHeight w:val="222"/>
        </w:trPr>
        <w:tc>
          <w:tcPr>
            <w:tcW w:w="5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(1,560)</w:t>
            </w:r>
          </w:p>
        </w:tc>
      </w:tr>
      <w:tr>
        <w:trPr>
          <w:trHeight w:val="215"/>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6,008,000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5,929,000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5,986,000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5,565,000</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Dilutive effect of employee stock options</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276,000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diluted net income (loss) per share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6,284,000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6,217,000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5,986,000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5,565,000</w:t>
            </w:r>
          </w:p>
        </w:tc>
      </w:tr>
      <w:tr>
        <w:trPr>
          <w:trHeight w:val="215"/>
        </w:trPr>
        <w:tc>
          <w:tcPr>
            <w:tcW w:w="516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0.03</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0.02</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(0.06)</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(0.28)</w:t>
            </w: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(0.28)</w:t>
            </w:r>
          </w:p>
        </w:tc>
      </w:tr>
      <w:tr>
        <w:trPr>
          <w:trHeight w:val="814"/>
        </w:trPr>
        <w:tc>
          <w:tcPr>
            <w:tcW w:w="5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7"/>
        </w:trPr>
        <w:tc>
          <w:tcPr>
            <w:tcW w:w="5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The following review of Asure’s financial position as of and for the three months and nine months ended September 30, 2014 and 2013 should be read in conjunction with our 2013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6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workspace management solutions that enable companies of all sizes and complexities to operate more efficiently and proactively manage costs associated with their most expensive assets: real estate, labor and technology.</w:t>
      </w:r>
    </w:p>
    <w:p>
      <w:pPr>
        <w:spacing w:after="0" w:line="209"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We currently offer two main product lines, AsureSpace™ and AsureForce®. Our AsureSpace™ workplace management solutions enable organizations to manage their office environments and optimize real estate utilization. Our AsureForce® time and labor management solutions help organizations optimize labor and labor administration costs and activities.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w:t>
      </w:r>
    </w:p>
    <w:p>
      <w:pPr>
        <w:spacing w:after="0" w:line="176"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the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Comprehensive Income (Loss) for the fiscal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FOR THE THREE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rPr>
              <w:t>FOR THE NINE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4960" w:type="dxa"/>
            <w:vAlign w:val="bottom"/>
          </w:tcPr>
          <w:p>
            <w:pPr>
              <w:spacing w:after="0"/>
              <w:rPr>
                <w:sz w:val="18"/>
                <w:szCs w:val="18"/>
                <w:color w:val="auto"/>
              </w:rPr>
            </w:pPr>
          </w:p>
        </w:tc>
        <w:tc>
          <w:tcPr>
            <w:tcW w:w="20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9"/>
              </w:rPr>
              <w:t>MONTHS ENDED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9"/>
              </w:rPr>
              <w:t>MONTHS ENDED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0"/>
        </w:trPr>
        <w:tc>
          <w:tcPr>
            <w:tcW w:w="496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7"/>
              </w:rPr>
              <w:t>SEPTEMBER 30,</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7"/>
              </w:rPr>
              <w:t>SEPTEMBER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4960" w:type="dxa"/>
            <w:vAlign w:val="bottom"/>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19"/>
                <w:szCs w:val="19"/>
                <w:color w:val="auto"/>
              </w:rPr>
            </w:pPr>
          </w:p>
        </w:tc>
      </w:tr>
      <w:tr>
        <w:trPr>
          <w:trHeight w:val="215"/>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Gross margin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77.5</w:t>
            </w: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r>
      <w:tr>
        <w:trPr>
          <w:trHeight w:val="215"/>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w:t>
            </w: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r>
      <w:tr>
        <w:trPr>
          <w:trHeight w:val="215"/>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69.9</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68.8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71.3</w:t>
            </w: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73.1</w:t>
            </w:r>
          </w:p>
        </w:tc>
      </w:tr>
      <w:tr>
        <w:trPr>
          <w:trHeight w:val="215"/>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AND NINE MONTHS ENDED SEPTEMBER 30, 2014 AND 2013 (Amounts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5160" w:type="dxa"/>
            <w:vAlign w:val="bottom"/>
            <w:gridSpan w:val="2"/>
          </w:tcPr>
          <w:p>
            <w:pPr>
              <w:ind w:left="660"/>
              <w:spacing w:after="0"/>
              <w:rPr>
                <w:sz w:val="20"/>
                <w:szCs w:val="20"/>
                <w:color w:val="auto"/>
              </w:rPr>
            </w:pPr>
            <w:r>
              <w:rPr>
                <w:rFonts w:ascii="Arial" w:cs="Arial" w:eastAsia="Arial" w:hAnsi="Arial"/>
                <w:sz w:val="18"/>
                <w:szCs w:val="18"/>
                <w:color w:val="auto"/>
              </w:rPr>
              <w:t>Our revenue was derived from the following sources: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rPr>
              <w:t>FOR THE THREE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9"/>
              </w:rPr>
              <w:t>MONTHS 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400"/>
              <w:spacing w:after="0" w:line="197" w:lineRule="exact"/>
              <w:rPr>
                <w:sz w:val="20"/>
                <w:szCs w:val="20"/>
                <w:color w:val="auto"/>
              </w:rPr>
            </w:pPr>
            <w:r>
              <w:rPr>
                <w:rFonts w:ascii="Arial" w:cs="Arial" w:eastAsia="Arial" w:hAnsi="Arial"/>
                <w:sz w:val="18"/>
                <w:szCs w:val="18"/>
                <w:b w:val="1"/>
                <w:bCs w:val="1"/>
                <w:color w:val="auto"/>
                <w:w w:val="87"/>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5"/>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 revenue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15"/>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15"/>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7,030</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rPr>
              <w:t>FOR THE NINE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9"/>
              </w:rPr>
              <w:t>MONTHS 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400"/>
              <w:spacing w:after="0" w:line="197" w:lineRule="exact"/>
              <w:rPr>
                <w:sz w:val="20"/>
                <w:szCs w:val="20"/>
                <w:color w:val="auto"/>
              </w:rPr>
            </w:pPr>
            <w:r>
              <w:rPr>
                <w:rFonts w:ascii="Arial" w:cs="Arial" w:eastAsia="Arial" w:hAnsi="Arial"/>
                <w:sz w:val="18"/>
                <w:szCs w:val="18"/>
                <w:b w:val="1"/>
                <w:bCs w:val="1"/>
                <w:color w:val="auto"/>
                <w:w w:val="87"/>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5"/>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 revenue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5"/>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15"/>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20,105</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1,363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9"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and FotoPunch revenues.</w:t>
      </w:r>
    </w:p>
    <w:p>
      <w:pPr>
        <w:sectPr>
          <w:pgSz w:w="11900" w:h="16838" w:orient="portrait"/>
          <w:cols w:equalWidth="0" w:num="1">
            <w:col w:w="11420"/>
          </w:cols>
          <w:pgMar w:left="240" w:top="122"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2"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Revenue for the three months ended September 30, 2014 was $7,030, an increase of $560 or 8.7%, from the $6,470 reported for the three months ended September 30, 2013. Cloud revenue, hardware revenue and professional services revenue all increased from the third quarter of 2013 due to our continued emphasis on selling integrated cloud based solutions. AsureSpace™ revenue for the three months ended September 30, 2014 was $4,400, an increase of $851 or 24.0%, from the $3,549 recorded for the three months ended September 30, 2013. This increase was primarily due to an increase in PeopleCube cloud revenue, hardware revenue and professional services revenue. AsureForce® revenue for the three months ended September 30, 2014 was $2,630, a decrease of $291 or 10.0%, from the $2,921 recorded for the three months ended September 30, 2013. This decrease was primarily due to a decrease in all Legiant revenues (primarily hardware revenue, cloud revenue, maintenance and support revenue and on premise software license revenue), as well as a decrease in ADI hardware revenue, on premise software license revenue and professional services revenue and iEmployee cloud revenue and professional services revenue. These decreases were offset by increases in ADI cloud and maintenance and support revenue.</w:t>
      </w:r>
    </w:p>
    <w:p>
      <w:pPr>
        <w:spacing w:after="0" w:line="191"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auto"/>
        </w:rPr>
        <w:t>Revenues for the nine months ended September 30, 2014 were $20,105, an increase of $1,363 or 7.3%, from the $18,742 reported for the nine months ended September 30, 2013. This increase was primarily due to an increase in cloud revenue, hardware revenue and professional services revenue, offset by smaller decreases in maintenance and support revenue and on premise software license revenue. AsureSpace™ revenue for the nine months ended September 30, 2014 was $12,033, an increase of $1,907 or 18.8%, from the $10,126 recorded for the nine months ended September 30, 2013. This increase was primarily due to an increase in PeopleCube hardware revenue and professional services revenue. AsureForce® revenue for the nine months ended September 30, 2014 was $8,072, a decrease of $544 or 6.3%, from the $8,616 recorded for the nine months ended September 30, 2013. This decrease was primarily due to decreases in all Legiant revenues, ADI hardware revenue and on premise software license revenue and iEmployee cloud revenue, hardware revenue and professional services revenue, offset by increases in ADI cloud revenue and professional services revenue.</w:t>
      </w:r>
    </w:p>
    <w:p>
      <w:pPr>
        <w:spacing w:after="0" w:line="190" w:lineRule="exact"/>
        <w:rPr>
          <w:sz w:val="20"/>
          <w:szCs w:val="20"/>
          <w:color w:val="auto"/>
        </w:rPr>
      </w:pPr>
    </w:p>
    <w:p>
      <w:pPr>
        <w:jc w:val="both"/>
        <w:ind w:right="20" w:firstLine="645"/>
        <w:spacing w:after="0" w:line="295" w:lineRule="auto"/>
        <w:rPr>
          <w:sz w:val="20"/>
          <w:szCs w:val="20"/>
          <w:color w:val="auto"/>
        </w:rPr>
      </w:pPr>
      <w:r>
        <w:rPr>
          <w:rFonts w:ascii="Arial" w:cs="Arial" w:eastAsia="Arial" w:hAnsi="Arial"/>
          <w:sz w:val="16"/>
          <w:szCs w:val="16"/>
          <w:color w:val="auto"/>
        </w:rPr>
        <w:t>Although our sales are concentrated in certain industry sectors, including corporate, education, healthcare, government, legal and non-profit, our total customer base is widely spread across industries. Geographically, we sell our products worldwide, but sales are largely concentrated in the United States, Canada and Europe. Additionally, we have a distribution partner in Australia. We continue to target small and medium size businesses and divisions of enterprises in these same industries as prospective customers. As the overall workforce management solutions market continues to experience significant growth related to SaaS products, we will continue to focus on sales of Meeting Room Manager On Demand, PeopleCube and ADI SaaS products.</w:t>
      </w:r>
    </w:p>
    <w:p>
      <w:pPr>
        <w:spacing w:after="0" w:line="18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In addition to continuing to develop our workforce and workspace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 based workplace technologies.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7"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Consolidated gross margin for the three months ended September 30, 2014 was $5,435, an increase of $507, or 10.3%, from the $4,928 reported for the three months ended September 30, 2013. Gross margin as a percentage of revenues was 77.3% and 76.2% for the three months ended September 30, 2014 and 2013, respectively. Consolidated gross margin for the nine months ended September 30, 2014 was $15,579, an increase of $1,638, or 11.8%, from the $13,941 reported for the nine months ended September 30, 2013. Gross margin as a percentage of revenues was 77.5% and 74.4% for the nine months ended September 30, 2014 and 2013, respectively. We attribute the increase in gross margin to gained efficiencies from the consolidation of hosting and support costs after the PeopleCube acquisition which occurred in the third quarter of 2012 as well as a shift in revenue mix toward higher margin items such as cloud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Selling, general and administrative (“SG&amp;A”) expenses for the three months ended September 30, 2014 were $3,553, an increase of $337 or 10.5%, from the $3,216 reported for the three months ended September 30, 2013. SG&amp;A expenses as a percentage of revenues were 50.5% and 49.7% for the three months ended September 30, 2014 and 2013, respectively.</w:t>
      </w:r>
    </w:p>
    <w:p>
      <w:pPr>
        <w:spacing w:after="0" w:line="20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Selling, general and administrative (“SG&amp;A”) expenses for the nine months ended September 30, 2014 were $10,410, an increase of $471 or 4.7%, from the $9,939 reported for the nine months ended September 30, 2013. SG&amp;A expenses as a percentage of revenues were 51.8% and 53.0% for the nine months ended September 30, 2014 and 2013, respectively.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evaluate any unnecessary SG&amp;A expenses and plan to further reduce expenses as appropriate.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Research and development (“R&amp;D”) expenses for the three months ended September 30, 2014 were $868, an increase of $132, or 17.9%, from the $736 reported for the three months ended September 30, 2013. R&amp;D expenses as a percentage of revenues were 12.3% and 11.4% for the three months ended September 30, 2014 and 2013, respectively.</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Research and development (“R&amp;D”) expenses for the nine months ended September 30, 2014 were $2,444, an increase of $344, or 16.4%, from the $2,100 reported for the nine months ended September 30, 2013. R&amp;D expenses as a percentage of revenues were 12.2% and 11.2% for the nine months ended September 30, 2014 and 2013, respectively.</w:t>
      </w:r>
    </w:p>
    <w:p>
      <w:pPr>
        <w:spacing w:after="0" w:line="20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increase in both quarter and year to date R&amp;D expenses is due to an increase in headcount and the related placement fees, as well as severance expense for an employee recorded in the second quarter of 2014. These increases reflect our commitment to expand and enhance our industry leading tools and technology.</w:t>
      </w:r>
    </w:p>
    <w:p>
      <w:pPr>
        <w:spacing w:after="0" w:line="20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85"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2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Amortization expenses for the three months ended September 30, 2014 were $494, a decrease of $3, or 0.60%, from the $497 reported for the three months ended September 30, 2013. Amortization expenses as a percentage of revenues were 7.0% and 7.7% for the three months ended September 30, 2014 and 2013, respectively. Amortization expenses for the nine months ended September 30, 2014 were $1,488, a decrease of $174 or 10.5% compared to $1,662, reported for the nine months ended September 30, 2013. Amortization expenses as a percentage of revenues were 7.4% and 8.9% for the nine months ended September 30, 2014 and 2013, respectively. This decrease is the result of some of PeopleCube’s intangible assets being sold in the third quarter of 2013 and others becoming fully amortized.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w:t>
      </w:r>
    </w:p>
    <w:p>
      <w:pPr>
        <w:spacing w:after="0" w:line="227"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Other loss for the three months ended September 30, 2014 was $(296), a decrease of $35, or 10.6%, from the $(331) reported for the three months ended September 30, 2013. Other loss as a percentage of revenues was 4.2% and 5.1% for the three months ended September 30, 2014 and 2013, respectively. Other loss for the three months ended September 30, 2014 is composed primarily of interest expense on notes payable of $288. Other loss for the three months ended September 30, 2013 is composed primarily of interest expense on notes payable of $328 and amortization of OID of $128.</w:t>
      </w:r>
    </w:p>
    <w:p>
      <w:pPr>
        <w:spacing w:after="0" w:line="182"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Other loss for the nine months ended September 30, 2014 was $(1,451), a decrease of $229, or 13.6%, from the $(1,680) reported for the nine months ended September 30, 2013. Other expense as a percentage of revenues was 7.2% and 9.0% for the nine months ended September 30, 2014 and 2013, respectively. Other loss for the nine months ended September 30, 2014 is composed primarily of a loss on debt refinancing of $1,402, offset by a gain on the settlement of the PeopleCube litigation of $1,034. Interest expense on notes payable was $1,009 and amortization of OID on notes payable was $64 for the nine months ended September 30, 2014 as compared to interest expense on notes payable of $1,378 and amortization of OID of $403 for the nine months ended September 30,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Income tax expense for the three months ended September 30, 2014 was $63, an increase of $24, or 61.5%, from the $39 reported for the three months ended September 30, 2013.</w:t>
      </w:r>
    </w:p>
    <w:p>
      <w:pPr>
        <w:spacing w:after="0" w:line="19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Income tax expense for the nine months ended September 30, 2014 was $140, an increase of $20, or 16.7%, from the $120 reported for the nine months ended September 30, 2013,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We generated net income of $161, or $0.03 per share, during the three months ended September 30, 2014, compared to net income of $109 or $0.02 per share reported for the three months ended September 30, 2013. Net income as a percentage of total revenues was 2.3% for the three months ended September 30, 2014 compared to net income of 1.7% of total revenues for the three months ended September 30, 2013.</w:t>
      </w:r>
    </w:p>
    <w:p>
      <w:pPr>
        <w:spacing w:after="0" w:line="19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We generated a net loss of $(354), or $(0.06) per share, during the nine months ended September 30, 2014, compared to a net loss of $(1,560) or $(0.28) per share reported for the nine months ended September 30, 2013. Net loss as a percentage of total revenues was 1.8% for the nine months ended September 30, 2014 compared to net loss of 8.3% of total revenues for the nine months ended September 30, 2013.</w:t>
      </w:r>
    </w:p>
    <w:p>
      <w:pPr>
        <w:spacing w:after="0" w:line="20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44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4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1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6"/>
          </w:tcPr>
          <w:p>
            <w:pPr>
              <w:jc w:val="right"/>
              <w:ind w:right="13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4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We had a working capital deficit of $6,331 at September 30, 2014, a decrease of $1,506 from the $7,837 deficit at December 31, 2013. The working capital deficit at September 30, 2014 and December 31, 2013 includes $9,455 and $10,059 of deferred revenue, respectively. Deferred revenue is an obligation to perform future services. We expect that deferred revenue will convert to future revenue as we perform our services, but this does not represent future payments. We attribute the decrease in our working capital deficit to a decrease in current notes payable of $3,558, together with a decrease in deferred revenue of $604. Deferred revenue can vary based on seasonality, expiration of initial multi-year contracts and deals that are billed after implementation rather than in advance of service delivery. This is offset by a decrease in cash and cash equivalents of $2,301. Cash and current notes payable decreased primarily due to the payoff of the Deerpath note and the payoff of the PeopleCube note (through the settlement of the litigation), offset by the new term note with Wells Fargo in the first quarter of 2014.</w:t>
      </w:r>
    </w:p>
    <w:p>
      <w:pPr>
        <w:spacing w:after="0" w:line="176"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u w:val="single" w:color="auto"/>
          <w:color w:val="auto"/>
        </w:rPr>
        <w:t>Operating Activities</w:t>
      </w:r>
      <w:r>
        <w:rPr>
          <w:rFonts w:ascii="Arial" w:cs="Arial" w:eastAsia="Arial" w:hAnsi="Arial"/>
          <w:sz w:val="17"/>
          <w:szCs w:val="17"/>
          <w:color w:val="auto"/>
        </w:rPr>
        <w:t>. Cash provided by operating activities was $1,671 for the nine months ended September 30, 2014. The $1,671 of cash provided by operating activities during the first nine months of 2014 was primarily driven by the net income (after adjustment for non-cash items) of $2,289, a decrease in accounts receivable of $182, an increase in accrued expenses and other long-term obligations of $150 and the release of restricted cash of $400, offset by a decrease in deferred revenue of $1,015, and an increase in inventory and prepaid expense and other assets of $241 and $122, respectively. The $1,169 of cash provided by operating activities during the first nine months of 2013 was primarily driven by the net income (after adjustment of non-cash items) of $962, a decrease in prepaid expenses of $196, and an increase in accrued expenses and deferred revenue of $1,716, offset by a decrease in accounts payable of $967, cash outflow for restricted cash of $150, and an increase in accounts receivable of $672.</w:t>
      </w:r>
    </w:p>
    <w:p>
      <w:pPr>
        <w:spacing w:after="0" w:line="17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$3,449 for the nine months ended September 30, 2014 due primarily to the acquisitions of FotoPunch and Roomtag in the third quarter of 2014. Cash used in investing activities was $133 for the nine months ended September 30, 2013 due to primarily to net purchases of property and equipment.</w:t>
      </w:r>
    </w:p>
    <w:p>
      <w:pPr>
        <w:spacing w:after="0" w:line="18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used in financing activities was $520 for the nine months ended September 30, 2014. We incurred $18,179 of debt, as well as received cash of $373 from insurance proceeds for settlement of notes payable, net of expenses. This is offset by note payments of $17,723, payments on amendment of senior notes payable of $704, and debt financing fees of $565. Cash used in financing activities was $121 for the nine months ended September 30, 2013 and consisted of proceeds from notes payable of $2,500 and net proceeds from the sale of common stock of $3,435, offset by payments on notes payable of $5,707.</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2"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u w:val="single" w:color="auto"/>
          <w:color w:val="auto"/>
        </w:rPr>
        <w:t>Sources of Liquidity</w:t>
      </w:r>
      <w:r>
        <w:rPr>
          <w:rFonts w:ascii="Arial" w:cs="Arial" w:eastAsia="Arial" w:hAnsi="Arial"/>
          <w:sz w:val="17"/>
          <w:szCs w:val="17"/>
          <w:color w:val="auto"/>
        </w:rPr>
        <w:t>. As of September 30, 2014, Asure’s principal sources of liquidity consisted of approximately $1,637 of current cash and cash equivalents, future cash generated from operations and amounts available for borrowing under our Wells Fargo revolver discussed in Note 6 – Notes Payable. We believe that we have and/or will generate sufficient cash for our short- and long-term needs. Based on current internal projections, we believe that we currently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7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cash generated from future operations and/or cash or debt raised from outside sources. As discussed in Note 4 – Acquisitions of the accompanying financial statements, we acquired all of the outstanding common stock of FotoPunch, Inc. in July 2014 and substantially all the assets of Roomtag, LLC in August 2014.</w:t>
      </w:r>
    </w:p>
    <w:p>
      <w:pPr>
        <w:spacing w:after="0" w:line="212"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2013. For additional information on critical accounting policies, refer to “Management’s Discussion and Analysis” in our 2013 Annual Report on Form 10-K.</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7"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September 30, 2014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During the period ended September 30, 2014, there were no changes in our internal control over financial reporting that have materially affected, or are reasonably likely to materially affect, our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20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ind w:left="6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30"/>
        </w:trPr>
        <w:tc>
          <w:tcPr>
            <w:tcW w:w="19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5240" w:type="dxa"/>
            <w:vAlign w:val="bottom"/>
            <w:tcBorders>
              <w:bottom w:val="single" w:sz="8" w:color="0000EE"/>
            </w:tcBorders>
          </w:tcPr>
          <w:p>
            <w:pPr>
              <w:spacing w:after="0" w:line="175" w:lineRule="exact"/>
              <w:rPr>
                <w:sz w:val="20"/>
                <w:szCs w:val="20"/>
                <w:color w:val="auto"/>
              </w:rPr>
            </w:pPr>
            <w:r>
              <w:rPr>
                <w:rFonts w:ascii="Arial" w:cs="Arial" w:eastAsia="Arial" w:hAnsi="Arial"/>
                <w:sz w:val="18"/>
                <w:szCs w:val="18"/>
                <w:color w:val="0000EE"/>
                <w:w w:val="90"/>
              </w:rPr>
              <w:t>Certification pursuant to Section 302 of the Sarbanes-Oxley Act of 2002.</w:t>
            </w:r>
          </w:p>
        </w:tc>
        <w:tc>
          <w:tcPr>
            <w:tcW w:w="4080" w:type="dxa"/>
            <w:vAlign w:val="bottom"/>
            <w:gridSpan w:val="2"/>
          </w:tcPr>
          <w:p>
            <w:pPr>
              <w:spacing w:after="0"/>
              <w:rPr>
                <w:sz w:val="15"/>
                <w:szCs w:val="15"/>
                <w:color w:val="auto"/>
              </w:rPr>
            </w:pPr>
          </w:p>
        </w:tc>
      </w:tr>
      <w:tr>
        <w:trPr>
          <w:trHeight w:val="410"/>
        </w:trPr>
        <w:tc>
          <w:tcPr>
            <w:tcW w:w="19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Certification pursuant to Section 302 of the Sarbanes-Oxley Act of 2002.</w:t>
            </w:r>
          </w:p>
        </w:tc>
        <w:tc>
          <w:tcPr>
            <w:tcW w:w="4080" w:type="dxa"/>
            <w:vAlign w:val="bottom"/>
            <w:gridSpan w:val="2"/>
          </w:tcPr>
          <w:p>
            <w:pPr>
              <w:spacing w:after="0"/>
              <w:rPr>
                <w:sz w:val="24"/>
                <w:szCs w:val="24"/>
                <w:color w:val="auto"/>
              </w:rPr>
            </w:pPr>
          </w:p>
        </w:tc>
      </w:tr>
      <w:tr>
        <w:trPr>
          <w:trHeight w:val="410"/>
        </w:trPr>
        <w:tc>
          <w:tcPr>
            <w:tcW w:w="19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0"/>
        </w:trPr>
        <w:tc>
          <w:tcPr>
            <w:tcW w:w="19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51"/>
        </w:trPr>
        <w:tc>
          <w:tcPr>
            <w:tcW w:w="19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2014,</w:t>
            </w:r>
          </w:p>
        </w:tc>
      </w:tr>
    </w:tbl>
    <w:p>
      <w:pPr>
        <w:jc w:val="both"/>
        <w:ind w:left="2100" w:right="20"/>
        <w:spacing w:after="0" w:line="254"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6040" w:type="dxa"/>
            <w:vAlign w:val="bottom"/>
            <w:gridSpan w:val="2"/>
          </w:tcPr>
          <w:p>
            <w:pPr>
              <w:ind w:left="800"/>
              <w:spacing w:after="0"/>
              <w:rPr>
                <w:sz w:val="20"/>
                <w:szCs w:val="20"/>
                <w:color w:val="auto"/>
              </w:rPr>
            </w:pPr>
            <w:r>
              <w:rPr>
                <w:rFonts w:ascii="Arial" w:cs="Arial" w:eastAsia="Arial" w:hAnsi="Arial"/>
                <w:sz w:val="18"/>
                <w:szCs w:val="18"/>
                <w:b w:val="1"/>
                <w:bCs w:val="1"/>
                <w:color w:val="auto"/>
              </w:rPr>
              <w:t>ASURE SOFTWARE, INC.</w:t>
            </w:r>
          </w:p>
        </w:tc>
        <w:tc>
          <w:tcPr>
            <w:tcW w:w="3160" w:type="dxa"/>
            <w:vAlign w:val="bottom"/>
          </w:tcPr>
          <w:p>
            <w:pPr>
              <w:spacing w:after="0"/>
              <w:rPr>
                <w:sz w:val="20"/>
                <w:szCs w:val="20"/>
                <w:color w:val="auto"/>
              </w:rPr>
            </w:pPr>
          </w:p>
        </w:tc>
      </w:tr>
      <w:tr>
        <w:trPr>
          <w:trHeight w:val="652"/>
        </w:trPr>
        <w:tc>
          <w:tcPr>
            <w:tcW w:w="2220" w:type="dxa"/>
            <w:vAlign w:val="bottom"/>
          </w:tcPr>
          <w:p>
            <w:pPr>
              <w:spacing w:after="0"/>
              <w:rPr>
                <w:sz w:val="20"/>
                <w:szCs w:val="20"/>
                <w:color w:val="auto"/>
              </w:rPr>
            </w:pPr>
            <w:r>
              <w:rPr>
                <w:rFonts w:ascii="Arial" w:cs="Arial" w:eastAsia="Arial" w:hAnsi="Arial"/>
                <w:sz w:val="18"/>
                <w:szCs w:val="18"/>
                <w:color w:val="auto"/>
              </w:rPr>
              <w:t>November 12, 2014</w:t>
            </w:r>
          </w:p>
        </w:tc>
        <w:tc>
          <w:tcPr>
            <w:tcW w:w="1720" w:type="dxa"/>
            <w:vAlign w:val="bottom"/>
          </w:tcPr>
          <w:p>
            <w:pPr>
              <w:ind w:left="80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c>
          <w:tcPr>
            <w:tcW w:w="3160" w:type="dxa"/>
            <w:vAlign w:val="bottom"/>
          </w:tcPr>
          <w:p>
            <w:pPr>
              <w:spacing w:after="0"/>
              <w:rPr>
                <w:sz w:val="24"/>
                <w:szCs w:val="24"/>
                <w:color w:val="auto"/>
              </w:rPr>
            </w:pPr>
          </w:p>
        </w:tc>
      </w:tr>
      <w:tr>
        <w:trPr>
          <w:trHeight w:val="201"/>
        </w:trPr>
        <w:tc>
          <w:tcPr>
            <w:tcW w:w="2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Patrick Goepel</w:t>
            </w:r>
          </w:p>
        </w:tc>
        <w:tc>
          <w:tcPr>
            <w:tcW w:w="3160" w:type="dxa"/>
            <w:vAlign w:val="bottom"/>
          </w:tcPr>
          <w:p>
            <w:pPr>
              <w:spacing w:after="0"/>
              <w:rPr>
                <w:sz w:val="17"/>
                <w:szCs w:val="17"/>
                <w:color w:val="auto"/>
              </w:rPr>
            </w:pPr>
          </w:p>
        </w:tc>
      </w:tr>
      <w:tr>
        <w:trPr>
          <w:trHeight w:val="230"/>
        </w:trPr>
        <w:tc>
          <w:tcPr>
            <w:tcW w:w="2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160" w:type="dxa"/>
            <w:vAlign w:val="bottom"/>
          </w:tcPr>
          <w:p>
            <w:pPr>
              <w:spacing w:after="0"/>
              <w:rPr>
                <w:sz w:val="19"/>
                <w:szCs w:val="19"/>
                <w:color w:val="auto"/>
              </w:rPr>
            </w:pPr>
          </w:p>
        </w:tc>
      </w:tr>
      <w:tr>
        <w:trPr>
          <w:trHeight w:val="437"/>
        </w:trPr>
        <w:tc>
          <w:tcPr>
            <w:tcW w:w="2220" w:type="dxa"/>
            <w:vAlign w:val="bottom"/>
          </w:tcPr>
          <w:p>
            <w:pPr>
              <w:spacing w:after="0"/>
              <w:rPr>
                <w:sz w:val="20"/>
                <w:szCs w:val="20"/>
                <w:color w:val="auto"/>
              </w:rPr>
            </w:pPr>
            <w:r>
              <w:rPr>
                <w:rFonts w:ascii="Arial" w:cs="Arial" w:eastAsia="Arial" w:hAnsi="Arial"/>
                <w:sz w:val="18"/>
                <w:szCs w:val="18"/>
                <w:color w:val="auto"/>
              </w:rPr>
              <w:t>November 12, 2014</w:t>
            </w:r>
          </w:p>
        </w:tc>
        <w:tc>
          <w:tcPr>
            <w:tcW w:w="1720" w:type="dxa"/>
            <w:vAlign w:val="bottom"/>
          </w:tcPr>
          <w:p>
            <w:pPr>
              <w:ind w:left="80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c>
          <w:tcPr>
            <w:tcW w:w="3160" w:type="dxa"/>
            <w:vAlign w:val="bottom"/>
          </w:tcPr>
          <w:p>
            <w:pPr>
              <w:spacing w:after="0"/>
              <w:rPr>
                <w:sz w:val="24"/>
                <w:szCs w:val="24"/>
                <w:color w:val="auto"/>
              </w:rPr>
            </w:pPr>
          </w:p>
        </w:tc>
      </w:tr>
      <w:tr>
        <w:trPr>
          <w:trHeight w:val="201"/>
        </w:trPr>
        <w:tc>
          <w:tcPr>
            <w:tcW w:w="2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Brad Wolfe</w:t>
            </w:r>
          </w:p>
        </w:tc>
        <w:tc>
          <w:tcPr>
            <w:tcW w:w="3160" w:type="dxa"/>
            <w:vAlign w:val="bottom"/>
          </w:tcPr>
          <w:p>
            <w:pPr>
              <w:spacing w:after="0"/>
              <w:rPr>
                <w:sz w:val="17"/>
                <w:szCs w:val="17"/>
                <w:color w:val="auto"/>
              </w:rPr>
            </w:pPr>
          </w:p>
        </w:tc>
      </w:tr>
      <w:tr>
        <w:trPr>
          <w:trHeight w:val="230"/>
        </w:trPr>
        <w:tc>
          <w:tcPr>
            <w:tcW w:w="2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c>
          <w:tcPr>
            <w:tcW w:w="3160" w:type="dxa"/>
            <w:vAlign w:val="bottom"/>
          </w:tcPr>
          <w:p>
            <w:pPr>
              <w:spacing w:after="0"/>
              <w:rPr>
                <w:sz w:val="19"/>
                <w:szCs w:val="19"/>
                <w:color w:val="auto"/>
              </w:rPr>
            </w:pPr>
          </w:p>
        </w:tc>
      </w:tr>
      <w:tr>
        <w:trPr>
          <w:trHeight w:val="793"/>
        </w:trPr>
        <w:tc>
          <w:tcPr>
            <w:tcW w:w="2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20" w:type="dxa"/>
            <w:vAlign w:val="bottom"/>
          </w:tcPr>
          <w:p>
            <w:pPr>
              <w:ind w:left="1680"/>
              <w:spacing w:after="0"/>
              <w:rPr>
                <w:sz w:val="20"/>
                <w:szCs w:val="20"/>
                <w:color w:val="auto"/>
              </w:rPr>
            </w:pPr>
            <w:r>
              <w:rPr>
                <w:rFonts w:ascii="Arial" w:cs="Arial" w:eastAsia="Arial" w:hAnsi="Arial"/>
                <w:sz w:val="18"/>
                <w:szCs w:val="18"/>
                <w:color w:val="auto"/>
              </w:rPr>
              <w:t>23</w:t>
            </w:r>
          </w:p>
        </w:tc>
        <w:tc>
          <w:tcPr>
            <w:tcW w:w="3160" w:type="dxa"/>
            <w:vAlign w:val="bottom"/>
          </w:tcPr>
          <w:p>
            <w:pPr>
              <w:spacing w:after="0"/>
              <w:rPr>
                <w:sz w:val="24"/>
                <w:szCs w:val="24"/>
                <w:color w:val="auto"/>
              </w:rPr>
            </w:pPr>
          </w:p>
        </w:tc>
      </w:tr>
      <w:tr>
        <w:trPr>
          <w:trHeight w:val="117"/>
        </w:trPr>
        <w:tc>
          <w:tcPr>
            <w:tcW w:w="22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24"/>
        </w:trPr>
        <w:tc>
          <w:tcPr>
            <w:tcW w:w="10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gridSpan w:val="3"/>
          </w:tcPr>
          <w:p>
            <w:pPr>
              <w:ind w:left="2720"/>
              <w:spacing w:after="0"/>
              <w:rPr>
                <w:sz w:val="20"/>
                <w:szCs w:val="20"/>
                <w:color w:val="auto"/>
              </w:rPr>
            </w:pPr>
            <w:r>
              <w:rPr>
                <w:rFonts w:ascii="Arial" w:cs="Arial" w:eastAsia="Arial" w:hAnsi="Arial"/>
                <w:sz w:val="18"/>
                <w:szCs w:val="18"/>
                <w:b w:val="1"/>
                <w:bCs w:val="1"/>
                <w:color w:val="auto"/>
              </w:rPr>
              <w:t>INDEX TO EXHIBITS</w:t>
            </w:r>
          </w:p>
        </w:tc>
      </w:tr>
      <w:tr>
        <w:trPr>
          <w:trHeight w:val="43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8"/>
                <w:szCs w:val="18"/>
                <w:color w:val="auto"/>
              </w:rPr>
              <w:t>31.1*</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40" w:type="dxa"/>
            <w:vAlign w:val="bottom"/>
            <w:tcBorders>
              <w:bottom w:val="single" w:sz="8" w:color="0000EE"/>
            </w:tcBorders>
          </w:tcPr>
          <w:p>
            <w:pPr>
              <w:spacing w:after="0" w:line="175" w:lineRule="exact"/>
              <w:rPr>
                <w:sz w:val="20"/>
                <w:szCs w:val="20"/>
                <w:color w:val="auto"/>
              </w:rPr>
            </w:pPr>
            <w:r>
              <w:rPr>
                <w:rFonts w:ascii="Arial" w:cs="Arial" w:eastAsia="Arial" w:hAnsi="Arial"/>
                <w:sz w:val="18"/>
                <w:szCs w:val="18"/>
                <w:color w:val="0000EE"/>
                <w:w w:val="90"/>
              </w:rPr>
              <w:t>Certification pursuant to Section 302 of the Sarbanes-Oxley Act of 2002.</w:t>
            </w:r>
          </w:p>
        </w:tc>
        <w:tc>
          <w:tcPr>
            <w:tcW w:w="4080" w:type="dxa"/>
            <w:vAlign w:val="bottom"/>
            <w:gridSpan w:val="2"/>
          </w:tcPr>
          <w:p>
            <w:pPr>
              <w:spacing w:after="0"/>
              <w:rPr>
                <w:sz w:val="15"/>
                <w:szCs w:val="15"/>
                <w:color w:val="auto"/>
              </w:rPr>
            </w:pPr>
          </w:p>
        </w:tc>
      </w:tr>
      <w:tr>
        <w:trPr>
          <w:trHeight w:val="410"/>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Certification pursuant to Section 302 of the Sarbanes-Oxley Act of 2002.</w:t>
            </w:r>
          </w:p>
        </w:tc>
        <w:tc>
          <w:tcPr>
            <w:tcW w:w="4080" w:type="dxa"/>
            <w:vAlign w:val="bottom"/>
            <w:gridSpan w:val="2"/>
          </w:tcPr>
          <w:p>
            <w:pPr>
              <w:spacing w:after="0"/>
              <w:rPr>
                <w:sz w:val="24"/>
                <w:szCs w:val="24"/>
                <w:color w:val="auto"/>
              </w:rPr>
            </w:pPr>
          </w:p>
        </w:tc>
      </w:tr>
      <w:tr>
        <w:trPr>
          <w:trHeight w:val="410"/>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0"/>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0000EE"/>
                <w:w w:val="96"/>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51"/>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2014,</w:t>
            </w:r>
          </w:p>
        </w:tc>
      </w:tr>
    </w:tbl>
    <w:p>
      <w:pPr>
        <w:jc w:val="both"/>
        <w:ind w:left="2100" w:right="20"/>
        <w:spacing w:after="0" w:line="254"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3" w:lineRule="exact"/>
        <w:rPr>
          <w:sz w:val="20"/>
          <w:szCs w:val="20"/>
          <w:color w:val="auto"/>
        </w:rPr>
      </w:pPr>
    </w:p>
    <w:p>
      <w:pPr>
        <w:ind w:left="500" w:hanging="17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3" w:lineRule="exact"/>
        <w:rPr>
          <w:rFonts w:ascii="Arial" w:cs="Arial" w:eastAsia="Arial" w:hAnsi="Arial"/>
          <w:sz w:val="18"/>
          <w:szCs w:val="18"/>
          <w:color w:val="auto"/>
        </w:rPr>
      </w:pPr>
    </w:p>
    <w:p>
      <w:pPr>
        <w:ind w:right="20" w:firstLine="330"/>
        <w:spacing w:after="0" w:line="340" w:lineRule="auto"/>
        <w:tabs>
          <w:tab w:leader="none" w:pos="519"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0"/>
        <w:spacing w:after="0" w:line="275" w:lineRule="auto"/>
        <w:tabs>
          <w:tab w:leader="none" w:pos="52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0"/>
        <w:spacing w:after="0" w:line="262"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2" w:lineRule="exact"/>
        <w:rPr>
          <w:rFonts w:ascii="Arial" w:cs="Arial" w:eastAsia="Arial" w:hAnsi="Arial"/>
          <w:sz w:val="18"/>
          <w:szCs w:val="18"/>
          <w:color w:val="auto"/>
        </w:rPr>
      </w:pPr>
    </w:p>
    <w:p>
      <w:pPr>
        <w:jc w:val="both"/>
        <w:ind w:firstLine="653"/>
        <w:spacing w:after="0" w:line="262" w:lineRule="auto"/>
        <w:tabs>
          <w:tab w:leader="none" w:pos="906"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2" w:lineRule="exact"/>
        <w:rPr>
          <w:rFonts w:ascii="Arial" w:cs="Arial" w:eastAsia="Arial" w:hAnsi="Arial"/>
          <w:sz w:val="18"/>
          <w:szCs w:val="18"/>
          <w:color w:val="auto"/>
        </w:rPr>
      </w:pPr>
    </w:p>
    <w:p>
      <w:pPr>
        <w:jc w:val="both"/>
        <w:ind w:firstLine="653"/>
        <w:spacing w:after="0" w:line="262" w:lineRule="auto"/>
        <w:tabs>
          <w:tab w:leader="none" w:pos="936"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firstLine="653"/>
        <w:spacing w:after="0" w:line="306" w:lineRule="auto"/>
        <w:tabs>
          <w:tab w:leader="none" w:pos="932"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3"/>
        <w:spacing w:after="0" w:line="262" w:lineRule="auto"/>
        <w:tabs>
          <w:tab w:leader="none" w:pos="912"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2014) that has materially affected, or is reasonably likely to materially affect, the Company’s internal control over financial reporting; and</w:t>
      </w:r>
    </w:p>
    <w:p>
      <w:pPr>
        <w:spacing w:after="0" w:line="182" w:lineRule="exact"/>
        <w:rPr>
          <w:rFonts w:ascii="Arial" w:cs="Arial" w:eastAsia="Arial" w:hAnsi="Arial"/>
          <w:sz w:val="18"/>
          <w:szCs w:val="18"/>
          <w:color w:val="auto"/>
        </w:rPr>
      </w:pPr>
    </w:p>
    <w:p>
      <w:pPr>
        <w:ind w:firstLine="330"/>
        <w:spacing w:after="0" w:line="275" w:lineRule="auto"/>
        <w:tabs>
          <w:tab w:leader="none" w:pos="5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3"/>
        <w:spacing w:after="0" w:line="275" w:lineRule="auto"/>
        <w:tabs>
          <w:tab w:leader="none" w:pos="907"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3"/>
        <w:spacing w:after="0" w:line="275" w:lineRule="auto"/>
        <w:tabs>
          <w:tab w:leader="none" w:pos="907"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1" w:lineRule="exact"/>
        <w:rPr>
          <w:sz w:val="20"/>
          <w:szCs w:val="20"/>
          <w:color w:val="auto"/>
        </w:rPr>
      </w:pPr>
    </w:p>
    <w:p>
      <w:pPr>
        <w:spacing w:after="0"/>
        <w:tabs>
          <w:tab w:leader="none" w:pos="3520" w:val="left"/>
          <w:tab w:leader="none" w:pos="482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13970</wp:posOffset>
            </wp:positionV>
            <wp:extent cx="22536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53615" cy="17145"/>
                    </a:xfrm>
                    <a:prstGeom prst="rect">
                      <a:avLst/>
                    </a:prstGeom>
                    <a:noFill/>
                  </pic:spPr>
                </pic:pic>
              </a:graphicData>
            </a:graphic>
          </wp:anchor>
        </w:drawing>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223" w:lineRule="exact"/>
        <w:rPr>
          <w:sz w:val="20"/>
          <w:szCs w:val="20"/>
          <w:color w:val="auto"/>
        </w:rPr>
      </w:pPr>
    </w:p>
    <w:p>
      <w:pPr>
        <w:ind w:left="500" w:hanging="17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3" w:lineRule="exact"/>
        <w:rPr>
          <w:rFonts w:ascii="Arial" w:cs="Arial" w:eastAsia="Arial" w:hAnsi="Arial"/>
          <w:sz w:val="18"/>
          <w:szCs w:val="18"/>
          <w:color w:val="auto"/>
        </w:rPr>
      </w:pPr>
    </w:p>
    <w:p>
      <w:pPr>
        <w:ind w:right="20" w:firstLine="330"/>
        <w:spacing w:after="0" w:line="340" w:lineRule="auto"/>
        <w:tabs>
          <w:tab w:leader="none" w:pos="51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0"/>
        <w:spacing w:after="0" w:line="275" w:lineRule="auto"/>
        <w:tabs>
          <w:tab w:leader="none" w:pos="52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0"/>
        <w:spacing w:after="0" w:line="262"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2" w:lineRule="exact"/>
        <w:rPr>
          <w:rFonts w:ascii="Arial" w:cs="Arial" w:eastAsia="Arial" w:hAnsi="Arial"/>
          <w:sz w:val="18"/>
          <w:szCs w:val="18"/>
          <w:color w:val="auto"/>
        </w:rPr>
      </w:pPr>
    </w:p>
    <w:p>
      <w:pPr>
        <w:jc w:val="both"/>
        <w:ind w:firstLine="653"/>
        <w:spacing w:after="0" w:line="262" w:lineRule="auto"/>
        <w:tabs>
          <w:tab w:leader="none" w:pos="906"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2" w:lineRule="exact"/>
        <w:rPr>
          <w:rFonts w:ascii="Arial" w:cs="Arial" w:eastAsia="Arial" w:hAnsi="Arial"/>
          <w:sz w:val="18"/>
          <w:szCs w:val="18"/>
          <w:color w:val="auto"/>
        </w:rPr>
      </w:pPr>
    </w:p>
    <w:p>
      <w:pPr>
        <w:jc w:val="both"/>
        <w:ind w:firstLine="653"/>
        <w:spacing w:after="0" w:line="262" w:lineRule="auto"/>
        <w:tabs>
          <w:tab w:leader="none" w:pos="936"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firstLine="653"/>
        <w:spacing w:after="0" w:line="306" w:lineRule="auto"/>
        <w:tabs>
          <w:tab w:leader="none" w:pos="932"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3"/>
        <w:spacing w:after="0" w:line="262" w:lineRule="auto"/>
        <w:tabs>
          <w:tab w:leader="none" w:pos="91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2014) that has materially affected, or is reasonably likely to materially affect, the Company’s internal control over financial reporting; and</w:t>
      </w:r>
    </w:p>
    <w:p>
      <w:pPr>
        <w:spacing w:after="0" w:line="182" w:lineRule="exact"/>
        <w:rPr>
          <w:rFonts w:ascii="Arial" w:cs="Arial" w:eastAsia="Arial" w:hAnsi="Arial"/>
          <w:sz w:val="18"/>
          <w:szCs w:val="18"/>
          <w:color w:val="auto"/>
        </w:rPr>
      </w:pPr>
    </w:p>
    <w:p>
      <w:pPr>
        <w:ind w:firstLine="330"/>
        <w:spacing w:after="0" w:line="275" w:lineRule="auto"/>
        <w:tabs>
          <w:tab w:leader="none" w:pos="5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3"/>
        <w:spacing w:after="0" w:line="275" w:lineRule="auto"/>
        <w:tabs>
          <w:tab w:leader="none" w:pos="907"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3"/>
        <w:spacing w:after="0" w:line="275" w:lineRule="auto"/>
        <w:tabs>
          <w:tab w:leader="none" w:pos="90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1" w:lineRule="exact"/>
        <w:rPr>
          <w:sz w:val="20"/>
          <w:szCs w:val="20"/>
          <w:color w:val="auto"/>
        </w:rPr>
      </w:pPr>
    </w:p>
    <w:p>
      <w:pPr>
        <w:spacing w:after="0"/>
        <w:tabs>
          <w:tab w:leader="none" w:pos="3420" w:val="left"/>
          <w:tab w:leader="none" w:pos="462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13970</wp:posOffset>
            </wp:positionV>
            <wp:extent cx="26206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20645" cy="17145"/>
                    </a:xfrm>
                    <a:prstGeom prst="rect">
                      <a:avLst/>
                    </a:prstGeom>
                    <a:noFill/>
                  </pic:spPr>
                </pic:pic>
              </a:graphicData>
            </a:graphic>
          </wp:anchor>
        </w:drawing>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6" w:lineRule="exact"/>
        <w:rPr>
          <w:sz w:val="20"/>
          <w:szCs w:val="20"/>
          <w:color w:val="auto"/>
        </w:rPr>
      </w:pPr>
    </w:p>
    <w:p>
      <w:pPr>
        <w:ind w:firstLine="330"/>
        <w:spacing w:after="0" w:line="275" w:lineRule="auto"/>
        <w:tabs>
          <w:tab w:leader="none" w:pos="5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2014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00" w:hanging="17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920" w:val="left"/>
          <w:tab w:leader="none" w:pos="522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13970</wp:posOffset>
            </wp:positionV>
            <wp:extent cx="20828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32.2</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46" w:lineRule="exact"/>
        <w:rPr>
          <w:sz w:val="20"/>
          <w:szCs w:val="20"/>
          <w:color w:val="auto"/>
        </w:rPr>
      </w:pPr>
    </w:p>
    <w:p>
      <w:pPr>
        <w:ind w:firstLine="330"/>
        <w:spacing w:after="0" w:line="275" w:lineRule="auto"/>
        <w:tabs>
          <w:tab w:leader="none" w:pos="51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2014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00" w:hanging="17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420" w:val="left"/>
          <w:tab w:leader="none" w:pos="462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13970</wp:posOffset>
            </wp:positionV>
            <wp:extent cx="26206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0645" cy="17145"/>
                    </a:xfrm>
                    <a:prstGeom prst="rect">
                      <a:avLst/>
                    </a:prstGeom>
                    <a:noFill/>
                  </pic:spPr>
                </pic:pic>
              </a:graphicData>
            </a:graphic>
          </wp:anchor>
        </w:drawing>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lowerRoman"/>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2019-12-06T06:09:16Z</dcterms:created>
  <dcterms:modified xsi:type="dcterms:W3CDTF">2019-12-06T06:09:16Z</dcterms:modified>
</cp:coreProperties>
</file>