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151765</wp:posOffset>
            </wp:positionH>
            <wp:positionV relativeFrom="page">
              <wp:posOffset>111125</wp:posOffset>
            </wp:positionV>
            <wp:extent cx="7258050" cy="374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8050" cy="37465"/>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3188335</wp:posOffset>
            </wp:positionH>
            <wp:positionV relativeFrom="paragraph">
              <wp:posOffset>200660</wp:posOffset>
            </wp:positionV>
            <wp:extent cx="88011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8011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3188335</wp:posOffset>
            </wp:positionH>
            <wp:positionV relativeFrom="paragraph">
              <wp:posOffset>222250</wp:posOffset>
            </wp:positionV>
            <wp:extent cx="88011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8011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9" w:lineRule="exact"/>
        <w:rPr>
          <w:sz w:val="24"/>
          <w:szCs w:val="24"/>
          <w:color w:val="auto"/>
        </w:rPr>
      </w:pPr>
    </w:p>
    <w:p>
      <w:pPr>
        <w:ind w:left="4060" w:right="1760" w:hanging="3459"/>
        <w:spacing w:after="0" w:line="523" w:lineRule="auto"/>
        <w:tabs>
          <w:tab w:leader="none" w:pos="1320" w:val="left"/>
        </w:tabs>
        <w:numPr>
          <w:ilvl w:val="0"/>
          <w:numId w:val="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ANNUAL REPORT PURSUANT TO SECTION 13 OR 15(d) OF THE SECURITIES EXCHANGE ACT OF 1934 </w:t>
      </w:r>
      <w:r>
        <w:rPr>
          <w:rFonts w:ascii="Arial" w:cs="Arial" w:eastAsia="Arial" w:hAnsi="Arial"/>
          <w:sz w:val="17"/>
          <w:szCs w:val="17"/>
          <w:color w:val="auto"/>
        </w:rPr>
        <w:t xml:space="preserve">For the calendar year ended </w:t>
      </w:r>
      <w:r>
        <w:rPr>
          <w:rFonts w:ascii="Arial" w:cs="Arial" w:eastAsia="Arial" w:hAnsi="Arial"/>
          <w:sz w:val="17"/>
          <w:szCs w:val="17"/>
          <w:b w:val="1"/>
          <w:bCs w:val="1"/>
          <w:u w:val="single" w:color="auto"/>
          <w:color w:val="auto"/>
        </w:rPr>
        <w:t>December 31, 2012</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OR</w:t>
      </w:r>
    </w:p>
    <w:p>
      <w:pPr>
        <w:spacing w:after="0" w:line="235" w:lineRule="exact"/>
        <w:rPr>
          <w:sz w:val="24"/>
          <w:szCs w:val="24"/>
          <w:color w:val="auto"/>
        </w:rPr>
      </w:pPr>
    </w:p>
    <w:p>
      <w:pPr>
        <w:ind w:left="1320" w:hanging="719"/>
        <w:spacing w:after="0"/>
        <w:tabs>
          <w:tab w:leader="none" w:pos="1320"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231" w:lineRule="exact"/>
        <w:rPr>
          <w:sz w:val="24"/>
          <w:szCs w:val="24"/>
          <w:color w:val="auto"/>
        </w:rPr>
      </w:pPr>
    </w:p>
    <w:tbl>
      <w:tblPr>
        <w:tblLayout w:type="fixed"/>
        <w:tblInd w:w="3660" w:type="dxa"/>
        <w:tblCellMar>
          <w:top w:w="0" w:type="dxa"/>
          <w:left w:w="0" w:type="dxa"/>
          <w:bottom w:w="0" w:type="dxa"/>
          <w:right w:w="0" w:type="dxa"/>
        </w:tblCellMar>
      </w:tblPr>
      <w:tr>
        <w:trPr>
          <w:trHeight w:val="195"/>
        </w:trPr>
        <w:tc>
          <w:tcPr>
            <w:tcW w:w="2080" w:type="dxa"/>
            <w:vAlign w:val="bottom"/>
          </w:tcPr>
          <w:p>
            <w:pPr>
              <w:spacing w:after="0"/>
              <w:rPr>
                <w:sz w:val="20"/>
                <w:szCs w:val="20"/>
                <w:color w:val="auto"/>
              </w:rPr>
            </w:pPr>
            <w:r>
              <w:rPr>
                <w:rFonts w:ascii="Arial" w:cs="Arial" w:eastAsia="Arial" w:hAnsi="Arial"/>
                <w:sz w:val="17"/>
                <w:szCs w:val="17"/>
                <w:color w:val="auto"/>
                <w:w w:val="94"/>
              </w:rPr>
              <w:t>For the transition period from</w:t>
            </w:r>
          </w:p>
        </w:tc>
        <w:tc>
          <w:tcPr>
            <w:tcW w:w="780" w:type="dxa"/>
            <w:vAlign w:val="bottom"/>
            <w:tcBorders>
              <w:bottom w:val="single" w:sz="8" w:color="auto"/>
            </w:tcBorders>
          </w:tcPr>
          <w:p>
            <w:pPr>
              <w:spacing w:after="0"/>
              <w:rPr>
                <w:sz w:val="16"/>
                <w:szCs w:val="16"/>
                <w:color w:val="auto"/>
              </w:rPr>
            </w:pPr>
          </w:p>
        </w:tc>
        <w:tc>
          <w:tcPr>
            <w:tcW w:w="220" w:type="dxa"/>
            <w:vAlign w:val="bottom"/>
          </w:tcPr>
          <w:p>
            <w:pPr>
              <w:ind w:left="40"/>
              <w:spacing w:after="0"/>
              <w:rPr>
                <w:sz w:val="20"/>
                <w:szCs w:val="20"/>
                <w:color w:val="auto"/>
              </w:rPr>
            </w:pPr>
            <w:r>
              <w:rPr>
                <w:rFonts w:ascii="Arial" w:cs="Arial" w:eastAsia="Arial" w:hAnsi="Arial"/>
                <w:sz w:val="17"/>
                <w:szCs w:val="17"/>
                <w:color w:val="auto"/>
              </w:rPr>
              <w:t>to</w:t>
            </w:r>
          </w:p>
        </w:tc>
        <w:tc>
          <w:tcPr>
            <w:tcW w:w="840" w:type="dxa"/>
            <w:vAlign w:val="bottom"/>
            <w:tcBorders>
              <w:bottom w:val="single" w:sz="8" w:color="auto"/>
            </w:tcBorders>
          </w:tcPr>
          <w:p>
            <w:pPr>
              <w:spacing w:after="0"/>
              <w:rPr>
                <w:sz w:val="16"/>
                <w:szCs w:val="16"/>
                <w:color w:val="auto"/>
              </w:rPr>
            </w:pPr>
          </w:p>
        </w:tc>
      </w:tr>
      <w:tr>
        <w:trPr>
          <w:trHeight w:val="454"/>
        </w:trPr>
        <w:tc>
          <w:tcPr>
            <w:tcW w:w="3920" w:type="dxa"/>
            <w:vAlign w:val="bottom"/>
            <w:gridSpan w:val="4"/>
          </w:tcPr>
          <w:p>
            <w:pPr>
              <w:ind w:left="880"/>
              <w:spacing w:after="0"/>
              <w:rPr>
                <w:sz w:val="20"/>
                <w:szCs w:val="20"/>
                <w:color w:val="auto"/>
              </w:rPr>
            </w:pPr>
            <w:r>
              <w:rPr>
                <w:rFonts w:ascii="Arial" w:cs="Arial" w:eastAsia="Arial" w:hAnsi="Arial"/>
                <w:sz w:val="17"/>
                <w:szCs w:val="17"/>
                <w:color w:val="auto"/>
              </w:rPr>
              <w:t>Commission file number: 0-20008</w:t>
            </w:r>
          </w:p>
        </w:tc>
      </w:tr>
    </w:tbl>
    <w:p>
      <w:pPr>
        <w:spacing w:after="0" w:line="191" w:lineRule="exact"/>
        <w:rPr>
          <w:sz w:val="24"/>
          <w:szCs w:val="24"/>
          <w:color w:val="auto"/>
        </w:rPr>
      </w:pPr>
    </w:p>
    <w:tbl>
      <w:tblPr>
        <w:tblLayout w:type="fixed"/>
        <w:tblInd w:w="1060" w:type="dxa"/>
        <w:tblCellMar>
          <w:top w:w="0" w:type="dxa"/>
          <w:left w:w="0" w:type="dxa"/>
          <w:bottom w:w="0" w:type="dxa"/>
          <w:right w:w="0" w:type="dxa"/>
        </w:tblCellMar>
      </w:tblPr>
      <w:tr>
        <w:trPr>
          <w:trHeight w:val="316"/>
        </w:trPr>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40" w:type="dxa"/>
            <w:vAlign w:val="bottom"/>
            <w:tcBorders>
              <w:bottom w:val="single" w:sz="8" w:color="auto"/>
            </w:tcBorders>
          </w:tcPr>
          <w:p>
            <w:pPr>
              <w:jc w:val="center"/>
              <w:spacing w:after="0"/>
              <w:rPr>
                <w:sz w:val="20"/>
                <w:szCs w:val="20"/>
                <w:color w:val="auto"/>
              </w:rPr>
            </w:pPr>
            <w:r>
              <w:rPr>
                <w:rFonts w:ascii="Arial" w:cs="Arial" w:eastAsia="Arial" w:hAnsi="Arial"/>
                <w:sz w:val="27"/>
                <w:szCs w:val="27"/>
                <w:b w:val="1"/>
                <w:bCs w:val="1"/>
                <w:color w:val="auto"/>
                <w:w w:val="99"/>
              </w:rPr>
              <w:t>ASURE SOFTWARE, INC.</w:t>
            </w:r>
          </w:p>
        </w:tc>
        <w:tc>
          <w:tcPr>
            <w:tcW w:w="2260" w:type="dxa"/>
            <w:vAlign w:val="bottom"/>
            <w:gridSpan w:val="5"/>
          </w:tcPr>
          <w:p>
            <w:pPr>
              <w:spacing w:after="0"/>
              <w:rPr>
                <w:sz w:val="24"/>
                <w:szCs w:val="24"/>
                <w:color w:val="auto"/>
              </w:rPr>
            </w:pPr>
          </w:p>
        </w:tc>
      </w:tr>
      <w:tr>
        <w:trPr>
          <w:trHeight w:val="230"/>
        </w:trPr>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740" w:type="dxa"/>
            <w:vAlign w:val="bottom"/>
            <w:gridSpan w:val="7"/>
          </w:tcPr>
          <w:p>
            <w:pPr>
              <w:jc w:val="center"/>
              <w:ind w:right="2040"/>
              <w:spacing w:after="0"/>
              <w:rPr>
                <w:sz w:val="20"/>
                <w:szCs w:val="20"/>
                <w:color w:val="auto"/>
              </w:rPr>
            </w:pPr>
            <w:r>
              <w:rPr>
                <w:rFonts w:ascii="Arial" w:cs="Arial" w:eastAsia="Arial" w:hAnsi="Arial"/>
                <w:sz w:val="17"/>
                <w:szCs w:val="17"/>
                <w:color w:val="auto"/>
                <w:w w:val="91"/>
              </w:rPr>
              <w:t>(Exact Name of Registrant as Specified in its Charter)</w:t>
            </w:r>
          </w:p>
        </w:tc>
      </w:tr>
      <w:tr>
        <w:trPr>
          <w:trHeight w:val="374"/>
        </w:trPr>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3"/>
              </w:rPr>
              <w:t>Delaware</w:t>
            </w:r>
          </w:p>
        </w:tc>
        <w:tc>
          <w:tcPr>
            <w:tcW w:w="1060" w:type="dxa"/>
            <w:vAlign w:val="bottom"/>
            <w:gridSpan w:val="2"/>
          </w:tcPr>
          <w:p>
            <w:pPr>
              <w:spacing w:after="0"/>
              <w:rPr>
                <w:sz w:val="24"/>
                <w:szCs w:val="24"/>
                <w:color w:val="auto"/>
              </w:rPr>
            </w:pPr>
          </w:p>
        </w:tc>
        <w:tc>
          <w:tcPr>
            <w:tcW w:w="4680" w:type="dxa"/>
            <w:vAlign w:val="bottom"/>
            <w:gridSpan w:val="3"/>
          </w:tcPr>
          <w:p>
            <w:pPr>
              <w:spacing w:after="0"/>
              <w:rPr>
                <w:sz w:val="24"/>
                <w:szCs w:val="24"/>
                <w:color w:val="auto"/>
              </w:rPr>
            </w:pPr>
          </w:p>
        </w:tc>
        <w:tc>
          <w:tcPr>
            <w:tcW w:w="84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w w:val="90"/>
              </w:rPr>
              <w:t>74-2415696</w:t>
            </w:r>
          </w:p>
        </w:tc>
        <w:tc>
          <w:tcPr>
            <w:tcW w:w="220" w:type="dxa"/>
            <w:vAlign w:val="bottom"/>
          </w:tcPr>
          <w:p>
            <w:pPr>
              <w:spacing w:after="0"/>
              <w:rPr>
                <w:sz w:val="24"/>
                <w:szCs w:val="24"/>
                <w:color w:val="auto"/>
              </w:rPr>
            </w:pPr>
          </w:p>
        </w:tc>
      </w:tr>
      <w:tr>
        <w:trPr>
          <w:trHeight w:val="211"/>
        </w:trPr>
        <w:tc>
          <w:tcPr>
            <w:tcW w:w="2800" w:type="dxa"/>
            <w:vAlign w:val="bottom"/>
            <w:gridSpan w:val="5"/>
          </w:tcPr>
          <w:p>
            <w:pPr>
              <w:jc w:val="center"/>
              <w:ind w:right="20"/>
              <w:spacing w:after="0"/>
              <w:rPr>
                <w:sz w:val="20"/>
                <w:szCs w:val="20"/>
                <w:color w:val="auto"/>
              </w:rPr>
            </w:pPr>
            <w:r>
              <w:rPr>
                <w:rFonts w:ascii="Arial" w:cs="Arial" w:eastAsia="Arial" w:hAnsi="Arial"/>
                <w:sz w:val="17"/>
                <w:szCs w:val="17"/>
                <w:color w:val="auto"/>
                <w:w w:val="93"/>
              </w:rPr>
              <w:t>(State of other jurisdiction of</w:t>
            </w:r>
          </w:p>
        </w:tc>
        <w:tc>
          <w:tcPr>
            <w:tcW w:w="24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260" w:type="dxa"/>
            <w:vAlign w:val="bottom"/>
            <w:gridSpan w:val="5"/>
          </w:tcPr>
          <w:p>
            <w:pPr>
              <w:jc w:val="center"/>
              <w:ind w:left="894"/>
              <w:spacing w:after="0"/>
              <w:rPr>
                <w:sz w:val="20"/>
                <w:szCs w:val="20"/>
                <w:color w:val="auto"/>
              </w:rPr>
            </w:pPr>
            <w:r>
              <w:rPr>
                <w:rFonts w:ascii="Arial" w:cs="Arial" w:eastAsia="Arial" w:hAnsi="Arial"/>
                <w:sz w:val="17"/>
                <w:szCs w:val="17"/>
                <w:color w:val="auto"/>
                <w:w w:val="92"/>
              </w:rPr>
              <w:t>(I.R.S. Employer</w:t>
            </w:r>
          </w:p>
        </w:tc>
      </w:tr>
      <w:tr>
        <w:trPr>
          <w:trHeight w:val="216"/>
        </w:trPr>
        <w:tc>
          <w:tcPr>
            <w:tcW w:w="2800" w:type="dxa"/>
            <w:vAlign w:val="bottom"/>
            <w:gridSpan w:val="5"/>
          </w:tcPr>
          <w:p>
            <w:pPr>
              <w:jc w:val="center"/>
              <w:ind w:right="20"/>
              <w:spacing w:after="0"/>
              <w:rPr>
                <w:sz w:val="20"/>
                <w:szCs w:val="20"/>
                <w:color w:val="auto"/>
              </w:rPr>
            </w:pPr>
            <w:r>
              <w:rPr>
                <w:rFonts w:ascii="Arial" w:cs="Arial" w:eastAsia="Arial" w:hAnsi="Arial"/>
                <w:sz w:val="17"/>
                <w:szCs w:val="17"/>
                <w:color w:val="auto"/>
                <w:w w:val="93"/>
              </w:rPr>
              <w:t>incorporation or organization)</w:t>
            </w:r>
          </w:p>
        </w:tc>
        <w:tc>
          <w:tcPr>
            <w:tcW w:w="24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260" w:type="dxa"/>
            <w:vAlign w:val="bottom"/>
            <w:gridSpan w:val="5"/>
          </w:tcPr>
          <w:p>
            <w:pPr>
              <w:jc w:val="center"/>
              <w:ind w:left="894"/>
              <w:spacing w:after="0"/>
              <w:rPr>
                <w:sz w:val="20"/>
                <w:szCs w:val="20"/>
                <w:color w:val="auto"/>
              </w:rPr>
            </w:pPr>
            <w:r>
              <w:rPr>
                <w:rFonts w:ascii="Arial" w:cs="Arial" w:eastAsia="Arial" w:hAnsi="Arial"/>
                <w:sz w:val="17"/>
                <w:szCs w:val="17"/>
                <w:color w:val="auto"/>
                <w:w w:val="96"/>
              </w:rPr>
              <w:t>Identification No.)</w:t>
            </w:r>
          </w:p>
        </w:tc>
      </w:tr>
      <w:tr>
        <w:trPr>
          <w:trHeight w:val="394"/>
        </w:trPr>
        <w:tc>
          <w:tcPr>
            <w:tcW w:w="2800" w:type="dxa"/>
            <w:vAlign w:val="bottom"/>
            <w:gridSpan w:val="5"/>
          </w:tcPr>
          <w:p>
            <w:pPr>
              <w:jc w:val="center"/>
              <w:ind w:right="20"/>
              <w:spacing w:after="0"/>
              <w:rPr>
                <w:sz w:val="20"/>
                <w:szCs w:val="20"/>
                <w:color w:val="auto"/>
              </w:rPr>
            </w:pPr>
            <w:r>
              <w:rPr>
                <w:rFonts w:ascii="Arial" w:cs="Arial" w:eastAsia="Arial" w:hAnsi="Arial"/>
                <w:sz w:val="17"/>
                <w:szCs w:val="17"/>
                <w:b w:val="1"/>
                <w:bCs w:val="1"/>
                <w:color w:val="auto"/>
                <w:w w:val="91"/>
              </w:rPr>
              <w:t>110 Wild Basin Road, Suite 100</w:t>
            </w:r>
          </w:p>
        </w:tc>
        <w:tc>
          <w:tcPr>
            <w:tcW w:w="24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85"/>
        </w:trPr>
        <w:tc>
          <w:tcPr>
            <w:tcW w:w="900" w:type="dxa"/>
            <w:vAlign w:val="bottom"/>
          </w:tcPr>
          <w:p>
            <w:pPr>
              <w:spacing w:after="0"/>
              <w:rPr>
                <w:sz w:val="16"/>
                <w:szCs w:val="16"/>
                <w:color w:val="auto"/>
              </w:rPr>
            </w:pPr>
          </w:p>
        </w:tc>
        <w:tc>
          <w:tcPr>
            <w:tcW w:w="980" w:type="dxa"/>
            <w:vAlign w:val="bottom"/>
            <w:tcBorders>
              <w:bottom w:val="single" w:sz="8" w:color="auto"/>
            </w:tcBorders>
            <w:gridSpan w:val="3"/>
          </w:tcPr>
          <w:p>
            <w:pPr>
              <w:jc w:val="center"/>
              <w:spacing w:after="0" w:line="185" w:lineRule="exact"/>
              <w:rPr>
                <w:sz w:val="20"/>
                <w:szCs w:val="20"/>
                <w:color w:val="auto"/>
              </w:rPr>
            </w:pPr>
            <w:r>
              <w:rPr>
                <w:rFonts w:ascii="Arial" w:cs="Arial" w:eastAsia="Arial" w:hAnsi="Arial"/>
                <w:sz w:val="17"/>
                <w:szCs w:val="17"/>
                <w:b w:val="1"/>
                <w:bCs w:val="1"/>
                <w:color w:val="auto"/>
                <w:w w:val="88"/>
              </w:rPr>
              <w:t>Austin, Texas</w:t>
            </w:r>
          </w:p>
        </w:tc>
        <w:tc>
          <w:tcPr>
            <w:tcW w:w="920" w:type="dxa"/>
            <w:vAlign w:val="bottom"/>
          </w:tcPr>
          <w:p>
            <w:pPr>
              <w:spacing w:after="0"/>
              <w:rPr>
                <w:sz w:val="16"/>
                <w:szCs w:val="16"/>
                <w:color w:val="auto"/>
              </w:rPr>
            </w:pPr>
          </w:p>
        </w:tc>
        <w:tc>
          <w:tcPr>
            <w:tcW w:w="4880" w:type="dxa"/>
            <w:vAlign w:val="bottom"/>
            <w:gridSpan w:val="4"/>
          </w:tcPr>
          <w:p>
            <w:pPr>
              <w:spacing w:after="0"/>
              <w:rPr>
                <w:sz w:val="16"/>
                <w:szCs w:val="16"/>
                <w:color w:val="auto"/>
              </w:rPr>
            </w:pPr>
          </w:p>
        </w:tc>
        <w:tc>
          <w:tcPr>
            <w:tcW w:w="440" w:type="dxa"/>
            <w:vAlign w:val="bottom"/>
            <w:tcBorders>
              <w:bottom w:val="single" w:sz="8" w:color="auto"/>
            </w:tcBorders>
          </w:tcPr>
          <w:p>
            <w:pPr>
              <w:jc w:val="right"/>
              <w:spacing w:after="0" w:line="185" w:lineRule="exact"/>
              <w:rPr>
                <w:sz w:val="20"/>
                <w:szCs w:val="20"/>
                <w:color w:val="auto"/>
              </w:rPr>
            </w:pPr>
            <w:r>
              <w:rPr>
                <w:rFonts w:ascii="Arial" w:cs="Arial" w:eastAsia="Arial" w:hAnsi="Arial"/>
                <w:sz w:val="17"/>
                <w:szCs w:val="17"/>
                <w:b w:val="1"/>
                <w:bCs w:val="1"/>
                <w:color w:val="auto"/>
                <w:w w:val="88"/>
              </w:rPr>
              <w:t>78746</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23"/>
        </w:trPr>
        <w:tc>
          <w:tcPr>
            <w:tcW w:w="2800" w:type="dxa"/>
            <w:vAlign w:val="bottom"/>
            <w:gridSpan w:val="5"/>
          </w:tcPr>
          <w:p>
            <w:pPr>
              <w:jc w:val="center"/>
              <w:ind w:right="20"/>
              <w:spacing w:after="0"/>
              <w:rPr>
                <w:sz w:val="20"/>
                <w:szCs w:val="20"/>
                <w:color w:val="auto"/>
              </w:rPr>
            </w:pPr>
            <w:r>
              <w:rPr>
                <w:rFonts w:ascii="Arial" w:cs="Arial" w:eastAsia="Arial" w:hAnsi="Arial"/>
                <w:sz w:val="17"/>
                <w:szCs w:val="17"/>
                <w:color w:val="auto"/>
                <w:w w:val="93"/>
              </w:rPr>
              <w:t>(Address of Principal Executive Offices)</w:t>
            </w:r>
          </w:p>
        </w:tc>
        <w:tc>
          <w:tcPr>
            <w:tcW w:w="24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60" w:type="dxa"/>
            <w:vAlign w:val="bottom"/>
            <w:gridSpan w:val="4"/>
          </w:tcPr>
          <w:p>
            <w:pPr>
              <w:jc w:val="center"/>
              <w:ind w:right="220"/>
              <w:spacing w:after="0"/>
              <w:rPr>
                <w:sz w:val="20"/>
                <w:szCs w:val="20"/>
                <w:color w:val="auto"/>
              </w:rPr>
            </w:pPr>
            <w:r>
              <w:rPr>
                <w:rFonts w:ascii="Arial" w:cs="Arial" w:eastAsia="Arial" w:hAnsi="Arial"/>
                <w:sz w:val="17"/>
                <w:szCs w:val="17"/>
                <w:color w:val="auto"/>
                <w:w w:val="94"/>
              </w:rPr>
              <w:t>(Zip Code)</w:t>
            </w:r>
          </w:p>
        </w:tc>
      </w:tr>
    </w:tbl>
    <w:p>
      <w:pPr>
        <w:spacing w:after="0" w:line="188"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u w:val="single" w:color="auto"/>
          <w:color w:val="auto"/>
        </w:rPr>
        <w:t>(512) 437-2700</w:t>
      </w:r>
    </w:p>
    <w:p>
      <w:pPr>
        <w:spacing w:after="0" w:line="27" w:lineRule="exact"/>
        <w:rPr>
          <w:sz w:val="24"/>
          <w:szCs w:val="24"/>
          <w:color w:val="auto"/>
        </w:rPr>
      </w:pPr>
    </w:p>
    <w:p>
      <w:pPr>
        <w:jc w:val="center"/>
        <w:ind w:right="80"/>
        <w:spacing w:after="0"/>
        <w:rPr>
          <w:sz w:val="20"/>
          <w:szCs w:val="20"/>
          <w:color w:val="auto"/>
        </w:rPr>
      </w:pPr>
      <w:r>
        <w:rPr>
          <w:rFonts w:ascii="Arial" w:cs="Arial" w:eastAsia="Arial" w:hAnsi="Arial"/>
          <w:sz w:val="17"/>
          <w:szCs w:val="17"/>
          <w:color w:val="auto"/>
        </w:rPr>
        <w:t>(Registrant’s Telephone Number, including Area Code)</w:t>
      </w:r>
    </w:p>
    <w:p>
      <w:pPr>
        <w:spacing w:after="0" w:line="22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SECURITIES REGISTERED PURSUANT TO SECTION 12(b) OF THE ACT: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None</w:t>
      </w:r>
    </w:p>
    <w:p>
      <w:pPr>
        <w:spacing w:after="0" w:line="22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SECURITIES REGISTERED PURSUANT TO SECTION 12(g) OF THE ACT: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Common Stock, $0.01 par value</w:t>
      </w:r>
    </w:p>
    <w:p>
      <w:pPr>
        <w:spacing w:after="0" w:line="204" w:lineRule="exact"/>
        <w:rPr>
          <w:sz w:val="24"/>
          <w:szCs w:val="24"/>
          <w:color w:val="auto"/>
        </w:rPr>
      </w:pPr>
    </w:p>
    <w:p>
      <w:pPr>
        <w:ind w:right="2340"/>
        <w:spacing w:after="0" w:line="569" w:lineRule="auto"/>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 Yes o No x Indicate by check mark if the registrant is not required to file reports pursuant to Section 13 or 15(d) of the Act. Yes o No x</w:t>
      </w:r>
    </w:p>
    <w:p>
      <w:pPr>
        <w:jc w:val="both"/>
        <w:spacing w:after="0" w:line="264" w:lineRule="auto"/>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 1934 (“Exchange Act”) during the preceding 12 months (or for such shorter period that the registrant was required to file such reports), and (2) has been subject to such filing requirements for the past 90 days. Yes x No o</w:t>
      </w:r>
    </w:p>
    <w:p>
      <w:pPr>
        <w:spacing w:after="0" w:line="176" w:lineRule="exact"/>
        <w:rPr>
          <w:sz w:val="24"/>
          <w:szCs w:val="24"/>
          <w:color w:val="auto"/>
        </w:rPr>
      </w:pPr>
    </w:p>
    <w:p>
      <w:pPr>
        <w:jc w:val="both"/>
        <w:spacing w:after="0" w:line="264" w:lineRule="auto"/>
        <w:rPr>
          <w:sz w:val="20"/>
          <w:szCs w:val="20"/>
          <w:color w:val="auto"/>
        </w:rPr>
      </w:pPr>
      <w:r>
        <w:rPr>
          <w:rFonts w:ascii="Arial" w:cs="Arial" w:eastAsia="Arial" w:hAnsi="Arial"/>
          <w:sz w:val="17"/>
          <w:szCs w:val="17"/>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76" w:lineRule="exact"/>
        <w:rPr>
          <w:sz w:val="24"/>
          <w:szCs w:val="24"/>
          <w:color w:val="auto"/>
        </w:rPr>
      </w:pPr>
    </w:p>
    <w:p>
      <w:pPr>
        <w:jc w:val="both"/>
        <w:spacing w:after="0" w:line="264" w:lineRule="auto"/>
        <w:rPr>
          <w:sz w:val="20"/>
          <w:szCs w:val="20"/>
          <w:color w:val="auto"/>
        </w:rPr>
      </w:pPr>
      <w:r>
        <w:rPr>
          <w:rFonts w:ascii="Arial" w:cs="Arial" w:eastAsia="Arial" w:hAnsi="Arial"/>
          <w:sz w:val="17"/>
          <w:szCs w:val="17"/>
          <w:color w:val="auto"/>
        </w:rPr>
        <w:t>Indicate by check mark if disclosure of delinquent filings pursuant to Item 405 of Regulation S-K (§ 229.405 of this chapter) is not contained herein, and will not be contained, to the best of the registrant’s knowledge, in definitive proxy or information statements incorporated by reference in Part III of this Form 10-K or any amendment to this Form 10-K. x</w:t>
      </w:r>
    </w:p>
    <w:p>
      <w:pPr>
        <w:spacing w:after="0" w:line="202" w:lineRule="exact"/>
        <w:rPr>
          <w:sz w:val="24"/>
          <w:szCs w:val="24"/>
          <w:color w:val="auto"/>
        </w:rPr>
      </w:pPr>
    </w:p>
    <w:p>
      <w:pPr>
        <w:spacing w:after="0"/>
        <w:rPr>
          <w:sz w:val="20"/>
          <w:szCs w:val="20"/>
          <w:color w:val="auto"/>
        </w:rPr>
      </w:pPr>
      <w:r>
        <w:rPr>
          <w:rFonts w:ascii="Arial" w:cs="Arial" w:eastAsia="Arial" w:hAnsi="Arial"/>
          <w:sz w:val="15"/>
          <w:szCs w:val="15"/>
          <w:color w:val="auto"/>
        </w:rPr>
        <w:t>Indicate by check mark whether the registrant is a large accelerated filer, an accelerated filer or a non-accelerated filer, as defined in Rule 12b-2 of the Exchange Act.</w:t>
      </w:r>
    </w:p>
    <w:p>
      <w:pPr>
        <w:sectPr>
          <w:pgSz w:w="11900" w:h="16838" w:orient="portrait"/>
          <w:cols w:equalWidth="0" w:num="1">
            <w:col w:w="11420"/>
          </w:cols>
          <w:pgMar w:left="240" w:top="287" w:right="239" w:bottom="0" w:gutter="0" w:footer="0" w:header="0"/>
        </w:sectPr>
      </w:pPr>
    </w:p>
    <w:p>
      <w:pPr>
        <w:spacing w:after="0" w:line="238" w:lineRule="exact"/>
        <w:rPr>
          <w:sz w:val="24"/>
          <w:szCs w:val="24"/>
          <w:color w:val="auto"/>
        </w:rPr>
      </w:pPr>
    </w:p>
    <w:p>
      <w:pPr>
        <w:ind w:left="1400"/>
        <w:spacing w:after="0"/>
        <w:rPr>
          <w:sz w:val="20"/>
          <w:szCs w:val="20"/>
          <w:color w:val="auto"/>
        </w:rPr>
      </w:pPr>
      <w:r>
        <w:rPr>
          <w:rFonts w:ascii="Arial" w:cs="Arial" w:eastAsia="Arial" w:hAnsi="Arial"/>
          <w:sz w:val="15"/>
          <w:szCs w:val="15"/>
          <w:color w:val="auto"/>
        </w:rPr>
        <w:t>Large accelerated filer o</w:t>
      </w:r>
    </w:p>
    <w:p>
      <w:pPr>
        <w:spacing w:after="0" w:line="20" w:lineRule="exact"/>
        <w:rPr>
          <w:sz w:val="24"/>
          <w:szCs w:val="24"/>
          <w:color w:val="auto"/>
        </w:rPr>
      </w:pPr>
      <w:r>
        <w:rPr>
          <w:sz w:val="24"/>
          <w:szCs w:val="24"/>
          <w:color w:val="auto"/>
        </w:rPr>
        <w:br w:type="column"/>
      </w:r>
    </w:p>
    <w:p>
      <w:pPr>
        <w:spacing w:after="0" w:line="218"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 w:lineRule="exact"/>
        <w:rPr>
          <w:sz w:val="24"/>
          <w:szCs w:val="24"/>
          <w:color w:val="auto"/>
        </w:rPr>
      </w:pPr>
      <w:r>
        <w:rPr>
          <w:sz w:val="24"/>
          <w:szCs w:val="24"/>
          <w:color w:val="auto"/>
        </w:rPr>
        <w:br w:type="column"/>
      </w:r>
    </w:p>
    <w:p>
      <w:pPr>
        <w:spacing w:after="0" w:line="218" w:lineRule="exact"/>
        <w:rPr>
          <w:sz w:val="24"/>
          <w:szCs w:val="24"/>
          <w:color w:val="auto"/>
        </w:rPr>
      </w:pPr>
    </w:p>
    <w:p>
      <w:pPr>
        <w:jc w:val="center"/>
        <w:ind w:right="60"/>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line="218" w:lineRule="exact"/>
        <w:rPr>
          <w:sz w:val="24"/>
          <w:szCs w:val="24"/>
          <w:color w:val="auto"/>
        </w:rPr>
      </w:pPr>
    </w:p>
    <w:p>
      <w:pPr>
        <w:spacing w:after="0"/>
        <w:rPr>
          <w:sz w:val="20"/>
          <w:szCs w:val="20"/>
          <w:color w:val="auto"/>
        </w:rPr>
      </w:pPr>
      <w:r>
        <w:rPr>
          <w:rFonts w:ascii="Arial" w:cs="Arial" w:eastAsia="Arial" w:hAnsi="Arial"/>
          <w:sz w:val="15"/>
          <w:szCs w:val="15"/>
          <w:color w:val="auto"/>
        </w:rPr>
        <w:t>Smaller reporting company x</w:t>
      </w:r>
    </w:p>
    <w:p>
      <w:pPr>
        <w:spacing w:after="0" w:line="211" w:lineRule="exact"/>
        <w:rPr>
          <w:sz w:val="24"/>
          <w:szCs w:val="24"/>
          <w:color w:val="auto"/>
        </w:rPr>
      </w:pPr>
    </w:p>
    <w:p>
      <w:pPr>
        <w:sectPr>
          <w:pgSz w:w="11900" w:h="16838" w:orient="portrait"/>
          <w:cols w:equalWidth="0" w:num="4">
            <w:col w:w="3100" w:space="500"/>
            <w:col w:w="1320" w:space="720"/>
            <w:col w:w="1680" w:space="720"/>
            <w:col w:w="3380"/>
          </w:cols>
          <w:pgMar w:left="240" w:top="287" w:right="239" w:bottom="0" w:gutter="0" w:footer="0" w:header="0"/>
          <w:type w:val="continuous"/>
        </w:sectPr>
      </w:pPr>
    </w:p>
    <w:p>
      <w:pPr>
        <w:spacing w:after="0" w:line="27" w:lineRule="exact"/>
        <w:rPr>
          <w:sz w:val="24"/>
          <w:szCs w:val="24"/>
          <w:color w:val="auto"/>
        </w:rPr>
      </w:pPr>
    </w:p>
    <w:p>
      <w:pPr>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 Yes o</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Arial" w:cs="Arial" w:eastAsia="Arial" w:hAnsi="Arial"/>
          <w:sz w:val="15"/>
          <w:szCs w:val="15"/>
          <w:color w:val="auto"/>
        </w:rPr>
        <w:t>No x</w:t>
      </w:r>
    </w:p>
    <w:p>
      <w:pPr>
        <w:spacing w:after="0" w:line="200" w:lineRule="exact"/>
        <w:rPr>
          <w:sz w:val="24"/>
          <w:szCs w:val="24"/>
          <w:color w:val="auto"/>
        </w:rPr>
      </w:pPr>
    </w:p>
    <w:p>
      <w:pPr>
        <w:sectPr>
          <w:pgSz w:w="11900" w:h="16838" w:orient="portrait"/>
          <w:cols w:equalWidth="0" w:num="2">
            <w:col w:w="8240" w:space="220"/>
            <w:col w:w="2960"/>
          </w:cols>
          <w:pgMar w:left="240" w:top="287" w:right="239" w:bottom="0" w:gutter="0" w:footer="0" w:header="0"/>
          <w:type w:val="continuous"/>
        </w:sectPr>
      </w:pPr>
    </w:p>
    <w:p>
      <w:pPr>
        <w:spacing w:after="0" w:line="64" w:lineRule="exact"/>
        <w:rPr>
          <w:sz w:val="24"/>
          <w:szCs w:val="24"/>
          <w:color w:val="auto"/>
        </w:rPr>
      </w:pPr>
    </w:p>
    <w:p>
      <w:pPr>
        <w:jc w:val="both"/>
        <w:spacing w:after="0" w:line="264" w:lineRule="auto"/>
        <w:rPr>
          <w:sz w:val="20"/>
          <w:szCs w:val="20"/>
          <w:color w:val="auto"/>
        </w:rPr>
      </w:pPr>
      <w:r>
        <w:rPr>
          <w:rFonts w:ascii="Arial" w:cs="Arial" w:eastAsia="Arial" w:hAnsi="Arial"/>
          <w:sz w:val="17"/>
          <w:szCs w:val="17"/>
          <w:color w:val="auto"/>
        </w:rPr>
        <w:t>The aggregate market value of the 4,072,203 shares of the registrant’s Common Stock held by non-affiliates on June 30, 2012 was approximately $16,899,642. For purposes of this computation all officers, directors and 5% beneficial owners of the registrant are deemed to be affiliates. Such determination should not be deemed an admission that such officers, directors and beneficial owners are, in fact, affiliates of the registrant.</w:t>
      </w:r>
    </w:p>
    <w:p>
      <w:pPr>
        <w:spacing w:after="0" w:line="202" w:lineRule="exact"/>
        <w:rPr>
          <w:sz w:val="24"/>
          <w:szCs w:val="24"/>
          <w:color w:val="auto"/>
        </w:rPr>
      </w:pPr>
    </w:p>
    <w:p>
      <w:pPr>
        <w:spacing w:after="0"/>
        <w:rPr>
          <w:sz w:val="20"/>
          <w:szCs w:val="20"/>
          <w:color w:val="auto"/>
        </w:rPr>
      </w:pPr>
      <w:r>
        <w:rPr>
          <w:rFonts w:ascii="Arial" w:cs="Arial" w:eastAsia="Arial" w:hAnsi="Arial"/>
          <w:sz w:val="17"/>
          <w:szCs w:val="17"/>
          <w:color w:val="auto"/>
        </w:rPr>
        <w:t>At March 28, 2013, there were 5,262,548 shares of the registrant’s Common Stock, $.01 par value, issued and outstanding.</w:t>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DOCUMENTS INCORPORATED BY REFERENCE</w:t>
      </w:r>
    </w:p>
    <w:p>
      <w:pPr>
        <w:spacing w:after="0" w:line="215" w:lineRule="exact"/>
        <w:rPr>
          <w:sz w:val="24"/>
          <w:szCs w:val="24"/>
          <w:color w:val="auto"/>
        </w:rPr>
      </w:pPr>
    </w:p>
    <w:p>
      <w:pPr>
        <w:jc w:val="both"/>
        <w:spacing w:after="0" w:line="264" w:lineRule="auto"/>
        <w:rPr>
          <w:sz w:val="20"/>
          <w:szCs w:val="20"/>
          <w:color w:val="auto"/>
        </w:rPr>
      </w:pPr>
      <w:r>
        <w:rPr>
          <w:rFonts w:ascii="Arial" w:cs="Arial" w:eastAsia="Arial" w:hAnsi="Arial"/>
          <w:sz w:val="17"/>
          <w:szCs w:val="17"/>
          <w:color w:val="auto"/>
        </w:rPr>
        <w:t>Portions of the registrant’s definitive Proxy Statement relating to its 2013 Annual Meeting of Shareholders are incorporated by reference into Part III of this Annual Report on Form 10-K where indicated. Such Proxy Statement, or an amendment to this report containing the Items comprising Part III, will be filed with the U.S. Securities and Exchange Commission within 120 days after the end of the fiscal year to which this report relates.</w:t>
      </w:r>
    </w:p>
    <w:p>
      <w:pPr>
        <w:sectPr>
          <w:pgSz w:w="11900" w:h="16838" w:orient="portrait"/>
          <w:cols w:equalWidth="0" w:num="1">
            <w:col w:w="11420"/>
          </w:cols>
          <w:pgMar w:left="240" w:top="287" w:right="239" w:bottom="0" w:gutter="0" w:footer="0" w:header="0"/>
          <w:type w:val="continuous"/>
        </w:sectPr>
      </w:pPr>
    </w:p>
    <w:bookmarkStart w:id="1" w:name="page2"/>
    <w:bookmarkEnd w:id="1"/>
    <w:p>
      <w:pPr>
        <w:jc w:val="both"/>
        <w:spacing w:after="0" w:line="26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518795</wp:posOffset>
            </wp:positionV>
            <wp:extent cx="7258050"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61"/>
        </w:trPr>
        <w:tc>
          <w:tcPr>
            <w:tcW w:w="1040" w:type="dxa"/>
            <w:vAlign w:val="bottom"/>
            <w:gridSpan w:val="3"/>
          </w:tcPr>
          <w:p>
            <w:pPr>
              <w:spacing w:after="0"/>
              <w:rPr>
                <w:rFonts w:ascii="Arial" w:cs="Arial" w:eastAsia="Arial" w:hAnsi="Arial"/>
                <w:sz w:val="14"/>
                <w:szCs w:val="14"/>
                <w:color w:val="0000EE"/>
                <w:w w:val="92"/>
              </w:rPr>
            </w:pPr>
            <w:hyperlink w:anchor="page3">
              <w:r>
                <w:rPr>
                  <w:rFonts w:ascii="Arial" w:cs="Arial" w:eastAsia="Arial" w:hAnsi="Arial"/>
                  <w:sz w:val="14"/>
                  <w:szCs w:val="14"/>
                  <w:color w:val="0000EE"/>
                  <w:w w:val="92"/>
                </w:rPr>
                <w:t>Table of Contents</w:t>
              </w:r>
            </w:hyperlink>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402"/>
        </w:trPr>
        <w:tc>
          <w:tcPr>
            <w:tcW w:w="7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780" w:type="dxa"/>
            <w:vAlign w:val="bottom"/>
            <w:gridSpan w:val="8"/>
          </w:tcPr>
          <w:p>
            <w:pPr>
              <w:ind w:left="600"/>
              <w:spacing w:after="0"/>
              <w:rPr>
                <w:sz w:val="20"/>
                <w:szCs w:val="20"/>
                <w:color w:val="auto"/>
              </w:rPr>
            </w:pPr>
            <w:r>
              <w:rPr>
                <w:rFonts w:ascii="Arial" w:cs="Arial" w:eastAsia="Arial" w:hAnsi="Arial"/>
                <w:sz w:val="17"/>
                <w:szCs w:val="17"/>
                <w:b w:val="1"/>
                <w:bCs w:val="1"/>
                <w:color w:val="auto"/>
              </w:rPr>
              <w:t>TABLE OF CONTENTS</w:t>
            </w:r>
          </w:p>
        </w:tc>
        <w:tc>
          <w:tcPr>
            <w:tcW w:w="1440" w:type="dxa"/>
            <w:vAlign w:val="bottom"/>
          </w:tcPr>
          <w:p>
            <w:pPr>
              <w:spacing w:after="0"/>
              <w:rPr>
                <w:sz w:val="24"/>
                <w:szCs w:val="24"/>
                <w:color w:val="auto"/>
              </w:rPr>
            </w:pPr>
          </w:p>
        </w:tc>
      </w:tr>
      <w:tr>
        <w:trPr>
          <w:trHeight w:val="436"/>
        </w:trPr>
        <w:tc>
          <w:tcPr>
            <w:tcW w:w="1040" w:type="dxa"/>
            <w:vAlign w:val="bottom"/>
            <w:gridSpan w:val="3"/>
          </w:tcPr>
          <w:p>
            <w:pPr>
              <w:spacing w:after="0"/>
              <w:rPr>
                <w:sz w:val="20"/>
                <w:szCs w:val="20"/>
                <w:color w:val="auto"/>
              </w:rPr>
            </w:pPr>
            <w:r>
              <w:rPr>
                <w:rFonts w:ascii="Arial" w:cs="Arial" w:eastAsia="Arial" w:hAnsi="Arial"/>
                <w:sz w:val="17"/>
                <w:szCs w:val="17"/>
                <w:b w:val="1"/>
                <w:bCs w:val="1"/>
                <w:color w:val="auto"/>
              </w:rPr>
              <w:t>PART I</w:t>
            </w: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374"/>
        </w:trPr>
        <w:tc>
          <w:tcPr>
            <w:tcW w:w="1040" w:type="dxa"/>
            <w:vAlign w:val="bottom"/>
            <w:gridSpan w:val="3"/>
          </w:tcPr>
          <w:p>
            <w:pPr>
              <w:spacing w:after="0"/>
              <w:rPr>
                <w:sz w:val="20"/>
                <w:szCs w:val="20"/>
                <w:color w:val="auto"/>
              </w:rPr>
            </w:pPr>
            <w:r>
              <w:rPr>
                <w:rFonts w:ascii="Arial" w:cs="Arial" w:eastAsia="Arial" w:hAnsi="Arial"/>
                <w:sz w:val="17"/>
                <w:szCs w:val="17"/>
                <w:color w:val="auto"/>
              </w:rPr>
              <w:t>Item 1.</w:t>
            </w:r>
          </w:p>
        </w:tc>
        <w:tc>
          <w:tcPr>
            <w:tcW w:w="620" w:type="dxa"/>
            <w:vAlign w:val="bottom"/>
            <w:tcBorders>
              <w:bottom w:val="single" w:sz="8" w:color="0000EE"/>
            </w:tcBorders>
          </w:tcPr>
          <w:p>
            <w:pPr>
              <w:spacing w:after="0"/>
              <w:rPr>
                <w:rFonts w:ascii="Arial" w:cs="Arial" w:eastAsia="Arial" w:hAnsi="Arial"/>
                <w:sz w:val="17"/>
                <w:szCs w:val="17"/>
                <w:color w:val="0000EE"/>
                <w:w w:val="86"/>
              </w:rPr>
            </w:pPr>
            <w:hyperlink w:anchor="page4">
              <w:r>
                <w:rPr>
                  <w:rFonts w:ascii="Arial" w:cs="Arial" w:eastAsia="Arial" w:hAnsi="Arial"/>
                  <w:sz w:val="17"/>
                  <w:szCs w:val="17"/>
                  <w:color w:val="0000EE"/>
                  <w:w w:val="86"/>
                </w:rPr>
                <w:t>Business</w:t>
              </w:r>
            </w:hyperlink>
          </w:p>
        </w:tc>
        <w:tc>
          <w:tcPr>
            <w:tcW w:w="8320" w:type="dxa"/>
            <w:vAlign w:val="bottom"/>
            <w:gridSpan w:val="19"/>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185"/>
        </w:trPr>
        <w:tc>
          <w:tcPr>
            <w:tcW w:w="1040" w:type="dxa"/>
            <w:vAlign w:val="bottom"/>
            <w:gridSpan w:val="3"/>
          </w:tcPr>
          <w:p>
            <w:pPr>
              <w:spacing w:after="0" w:line="185" w:lineRule="exact"/>
              <w:rPr>
                <w:sz w:val="20"/>
                <w:szCs w:val="20"/>
                <w:color w:val="auto"/>
              </w:rPr>
            </w:pPr>
            <w:r>
              <w:rPr>
                <w:rFonts w:ascii="Arial" w:cs="Arial" w:eastAsia="Arial" w:hAnsi="Arial"/>
                <w:sz w:val="17"/>
                <w:szCs w:val="17"/>
                <w:color w:val="auto"/>
              </w:rPr>
              <w:t>Item 1A.</w:t>
            </w:r>
          </w:p>
        </w:tc>
        <w:tc>
          <w:tcPr>
            <w:tcW w:w="8940" w:type="dxa"/>
            <w:vAlign w:val="bottom"/>
            <w:gridSpan w:val="20"/>
          </w:tcPr>
          <w:p>
            <w:pPr>
              <w:spacing w:after="0" w:line="185" w:lineRule="exact"/>
              <w:rPr>
                <w:rFonts w:ascii="Arial" w:cs="Arial" w:eastAsia="Arial" w:hAnsi="Arial"/>
                <w:sz w:val="17"/>
                <w:szCs w:val="17"/>
                <w:color w:val="0000EE"/>
              </w:rPr>
            </w:pPr>
            <w:hyperlink w:anchor="page9">
              <w:r>
                <w:rPr>
                  <w:rFonts w:ascii="Arial" w:cs="Arial" w:eastAsia="Arial" w:hAnsi="Arial"/>
                  <w:sz w:val="17"/>
                  <w:szCs w:val="17"/>
                  <w:color w:val="0000EE"/>
                </w:rPr>
                <w:t>Risk Factors</w:t>
              </w:r>
            </w:hyperlink>
          </w:p>
        </w:tc>
        <w:tc>
          <w:tcPr>
            <w:tcW w:w="1440" w:type="dxa"/>
            <w:vAlign w:val="bottom"/>
          </w:tcPr>
          <w:p>
            <w:pPr>
              <w:jc w:val="right"/>
              <w:spacing w:after="0" w:line="185" w:lineRule="exact"/>
              <w:rPr>
                <w:sz w:val="20"/>
                <w:szCs w:val="20"/>
                <w:color w:val="auto"/>
              </w:rPr>
            </w:pPr>
            <w:r>
              <w:rPr>
                <w:rFonts w:ascii="Arial" w:cs="Arial" w:eastAsia="Arial" w:hAnsi="Arial"/>
                <w:sz w:val="17"/>
                <w:szCs w:val="17"/>
                <w:color w:val="auto"/>
              </w:rPr>
              <w:t>8</w:t>
            </w:r>
          </w:p>
        </w:tc>
      </w:tr>
      <w:tr>
        <w:trPr>
          <w:trHeight w:val="20"/>
        </w:trPr>
        <w:tc>
          <w:tcPr>
            <w:tcW w:w="7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85"/>
        </w:trPr>
        <w:tc>
          <w:tcPr>
            <w:tcW w:w="1040" w:type="dxa"/>
            <w:vAlign w:val="bottom"/>
            <w:gridSpan w:val="3"/>
          </w:tcPr>
          <w:p>
            <w:pPr>
              <w:spacing w:after="0" w:line="185" w:lineRule="exact"/>
              <w:rPr>
                <w:sz w:val="20"/>
                <w:szCs w:val="20"/>
                <w:color w:val="auto"/>
              </w:rPr>
            </w:pPr>
            <w:r>
              <w:rPr>
                <w:rFonts w:ascii="Arial" w:cs="Arial" w:eastAsia="Arial" w:hAnsi="Arial"/>
                <w:sz w:val="17"/>
                <w:szCs w:val="17"/>
                <w:color w:val="auto"/>
              </w:rPr>
              <w:t>Item 1B.</w:t>
            </w:r>
          </w:p>
        </w:tc>
        <w:tc>
          <w:tcPr>
            <w:tcW w:w="8940" w:type="dxa"/>
            <w:vAlign w:val="bottom"/>
            <w:gridSpan w:val="20"/>
          </w:tcPr>
          <w:p>
            <w:pPr>
              <w:spacing w:after="0" w:line="185" w:lineRule="exact"/>
              <w:rPr>
                <w:rFonts w:ascii="Arial" w:cs="Arial" w:eastAsia="Arial" w:hAnsi="Arial"/>
                <w:sz w:val="17"/>
                <w:szCs w:val="17"/>
                <w:color w:val="0000EE"/>
              </w:rPr>
            </w:pPr>
            <w:hyperlink w:anchor="page9">
              <w:r>
                <w:rPr>
                  <w:rFonts w:ascii="Arial" w:cs="Arial" w:eastAsia="Arial" w:hAnsi="Arial"/>
                  <w:sz w:val="17"/>
                  <w:szCs w:val="17"/>
                  <w:color w:val="0000EE"/>
                </w:rPr>
                <w:t>Unresolved Staff Comments</w:t>
              </w:r>
            </w:hyperlink>
          </w:p>
        </w:tc>
        <w:tc>
          <w:tcPr>
            <w:tcW w:w="1440" w:type="dxa"/>
            <w:vAlign w:val="bottom"/>
          </w:tcPr>
          <w:p>
            <w:pPr>
              <w:jc w:val="right"/>
              <w:spacing w:after="0" w:line="185" w:lineRule="exact"/>
              <w:rPr>
                <w:sz w:val="20"/>
                <w:szCs w:val="20"/>
                <w:color w:val="auto"/>
              </w:rPr>
            </w:pPr>
            <w:r>
              <w:rPr>
                <w:rFonts w:ascii="Arial" w:cs="Arial" w:eastAsia="Arial" w:hAnsi="Arial"/>
                <w:sz w:val="17"/>
                <w:szCs w:val="17"/>
                <w:color w:val="auto"/>
              </w:rPr>
              <w:t>8</w:t>
            </w:r>
          </w:p>
        </w:tc>
      </w:tr>
      <w:tr>
        <w:trPr>
          <w:trHeight w:val="185"/>
        </w:trPr>
        <w:tc>
          <w:tcPr>
            <w:tcW w:w="1040" w:type="dxa"/>
            <w:vAlign w:val="bottom"/>
            <w:gridSpan w:val="3"/>
          </w:tcPr>
          <w:p>
            <w:pPr>
              <w:spacing w:after="0" w:line="185" w:lineRule="exact"/>
              <w:rPr>
                <w:sz w:val="20"/>
                <w:szCs w:val="20"/>
                <w:color w:val="auto"/>
              </w:rPr>
            </w:pPr>
            <w:r>
              <w:rPr>
                <w:rFonts w:ascii="Arial" w:cs="Arial" w:eastAsia="Arial" w:hAnsi="Arial"/>
                <w:sz w:val="17"/>
                <w:szCs w:val="17"/>
                <w:color w:val="auto"/>
              </w:rPr>
              <w:t>Item 2.</w:t>
            </w:r>
          </w:p>
        </w:tc>
        <w:tc>
          <w:tcPr>
            <w:tcW w:w="700" w:type="dxa"/>
            <w:vAlign w:val="bottom"/>
            <w:tcBorders>
              <w:top w:val="single" w:sz="8" w:color="0000EE"/>
              <w:bottom w:val="single" w:sz="8" w:color="0000EE"/>
            </w:tcBorders>
            <w:gridSpan w:val="2"/>
          </w:tcPr>
          <w:p>
            <w:pPr>
              <w:spacing w:after="0" w:line="185" w:lineRule="exact"/>
              <w:rPr>
                <w:rFonts w:ascii="Arial" w:cs="Arial" w:eastAsia="Arial" w:hAnsi="Arial"/>
                <w:sz w:val="17"/>
                <w:szCs w:val="17"/>
                <w:color w:val="0000EE"/>
                <w:w w:val="87"/>
              </w:rPr>
            </w:pPr>
            <w:hyperlink w:anchor="page9">
              <w:r>
                <w:rPr>
                  <w:rFonts w:ascii="Arial" w:cs="Arial" w:eastAsia="Arial" w:hAnsi="Arial"/>
                  <w:sz w:val="17"/>
                  <w:szCs w:val="17"/>
                  <w:color w:val="0000EE"/>
                  <w:w w:val="87"/>
                </w:rPr>
                <w:t>Properties</w:t>
              </w:r>
            </w:hyperlink>
          </w:p>
        </w:tc>
        <w:tc>
          <w:tcPr>
            <w:tcW w:w="1240" w:type="dxa"/>
            <w:vAlign w:val="bottom"/>
            <w:tcBorders>
              <w:top w:val="single" w:sz="8" w:color="0000EE"/>
            </w:tcBorders>
            <w:gridSpan w:val="7"/>
          </w:tcPr>
          <w:p>
            <w:pPr>
              <w:spacing w:after="0"/>
              <w:rPr>
                <w:sz w:val="16"/>
                <w:szCs w:val="16"/>
                <w:color w:val="auto"/>
              </w:rPr>
            </w:pPr>
          </w:p>
        </w:tc>
        <w:tc>
          <w:tcPr>
            <w:tcW w:w="7000" w:type="dxa"/>
            <w:vAlign w:val="bottom"/>
            <w:gridSpan w:val="11"/>
          </w:tcPr>
          <w:p>
            <w:pPr>
              <w:spacing w:after="0"/>
              <w:rPr>
                <w:sz w:val="16"/>
                <w:szCs w:val="16"/>
                <w:color w:val="auto"/>
              </w:rPr>
            </w:pPr>
          </w:p>
        </w:tc>
        <w:tc>
          <w:tcPr>
            <w:tcW w:w="1440" w:type="dxa"/>
            <w:vAlign w:val="bottom"/>
          </w:tcPr>
          <w:p>
            <w:pPr>
              <w:jc w:val="right"/>
              <w:spacing w:after="0" w:line="185" w:lineRule="exact"/>
              <w:rPr>
                <w:sz w:val="20"/>
                <w:szCs w:val="20"/>
                <w:color w:val="auto"/>
              </w:rPr>
            </w:pPr>
            <w:r>
              <w:rPr>
                <w:rFonts w:ascii="Arial" w:cs="Arial" w:eastAsia="Arial" w:hAnsi="Arial"/>
                <w:sz w:val="17"/>
                <w:szCs w:val="17"/>
                <w:color w:val="auto"/>
              </w:rPr>
              <w:t>8</w:t>
            </w:r>
          </w:p>
        </w:tc>
      </w:tr>
      <w:tr>
        <w:trPr>
          <w:trHeight w:val="185"/>
        </w:trPr>
        <w:tc>
          <w:tcPr>
            <w:tcW w:w="1040" w:type="dxa"/>
            <w:vAlign w:val="bottom"/>
            <w:gridSpan w:val="3"/>
          </w:tcPr>
          <w:p>
            <w:pPr>
              <w:spacing w:after="0" w:line="185" w:lineRule="exact"/>
              <w:rPr>
                <w:sz w:val="20"/>
                <w:szCs w:val="20"/>
                <w:color w:val="auto"/>
              </w:rPr>
            </w:pPr>
            <w:r>
              <w:rPr>
                <w:rFonts w:ascii="Arial" w:cs="Arial" w:eastAsia="Arial" w:hAnsi="Arial"/>
                <w:sz w:val="17"/>
                <w:szCs w:val="17"/>
                <w:color w:val="auto"/>
              </w:rPr>
              <w:t>Item 3.</w:t>
            </w:r>
          </w:p>
        </w:tc>
        <w:tc>
          <w:tcPr>
            <w:tcW w:w="1280" w:type="dxa"/>
            <w:vAlign w:val="bottom"/>
            <w:tcBorders>
              <w:bottom w:val="single" w:sz="8" w:color="0000EE"/>
            </w:tcBorders>
            <w:gridSpan w:val="5"/>
          </w:tcPr>
          <w:p>
            <w:pPr>
              <w:spacing w:after="0" w:line="185" w:lineRule="exact"/>
              <w:rPr>
                <w:rFonts w:ascii="Arial" w:cs="Arial" w:eastAsia="Arial" w:hAnsi="Arial"/>
                <w:sz w:val="17"/>
                <w:szCs w:val="17"/>
                <w:color w:val="0000EE"/>
                <w:w w:val="89"/>
              </w:rPr>
            </w:pPr>
            <w:hyperlink w:anchor="page9">
              <w:r>
                <w:rPr>
                  <w:rFonts w:ascii="Arial" w:cs="Arial" w:eastAsia="Arial" w:hAnsi="Arial"/>
                  <w:sz w:val="17"/>
                  <w:szCs w:val="17"/>
                  <w:color w:val="0000EE"/>
                  <w:w w:val="89"/>
                </w:rPr>
                <w:t>Legal Proceedings</w:t>
              </w:r>
            </w:hyperlink>
          </w:p>
        </w:tc>
        <w:tc>
          <w:tcPr>
            <w:tcW w:w="7660" w:type="dxa"/>
            <w:vAlign w:val="bottom"/>
            <w:gridSpan w:val="15"/>
          </w:tcPr>
          <w:p>
            <w:pPr>
              <w:spacing w:after="0"/>
              <w:rPr>
                <w:sz w:val="16"/>
                <w:szCs w:val="16"/>
                <w:color w:val="auto"/>
              </w:rPr>
            </w:pPr>
          </w:p>
        </w:tc>
        <w:tc>
          <w:tcPr>
            <w:tcW w:w="1440" w:type="dxa"/>
            <w:vAlign w:val="bottom"/>
          </w:tcPr>
          <w:p>
            <w:pPr>
              <w:jc w:val="right"/>
              <w:spacing w:after="0" w:line="185" w:lineRule="exact"/>
              <w:rPr>
                <w:sz w:val="20"/>
                <w:szCs w:val="20"/>
                <w:color w:val="auto"/>
              </w:rPr>
            </w:pPr>
            <w:r>
              <w:rPr>
                <w:rFonts w:ascii="Arial" w:cs="Arial" w:eastAsia="Arial" w:hAnsi="Arial"/>
                <w:sz w:val="17"/>
                <w:szCs w:val="17"/>
                <w:color w:val="auto"/>
              </w:rPr>
              <w:t>8</w:t>
            </w:r>
          </w:p>
        </w:tc>
      </w:tr>
      <w:tr>
        <w:trPr>
          <w:trHeight w:val="185"/>
        </w:trPr>
        <w:tc>
          <w:tcPr>
            <w:tcW w:w="1040" w:type="dxa"/>
            <w:vAlign w:val="bottom"/>
            <w:gridSpan w:val="3"/>
          </w:tcPr>
          <w:p>
            <w:pPr>
              <w:spacing w:after="0" w:line="185" w:lineRule="exact"/>
              <w:rPr>
                <w:sz w:val="20"/>
                <w:szCs w:val="20"/>
                <w:color w:val="auto"/>
              </w:rPr>
            </w:pPr>
            <w:r>
              <w:rPr>
                <w:rFonts w:ascii="Arial" w:cs="Arial" w:eastAsia="Arial" w:hAnsi="Arial"/>
                <w:sz w:val="17"/>
                <w:szCs w:val="17"/>
                <w:color w:val="auto"/>
              </w:rPr>
              <w:t>Item 4.</w:t>
            </w:r>
          </w:p>
        </w:tc>
        <w:tc>
          <w:tcPr>
            <w:tcW w:w="8940" w:type="dxa"/>
            <w:vAlign w:val="bottom"/>
            <w:gridSpan w:val="20"/>
          </w:tcPr>
          <w:p>
            <w:pPr>
              <w:spacing w:after="0" w:line="185" w:lineRule="exact"/>
              <w:rPr>
                <w:rFonts w:ascii="Arial" w:cs="Arial" w:eastAsia="Arial" w:hAnsi="Arial"/>
                <w:sz w:val="17"/>
                <w:szCs w:val="17"/>
                <w:color w:val="0000EE"/>
              </w:rPr>
            </w:pPr>
            <w:hyperlink w:anchor="page9">
              <w:r>
                <w:rPr>
                  <w:rFonts w:ascii="Arial" w:cs="Arial" w:eastAsia="Arial" w:hAnsi="Arial"/>
                  <w:sz w:val="17"/>
                  <w:szCs w:val="17"/>
                  <w:color w:val="0000EE"/>
                </w:rPr>
                <w:t>Mine Safety Disclosures</w:t>
              </w:r>
            </w:hyperlink>
          </w:p>
        </w:tc>
        <w:tc>
          <w:tcPr>
            <w:tcW w:w="1440" w:type="dxa"/>
            <w:vAlign w:val="bottom"/>
          </w:tcPr>
          <w:p>
            <w:pPr>
              <w:jc w:val="right"/>
              <w:spacing w:after="0" w:line="185" w:lineRule="exact"/>
              <w:rPr>
                <w:sz w:val="20"/>
                <w:szCs w:val="20"/>
                <w:color w:val="auto"/>
              </w:rPr>
            </w:pPr>
            <w:r>
              <w:rPr>
                <w:rFonts w:ascii="Arial" w:cs="Arial" w:eastAsia="Arial" w:hAnsi="Arial"/>
                <w:sz w:val="17"/>
                <w:szCs w:val="17"/>
                <w:color w:val="auto"/>
              </w:rPr>
              <w:t>8</w:t>
            </w:r>
          </w:p>
        </w:tc>
      </w:tr>
      <w:tr>
        <w:trPr>
          <w:trHeight w:val="428"/>
        </w:trPr>
        <w:tc>
          <w:tcPr>
            <w:tcW w:w="1040" w:type="dxa"/>
            <w:vAlign w:val="bottom"/>
            <w:gridSpan w:val="3"/>
          </w:tcPr>
          <w:p>
            <w:pPr>
              <w:spacing w:after="0"/>
              <w:rPr>
                <w:sz w:val="20"/>
                <w:szCs w:val="20"/>
                <w:color w:val="auto"/>
              </w:rPr>
            </w:pPr>
            <w:r>
              <w:rPr>
                <w:rFonts w:ascii="Arial" w:cs="Arial" w:eastAsia="Arial" w:hAnsi="Arial"/>
                <w:sz w:val="17"/>
                <w:szCs w:val="17"/>
                <w:b w:val="1"/>
                <w:bCs w:val="1"/>
                <w:color w:val="auto"/>
              </w:rPr>
              <w:t>PART II</w:t>
            </w: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374"/>
        </w:trPr>
        <w:tc>
          <w:tcPr>
            <w:tcW w:w="1040" w:type="dxa"/>
            <w:vAlign w:val="bottom"/>
            <w:gridSpan w:val="3"/>
          </w:tcPr>
          <w:p>
            <w:pPr>
              <w:spacing w:after="0"/>
              <w:rPr>
                <w:sz w:val="20"/>
                <w:szCs w:val="20"/>
                <w:color w:val="auto"/>
              </w:rPr>
            </w:pPr>
            <w:r>
              <w:rPr>
                <w:rFonts w:ascii="Arial" w:cs="Arial" w:eastAsia="Arial" w:hAnsi="Arial"/>
                <w:sz w:val="17"/>
                <w:szCs w:val="17"/>
                <w:color w:val="auto"/>
              </w:rPr>
              <w:t>Item 5.</w:t>
            </w:r>
          </w:p>
        </w:tc>
        <w:tc>
          <w:tcPr>
            <w:tcW w:w="7680" w:type="dxa"/>
            <w:vAlign w:val="bottom"/>
            <w:tcBorders>
              <w:bottom w:val="single" w:sz="8" w:color="0000EE"/>
            </w:tcBorders>
            <w:gridSpan w:val="19"/>
          </w:tcPr>
          <w:p>
            <w:pPr>
              <w:spacing w:after="0"/>
              <w:rPr>
                <w:rFonts w:ascii="Arial" w:cs="Arial" w:eastAsia="Arial" w:hAnsi="Arial"/>
                <w:sz w:val="17"/>
                <w:szCs w:val="17"/>
                <w:color w:val="0000EE"/>
                <w:w w:val="91"/>
              </w:rPr>
            </w:pPr>
            <w:hyperlink w:anchor="page10">
              <w:r>
                <w:rPr>
                  <w:rFonts w:ascii="Arial" w:cs="Arial" w:eastAsia="Arial" w:hAnsi="Arial"/>
                  <w:sz w:val="17"/>
                  <w:szCs w:val="17"/>
                  <w:color w:val="0000EE"/>
                  <w:w w:val="91"/>
                </w:rPr>
                <w:t>Market for Registrant’s Common Equity, Related Stockholder Matters and Issuer Purchases of Equity Securities</w:t>
              </w:r>
            </w:hyperlink>
          </w:p>
        </w:tc>
        <w:tc>
          <w:tcPr>
            <w:tcW w:w="126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9</w:t>
            </w:r>
          </w:p>
        </w:tc>
      </w:tr>
      <w:tr>
        <w:trPr>
          <w:trHeight w:val="185"/>
        </w:trPr>
        <w:tc>
          <w:tcPr>
            <w:tcW w:w="1040" w:type="dxa"/>
            <w:vAlign w:val="bottom"/>
            <w:gridSpan w:val="3"/>
          </w:tcPr>
          <w:p>
            <w:pPr>
              <w:spacing w:after="0" w:line="185" w:lineRule="exact"/>
              <w:rPr>
                <w:sz w:val="20"/>
                <w:szCs w:val="20"/>
                <w:color w:val="auto"/>
              </w:rPr>
            </w:pPr>
            <w:r>
              <w:rPr>
                <w:rFonts w:ascii="Arial" w:cs="Arial" w:eastAsia="Arial" w:hAnsi="Arial"/>
                <w:sz w:val="17"/>
                <w:szCs w:val="17"/>
                <w:color w:val="auto"/>
              </w:rPr>
              <w:t>Item 6.</w:t>
            </w:r>
          </w:p>
        </w:tc>
        <w:tc>
          <w:tcPr>
            <w:tcW w:w="8940" w:type="dxa"/>
            <w:vAlign w:val="bottom"/>
            <w:gridSpan w:val="20"/>
          </w:tcPr>
          <w:p>
            <w:pPr>
              <w:spacing w:after="0" w:line="185" w:lineRule="exact"/>
              <w:rPr>
                <w:rFonts w:ascii="Arial" w:cs="Arial" w:eastAsia="Arial" w:hAnsi="Arial"/>
                <w:sz w:val="17"/>
                <w:szCs w:val="17"/>
                <w:color w:val="0000EE"/>
              </w:rPr>
            </w:pPr>
            <w:hyperlink w:anchor="page11">
              <w:r>
                <w:rPr>
                  <w:rFonts w:ascii="Arial" w:cs="Arial" w:eastAsia="Arial" w:hAnsi="Arial"/>
                  <w:sz w:val="17"/>
                  <w:szCs w:val="17"/>
                  <w:color w:val="0000EE"/>
                </w:rPr>
                <w:t>Selected Financial Data</w:t>
              </w:r>
            </w:hyperlink>
          </w:p>
        </w:tc>
        <w:tc>
          <w:tcPr>
            <w:tcW w:w="1440" w:type="dxa"/>
            <w:vAlign w:val="bottom"/>
          </w:tcPr>
          <w:p>
            <w:pPr>
              <w:jc w:val="right"/>
              <w:spacing w:after="0" w:line="185" w:lineRule="exact"/>
              <w:rPr>
                <w:sz w:val="20"/>
                <w:szCs w:val="20"/>
                <w:color w:val="auto"/>
              </w:rPr>
            </w:pPr>
            <w:r>
              <w:rPr>
                <w:rFonts w:ascii="Arial" w:cs="Arial" w:eastAsia="Arial" w:hAnsi="Arial"/>
                <w:sz w:val="17"/>
                <w:szCs w:val="17"/>
                <w:color w:val="auto"/>
              </w:rPr>
              <w:t>10</w:t>
            </w:r>
          </w:p>
        </w:tc>
      </w:tr>
      <w:tr>
        <w:trPr>
          <w:trHeight w:val="20"/>
        </w:trPr>
        <w:tc>
          <w:tcPr>
            <w:tcW w:w="7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60" w:type="dxa"/>
            <w:vAlign w:val="bottom"/>
            <w:gridSpan w:val="4"/>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85"/>
        </w:trPr>
        <w:tc>
          <w:tcPr>
            <w:tcW w:w="1040" w:type="dxa"/>
            <w:vAlign w:val="bottom"/>
            <w:gridSpan w:val="3"/>
          </w:tcPr>
          <w:p>
            <w:pPr>
              <w:spacing w:after="0" w:line="185" w:lineRule="exact"/>
              <w:rPr>
                <w:sz w:val="20"/>
                <w:szCs w:val="20"/>
                <w:color w:val="auto"/>
              </w:rPr>
            </w:pPr>
            <w:r>
              <w:rPr>
                <w:rFonts w:ascii="Arial" w:cs="Arial" w:eastAsia="Arial" w:hAnsi="Arial"/>
                <w:sz w:val="17"/>
                <w:szCs w:val="17"/>
                <w:color w:val="auto"/>
              </w:rPr>
              <w:t>Item 7.</w:t>
            </w:r>
          </w:p>
        </w:tc>
        <w:tc>
          <w:tcPr>
            <w:tcW w:w="8940" w:type="dxa"/>
            <w:vAlign w:val="bottom"/>
            <w:gridSpan w:val="20"/>
          </w:tcPr>
          <w:p>
            <w:pPr>
              <w:spacing w:after="0" w:line="185" w:lineRule="exact"/>
              <w:rPr>
                <w:rFonts w:ascii="Arial" w:cs="Arial" w:eastAsia="Arial" w:hAnsi="Arial"/>
                <w:sz w:val="17"/>
                <w:szCs w:val="17"/>
                <w:color w:val="0000EE"/>
              </w:rPr>
            </w:pPr>
            <w:hyperlink w:anchor="page11">
              <w:r>
                <w:rPr>
                  <w:rFonts w:ascii="Arial" w:cs="Arial" w:eastAsia="Arial" w:hAnsi="Arial"/>
                  <w:sz w:val="17"/>
                  <w:szCs w:val="17"/>
                  <w:color w:val="0000EE"/>
                </w:rPr>
                <w:t>Management’s Discussion and Analysis of Financial Condition and Results of Operations</w:t>
              </w:r>
            </w:hyperlink>
          </w:p>
        </w:tc>
        <w:tc>
          <w:tcPr>
            <w:tcW w:w="1440" w:type="dxa"/>
            <w:vAlign w:val="bottom"/>
          </w:tcPr>
          <w:p>
            <w:pPr>
              <w:jc w:val="right"/>
              <w:spacing w:after="0" w:line="185" w:lineRule="exact"/>
              <w:rPr>
                <w:sz w:val="20"/>
                <w:szCs w:val="20"/>
                <w:color w:val="auto"/>
              </w:rPr>
            </w:pPr>
            <w:r>
              <w:rPr>
                <w:rFonts w:ascii="Arial" w:cs="Arial" w:eastAsia="Arial" w:hAnsi="Arial"/>
                <w:sz w:val="17"/>
                <w:szCs w:val="17"/>
                <w:color w:val="auto"/>
              </w:rPr>
              <w:t>10</w:t>
            </w:r>
          </w:p>
        </w:tc>
      </w:tr>
      <w:tr>
        <w:trPr>
          <w:trHeight w:val="185"/>
        </w:trPr>
        <w:tc>
          <w:tcPr>
            <w:tcW w:w="1040" w:type="dxa"/>
            <w:vAlign w:val="bottom"/>
            <w:gridSpan w:val="3"/>
          </w:tcPr>
          <w:p>
            <w:pPr>
              <w:spacing w:after="0" w:line="185" w:lineRule="exact"/>
              <w:rPr>
                <w:sz w:val="20"/>
                <w:szCs w:val="20"/>
                <w:color w:val="auto"/>
              </w:rPr>
            </w:pPr>
            <w:r>
              <w:rPr>
                <w:rFonts w:ascii="Arial" w:cs="Arial" w:eastAsia="Arial" w:hAnsi="Arial"/>
                <w:sz w:val="17"/>
                <w:szCs w:val="17"/>
                <w:color w:val="auto"/>
              </w:rPr>
              <w:t>Item 7A.</w:t>
            </w:r>
          </w:p>
        </w:tc>
        <w:tc>
          <w:tcPr>
            <w:tcW w:w="4100" w:type="dxa"/>
            <w:vAlign w:val="bottom"/>
            <w:tcBorders>
              <w:top w:val="single" w:sz="8" w:color="0000EE"/>
              <w:bottom w:val="single" w:sz="8" w:color="0000EE"/>
            </w:tcBorders>
            <w:gridSpan w:val="14"/>
          </w:tcPr>
          <w:p>
            <w:pPr>
              <w:spacing w:after="0" w:line="185" w:lineRule="exact"/>
              <w:rPr>
                <w:rFonts w:ascii="Arial" w:cs="Arial" w:eastAsia="Arial" w:hAnsi="Arial"/>
                <w:sz w:val="17"/>
                <w:szCs w:val="17"/>
                <w:color w:val="0000EE"/>
                <w:w w:val="92"/>
              </w:rPr>
            </w:pPr>
            <w:hyperlink w:anchor="page18">
              <w:r>
                <w:rPr>
                  <w:rFonts w:ascii="Arial" w:cs="Arial" w:eastAsia="Arial" w:hAnsi="Arial"/>
                  <w:sz w:val="17"/>
                  <w:szCs w:val="17"/>
                  <w:color w:val="0000EE"/>
                  <w:w w:val="92"/>
                </w:rPr>
                <w:t>Quantitative and Qualitative Disclosures about Market Risk</w:t>
              </w:r>
            </w:hyperlink>
          </w:p>
        </w:tc>
        <w:tc>
          <w:tcPr>
            <w:tcW w:w="2040" w:type="dxa"/>
            <w:vAlign w:val="bottom"/>
            <w:tcBorders>
              <w:top w:val="single" w:sz="8" w:color="0000EE"/>
            </w:tcBorders>
            <w:gridSpan w:val="2"/>
          </w:tcPr>
          <w:p>
            <w:pPr>
              <w:spacing w:after="0"/>
              <w:rPr>
                <w:sz w:val="16"/>
                <w:szCs w:val="16"/>
                <w:color w:val="auto"/>
              </w:rPr>
            </w:pPr>
          </w:p>
        </w:tc>
        <w:tc>
          <w:tcPr>
            <w:tcW w:w="2800" w:type="dxa"/>
            <w:vAlign w:val="bottom"/>
            <w:gridSpan w:val="4"/>
          </w:tcPr>
          <w:p>
            <w:pPr>
              <w:spacing w:after="0"/>
              <w:rPr>
                <w:sz w:val="16"/>
                <w:szCs w:val="16"/>
                <w:color w:val="auto"/>
              </w:rPr>
            </w:pPr>
          </w:p>
        </w:tc>
        <w:tc>
          <w:tcPr>
            <w:tcW w:w="1440" w:type="dxa"/>
            <w:vAlign w:val="bottom"/>
          </w:tcPr>
          <w:p>
            <w:pPr>
              <w:jc w:val="right"/>
              <w:spacing w:after="0" w:line="185" w:lineRule="exact"/>
              <w:rPr>
                <w:sz w:val="20"/>
                <w:szCs w:val="20"/>
                <w:color w:val="auto"/>
              </w:rPr>
            </w:pPr>
            <w:r>
              <w:rPr>
                <w:rFonts w:ascii="Arial" w:cs="Arial" w:eastAsia="Arial" w:hAnsi="Arial"/>
                <w:sz w:val="17"/>
                <w:szCs w:val="17"/>
                <w:color w:val="auto"/>
              </w:rPr>
              <w:t>17</w:t>
            </w:r>
          </w:p>
        </w:tc>
      </w:tr>
      <w:tr>
        <w:trPr>
          <w:trHeight w:val="185"/>
        </w:trPr>
        <w:tc>
          <w:tcPr>
            <w:tcW w:w="1040" w:type="dxa"/>
            <w:vAlign w:val="bottom"/>
            <w:gridSpan w:val="3"/>
          </w:tcPr>
          <w:p>
            <w:pPr>
              <w:spacing w:after="0" w:line="185" w:lineRule="exact"/>
              <w:rPr>
                <w:sz w:val="20"/>
                <w:szCs w:val="20"/>
                <w:color w:val="auto"/>
              </w:rPr>
            </w:pPr>
            <w:r>
              <w:rPr>
                <w:rFonts w:ascii="Arial" w:cs="Arial" w:eastAsia="Arial" w:hAnsi="Arial"/>
                <w:sz w:val="17"/>
                <w:szCs w:val="17"/>
                <w:color w:val="auto"/>
              </w:rPr>
              <w:t>Item 8.</w:t>
            </w:r>
          </w:p>
        </w:tc>
        <w:tc>
          <w:tcPr>
            <w:tcW w:w="8940" w:type="dxa"/>
            <w:vAlign w:val="bottom"/>
            <w:gridSpan w:val="20"/>
          </w:tcPr>
          <w:p>
            <w:pPr>
              <w:spacing w:after="0" w:line="185" w:lineRule="exact"/>
              <w:rPr>
                <w:rFonts w:ascii="Arial" w:cs="Arial" w:eastAsia="Arial" w:hAnsi="Arial"/>
                <w:sz w:val="17"/>
                <w:szCs w:val="17"/>
                <w:color w:val="0000EE"/>
              </w:rPr>
            </w:pPr>
            <w:hyperlink w:anchor="page18">
              <w:r>
                <w:rPr>
                  <w:rFonts w:ascii="Arial" w:cs="Arial" w:eastAsia="Arial" w:hAnsi="Arial"/>
                  <w:sz w:val="17"/>
                  <w:szCs w:val="17"/>
                  <w:color w:val="0000EE"/>
                </w:rPr>
                <w:t>Financial Statements and Supplementary Data</w:t>
              </w:r>
            </w:hyperlink>
          </w:p>
        </w:tc>
        <w:tc>
          <w:tcPr>
            <w:tcW w:w="1440" w:type="dxa"/>
            <w:vAlign w:val="bottom"/>
          </w:tcPr>
          <w:p>
            <w:pPr>
              <w:jc w:val="right"/>
              <w:spacing w:after="0" w:line="185" w:lineRule="exact"/>
              <w:rPr>
                <w:sz w:val="20"/>
                <w:szCs w:val="20"/>
                <w:color w:val="auto"/>
              </w:rPr>
            </w:pPr>
            <w:r>
              <w:rPr>
                <w:rFonts w:ascii="Arial" w:cs="Arial" w:eastAsia="Arial" w:hAnsi="Arial"/>
                <w:sz w:val="17"/>
                <w:szCs w:val="17"/>
                <w:color w:val="auto"/>
              </w:rPr>
              <w:t>17</w:t>
            </w:r>
          </w:p>
        </w:tc>
      </w:tr>
      <w:tr>
        <w:trPr>
          <w:trHeight w:val="20"/>
        </w:trPr>
        <w:tc>
          <w:tcPr>
            <w:tcW w:w="7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60" w:type="dxa"/>
            <w:vAlign w:val="bottom"/>
            <w:gridSpan w:val="4"/>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85"/>
        </w:trPr>
        <w:tc>
          <w:tcPr>
            <w:tcW w:w="1040" w:type="dxa"/>
            <w:vAlign w:val="bottom"/>
            <w:gridSpan w:val="3"/>
          </w:tcPr>
          <w:p>
            <w:pPr>
              <w:spacing w:after="0" w:line="185" w:lineRule="exact"/>
              <w:rPr>
                <w:sz w:val="20"/>
                <w:szCs w:val="20"/>
                <w:color w:val="auto"/>
              </w:rPr>
            </w:pPr>
            <w:r>
              <w:rPr>
                <w:rFonts w:ascii="Arial" w:cs="Arial" w:eastAsia="Arial" w:hAnsi="Arial"/>
                <w:sz w:val="17"/>
                <w:szCs w:val="17"/>
                <w:color w:val="auto"/>
              </w:rPr>
              <w:t>Item 9.</w:t>
            </w:r>
          </w:p>
        </w:tc>
        <w:tc>
          <w:tcPr>
            <w:tcW w:w="8940" w:type="dxa"/>
            <w:vAlign w:val="bottom"/>
            <w:gridSpan w:val="20"/>
          </w:tcPr>
          <w:p>
            <w:pPr>
              <w:spacing w:after="0" w:line="185" w:lineRule="exact"/>
              <w:rPr>
                <w:rFonts w:ascii="Arial" w:cs="Arial" w:eastAsia="Arial" w:hAnsi="Arial"/>
                <w:sz w:val="17"/>
                <w:szCs w:val="17"/>
                <w:color w:val="0000EE"/>
              </w:rPr>
            </w:pPr>
            <w:hyperlink w:anchor="page19">
              <w:r>
                <w:rPr>
                  <w:rFonts w:ascii="Arial" w:cs="Arial" w:eastAsia="Arial" w:hAnsi="Arial"/>
                  <w:sz w:val="17"/>
                  <w:szCs w:val="17"/>
                  <w:color w:val="0000EE"/>
                </w:rPr>
                <w:t>Changes in and Disagreements with Accountants on Accounting and Financial Disclosures</w:t>
              </w:r>
            </w:hyperlink>
          </w:p>
        </w:tc>
        <w:tc>
          <w:tcPr>
            <w:tcW w:w="1440" w:type="dxa"/>
            <w:vAlign w:val="bottom"/>
          </w:tcPr>
          <w:p>
            <w:pPr>
              <w:jc w:val="right"/>
              <w:spacing w:after="0" w:line="185" w:lineRule="exact"/>
              <w:rPr>
                <w:sz w:val="20"/>
                <w:szCs w:val="20"/>
                <w:color w:val="auto"/>
              </w:rPr>
            </w:pPr>
            <w:r>
              <w:rPr>
                <w:rFonts w:ascii="Arial" w:cs="Arial" w:eastAsia="Arial" w:hAnsi="Arial"/>
                <w:sz w:val="17"/>
                <w:szCs w:val="17"/>
                <w:color w:val="auto"/>
              </w:rPr>
              <w:t>18</w:t>
            </w:r>
          </w:p>
        </w:tc>
      </w:tr>
      <w:tr>
        <w:trPr>
          <w:trHeight w:val="185"/>
        </w:trPr>
        <w:tc>
          <w:tcPr>
            <w:tcW w:w="1040" w:type="dxa"/>
            <w:vAlign w:val="bottom"/>
            <w:gridSpan w:val="3"/>
          </w:tcPr>
          <w:p>
            <w:pPr>
              <w:spacing w:after="0" w:line="185" w:lineRule="exact"/>
              <w:rPr>
                <w:sz w:val="20"/>
                <w:szCs w:val="20"/>
                <w:color w:val="auto"/>
              </w:rPr>
            </w:pPr>
            <w:r>
              <w:rPr>
                <w:rFonts w:ascii="Arial" w:cs="Arial" w:eastAsia="Arial" w:hAnsi="Arial"/>
                <w:sz w:val="17"/>
                <w:szCs w:val="17"/>
                <w:color w:val="auto"/>
              </w:rPr>
              <w:t>Item 9A</w:t>
            </w:r>
          </w:p>
        </w:tc>
        <w:tc>
          <w:tcPr>
            <w:tcW w:w="6220" w:type="dxa"/>
            <w:vAlign w:val="bottom"/>
            <w:tcBorders>
              <w:top w:val="single" w:sz="8" w:color="0000EE"/>
            </w:tcBorders>
            <w:gridSpan w:val="17"/>
          </w:tcPr>
          <w:p>
            <w:pPr>
              <w:spacing w:after="0" w:line="185" w:lineRule="exact"/>
              <w:rPr>
                <w:rFonts w:ascii="Arial" w:cs="Arial" w:eastAsia="Arial" w:hAnsi="Arial"/>
                <w:sz w:val="17"/>
                <w:szCs w:val="17"/>
                <w:color w:val="0000EE"/>
              </w:rPr>
            </w:pPr>
            <w:hyperlink w:anchor="page19">
              <w:r>
                <w:rPr>
                  <w:rFonts w:ascii="Arial" w:cs="Arial" w:eastAsia="Arial" w:hAnsi="Arial"/>
                  <w:sz w:val="17"/>
                  <w:szCs w:val="17"/>
                  <w:color w:val="0000EE"/>
                </w:rPr>
                <w:t>Controls and Procedures</w:t>
              </w:r>
            </w:hyperlink>
          </w:p>
        </w:tc>
        <w:tc>
          <w:tcPr>
            <w:tcW w:w="2720" w:type="dxa"/>
            <w:vAlign w:val="bottom"/>
            <w:gridSpan w:val="3"/>
          </w:tcPr>
          <w:p>
            <w:pPr>
              <w:spacing w:after="0"/>
              <w:rPr>
                <w:sz w:val="16"/>
                <w:szCs w:val="16"/>
                <w:color w:val="auto"/>
              </w:rPr>
            </w:pPr>
          </w:p>
        </w:tc>
        <w:tc>
          <w:tcPr>
            <w:tcW w:w="1440" w:type="dxa"/>
            <w:vAlign w:val="bottom"/>
          </w:tcPr>
          <w:p>
            <w:pPr>
              <w:jc w:val="right"/>
              <w:spacing w:after="0" w:line="185" w:lineRule="exact"/>
              <w:rPr>
                <w:sz w:val="20"/>
                <w:szCs w:val="20"/>
                <w:color w:val="auto"/>
              </w:rPr>
            </w:pPr>
            <w:r>
              <w:rPr>
                <w:rFonts w:ascii="Arial" w:cs="Arial" w:eastAsia="Arial" w:hAnsi="Arial"/>
                <w:sz w:val="17"/>
                <w:szCs w:val="17"/>
                <w:color w:val="auto"/>
              </w:rPr>
              <w:t>18</w:t>
            </w:r>
          </w:p>
        </w:tc>
      </w:tr>
      <w:tr>
        <w:trPr>
          <w:trHeight w:val="185"/>
        </w:trPr>
        <w:tc>
          <w:tcPr>
            <w:tcW w:w="1040" w:type="dxa"/>
            <w:vAlign w:val="bottom"/>
            <w:gridSpan w:val="3"/>
          </w:tcPr>
          <w:p>
            <w:pPr>
              <w:spacing w:after="0" w:line="185" w:lineRule="exact"/>
              <w:rPr>
                <w:sz w:val="20"/>
                <w:szCs w:val="20"/>
                <w:color w:val="auto"/>
              </w:rPr>
            </w:pPr>
            <w:r>
              <w:rPr>
                <w:rFonts w:ascii="Arial" w:cs="Arial" w:eastAsia="Arial" w:hAnsi="Arial"/>
                <w:sz w:val="17"/>
                <w:szCs w:val="17"/>
                <w:color w:val="auto"/>
              </w:rPr>
              <w:t>Item 9B.</w:t>
            </w:r>
          </w:p>
        </w:tc>
        <w:tc>
          <w:tcPr>
            <w:tcW w:w="1680" w:type="dxa"/>
            <w:vAlign w:val="bottom"/>
            <w:tcBorders>
              <w:top w:val="single" w:sz="8" w:color="0000EE"/>
            </w:tcBorders>
            <w:gridSpan w:val="7"/>
          </w:tcPr>
          <w:p>
            <w:pPr>
              <w:spacing w:after="0" w:line="185" w:lineRule="exact"/>
              <w:rPr>
                <w:rFonts w:ascii="Arial" w:cs="Arial" w:eastAsia="Arial" w:hAnsi="Arial"/>
                <w:sz w:val="17"/>
                <w:szCs w:val="17"/>
                <w:color w:val="0000EE"/>
              </w:rPr>
            </w:pPr>
            <w:hyperlink w:anchor="page19">
              <w:r>
                <w:rPr>
                  <w:rFonts w:ascii="Arial" w:cs="Arial" w:eastAsia="Arial" w:hAnsi="Arial"/>
                  <w:sz w:val="17"/>
                  <w:szCs w:val="17"/>
                  <w:color w:val="0000EE"/>
                </w:rPr>
                <w:t>Other Information</w:t>
              </w:r>
            </w:hyperlink>
          </w:p>
        </w:tc>
        <w:tc>
          <w:tcPr>
            <w:tcW w:w="7260" w:type="dxa"/>
            <w:vAlign w:val="bottom"/>
            <w:gridSpan w:val="13"/>
          </w:tcPr>
          <w:p>
            <w:pPr>
              <w:spacing w:after="0"/>
              <w:rPr>
                <w:sz w:val="16"/>
                <w:szCs w:val="16"/>
                <w:color w:val="auto"/>
              </w:rPr>
            </w:pPr>
          </w:p>
        </w:tc>
        <w:tc>
          <w:tcPr>
            <w:tcW w:w="1440" w:type="dxa"/>
            <w:vAlign w:val="bottom"/>
          </w:tcPr>
          <w:p>
            <w:pPr>
              <w:jc w:val="right"/>
              <w:spacing w:after="0" w:line="185" w:lineRule="exact"/>
              <w:rPr>
                <w:sz w:val="20"/>
                <w:szCs w:val="20"/>
                <w:color w:val="auto"/>
              </w:rPr>
            </w:pPr>
            <w:r>
              <w:rPr>
                <w:rFonts w:ascii="Arial" w:cs="Arial" w:eastAsia="Arial" w:hAnsi="Arial"/>
                <w:sz w:val="17"/>
                <w:szCs w:val="17"/>
                <w:color w:val="auto"/>
              </w:rPr>
              <w:t>18</w:t>
            </w:r>
          </w:p>
        </w:tc>
      </w:tr>
      <w:tr>
        <w:trPr>
          <w:trHeight w:val="428"/>
        </w:trPr>
        <w:tc>
          <w:tcPr>
            <w:tcW w:w="1040" w:type="dxa"/>
            <w:vAlign w:val="bottom"/>
            <w:gridSpan w:val="3"/>
          </w:tcPr>
          <w:p>
            <w:pPr>
              <w:spacing w:after="0"/>
              <w:rPr>
                <w:sz w:val="20"/>
                <w:szCs w:val="20"/>
                <w:color w:val="auto"/>
              </w:rPr>
            </w:pPr>
            <w:r>
              <w:rPr>
                <w:rFonts w:ascii="Arial" w:cs="Arial" w:eastAsia="Arial" w:hAnsi="Arial"/>
                <w:sz w:val="17"/>
                <w:szCs w:val="17"/>
                <w:b w:val="1"/>
                <w:bCs w:val="1"/>
                <w:color w:val="auto"/>
              </w:rPr>
              <w:t>PART III</w:t>
            </w: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374"/>
        </w:trPr>
        <w:tc>
          <w:tcPr>
            <w:tcW w:w="1040" w:type="dxa"/>
            <w:vAlign w:val="bottom"/>
            <w:gridSpan w:val="3"/>
          </w:tcPr>
          <w:p>
            <w:pPr>
              <w:spacing w:after="0"/>
              <w:rPr>
                <w:sz w:val="20"/>
                <w:szCs w:val="20"/>
                <w:color w:val="auto"/>
              </w:rPr>
            </w:pPr>
            <w:r>
              <w:rPr>
                <w:rFonts w:ascii="Arial" w:cs="Arial" w:eastAsia="Arial" w:hAnsi="Arial"/>
                <w:sz w:val="17"/>
                <w:szCs w:val="17"/>
                <w:color w:val="auto"/>
              </w:rPr>
              <w:t>Item 10.</w:t>
            </w:r>
          </w:p>
        </w:tc>
        <w:tc>
          <w:tcPr>
            <w:tcW w:w="3900" w:type="dxa"/>
            <w:vAlign w:val="bottom"/>
            <w:tcBorders>
              <w:bottom w:val="single" w:sz="8" w:color="0000EE"/>
            </w:tcBorders>
            <w:gridSpan w:val="13"/>
          </w:tcPr>
          <w:p>
            <w:pPr>
              <w:spacing w:after="0"/>
              <w:rPr>
                <w:rFonts w:ascii="Arial" w:cs="Arial" w:eastAsia="Arial" w:hAnsi="Arial"/>
                <w:sz w:val="17"/>
                <w:szCs w:val="17"/>
                <w:color w:val="0000EE"/>
                <w:w w:val="91"/>
              </w:rPr>
            </w:pPr>
            <w:hyperlink w:anchor="page20">
              <w:r>
                <w:rPr>
                  <w:rFonts w:ascii="Arial" w:cs="Arial" w:eastAsia="Arial" w:hAnsi="Arial"/>
                  <w:sz w:val="17"/>
                  <w:szCs w:val="17"/>
                  <w:color w:val="0000EE"/>
                  <w:w w:val="91"/>
                </w:rPr>
                <w:t>Directors, Executive Officers and Corporate Governance</w:t>
              </w:r>
            </w:hyperlink>
          </w:p>
        </w:tc>
        <w:tc>
          <w:tcPr>
            <w:tcW w:w="5040" w:type="dxa"/>
            <w:vAlign w:val="bottom"/>
            <w:gridSpan w:val="7"/>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185"/>
        </w:trPr>
        <w:tc>
          <w:tcPr>
            <w:tcW w:w="1040" w:type="dxa"/>
            <w:vAlign w:val="bottom"/>
            <w:gridSpan w:val="3"/>
          </w:tcPr>
          <w:p>
            <w:pPr>
              <w:spacing w:after="0" w:line="185" w:lineRule="exact"/>
              <w:rPr>
                <w:sz w:val="20"/>
                <w:szCs w:val="20"/>
                <w:color w:val="auto"/>
              </w:rPr>
            </w:pPr>
            <w:r>
              <w:rPr>
                <w:rFonts w:ascii="Arial" w:cs="Arial" w:eastAsia="Arial" w:hAnsi="Arial"/>
                <w:sz w:val="17"/>
                <w:szCs w:val="17"/>
                <w:color w:val="auto"/>
              </w:rPr>
              <w:t>Item 11.</w:t>
            </w:r>
          </w:p>
        </w:tc>
        <w:tc>
          <w:tcPr>
            <w:tcW w:w="1720" w:type="dxa"/>
            <w:vAlign w:val="bottom"/>
            <w:tcBorders>
              <w:bottom w:val="single" w:sz="8" w:color="0000EE"/>
            </w:tcBorders>
            <w:gridSpan w:val="8"/>
          </w:tcPr>
          <w:p>
            <w:pPr>
              <w:spacing w:after="0" w:line="185" w:lineRule="exact"/>
              <w:rPr>
                <w:rFonts w:ascii="Arial" w:cs="Arial" w:eastAsia="Arial" w:hAnsi="Arial"/>
                <w:sz w:val="17"/>
                <w:szCs w:val="17"/>
                <w:color w:val="0000EE"/>
                <w:w w:val="90"/>
              </w:rPr>
            </w:pPr>
            <w:hyperlink w:anchor="page20">
              <w:r>
                <w:rPr>
                  <w:rFonts w:ascii="Arial" w:cs="Arial" w:eastAsia="Arial" w:hAnsi="Arial"/>
                  <w:sz w:val="17"/>
                  <w:szCs w:val="17"/>
                  <w:color w:val="0000EE"/>
                  <w:w w:val="90"/>
                </w:rPr>
                <w:t>Executive Compensation</w:t>
              </w:r>
            </w:hyperlink>
          </w:p>
        </w:tc>
        <w:tc>
          <w:tcPr>
            <w:tcW w:w="7220" w:type="dxa"/>
            <w:vAlign w:val="bottom"/>
            <w:gridSpan w:val="12"/>
          </w:tcPr>
          <w:p>
            <w:pPr>
              <w:spacing w:after="0"/>
              <w:rPr>
                <w:sz w:val="16"/>
                <w:szCs w:val="16"/>
                <w:color w:val="auto"/>
              </w:rPr>
            </w:pPr>
          </w:p>
        </w:tc>
        <w:tc>
          <w:tcPr>
            <w:tcW w:w="1440" w:type="dxa"/>
            <w:vAlign w:val="bottom"/>
          </w:tcPr>
          <w:p>
            <w:pPr>
              <w:jc w:val="right"/>
              <w:spacing w:after="0" w:line="185" w:lineRule="exact"/>
              <w:rPr>
                <w:sz w:val="20"/>
                <w:szCs w:val="20"/>
                <w:color w:val="auto"/>
              </w:rPr>
            </w:pPr>
            <w:r>
              <w:rPr>
                <w:rFonts w:ascii="Arial" w:cs="Arial" w:eastAsia="Arial" w:hAnsi="Arial"/>
                <w:sz w:val="17"/>
                <w:szCs w:val="17"/>
                <w:color w:val="auto"/>
              </w:rPr>
              <w:t>19</w:t>
            </w:r>
          </w:p>
        </w:tc>
      </w:tr>
      <w:tr>
        <w:trPr>
          <w:trHeight w:val="185"/>
        </w:trPr>
        <w:tc>
          <w:tcPr>
            <w:tcW w:w="1040" w:type="dxa"/>
            <w:vAlign w:val="bottom"/>
            <w:gridSpan w:val="3"/>
          </w:tcPr>
          <w:p>
            <w:pPr>
              <w:spacing w:after="0" w:line="185" w:lineRule="exact"/>
              <w:rPr>
                <w:sz w:val="20"/>
                <w:szCs w:val="20"/>
                <w:color w:val="auto"/>
              </w:rPr>
            </w:pPr>
            <w:r>
              <w:rPr>
                <w:rFonts w:ascii="Arial" w:cs="Arial" w:eastAsia="Arial" w:hAnsi="Arial"/>
                <w:sz w:val="17"/>
                <w:szCs w:val="17"/>
                <w:color w:val="auto"/>
              </w:rPr>
              <w:t>Item 12.</w:t>
            </w:r>
          </w:p>
        </w:tc>
        <w:tc>
          <w:tcPr>
            <w:tcW w:w="6940" w:type="dxa"/>
            <w:vAlign w:val="bottom"/>
            <w:tcBorders>
              <w:bottom w:val="single" w:sz="8" w:color="0000EE"/>
            </w:tcBorders>
            <w:gridSpan w:val="18"/>
          </w:tcPr>
          <w:p>
            <w:pPr>
              <w:spacing w:after="0" w:line="185" w:lineRule="exact"/>
              <w:rPr>
                <w:rFonts w:ascii="Arial" w:cs="Arial" w:eastAsia="Arial" w:hAnsi="Arial"/>
                <w:sz w:val="17"/>
                <w:szCs w:val="17"/>
                <w:color w:val="0000EE"/>
                <w:w w:val="91"/>
              </w:rPr>
            </w:pPr>
            <w:hyperlink w:anchor="page20">
              <w:r>
                <w:rPr>
                  <w:rFonts w:ascii="Arial" w:cs="Arial" w:eastAsia="Arial" w:hAnsi="Arial"/>
                  <w:sz w:val="17"/>
                  <w:szCs w:val="17"/>
                  <w:color w:val="0000EE"/>
                  <w:w w:val="91"/>
                </w:rPr>
                <w:t>Security Ownership of Certain Beneficial Owners and Management and Related Stockholder Matters</w:t>
              </w:r>
            </w:hyperlink>
          </w:p>
        </w:tc>
        <w:tc>
          <w:tcPr>
            <w:tcW w:w="2000" w:type="dxa"/>
            <w:vAlign w:val="bottom"/>
            <w:gridSpan w:val="2"/>
          </w:tcPr>
          <w:p>
            <w:pPr>
              <w:spacing w:after="0"/>
              <w:rPr>
                <w:sz w:val="16"/>
                <w:szCs w:val="16"/>
                <w:color w:val="auto"/>
              </w:rPr>
            </w:pPr>
          </w:p>
        </w:tc>
        <w:tc>
          <w:tcPr>
            <w:tcW w:w="1440" w:type="dxa"/>
            <w:vAlign w:val="bottom"/>
          </w:tcPr>
          <w:p>
            <w:pPr>
              <w:jc w:val="right"/>
              <w:spacing w:after="0" w:line="185" w:lineRule="exact"/>
              <w:rPr>
                <w:sz w:val="20"/>
                <w:szCs w:val="20"/>
                <w:color w:val="auto"/>
              </w:rPr>
            </w:pPr>
            <w:r>
              <w:rPr>
                <w:rFonts w:ascii="Arial" w:cs="Arial" w:eastAsia="Arial" w:hAnsi="Arial"/>
                <w:sz w:val="17"/>
                <w:szCs w:val="17"/>
                <w:color w:val="auto"/>
              </w:rPr>
              <w:t>19</w:t>
            </w:r>
          </w:p>
        </w:tc>
      </w:tr>
      <w:tr>
        <w:trPr>
          <w:trHeight w:val="185"/>
        </w:trPr>
        <w:tc>
          <w:tcPr>
            <w:tcW w:w="1040" w:type="dxa"/>
            <w:vAlign w:val="bottom"/>
            <w:gridSpan w:val="3"/>
          </w:tcPr>
          <w:p>
            <w:pPr>
              <w:spacing w:after="0" w:line="185" w:lineRule="exact"/>
              <w:rPr>
                <w:sz w:val="20"/>
                <w:szCs w:val="20"/>
                <w:color w:val="auto"/>
              </w:rPr>
            </w:pPr>
            <w:r>
              <w:rPr>
                <w:rFonts w:ascii="Arial" w:cs="Arial" w:eastAsia="Arial" w:hAnsi="Arial"/>
                <w:sz w:val="17"/>
                <w:szCs w:val="17"/>
                <w:color w:val="auto"/>
              </w:rPr>
              <w:t>Item 13.</w:t>
            </w:r>
          </w:p>
        </w:tc>
        <w:tc>
          <w:tcPr>
            <w:tcW w:w="8940" w:type="dxa"/>
            <w:vAlign w:val="bottom"/>
            <w:gridSpan w:val="20"/>
          </w:tcPr>
          <w:p>
            <w:pPr>
              <w:spacing w:after="0" w:line="185" w:lineRule="exact"/>
              <w:rPr>
                <w:rFonts w:ascii="Arial" w:cs="Arial" w:eastAsia="Arial" w:hAnsi="Arial"/>
                <w:sz w:val="17"/>
                <w:szCs w:val="17"/>
                <w:color w:val="0000EE"/>
              </w:rPr>
            </w:pPr>
            <w:hyperlink w:anchor="page20">
              <w:r>
                <w:rPr>
                  <w:rFonts w:ascii="Arial" w:cs="Arial" w:eastAsia="Arial" w:hAnsi="Arial"/>
                  <w:sz w:val="17"/>
                  <w:szCs w:val="17"/>
                  <w:color w:val="0000EE"/>
                </w:rPr>
                <w:t>Certain Relationships and Related Transactions, and Director Independence</w:t>
              </w:r>
            </w:hyperlink>
          </w:p>
        </w:tc>
        <w:tc>
          <w:tcPr>
            <w:tcW w:w="1440" w:type="dxa"/>
            <w:vAlign w:val="bottom"/>
          </w:tcPr>
          <w:p>
            <w:pPr>
              <w:jc w:val="right"/>
              <w:spacing w:after="0" w:line="185" w:lineRule="exact"/>
              <w:rPr>
                <w:sz w:val="20"/>
                <w:szCs w:val="20"/>
                <w:color w:val="auto"/>
              </w:rPr>
            </w:pPr>
            <w:r>
              <w:rPr>
                <w:rFonts w:ascii="Arial" w:cs="Arial" w:eastAsia="Arial" w:hAnsi="Arial"/>
                <w:sz w:val="17"/>
                <w:szCs w:val="17"/>
                <w:color w:val="auto"/>
              </w:rPr>
              <w:t>19</w:t>
            </w:r>
          </w:p>
        </w:tc>
      </w:tr>
      <w:tr>
        <w:trPr>
          <w:trHeight w:val="185"/>
        </w:trPr>
        <w:tc>
          <w:tcPr>
            <w:tcW w:w="1040" w:type="dxa"/>
            <w:vAlign w:val="bottom"/>
            <w:gridSpan w:val="3"/>
          </w:tcPr>
          <w:p>
            <w:pPr>
              <w:spacing w:after="0" w:line="185" w:lineRule="exact"/>
              <w:rPr>
                <w:sz w:val="20"/>
                <w:szCs w:val="20"/>
                <w:color w:val="auto"/>
              </w:rPr>
            </w:pPr>
            <w:r>
              <w:rPr>
                <w:rFonts w:ascii="Arial" w:cs="Arial" w:eastAsia="Arial" w:hAnsi="Arial"/>
                <w:sz w:val="17"/>
                <w:szCs w:val="17"/>
                <w:color w:val="auto"/>
              </w:rPr>
              <w:t>Item 14.</w:t>
            </w:r>
          </w:p>
        </w:tc>
        <w:tc>
          <w:tcPr>
            <w:tcW w:w="5180" w:type="dxa"/>
            <w:vAlign w:val="bottom"/>
            <w:tcBorders>
              <w:top w:val="single" w:sz="8" w:color="0000EE"/>
            </w:tcBorders>
            <w:gridSpan w:val="15"/>
          </w:tcPr>
          <w:p>
            <w:pPr>
              <w:spacing w:after="0" w:line="185" w:lineRule="exact"/>
              <w:rPr>
                <w:rFonts w:ascii="Arial" w:cs="Arial" w:eastAsia="Arial" w:hAnsi="Arial"/>
                <w:sz w:val="17"/>
                <w:szCs w:val="17"/>
                <w:color w:val="0000EE"/>
              </w:rPr>
            </w:pPr>
            <w:hyperlink w:anchor="page20">
              <w:r>
                <w:rPr>
                  <w:rFonts w:ascii="Arial" w:cs="Arial" w:eastAsia="Arial" w:hAnsi="Arial"/>
                  <w:sz w:val="17"/>
                  <w:szCs w:val="17"/>
                  <w:color w:val="0000EE"/>
                </w:rPr>
                <w:t>Principal Accountant Fees and Services</w:t>
              </w:r>
            </w:hyperlink>
          </w:p>
        </w:tc>
        <w:tc>
          <w:tcPr>
            <w:tcW w:w="3760" w:type="dxa"/>
            <w:vAlign w:val="bottom"/>
            <w:gridSpan w:val="5"/>
          </w:tcPr>
          <w:p>
            <w:pPr>
              <w:spacing w:after="0"/>
              <w:rPr>
                <w:sz w:val="16"/>
                <w:szCs w:val="16"/>
                <w:color w:val="auto"/>
              </w:rPr>
            </w:pPr>
          </w:p>
        </w:tc>
        <w:tc>
          <w:tcPr>
            <w:tcW w:w="1440" w:type="dxa"/>
            <w:vAlign w:val="bottom"/>
          </w:tcPr>
          <w:p>
            <w:pPr>
              <w:jc w:val="right"/>
              <w:spacing w:after="0" w:line="185" w:lineRule="exact"/>
              <w:rPr>
                <w:sz w:val="20"/>
                <w:szCs w:val="20"/>
                <w:color w:val="auto"/>
              </w:rPr>
            </w:pPr>
            <w:r>
              <w:rPr>
                <w:rFonts w:ascii="Arial" w:cs="Arial" w:eastAsia="Arial" w:hAnsi="Arial"/>
                <w:sz w:val="17"/>
                <w:szCs w:val="17"/>
                <w:color w:val="auto"/>
              </w:rPr>
              <w:t>19</w:t>
            </w:r>
          </w:p>
        </w:tc>
      </w:tr>
      <w:tr>
        <w:trPr>
          <w:trHeight w:val="428"/>
        </w:trPr>
        <w:tc>
          <w:tcPr>
            <w:tcW w:w="1040" w:type="dxa"/>
            <w:vAlign w:val="bottom"/>
            <w:gridSpan w:val="3"/>
          </w:tcPr>
          <w:p>
            <w:pPr>
              <w:spacing w:after="0"/>
              <w:rPr>
                <w:sz w:val="20"/>
                <w:szCs w:val="20"/>
                <w:color w:val="auto"/>
              </w:rPr>
            </w:pPr>
            <w:r>
              <w:rPr>
                <w:rFonts w:ascii="Arial" w:cs="Arial" w:eastAsia="Arial" w:hAnsi="Arial"/>
                <w:sz w:val="17"/>
                <w:szCs w:val="17"/>
                <w:b w:val="1"/>
                <w:bCs w:val="1"/>
                <w:color w:val="auto"/>
              </w:rPr>
              <w:t>PART IV</w:t>
            </w: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374"/>
        </w:trPr>
        <w:tc>
          <w:tcPr>
            <w:tcW w:w="1040" w:type="dxa"/>
            <w:vAlign w:val="bottom"/>
            <w:gridSpan w:val="3"/>
          </w:tcPr>
          <w:p>
            <w:pPr>
              <w:spacing w:after="0"/>
              <w:rPr>
                <w:sz w:val="20"/>
                <w:szCs w:val="20"/>
                <w:color w:val="auto"/>
              </w:rPr>
            </w:pPr>
            <w:r>
              <w:rPr>
                <w:rFonts w:ascii="Arial" w:cs="Arial" w:eastAsia="Arial" w:hAnsi="Arial"/>
                <w:sz w:val="17"/>
                <w:szCs w:val="17"/>
                <w:color w:val="auto"/>
              </w:rPr>
              <w:t>Item 15.</w:t>
            </w:r>
          </w:p>
        </w:tc>
        <w:tc>
          <w:tcPr>
            <w:tcW w:w="8940" w:type="dxa"/>
            <w:vAlign w:val="bottom"/>
            <w:gridSpan w:val="20"/>
          </w:tcPr>
          <w:p>
            <w:pPr>
              <w:spacing w:after="0"/>
              <w:rPr>
                <w:rFonts w:ascii="Arial" w:cs="Arial" w:eastAsia="Arial" w:hAnsi="Arial"/>
                <w:sz w:val="17"/>
                <w:szCs w:val="17"/>
                <w:color w:val="0000EE"/>
              </w:rPr>
            </w:pPr>
            <w:hyperlink w:anchor="page21">
              <w:r>
                <w:rPr>
                  <w:rFonts w:ascii="Arial" w:cs="Arial" w:eastAsia="Arial" w:hAnsi="Arial"/>
                  <w:sz w:val="17"/>
                  <w:szCs w:val="17"/>
                  <w:color w:val="0000EE"/>
                </w:rPr>
                <w:t>Exhibits and Financial Statement Schedules</w:t>
              </w:r>
            </w:hyperlink>
          </w:p>
        </w:tc>
        <w:tc>
          <w:tcPr>
            <w:tcW w:w="1440" w:type="dxa"/>
            <w:vAlign w:val="bottom"/>
          </w:tcPr>
          <w:p>
            <w:pPr>
              <w:jc w:val="right"/>
              <w:spacing w:after="0"/>
              <w:rPr>
                <w:sz w:val="20"/>
                <w:szCs w:val="20"/>
                <w:color w:val="auto"/>
              </w:rPr>
            </w:pPr>
            <w:r>
              <w:rPr>
                <w:rFonts w:ascii="Arial" w:cs="Arial" w:eastAsia="Arial" w:hAnsi="Arial"/>
                <w:sz w:val="17"/>
                <w:szCs w:val="17"/>
                <w:color w:val="auto"/>
              </w:rPr>
              <w:t>20</w:t>
            </w:r>
          </w:p>
        </w:tc>
      </w:tr>
      <w:tr>
        <w:trPr>
          <w:trHeight w:val="391"/>
        </w:trPr>
        <w:tc>
          <w:tcPr>
            <w:tcW w:w="1040" w:type="dxa"/>
            <w:vAlign w:val="bottom"/>
            <w:gridSpan w:val="3"/>
          </w:tcPr>
          <w:p>
            <w:pPr>
              <w:spacing w:after="0"/>
              <w:rPr>
                <w:rFonts w:ascii="Arial" w:cs="Arial" w:eastAsia="Arial" w:hAnsi="Arial"/>
                <w:sz w:val="17"/>
                <w:szCs w:val="17"/>
                <w:color w:val="0000EE"/>
              </w:rPr>
            </w:pPr>
            <w:hyperlink w:anchor="page51">
              <w:r>
                <w:rPr>
                  <w:rFonts w:ascii="Arial" w:cs="Arial" w:eastAsia="Arial" w:hAnsi="Arial"/>
                  <w:sz w:val="17"/>
                  <w:szCs w:val="17"/>
                  <w:color w:val="0000EE"/>
                </w:rPr>
                <w:t>Signatures</w:t>
              </w:r>
            </w:hyperlink>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22</w:t>
            </w:r>
          </w:p>
        </w:tc>
      </w:tr>
      <w:tr>
        <w:trPr>
          <w:trHeight w:val="682"/>
        </w:trPr>
        <w:tc>
          <w:tcPr>
            <w:tcW w:w="720" w:type="dxa"/>
            <w:vAlign w:val="bottom"/>
            <w:tcBorders>
              <w:top w:val="single" w:sz="8" w:color="0000EE"/>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108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126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07" w:right="23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STOCK SPLIT</w:t>
      </w:r>
    </w:p>
    <w:p>
      <w:pPr>
        <w:spacing w:after="0" w:line="241" w:lineRule="exact"/>
        <w:rPr>
          <w:sz w:val="20"/>
          <w:szCs w:val="20"/>
          <w:color w:val="auto"/>
        </w:rPr>
      </w:pPr>
    </w:p>
    <w:p>
      <w:pPr>
        <w:jc w:val="both"/>
        <w:ind w:firstLine="616"/>
        <w:spacing w:after="0" w:line="277" w:lineRule="auto"/>
        <w:rPr>
          <w:sz w:val="20"/>
          <w:szCs w:val="20"/>
          <w:color w:val="auto"/>
        </w:rPr>
      </w:pPr>
      <w:r>
        <w:rPr>
          <w:rFonts w:ascii="Arial" w:cs="Arial" w:eastAsia="Arial" w:hAnsi="Arial"/>
          <w:sz w:val="17"/>
          <w:szCs w:val="17"/>
          <w:color w:val="auto"/>
        </w:rPr>
        <w:t>On April 30, 2012, we completed a 3-for-2 stock split. We have adjusted all prior periods presented to reflect the impact of this stock split, including the impact on basic and diluted weighted-average shares and shares issued and outstanding.</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PART I</w:t>
      </w: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BUSINESS</w:t>
      </w: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GENERAL</w:t>
      </w:r>
    </w:p>
    <w:p>
      <w:pPr>
        <w:spacing w:after="0" w:line="247" w:lineRule="exact"/>
        <w:rPr>
          <w:sz w:val="20"/>
          <w:szCs w:val="20"/>
          <w:color w:val="auto"/>
        </w:rPr>
      </w:pPr>
    </w:p>
    <w:p>
      <w:pPr>
        <w:jc w:val="both"/>
        <w:ind w:firstLine="616"/>
        <w:spacing w:after="0" w:line="264" w:lineRule="auto"/>
        <w:rPr>
          <w:sz w:val="20"/>
          <w:szCs w:val="20"/>
          <w:color w:val="auto"/>
        </w:rPr>
      </w:pPr>
      <w:r>
        <w:rPr>
          <w:rFonts w:ascii="Arial" w:cs="Arial" w:eastAsia="Arial" w:hAnsi="Arial"/>
          <w:sz w:val="17"/>
          <w:szCs w:val="17"/>
          <w:color w:val="auto"/>
        </w:rPr>
        <w:t>Asure Software, Inc., a Delaware corporation, is a provider of cloud-based software-as-a-service (“SaaS”) time &amp; labor management and workspace management solutions that enable companies of all sizes and complexities to operate more efficiently and proactively manage costs associated with their most expensive assets: real estate, labor and technology.</w:t>
      </w:r>
    </w:p>
    <w:p>
      <w:pPr>
        <w:spacing w:after="0" w:line="202" w:lineRule="exact"/>
        <w:rPr>
          <w:sz w:val="20"/>
          <w:szCs w:val="20"/>
          <w:color w:val="auto"/>
        </w:rPr>
      </w:pPr>
    </w:p>
    <w:p>
      <w:pPr>
        <w:jc w:val="both"/>
        <w:ind w:firstLine="616"/>
        <w:spacing w:after="0" w:line="289" w:lineRule="auto"/>
        <w:rPr>
          <w:sz w:val="20"/>
          <w:szCs w:val="20"/>
          <w:color w:val="auto"/>
        </w:rPr>
      </w:pPr>
      <w:r>
        <w:rPr>
          <w:rFonts w:ascii="Arial" w:cs="Arial" w:eastAsia="Arial" w:hAnsi="Arial"/>
          <w:sz w:val="16"/>
          <w:szCs w:val="16"/>
          <w:color w:val="auto"/>
        </w:rPr>
        <w:t>Asure serves approximately 5,000 clients worldwide, ranging from global Fortune 500 clients to small and mid-sized businesses. We focus on offering solutions to organizations in the financial services, manufacturing, non-profit, healthcare, government organizations and retail services industries. Our clients include Dell, Inc., Salesforce.com, Inc. Duke University, Cornell University, the Centers for Disease Control, and Baker &amp; McKenzie.</w:t>
      </w:r>
    </w:p>
    <w:p>
      <w:pPr>
        <w:spacing w:after="0" w:line="182" w:lineRule="exact"/>
        <w:rPr>
          <w:sz w:val="20"/>
          <w:szCs w:val="20"/>
          <w:color w:val="auto"/>
        </w:rPr>
      </w:pPr>
    </w:p>
    <w:p>
      <w:pPr>
        <w:jc w:val="both"/>
        <w:ind w:firstLine="616"/>
        <w:spacing w:after="0" w:line="264" w:lineRule="auto"/>
        <w:rPr>
          <w:sz w:val="20"/>
          <w:szCs w:val="20"/>
          <w:color w:val="auto"/>
        </w:rPr>
      </w:pPr>
      <w:r>
        <w:rPr>
          <w:rFonts w:ascii="Arial" w:cs="Arial" w:eastAsia="Arial" w:hAnsi="Arial"/>
          <w:sz w:val="17"/>
          <w:szCs w:val="17"/>
          <w:color w:val="auto"/>
        </w:rPr>
        <w:t>We currently offer two main product lines. Our AsureSpace™ workplace management solutions enable organizations to manage their office environments and optimize real estate utilization. Our AsureForce™ time and labor management solutions help organizations optimize labor and labor administration costs and activities.</w:t>
      </w:r>
    </w:p>
    <w:p>
      <w:pPr>
        <w:spacing w:after="0" w:line="202" w:lineRule="exact"/>
        <w:rPr>
          <w:sz w:val="20"/>
          <w:szCs w:val="20"/>
          <w:color w:val="auto"/>
        </w:rPr>
      </w:pPr>
    </w:p>
    <w:p>
      <w:pPr>
        <w:jc w:val="both"/>
        <w:ind w:firstLine="616"/>
        <w:spacing w:after="0" w:line="260" w:lineRule="auto"/>
        <w:rPr>
          <w:sz w:val="20"/>
          <w:szCs w:val="20"/>
          <w:color w:val="auto"/>
        </w:rPr>
      </w:pPr>
      <w:r>
        <w:rPr>
          <w:rFonts w:ascii="Arial" w:cs="Arial" w:eastAsia="Arial" w:hAnsi="Arial"/>
          <w:sz w:val="17"/>
          <w:szCs w:val="17"/>
          <w:color w:val="auto"/>
        </w:rPr>
        <w:t>Escalating labor, labor administration and real estate costs typically represent an organization’s three largest expenditures, yet many business leaders remain unaware of how their organizations use resources in these areas. Asure’s solutions enable business leaders to approach these areas as a strategic opportunity to drive efficiencies and collaboration and control costs by providing access to data that can help to facilitate better real estate and labor decisions guided by meaningful metrics.</w:t>
      </w:r>
    </w:p>
    <w:p>
      <w:pPr>
        <w:spacing w:after="0" w:line="205" w:lineRule="exact"/>
        <w:rPr>
          <w:sz w:val="20"/>
          <w:szCs w:val="20"/>
          <w:color w:val="auto"/>
        </w:rPr>
      </w:pPr>
    </w:p>
    <w:p>
      <w:pPr>
        <w:jc w:val="both"/>
        <w:ind w:firstLine="616"/>
        <w:spacing w:after="0" w:line="258" w:lineRule="auto"/>
        <w:rPr>
          <w:sz w:val="20"/>
          <w:szCs w:val="20"/>
          <w:color w:val="auto"/>
        </w:rPr>
      </w:pPr>
      <w:r>
        <w:rPr>
          <w:rFonts w:ascii="Arial" w:cs="Arial" w:eastAsia="Arial" w:hAnsi="Arial"/>
          <w:sz w:val="17"/>
          <w:szCs w:val="17"/>
          <w:color w:val="auto"/>
        </w:rPr>
        <w:t>Asure’s solutions also help businesses to prepare their workplace for the workforce of the future. Employees are increasingly mobile, transient and connected to technology 24x7 via their own mobile devices. The “employee backpack” – a cubicle, desktop PC and traditional phone land line – is not always necessary and in many companies is becoming obsolete. As a result, the workplace is changing and evolving, with “hotel” (i.e., shared) cubicle spaces and more spaces for social connections and collaboration . Asure’s cloud-based solutions help control costs and optimize productivity in a highly mobile, geographically disparate and technically wired work environment.</w:t>
      </w:r>
    </w:p>
    <w:p>
      <w:pPr>
        <w:spacing w:after="0" w:line="207" w:lineRule="exact"/>
        <w:rPr>
          <w:sz w:val="20"/>
          <w:szCs w:val="20"/>
          <w:color w:val="auto"/>
        </w:rPr>
      </w:pPr>
    </w:p>
    <w:p>
      <w:pPr>
        <w:jc w:val="both"/>
        <w:ind w:firstLine="616"/>
        <w:spacing w:after="0" w:line="277" w:lineRule="auto"/>
        <w:rPr>
          <w:sz w:val="20"/>
          <w:szCs w:val="20"/>
          <w:color w:val="auto"/>
        </w:rPr>
      </w:pPr>
      <w:r>
        <w:rPr>
          <w:rFonts w:ascii="Arial" w:cs="Arial" w:eastAsia="Arial" w:hAnsi="Arial"/>
          <w:sz w:val="17"/>
          <w:szCs w:val="17"/>
          <w:color w:val="auto"/>
        </w:rPr>
        <w:t>We were incorporated in 1985 and our principal executive offices are located at 110 Wild Basin Road, Austin, Texas 78746. Our telephone number is (512) 437-2700 and our website is www.asuresoftware.com. Information on our website is not part of this Annual Report on Form 10-K.</w:t>
      </w:r>
    </w:p>
    <w:p>
      <w:pPr>
        <w:spacing w:after="0" w:line="191" w:lineRule="exact"/>
        <w:rPr>
          <w:sz w:val="20"/>
          <w:szCs w:val="20"/>
          <w:color w:val="auto"/>
        </w:rPr>
      </w:pPr>
    </w:p>
    <w:p>
      <w:pPr>
        <w:jc w:val="both"/>
        <w:ind w:firstLine="616"/>
        <w:spacing w:after="0" w:line="264" w:lineRule="auto"/>
        <w:rPr>
          <w:sz w:val="20"/>
          <w:szCs w:val="20"/>
          <w:color w:val="auto"/>
        </w:rPr>
      </w:pPr>
      <w:r>
        <w:rPr>
          <w:rFonts w:ascii="Arial" w:cs="Arial" w:eastAsia="Arial" w:hAnsi="Arial"/>
          <w:sz w:val="17"/>
          <w:szCs w:val="17"/>
          <w:color w:val="auto"/>
        </w:rPr>
        <w:t>Asure makes available free of charge, on or through its website, our annual report on Form 10-K, our quarterly reports on Form 10-Q and our current reports on Form 8-K, and amendments to those reports filed or furnished pursuant to Section 13(a) or 15(d) of the Exchange Act, as soon as reasonably practicable after we electronically file these materials or furnish them to the Securities and Exchange Commission.</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RECENT DEVELOPMENTS</w:t>
      </w:r>
    </w:p>
    <w:p>
      <w:pPr>
        <w:spacing w:after="0" w:line="247" w:lineRule="exact"/>
        <w:rPr>
          <w:sz w:val="20"/>
          <w:szCs w:val="20"/>
          <w:color w:val="auto"/>
        </w:rPr>
      </w:pPr>
    </w:p>
    <w:p>
      <w:pPr>
        <w:jc w:val="both"/>
        <w:ind w:firstLine="616"/>
        <w:spacing w:after="0" w:line="264" w:lineRule="auto"/>
        <w:rPr>
          <w:sz w:val="20"/>
          <w:szCs w:val="20"/>
          <w:color w:val="auto"/>
        </w:rPr>
      </w:pPr>
      <w:r>
        <w:rPr>
          <w:rFonts w:ascii="Arial" w:cs="Arial" w:eastAsia="Arial" w:hAnsi="Arial"/>
          <w:sz w:val="17"/>
          <w:szCs w:val="17"/>
          <w:color w:val="auto"/>
        </w:rPr>
        <w:t>In July 2012, we acquired the capital stock of Framingham, Massachusetts-based Meeting Maker – United States, Inc., doing business as PeopleCube™. Using primarily a SasS delivery model, PeopleCube deployed a high-quality, flexible workplace solution enabling its customers to plan, schedule, measure and analyze space and resource utilization to attain new levels of effectiveness and efficiency.</w:t>
      </w:r>
    </w:p>
    <w:p>
      <w:pPr>
        <w:spacing w:after="0" w:line="202" w:lineRule="exact"/>
        <w:rPr>
          <w:sz w:val="20"/>
          <w:szCs w:val="20"/>
          <w:color w:val="auto"/>
        </w:rPr>
      </w:pPr>
    </w:p>
    <w:p>
      <w:pPr>
        <w:jc w:val="both"/>
        <w:ind w:firstLine="616"/>
        <w:spacing w:after="0" w:line="277" w:lineRule="auto"/>
        <w:rPr>
          <w:sz w:val="20"/>
          <w:szCs w:val="20"/>
          <w:color w:val="auto"/>
        </w:rPr>
      </w:pPr>
      <w:r>
        <w:rPr>
          <w:rFonts w:ascii="Arial" w:cs="Arial" w:eastAsia="Arial" w:hAnsi="Arial"/>
          <w:sz w:val="17"/>
          <w:szCs w:val="17"/>
          <w:color w:val="auto"/>
        </w:rPr>
        <w:t>On March 29, 2013, we amended our Senior Note Payable that provided for updated financial covenants in exchange for an increase in the floor interest rate from 10% to 11.5%. See Note 5 in the accompanying financial statements for more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PRODUCTS AND SERVICES</w:t>
      </w:r>
    </w:p>
    <w:p>
      <w:pPr>
        <w:spacing w:after="0" w:line="247" w:lineRule="exact"/>
        <w:rPr>
          <w:sz w:val="20"/>
          <w:szCs w:val="20"/>
          <w:color w:val="auto"/>
        </w:rPr>
      </w:pPr>
    </w:p>
    <w:p>
      <w:pPr>
        <w:jc w:val="both"/>
        <w:ind w:firstLine="616"/>
        <w:spacing w:after="0" w:line="277" w:lineRule="auto"/>
        <w:rPr>
          <w:sz w:val="20"/>
          <w:szCs w:val="20"/>
          <w:color w:val="auto"/>
        </w:rPr>
      </w:pPr>
      <w:r>
        <w:rPr>
          <w:rFonts w:ascii="Arial" w:cs="Arial" w:eastAsia="Arial" w:hAnsi="Arial"/>
          <w:sz w:val="17"/>
          <w:szCs w:val="17"/>
          <w:color w:val="auto"/>
        </w:rPr>
        <w:t>Asure’s solutions work together to help organizations turn their three biggest expenses – labor and labor administration, real estate and technology – into a strategic asset.</w:t>
      </w:r>
    </w:p>
    <w:p>
      <w:pPr>
        <w:spacing w:after="0" w:line="191" w:lineRule="exact"/>
        <w:rPr>
          <w:sz w:val="20"/>
          <w:szCs w:val="20"/>
          <w:color w:val="auto"/>
        </w:rPr>
      </w:pPr>
    </w:p>
    <w:p>
      <w:pPr>
        <w:jc w:val="both"/>
        <w:ind w:firstLine="616"/>
        <w:spacing w:after="0" w:line="264" w:lineRule="auto"/>
        <w:rPr>
          <w:sz w:val="20"/>
          <w:szCs w:val="20"/>
          <w:color w:val="auto"/>
        </w:rPr>
      </w:pPr>
      <w:r>
        <w:rPr>
          <w:rFonts w:ascii="Arial" w:cs="Arial" w:eastAsia="Arial" w:hAnsi="Arial"/>
          <w:sz w:val="17"/>
          <w:szCs w:val="17"/>
          <w:color w:val="auto"/>
        </w:rPr>
        <w:t>The AsureSpace™ product line provides simple and affordable solutions to manage meeting room scheduling and to optimize real estate utilization. Specific components of the service include our Meeting Room Manager, Resource Scheduler, Workspace Manager, PeopleCounter and Workplace Business Intelligence, energy management and LCD displays.</w:t>
      </w:r>
    </w:p>
    <w:p>
      <w:pPr>
        <w:spacing w:after="0" w:line="202" w:lineRule="exact"/>
        <w:rPr>
          <w:sz w:val="20"/>
          <w:szCs w:val="20"/>
          <w:color w:val="auto"/>
        </w:rPr>
      </w:pPr>
    </w:p>
    <w:p>
      <w:pPr>
        <w:jc w:val="both"/>
        <w:ind w:firstLine="616"/>
        <w:spacing w:after="0" w:line="278" w:lineRule="auto"/>
        <w:rPr>
          <w:sz w:val="20"/>
          <w:szCs w:val="20"/>
          <w:color w:val="auto"/>
        </w:rPr>
      </w:pPr>
      <w:r>
        <w:rPr>
          <w:rFonts w:ascii="Arial" w:cs="Arial" w:eastAsia="Arial" w:hAnsi="Arial"/>
          <w:sz w:val="16"/>
          <w:szCs w:val="16"/>
          <w:color w:val="auto"/>
        </w:rPr>
        <w:t>Our Meeting Room Manager™ workspace solution automates the entire facility scheduling process, including room reservations, equipment requests, food orders, meeting invitations and meeting environment reports. As a result, customers can more effectively manage scheduling processes, increase utilization of corporate assets, improve workplace productivity and control real estate costs. Our solution includes a Microsoft Outlook add-on, which provides additional scheduling tools that Outlook does not provide. Customers can access our software from a browser, Microsoft Outlook, mobile devices or dedicated LCD panels provided by us. Asure is a Microsoft Gold Certified Partner, which we believe independently confirms the quality of our workspace management solution.</w:t>
      </w:r>
    </w:p>
    <w:p>
      <w:pPr>
        <w:spacing w:after="0" w:line="192" w:lineRule="exact"/>
        <w:rPr>
          <w:sz w:val="20"/>
          <w:szCs w:val="20"/>
          <w:color w:val="auto"/>
        </w:rPr>
      </w:pPr>
    </w:p>
    <w:p>
      <w:pPr>
        <w:jc w:val="both"/>
        <w:ind w:firstLine="616"/>
        <w:spacing w:after="0" w:line="264" w:lineRule="auto"/>
        <w:rPr>
          <w:sz w:val="20"/>
          <w:szCs w:val="20"/>
          <w:color w:val="auto"/>
        </w:rPr>
      </w:pPr>
      <w:r>
        <w:rPr>
          <w:rFonts w:ascii="Arial" w:cs="Arial" w:eastAsia="Arial" w:hAnsi="Arial"/>
          <w:sz w:val="17"/>
          <w:szCs w:val="17"/>
          <w:color w:val="auto"/>
        </w:rPr>
        <w:t>Our Resource Scheduler, Workspace Manager, PeopleCounter and Workplace Business Intelligence solutions provide intelligent on-demand workplace management solutions that help customers understand space utilization patterns, manage their facilities and optimize real estate, meeting services, travel and energy costs based on actual workspace usage.</w:t>
      </w:r>
    </w:p>
    <w:p>
      <w:pPr>
        <w:spacing w:after="0" w:line="202" w:lineRule="exact"/>
        <w:rPr>
          <w:sz w:val="20"/>
          <w:szCs w:val="20"/>
          <w:color w:val="auto"/>
        </w:rPr>
      </w:pPr>
    </w:p>
    <w:p>
      <w:pPr>
        <w:jc w:val="both"/>
        <w:ind w:firstLine="616"/>
        <w:spacing w:after="0" w:line="278" w:lineRule="auto"/>
        <w:rPr>
          <w:sz w:val="20"/>
          <w:szCs w:val="20"/>
          <w:color w:val="auto"/>
        </w:rPr>
      </w:pPr>
      <w:r>
        <w:rPr>
          <w:rFonts w:ascii="Arial" w:cs="Arial" w:eastAsia="Arial" w:hAnsi="Arial"/>
          <w:sz w:val="16"/>
          <w:szCs w:val="16"/>
          <w:color w:val="auto"/>
        </w:rPr>
        <w:t>AsureForce™ time and labor management solutions help simplify the HR process and improve employee productivity by optimizing labor administration activities utilizing cloud-based SaaS software platform solutions. Our solutions address workforce scheduling, PTO management and leave requests and payroll interface management. Our time collection devices include biometric identification, time clocks and mobile time collection applications for use on tablets, PCs and mobile phones. New to the Asure product family is Asure GeoPunch™, a mobile time and attendance application that includes facial recognition and GPS functionality to offer the flexibility, security and validation needed to keep pace with today’s mobile workforce.</w:t>
      </w:r>
    </w:p>
    <w:p>
      <w:pPr>
        <w:spacing w:after="0" w:line="167" w:lineRule="exact"/>
        <w:rPr>
          <w:sz w:val="20"/>
          <w:szCs w:val="20"/>
          <w:color w:val="auto"/>
        </w:rPr>
      </w:pPr>
    </w:p>
    <w:p>
      <w:pPr>
        <w:jc w:val="both"/>
        <w:ind w:firstLine="616"/>
        <w:spacing w:after="0" w:line="260" w:lineRule="auto"/>
        <w:rPr>
          <w:sz w:val="20"/>
          <w:szCs w:val="20"/>
          <w:color w:val="auto"/>
        </w:rPr>
      </w:pPr>
      <w:r>
        <w:rPr>
          <w:rFonts w:ascii="Arial" w:cs="Arial" w:eastAsia="Arial" w:hAnsi="Arial"/>
          <w:sz w:val="17"/>
          <w:szCs w:val="17"/>
          <w:color w:val="auto"/>
        </w:rPr>
        <w:t>Support and professional services are other key elements of Asure’s software and services business. As an extension of our perpetual software product offerings, Asure offers our customers maintenance and support contracts that provide ready access to qualified support staff, software patches and upgrades to our software products – all without any additional cost to the customer. At the customer’s request, we also provide installation of and training on our products, add-on software customization and other professional services.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PRODUCT DEVELOPMENT</w:t>
      </w:r>
    </w:p>
    <w:p>
      <w:pPr>
        <w:spacing w:after="0" w:line="247" w:lineRule="exact"/>
        <w:rPr>
          <w:sz w:val="20"/>
          <w:szCs w:val="20"/>
          <w:color w:val="auto"/>
        </w:rPr>
      </w:pPr>
    </w:p>
    <w:p>
      <w:pPr>
        <w:jc w:val="both"/>
        <w:ind w:firstLine="616"/>
        <w:spacing w:after="0" w:line="277" w:lineRule="auto"/>
        <w:rPr>
          <w:sz w:val="20"/>
          <w:szCs w:val="20"/>
          <w:color w:val="auto"/>
        </w:rPr>
      </w:pPr>
      <w:r>
        <w:rPr>
          <w:rFonts w:ascii="Arial" w:cs="Arial" w:eastAsia="Arial" w:hAnsi="Arial"/>
          <w:sz w:val="17"/>
          <w:szCs w:val="17"/>
          <w:color w:val="auto"/>
        </w:rPr>
        <w:t>We strive to quickly bring to market innovative, cloud-based solutions that work when, where and how workforces are operating today. Asure’s strategy is to deliver the right technology to its customer base in order to realize efficiencies in the workplace.</w:t>
      </w:r>
    </w:p>
    <w:p>
      <w:pPr>
        <w:spacing w:after="0" w:line="165" w:lineRule="exact"/>
        <w:rPr>
          <w:sz w:val="20"/>
          <w:szCs w:val="20"/>
          <w:color w:val="auto"/>
        </w:rPr>
      </w:pPr>
    </w:p>
    <w:p>
      <w:pPr>
        <w:jc w:val="both"/>
        <w:ind w:firstLine="616"/>
        <w:spacing w:after="0" w:line="260" w:lineRule="auto"/>
        <w:rPr>
          <w:sz w:val="20"/>
          <w:szCs w:val="20"/>
          <w:color w:val="auto"/>
        </w:rPr>
      </w:pPr>
      <w:r>
        <w:rPr>
          <w:rFonts w:ascii="Arial" w:cs="Arial" w:eastAsia="Arial" w:hAnsi="Arial"/>
          <w:sz w:val="17"/>
          <w:szCs w:val="17"/>
          <w:color w:val="auto"/>
        </w:rPr>
        <w:t>Our industry is characterized by continuing improvements in technology, resulting in the frequent introduction of new products, short product life cycles, changes in customer needs and continual improvement in product performance characteristics. Asure strives to be cost-effective and timely in enhancing our software applications, developing new innovative software solutions that address the increasingly sophisticated and varied needs of an evolving range of customers, and anticipating technological advances and evolving industry standards and practices.</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91" w:lineRule="exact"/>
        <w:rPr>
          <w:sz w:val="20"/>
          <w:szCs w:val="20"/>
          <w:color w:val="auto"/>
        </w:rPr>
      </w:pPr>
    </w:p>
    <w:p>
      <w:pPr>
        <w:jc w:val="both"/>
        <w:ind w:firstLine="616"/>
        <w:spacing w:after="0" w:line="260" w:lineRule="auto"/>
        <w:rPr>
          <w:sz w:val="20"/>
          <w:szCs w:val="20"/>
          <w:color w:val="auto"/>
        </w:rPr>
      </w:pPr>
      <w:r>
        <w:rPr>
          <w:rFonts w:ascii="Arial" w:cs="Arial" w:eastAsia="Arial" w:hAnsi="Arial"/>
          <w:sz w:val="17"/>
          <w:szCs w:val="17"/>
          <w:color w:val="auto"/>
        </w:rPr>
        <w:t>Asure development teams – located in Traverse City, Michigan, Warwick, Rhode Island and Austin, Texas – are staffed with software developers, quality assurance engineers and support specialists who work closely with our customers and sales and marketing teams to build products and services based on market requirements and customer feedback. We develop our new product and service roadmaps based on inputs from customers, competitive comparisons and relevant technology innovations.</w:t>
      </w:r>
    </w:p>
    <w:p>
      <w:pPr>
        <w:spacing w:after="0" w:line="180" w:lineRule="exact"/>
        <w:rPr>
          <w:sz w:val="20"/>
          <w:szCs w:val="20"/>
          <w:color w:val="auto"/>
        </w:rPr>
      </w:pPr>
    </w:p>
    <w:p>
      <w:pPr>
        <w:jc w:val="both"/>
        <w:ind w:firstLine="616"/>
        <w:spacing w:after="0" w:line="260" w:lineRule="auto"/>
        <w:rPr>
          <w:sz w:val="20"/>
          <w:szCs w:val="20"/>
          <w:color w:val="auto"/>
        </w:rPr>
      </w:pPr>
      <w:r>
        <w:rPr>
          <w:rFonts w:ascii="Arial" w:cs="Arial" w:eastAsia="Arial" w:hAnsi="Arial"/>
          <w:sz w:val="17"/>
          <w:szCs w:val="17"/>
          <w:color w:val="auto"/>
        </w:rPr>
        <w:t>Our research and development strategy is to continue to enhance the functionality of our software and hardware products through new releases and new feature developments. Asure will also continue to evaluate opportunities for developing new software so that organizations may further streamline and automate the tasks associated with administering their businesses. We seek to simultaneously allow organizations to improve their productivity while reducing the costs associated with those business tasks.</w:t>
      </w:r>
    </w:p>
    <w:p>
      <w:pPr>
        <w:spacing w:after="0" w:line="205" w:lineRule="exact"/>
        <w:rPr>
          <w:sz w:val="20"/>
          <w:szCs w:val="20"/>
          <w:color w:val="auto"/>
        </w:rPr>
      </w:pPr>
    </w:p>
    <w:p>
      <w:pPr>
        <w:jc w:val="both"/>
        <w:ind w:firstLine="616"/>
        <w:spacing w:after="0" w:line="346" w:lineRule="auto"/>
        <w:rPr>
          <w:sz w:val="20"/>
          <w:szCs w:val="20"/>
          <w:color w:val="auto"/>
        </w:rPr>
      </w:pPr>
      <w:r>
        <w:rPr>
          <w:rFonts w:ascii="Arial" w:cs="Arial" w:eastAsia="Arial" w:hAnsi="Arial"/>
          <w:sz w:val="15"/>
          <w:szCs w:val="15"/>
          <w:color w:val="auto"/>
        </w:rPr>
        <w:t>We also actively search for potential product, service or business acquisitions that we believe will complement our existing and planned product and service offerings. We cannot assure that we will make future acquisitions or that we can successfully integrate acquired assets or businesses profitably into Asure.</w:t>
      </w:r>
    </w:p>
    <w:p>
      <w:pPr>
        <w:spacing w:after="0" w:line="144" w:lineRule="exact"/>
        <w:rPr>
          <w:sz w:val="20"/>
          <w:szCs w:val="20"/>
          <w:color w:val="auto"/>
        </w:rPr>
      </w:pPr>
    </w:p>
    <w:p>
      <w:pPr>
        <w:jc w:val="both"/>
        <w:ind w:firstLine="616"/>
        <w:spacing w:after="0" w:line="301" w:lineRule="auto"/>
        <w:rPr>
          <w:sz w:val="20"/>
          <w:szCs w:val="20"/>
          <w:color w:val="auto"/>
        </w:rPr>
      </w:pPr>
      <w:r>
        <w:rPr>
          <w:rFonts w:ascii="Arial" w:cs="Arial" w:eastAsia="Arial" w:hAnsi="Arial"/>
          <w:sz w:val="15"/>
          <w:szCs w:val="15"/>
          <w:color w:val="auto"/>
        </w:rPr>
        <w:t>Despite our efforts, we also cannot assure that we will complete our existing and future development efforts or that our new and enhanced software products will adequately meet the requirements of the marketplace and achieve market acceptance. Additionally, Asure may experience difficulties that could delay or prevent the successful development or introduction of new or enhanced software products. In the case of acquiring new or complementary software products or technologies, we may not be able to integrate the acquisitions into our current product lines. Furthermore, despite extensive testing, errors may be found in new software products or releases after shipment, resulting in a diversion of development resources, increased service costs, loss of revenue and/or delay in market acceptance.</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SALES AND DISTRIBUTION</w:t>
      </w:r>
    </w:p>
    <w:p>
      <w:pPr>
        <w:spacing w:after="0" w:line="247" w:lineRule="exact"/>
        <w:rPr>
          <w:sz w:val="20"/>
          <w:szCs w:val="20"/>
          <w:color w:val="auto"/>
        </w:rPr>
      </w:pPr>
    </w:p>
    <w:p>
      <w:pPr>
        <w:jc w:val="both"/>
        <w:ind w:firstLine="616"/>
        <w:spacing w:after="0" w:line="273" w:lineRule="auto"/>
        <w:rPr>
          <w:sz w:val="20"/>
          <w:szCs w:val="20"/>
          <w:color w:val="auto"/>
        </w:rPr>
      </w:pPr>
      <w:r>
        <w:rPr>
          <w:rFonts w:ascii="Arial" w:cs="Arial" w:eastAsia="Arial" w:hAnsi="Arial"/>
          <w:sz w:val="16"/>
          <w:szCs w:val="16"/>
          <w:color w:val="auto"/>
        </w:rPr>
        <w:t>Asure’s software products and services are sold through a direct and channel (partner) model, which enables us to sell our software solutions in an efficient, cost-effective manner. Prospective customers learn about Asure through a variety of ways, including advertising, web site searches, sales calls, public relations, direct marketing and social media. When prospective customers show an interest in Asure, we connect them with a sales representative via our web site or phone to discuss their needs and the solutions they are interested in and make the sale. We track our marketing and sales activities in Salesforce.com with immediate preview into activities, leads and pipeline opportunity. Asure account management teams also work with customers to promote and sell additional solutions as relevant for each customer. In addition to this direct, inside sales model, we supplement these efforts with our partner programs described below. By working with our partners, we expand the reach of our direct sales force and gain access to key opportunities in major market segments worldwide. Asure has two distinct levels of partners in our Partner Program: Reseller Partners and Referral Partners.</w:t>
      </w:r>
    </w:p>
    <w:p>
      <w:pPr>
        <w:spacing w:after="0" w:line="168" w:lineRule="exact"/>
        <w:rPr>
          <w:sz w:val="20"/>
          <w:szCs w:val="20"/>
          <w:color w:val="auto"/>
        </w:rPr>
      </w:pPr>
    </w:p>
    <w:p>
      <w:pPr>
        <w:jc w:val="both"/>
        <w:ind w:firstLine="616"/>
        <w:spacing w:after="0" w:line="280" w:lineRule="auto"/>
        <w:rPr>
          <w:sz w:val="20"/>
          <w:szCs w:val="20"/>
          <w:color w:val="auto"/>
        </w:rPr>
      </w:pPr>
      <w:r>
        <w:rPr>
          <w:rFonts w:ascii="Arial" w:cs="Arial" w:eastAsia="Arial" w:hAnsi="Arial"/>
          <w:sz w:val="16"/>
          <w:szCs w:val="16"/>
          <w:b w:val="1"/>
          <w:bCs w:val="1"/>
          <w:color w:val="auto"/>
        </w:rPr>
        <w:t>Reseller Partners</w:t>
      </w:r>
      <w:r>
        <w:rPr>
          <w:rFonts w:ascii="Arial" w:cs="Arial" w:eastAsia="Arial" w:hAnsi="Arial"/>
          <w:sz w:val="16"/>
          <w:szCs w:val="16"/>
          <w:color w:val="auto"/>
        </w:rPr>
        <w:t>. Reseller Partners are companies that represent us globally, as well as before the Federal government, and often offer complementary</w:t>
      </w:r>
      <w:r>
        <w:rPr>
          <w:rFonts w:ascii="Arial" w:cs="Arial" w:eastAsia="Arial" w:hAnsi="Arial"/>
          <w:sz w:val="16"/>
          <w:szCs w:val="16"/>
          <w:b w:val="1"/>
          <w:bCs w:val="1"/>
          <w:color w:val="auto"/>
        </w:rPr>
        <w:t xml:space="preserve"> </w:t>
      </w:r>
      <w:r>
        <w:rPr>
          <w:rFonts w:ascii="Arial" w:cs="Arial" w:eastAsia="Arial" w:hAnsi="Arial"/>
          <w:sz w:val="16"/>
          <w:szCs w:val="16"/>
          <w:color w:val="auto"/>
        </w:rPr>
        <w:t>products to either the workspace management product line or the workforce product line. Reseller Partners commit to a minimum level of business per year with us and receive a channel discount for that commitment. Our Reseller Partners outside the United States include Novera in Australia which represents the workspace product line. We also have several Reseller Partners that represent our software in the Federal government space. Resellers of our workforce product line in the United States include Oasis Outsourcing, a large provider of human resource outsourcing solutions.</w:t>
      </w:r>
    </w:p>
    <w:p>
      <w:pPr>
        <w:spacing w:after="0" w:line="159" w:lineRule="exact"/>
        <w:rPr>
          <w:sz w:val="20"/>
          <w:szCs w:val="20"/>
          <w:color w:val="auto"/>
        </w:rPr>
      </w:pPr>
    </w:p>
    <w:p>
      <w:pPr>
        <w:jc w:val="both"/>
        <w:ind w:firstLine="616"/>
        <w:spacing w:after="0" w:line="263" w:lineRule="auto"/>
        <w:rPr>
          <w:sz w:val="20"/>
          <w:szCs w:val="20"/>
          <w:color w:val="auto"/>
        </w:rPr>
      </w:pPr>
      <w:r>
        <w:rPr>
          <w:rFonts w:ascii="Arial" w:cs="Arial" w:eastAsia="Arial" w:hAnsi="Arial"/>
          <w:sz w:val="17"/>
          <w:szCs w:val="17"/>
          <w:b w:val="1"/>
          <w:bCs w:val="1"/>
          <w:color w:val="auto"/>
        </w:rPr>
        <w:t>Referral Partners</w:t>
      </w:r>
      <w:r>
        <w:rPr>
          <w:rFonts w:ascii="Arial" w:cs="Arial" w:eastAsia="Arial" w:hAnsi="Arial"/>
          <w:sz w:val="17"/>
          <w:szCs w:val="17"/>
          <w:color w:val="auto"/>
        </w:rPr>
        <w:t>. Referral Partners provide us with the name and particular information about a prospective customer and its needs as a sales lead. If we</w:t>
      </w:r>
      <w:r>
        <w:rPr>
          <w:rFonts w:ascii="Arial" w:cs="Arial" w:eastAsia="Arial" w:hAnsi="Arial"/>
          <w:sz w:val="17"/>
          <w:szCs w:val="17"/>
          <w:b w:val="1"/>
          <w:bCs w:val="1"/>
          <w:color w:val="auto"/>
        </w:rPr>
        <w:t xml:space="preserve"> </w:t>
      </w:r>
      <w:r>
        <w:rPr>
          <w:rFonts w:ascii="Arial" w:cs="Arial" w:eastAsia="Arial" w:hAnsi="Arial"/>
          <w:sz w:val="17"/>
          <w:szCs w:val="17"/>
          <w:color w:val="auto"/>
        </w:rPr>
        <w:t>accept the sales lead, we register it for the referring Referral Partner. If we make a sale as a direct result of such a lead, we will pay the Referral Partner a sales lead referral fee. Currently, we have a number of Referral Partners, including PolyVision Corp., Steelcase and e-Innovative Solutions for the workspace management product line and several smaller firms for our time and attendance product line.</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COMPETITION</w:t>
      </w:r>
    </w:p>
    <w:p>
      <w:pPr>
        <w:spacing w:after="0" w:line="247" w:lineRule="exact"/>
        <w:rPr>
          <w:sz w:val="20"/>
          <w:szCs w:val="20"/>
          <w:color w:val="auto"/>
        </w:rPr>
      </w:pPr>
    </w:p>
    <w:p>
      <w:pPr>
        <w:jc w:val="both"/>
        <w:ind w:firstLine="616"/>
        <w:spacing w:after="0" w:line="301" w:lineRule="auto"/>
        <w:rPr>
          <w:sz w:val="20"/>
          <w:szCs w:val="20"/>
          <w:color w:val="auto"/>
        </w:rPr>
      </w:pPr>
      <w:r>
        <w:rPr>
          <w:rFonts w:ascii="Arial" w:cs="Arial" w:eastAsia="Arial" w:hAnsi="Arial"/>
          <w:sz w:val="15"/>
          <w:szCs w:val="15"/>
          <w:color w:val="auto"/>
        </w:rPr>
        <w:t>We believe that Asure’s line of workspace management software solutions (AsureSpace™) has a competitive advantage in the marketplace. We compete both in the breadth of our comprehensive platform of workspace scheduling and utilization analytics as well as our resources available for product development, client services, and customer support. The primary competitors to AsureSpace include Dean Evans &amp; Associates, Inc., Emergingsoft Corporation, AgilQuest Corporation and Condeco Ltd. (UK). In addition to the features and available services, the principal advantages of AsureSpace with respect to its competitors includes its cloud-services model, extensive product integration options and partner channel, scalable deployments, configurable interfaces, mobile access and price.</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91" w:lineRule="exact"/>
        <w:rPr>
          <w:sz w:val="20"/>
          <w:szCs w:val="20"/>
          <w:color w:val="auto"/>
        </w:rPr>
      </w:pPr>
    </w:p>
    <w:p>
      <w:pPr>
        <w:jc w:val="both"/>
        <w:ind w:firstLine="616"/>
        <w:spacing w:after="0" w:line="264" w:lineRule="auto"/>
        <w:rPr>
          <w:sz w:val="20"/>
          <w:szCs w:val="20"/>
          <w:color w:val="auto"/>
        </w:rPr>
      </w:pPr>
      <w:r>
        <w:rPr>
          <w:rFonts w:ascii="Arial" w:cs="Arial" w:eastAsia="Arial" w:hAnsi="Arial"/>
          <w:sz w:val="17"/>
          <w:szCs w:val="17"/>
          <w:color w:val="auto"/>
        </w:rPr>
        <w:t>Asure’s workforce management line of time and attendance software (AsureForce®) has a competitive advantage in the marketplace in serving organizations seeking specific point-solutions as well as organizations desiring an integrated suite of solutions. By competing tactically with point-solutions and strategically with an integrated suite of solutions, Asure can serve the needs of a broad spectrum of companies.</w:t>
      </w:r>
    </w:p>
    <w:p>
      <w:pPr>
        <w:spacing w:after="0" w:line="202" w:lineRule="exact"/>
        <w:rPr>
          <w:sz w:val="20"/>
          <w:szCs w:val="20"/>
          <w:color w:val="auto"/>
        </w:rPr>
      </w:pPr>
    </w:p>
    <w:p>
      <w:pPr>
        <w:jc w:val="both"/>
        <w:ind w:firstLine="616"/>
        <w:spacing w:after="0" w:line="277" w:lineRule="auto"/>
        <w:rPr>
          <w:sz w:val="20"/>
          <w:szCs w:val="20"/>
          <w:color w:val="auto"/>
        </w:rPr>
      </w:pPr>
      <w:r>
        <w:rPr>
          <w:rFonts w:ascii="Arial" w:cs="Arial" w:eastAsia="Arial" w:hAnsi="Arial"/>
          <w:sz w:val="17"/>
          <w:szCs w:val="17"/>
          <w:color w:val="auto"/>
        </w:rPr>
        <w:t>While Asure has the advantages of our flexible, easy to use, SaaS-delivered software model, affordability and proven deployment methodology, we face several categories of competitive challenges:</w:t>
      </w:r>
    </w:p>
    <w:p>
      <w:pPr>
        <w:spacing w:after="0" w:line="191" w:lineRule="exact"/>
        <w:rPr>
          <w:sz w:val="20"/>
          <w:szCs w:val="20"/>
          <w:color w:val="auto"/>
        </w:rPr>
      </w:pPr>
    </w:p>
    <w:p>
      <w:pPr>
        <w:jc w:val="both"/>
        <w:ind w:left="480" w:hanging="131"/>
        <w:spacing w:after="0" w:line="255" w:lineRule="auto"/>
        <w:tabs>
          <w:tab w:leader="none" w:pos="480" w:val="left"/>
        </w:tabs>
        <w:numPr>
          <w:ilvl w:val="1"/>
          <w:numId w:val="3"/>
        </w:numPr>
        <w:rPr>
          <w:rFonts w:ascii="Arial" w:cs="Arial" w:eastAsia="Arial" w:hAnsi="Arial"/>
          <w:sz w:val="17"/>
          <w:szCs w:val="17"/>
          <w:color w:val="auto"/>
        </w:rPr>
      </w:pPr>
      <w:r>
        <w:rPr>
          <w:rFonts w:ascii="Arial" w:cs="Arial" w:eastAsia="Arial" w:hAnsi="Arial"/>
          <w:sz w:val="17"/>
          <w:szCs w:val="17"/>
          <w:i w:val="1"/>
          <w:iCs w:val="1"/>
          <w:color w:val="auto"/>
        </w:rPr>
        <w:t xml:space="preserve">Vendors with face-to-face sales contact. </w:t>
      </w:r>
      <w:r>
        <w:rPr>
          <w:rFonts w:ascii="Arial" w:cs="Arial" w:eastAsia="Arial" w:hAnsi="Arial"/>
          <w:sz w:val="17"/>
          <w:szCs w:val="17"/>
          <w:color w:val="auto"/>
        </w:rPr>
        <w:t>In this highly relationship-based sales process, vendors with a field-based sales team who meet and consult with</w:t>
      </w:r>
      <w:r>
        <w:rPr>
          <w:rFonts w:ascii="Arial" w:cs="Arial" w:eastAsia="Arial" w:hAnsi="Arial"/>
          <w:sz w:val="17"/>
          <w:szCs w:val="17"/>
          <w:i w:val="1"/>
          <w:iCs w:val="1"/>
          <w:color w:val="auto"/>
        </w:rPr>
        <w:t xml:space="preserve"> </w:t>
      </w:r>
      <w:r>
        <w:rPr>
          <w:rFonts w:ascii="Arial" w:cs="Arial" w:eastAsia="Arial" w:hAnsi="Arial"/>
          <w:sz w:val="17"/>
          <w:szCs w:val="17"/>
          <w:color w:val="auto"/>
        </w:rPr>
        <w:t>prospects have an advantage. Key U.S. vendors who approach the market in this manner include ADP, Kronos, PeopleSoft, Condeco and SteelCase. Asure does not have a field-based approach to sales but focuses instead on high-touch marketing campaigns and leveraging relationships with channel partners to build relationships with prospects.</w:t>
      </w:r>
    </w:p>
    <w:p>
      <w:pPr>
        <w:spacing w:after="0" w:line="1" w:lineRule="exact"/>
        <w:rPr>
          <w:rFonts w:ascii="Arial" w:cs="Arial" w:eastAsia="Arial" w:hAnsi="Arial"/>
          <w:sz w:val="17"/>
          <w:szCs w:val="17"/>
          <w:color w:val="auto"/>
        </w:rPr>
      </w:pPr>
    </w:p>
    <w:p>
      <w:pPr>
        <w:jc w:val="both"/>
        <w:ind w:left="460" w:hanging="123"/>
        <w:spacing w:after="0" w:line="252" w:lineRule="auto"/>
        <w:tabs>
          <w:tab w:leader="none" w:pos="46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 xml:space="preserve">National payroll processors with loss-leader products. </w:t>
      </w:r>
      <w:r>
        <w:rPr>
          <w:rFonts w:ascii="Arial" w:cs="Arial" w:eastAsia="Arial" w:hAnsi="Arial"/>
          <w:sz w:val="17"/>
          <w:szCs w:val="17"/>
          <w:color w:val="auto"/>
        </w:rPr>
        <w:t>Large brand and market share payroll processing vendors (such as ADP, Inc.) offer equivalent point</w:t>
      </w:r>
      <w:r>
        <w:rPr>
          <w:rFonts w:ascii="Arial" w:cs="Arial" w:eastAsia="Arial" w:hAnsi="Arial"/>
          <w:sz w:val="17"/>
          <w:szCs w:val="17"/>
          <w:i w:val="1"/>
          <w:iCs w:val="1"/>
          <w:color w:val="auto"/>
        </w:rPr>
        <w:t xml:space="preserve"> </w:t>
      </w:r>
      <w:r>
        <w:rPr>
          <w:rFonts w:ascii="Arial" w:cs="Arial" w:eastAsia="Arial" w:hAnsi="Arial"/>
          <w:sz w:val="17"/>
          <w:szCs w:val="17"/>
          <w:color w:val="auto"/>
        </w:rPr>
        <w:t>solutions at little or no cost to prospects when in a competitive engagement because these loss leader products become inconsequential next to their core business offerings.</w:t>
      </w:r>
    </w:p>
    <w:p>
      <w:pPr>
        <w:ind w:left="460" w:hanging="123"/>
        <w:spacing w:after="0" w:line="264" w:lineRule="auto"/>
        <w:tabs>
          <w:tab w:leader="none" w:pos="46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 xml:space="preserve">Single application vendors. </w:t>
      </w:r>
      <w:r>
        <w:rPr>
          <w:rFonts w:ascii="Arial" w:cs="Arial" w:eastAsia="Arial" w:hAnsi="Arial"/>
          <w:sz w:val="17"/>
          <w:szCs w:val="17"/>
          <w:color w:val="auto"/>
        </w:rPr>
        <w:t>Vendors that offer similar point-solutions such as room scheduling, office hoteling management, time and attendance,</w:t>
      </w:r>
      <w:r>
        <w:rPr>
          <w:rFonts w:ascii="Arial" w:cs="Arial" w:eastAsia="Arial" w:hAnsi="Arial"/>
          <w:sz w:val="17"/>
          <w:szCs w:val="17"/>
          <w:i w:val="1"/>
          <w:iCs w:val="1"/>
          <w:color w:val="auto"/>
        </w:rPr>
        <w:t xml:space="preserve"> </w:t>
      </w:r>
      <w:r>
        <w:rPr>
          <w:rFonts w:ascii="Arial" w:cs="Arial" w:eastAsia="Arial" w:hAnsi="Arial"/>
          <w:sz w:val="17"/>
          <w:szCs w:val="17"/>
          <w:color w:val="auto"/>
        </w:rPr>
        <w:t>employee/manager self-service and paystub management can be perceived as better meeting an immediate and specific need.</w:t>
      </w:r>
    </w:p>
    <w:p>
      <w:pPr>
        <w:spacing w:after="0" w:line="201" w:lineRule="exact"/>
        <w:rPr>
          <w:sz w:val="20"/>
          <w:szCs w:val="20"/>
          <w:color w:val="auto"/>
        </w:rPr>
      </w:pPr>
    </w:p>
    <w:p>
      <w:pPr>
        <w:jc w:val="both"/>
        <w:ind w:firstLine="616"/>
        <w:spacing w:after="0" w:line="274" w:lineRule="auto"/>
        <w:rPr>
          <w:sz w:val="20"/>
          <w:szCs w:val="20"/>
          <w:color w:val="auto"/>
        </w:rPr>
      </w:pPr>
      <w:r>
        <w:rPr>
          <w:rFonts w:ascii="Arial" w:cs="Arial" w:eastAsia="Arial" w:hAnsi="Arial"/>
          <w:sz w:val="16"/>
          <w:szCs w:val="16"/>
          <w:color w:val="auto"/>
        </w:rPr>
        <w:t>Because the market for our products and services is subject to rapid technological change and there are relatively low barriers to entry in the workplace management software market, we routinely encounter new entrants or competition from vendors in some or all aspects of our two product lines. Competition from these potential market entrants may take many forms. Some of our competitors, both current and future, may have greater financial, technical and marketing resources than us and therefore may be able to respond quicker to new or emerging technologies and changes in customer requirements. As a result, they may compete more effectively on price and other terms. Additionally, those competitors may devote greater resources in developing products or in promoting and selling their products to achieve greater market acceptance. Asure is actively taking measures designed to address our competitive challenges. However, we cannot assure that we will be able to achieve or maintain a competitive advantage with respect to any of the competitive factors.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MARKETING</w:t>
      </w:r>
    </w:p>
    <w:p>
      <w:pPr>
        <w:spacing w:after="0" w:line="247" w:lineRule="exact"/>
        <w:rPr>
          <w:sz w:val="20"/>
          <w:szCs w:val="20"/>
          <w:color w:val="auto"/>
        </w:rPr>
      </w:pPr>
    </w:p>
    <w:p>
      <w:pPr>
        <w:jc w:val="both"/>
        <w:ind w:firstLine="616"/>
        <w:spacing w:after="0" w:line="276" w:lineRule="auto"/>
        <w:rPr>
          <w:sz w:val="20"/>
          <w:szCs w:val="20"/>
          <w:color w:val="auto"/>
        </w:rPr>
      </w:pPr>
      <w:r>
        <w:rPr>
          <w:rFonts w:ascii="Arial" w:cs="Arial" w:eastAsia="Arial" w:hAnsi="Arial"/>
          <w:sz w:val="16"/>
          <w:szCs w:val="16"/>
          <w:color w:val="auto"/>
        </w:rPr>
        <w:t>Asure’s marketing strategy has relied on the development and implementation of a comprehensive integrated plan rooted in our business objectives. The marketing plan includes four primary objectives: 1) build brand awareness, 2) develop lead generation programs that drive revenue, 3) launch products in a meaningful way and 4) develop an infrastructure that supports and measures marketing activities. We deploy multi-faceted, multi-series direct marketing programs to drive awareness, interest and revenue. Marketing vehicles include our web site, organic and paid search, advertising, public relations, direct marketing, events, social media, content marketing and eMarketing. Our marketing plan addresses growth and retention goals for all target audiences, from small and medium-sized businesses to Fortune 500 companies and divisions of enterprise organizations throughout the United States, Europe and Asia/Pacific.</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TRADEMARKS</w:t>
      </w:r>
    </w:p>
    <w:p>
      <w:pPr>
        <w:spacing w:after="0" w:line="247" w:lineRule="exact"/>
        <w:rPr>
          <w:sz w:val="20"/>
          <w:szCs w:val="20"/>
          <w:color w:val="auto"/>
        </w:rPr>
      </w:pPr>
    </w:p>
    <w:p>
      <w:pPr>
        <w:jc w:val="both"/>
        <w:ind w:firstLine="616"/>
        <w:spacing w:after="0" w:line="264" w:lineRule="auto"/>
        <w:rPr>
          <w:sz w:val="20"/>
          <w:szCs w:val="20"/>
          <w:color w:val="auto"/>
        </w:rPr>
      </w:pPr>
      <w:r>
        <w:rPr>
          <w:rFonts w:ascii="Arial" w:cs="Arial" w:eastAsia="Arial" w:hAnsi="Arial"/>
          <w:sz w:val="17"/>
          <w:szCs w:val="17"/>
          <w:color w:val="auto"/>
        </w:rPr>
        <w:t>We have registered Asure Software® as a federal trademark with the U.S. Patent and Trademark Office. Our other federal trademarks include AsureForce®, Face Time Clock®, Legiant Timecard® and ADI Time®, and we have pending applications for federal registration of the marks AsureSpace and GeoPunch. We also use the common law trademarks iEmployee™, Netsimplicty™, AsureSpace™, ADI™ and Legiant Express™.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61"/>
        </w:trPr>
        <w:tc>
          <w:tcPr>
            <w:tcW w:w="980" w:type="dxa"/>
            <w:vAlign w:val="bottom"/>
            <w:tcBorders>
              <w:bottom w:val="single" w:sz="8" w:color="0000EE"/>
            </w:tcBorders>
          </w:tcPr>
          <w:p>
            <w:pPr>
              <w:spacing w:after="0"/>
              <w:rPr>
                <w:rFonts w:ascii="Arial" w:cs="Arial" w:eastAsia="Arial" w:hAnsi="Arial"/>
                <w:sz w:val="14"/>
                <w:szCs w:val="14"/>
                <w:color w:val="0000EE"/>
                <w:w w:val="86"/>
              </w:rPr>
            </w:pPr>
            <w:hyperlink w:anchor="page3">
              <w:r>
                <w:rPr>
                  <w:rFonts w:ascii="Arial" w:cs="Arial" w:eastAsia="Arial" w:hAnsi="Arial"/>
                  <w:sz w:val="14"/>
                  <w:szCs w:val="14"/>
                  <w:color w:val="0000EE"/>
                  <w:w w:val="86"/>
                </w:rPr>
                <w:t>Table of Contents</w:t>
              </w:r>
            </w:hyperlink>
          </w:p>
        </w:tc>
        <w:tc>
          <w:tcPr>
            <w:tcW w:w="7340" w:type="dxa"/>
            <w:vAlign w:val="bottom"/>
            <w:gridSpan w:val="3"/>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365"/>
        </w:trPr>
        <w:tc>
          <w:tcPr>
            <w:tcW w:w="1080" w:type="dxa"/>
            <w:vAlign w:val="bottom"/>
            <w:tcBorders>
              <w:bottom w:val="single" w:sz="8" w:color="auto"/>
            </w:tcBorders>
            <w:gridSpan w:val="2"/>
          </w:tcPr>
          <w:p>
            <w:pPr>
              <w:spacing w:after="0"/>
              <w:rPr>
                <w:sz w:val="20"/>
                <w:szCs w:val="20"/>
                <w:color w:val="auto"/>
              </w:rPr>
            </w:pPr>
            <w:r>
              <w:rPr>
                <w:rFonts w:ascii="Arial" w:cs="Arial" w:eastAsia="Arial" w:hAnsi="Arial"/>
                <w:sz w:val="17"/>
                <w:szCs w:val="17"/>
                <w:b w:val="1"/>
                <w:bCs w:val="1"/>
                <w:color w:val="auto"/>
              </w:rPr>
              <w:t>EMPLOYEES</w:t>
            </w:r>
          </w:p>
        </w:tc>
        <w:tc>
          <w:tcPr>
            <w:tcW w:w="724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54"/>
        </w:trPr>
        <w:tc>
          <w:tcPr>
            <w:tcW w:w="8320" w:type="dxa"/>
            <w:vAlign w:val="bottom"/>
            <w:gridSpan w:val="4"/>
          </w:tcPr>
          <w:p>
            <w:pPr>
              <w:ind w:left="620"/>
              <w:spacing w:after="0"/>
              <w:rPr>
                <w:sz w:val="20"/>
                <w:szCs w:val="20"/>
                <w:color w:val="auto"/>
              </w:rPr>
            </w:pPr>
            <w:r>
              <w:rPr>
                <w:rFonts w:ascii="Arial" w:cs="Arial" w:eastAsia="Arial" w:hAnsi="Arial"/>
                <w:sz w:val="17"/>
                <w:szCs w:val="17"/>
                <w:color w:val="auto"/>
              </w:rPr>
              <w:t>As of December 31, 2012, we had a total of 120 employees in the following departments:</w:t>
            </w: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19"/>
        </w:trPr>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gridSpan w:val="2"/>
          </w:tcPr>
          <w:p>
            <w:pPr>
              <w:ind w:left="180"/>
              <w:spacing w:after="0"/>
              <w:rPr>
                <w:sz w:val="20"/>
                <w:szCs w:val="20"/>
                <w:color w:val="auto"/>
              </w:rPr>
            </w:pPr>
            <w:r>
              <w:rPr>
                <w:rFonts w:ascii="Arial" w:cs="Arial" w:eastAsia="Arial" w:hAnsi="Arial"/>
                <w:sz w:val="17"/>
                <w:szCs w:val="17"/>
                <w:b w:val="1"/>
                <w:bCs w:val="1"/>
                <w:color w:val="auto"/>
              </w:rPr>
              <w:t>NUMBER OF</w:t>
            </w:r>
          </w:p>
        </w:tc>
      </w:tr>
      <w:tr>
        <w:trPr>
          <w:trHeight w:val="229"/>
        </w:trPr>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40" w:type="dxa"/>
            <w:vAlign w:val="bottom"/>
            <w:gridSpan w:val="2"/>
          </w:tcPr>
          <w:p>
            <w:pPr>
              <w:ind w:left="360"/>
              <w:spacing w:after="0"/>
              <w:rPr>
                <w:sz w:val="20"/>
                <w:szCs w:val="20"/>
                <w:color w:val="auto"/>
              </w:rPr>
            </w:pPr>
            <w:r>
              <w:rPr>
                <w:rFonts w:ascii="Arial" w:cs="Arial" w:eastAsia="Arial" w:hAnsi="Arial"/>
                <w:sz w:val="17"/>
                <w:szCs w:val="17"/>
                <w:b w:val="1"/>
                <w:bCs w:val="1"/>
                <w:color w:val="auto"/>
              </w:rPr>
              <w:t>FUNCTION</w:t>
            </w:r>
          </w:p>
        </w:tc>
        <w:tc>
          <w:tcPr>
            <w:tcW w:w="100" w:type="dxa"/>
            <w:vAlign w:val="bottom"/>
          </w:tcPr>
          <w:p>
            <w:pPr>
              <w:spacing w:after="0"/>
              <w:rPr>
                <w:sz w:val="19"/>
                <w:szCs w:val="19"/>
                <w:color w:val="auto"/>
              </w:rPr>
            </w:pPr>
          </w:p>
        </w:tc>
        <w:tc>
          <w:tcPr>
            <w:tcW w:w="1580" w:type="dxa"/>
            <w:vAlign w:val="bottom"/>
            <w:gridSpan w:val="2"/>
          </w:tcPr>
          <w:p>
            <w:pPr>
              <w:ind w:left="160"/>
              <w:spacing w:after="0"/>
              <w:rPr>
                <w:sz w:val="20"/>
                <w:szCs w:val="20"/>
                <w:color w:val="auto"/>
              </w:rPr>
            </w:pPr>
            <w:r>
              <w:rPr>
                <w:rFonts w:ascii="Arial" w:cs="Arial" w:eastAsia="Arial" w:hAnsi="Arial"/>
                <w:sz w:val="17"/>
                <w:szCs w:val="17"/>
                <w:b w:val="1"/>
                <w:bCs w:val="1"/>
                <w:color w:val="auto"/>
              </w:rPr>
              <w:t>EMPLOYEES</w:t>
            </w:r>
          </w:p>
        </w:tc>
      </w:tr>
      <w:tr>
        <w:trPr>
          <w:trHeight w:val="205"/>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Research and development</w:t>
            </w:r>
          </w:p>
        </w:tc>
        <w:tc>
          <w:tcPr>
            <w:tcW w:w="100" w:type="dxa"/>
            <w:vAlign w:val="bottom"/>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120" w:type="dxa"/>
            <w:vAlign w:val="bottom"/>
            <w:shd w:val="clear" w:color="auto" w:fill="CCEEFF"/>
          </w:tcPr>
          <w:p>
            <w:pPr>
              <w:spacing w:after="0"/>
              <w:rPr>
                <w:sz w:val="17"/>
                <w:szCs w:val="17"/>
                <w:color w:val="auto"/>
              </w:rPr>
            </w:pPr>
          </w:p>
        </w:tc>
      </w:tr>
      <w:tr>
        <w:trPr>
          <w:trHeight w:val="205"/>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80" w:type="dxa"/>
            <w:vAlign w:val="bottom"/>
          </w:tcPr>
          <w:p>
            <w:pPr>
              <w:spacing w:after="0"/>
              <w:rPr>
                <w:sz w:val="20"/>
                <w:szCs w:val="20"/>
                <w:color w:val="auto"/>
              </w:rPr>
            </w:pPr>
            <w:r>
              <w:rPr>
                <w:rFonts w:ascii="Arial" w:cs="Arial" w:eastAsia="Arial" w:hAnsi="Arial"/>
                <w:sz w:val="17"/>
                <w:szCs w:val="17"/>
                <w:color w:val="auto"/>
              </w:rPr>
              <w:t>Sales and marketing</w:t>
            </w:r>
          </w:p>
        </w:tc>
        <w:tc>
          <w:tcPr>
            <w:tcW w:w="1560" w:type="dxa"/>
            <w:vAlign w:val="bottom"/>
            <w:gridSpan w:val="2"/>
          </w:tcPr>
          <w:p>
            <w:pPr>
              <w:jc w:val="right"/>
              <w:spacing w:after="0"/>
              <w:rPr>
                <w:sz w:val="20"/>
                <w:szCs w:val="20"/>
                <w:color w:val="auto"/>
              </w:rPr>
            </w:pPr>
            <w:r>
              <w:rPr>
                <w:rFonts w:ascii="Arial" w:cs="Arial" w:eastAsia="Arial" w:hAnsi="Arial"/>
                <w:sz w:val="17"/>
                <w:szCs w:val="17"/>
                <w:color w:val="auto"/>
              </w:rPr>
              <w:t>38</w:t>
            </w:r>
          </w:p>
        </w:tc>
        <w:tc>
          <w:tcPr>
            <w:tcW w:w="120" w:type="dxa"/>
            <w:vAlign w:val="bottom"/>
          </w:tcPr>
          <w:p>
            <w:pPr>
              <w:spacing w:after="0"/>
              <w:rPr>
                <w:sz w:val="17"/>
                <w:szCs w:val="17"/>
                <w:color w:val="auto"/>
              </w:rPr>
            </w:pPr>
          </w:p>
        </w:tc>
      </w:tr>
      <w:tr>
        <w:trPr>
          <w:trHeight w:val="205"/>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7"/>
                <w:szCs w:val="17"/>
                <w:color w:val="auto"/>
              </w:rPr>
              <w:t>Customer service and technical support</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37</w:t>
            </w:r>
          </w:p>
        </w:tc>
        <w:tc>
          <w:tcPr>
            <w:tcW w:w="120" w:type="dxa"/>
            <w:vAlign w:val="bottom"/>
            <w:shd w:val="clear" w:color="auto" w:fill="CCEEFF"/>
          </w:tcPr>
          <w:p>
            <w:pPr>
              <w:spacing w:after="0"/>
              <w:rPr>
                <w:sz w:val="17"/>
                <w:szCs w:val="17"/>
                <w:color w:val="auto"/>
              </w:rPr>
            </w:pPr>
          </w:p>
        </w:tc>
      </w:tr>
      <w:tr>
        <w:trPr>
          <w:trHeight w:val="211"/>
        </w:trPr>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7"/>
                <w:szCs w:val="17"/>
                <w:color w:val="auto"/>
              </w:rPr>
              <w:t>Finance, human resources and administration</w:t>
            </w:r>
          </w:p>
        </w:tc>
        <w:tc>
          <w:tcPr>
            <w:tcW w:w="10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w:t>
            </w:r>
          </w:p>
        </w:tc>
        <w:tc>
          <w:tcPr>
            <w:tcW w:w="120" w:type="dxa"/>
            <w:vAlign w:val="bottom"/>
          </w:tcPr>
          <w:p>
            <w:pPr>
              <w:spacing w:after="0"/>
              <w:rPr>
                <w:sz w:val="18"/>
                <w:szCs w:val="18"/>
                <w:color w:val="auto"/>
              </w:rPr>
            </w:pPr>
          </w:p>
        </w:tc>
      </w:tr>
      <w:tr>
        <w:trPr>
          <w:trHeight w:val="205"/>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Total</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120</w:t>
            </w:r>
          </w:p>
        </w:tc>
        <w:tc>
          <w:tcPr>
            <w:tcW w:w="120" w:type="dxa"/>
            <w:vAlign w:val="bottom"/>
            <w:shd w:val="clear" w:color="auto" w:fill="CCEEFF"/>
          </w:tcPr>
          <w:p>
            <w:pPr>
              <w:spacing w:after="0"/>
              <w:rPr>
                <w:sz w:val="17"/>
                <w:szCs w:val="17"/>
                <w:color w:val="auto"/>
              </w:rPr>
            </w:pPr>
          </w:p>
        </w:tc>
      </w:tr>
    </w:tbl>
    <w:p>
      <w:pPr>
        <w:spacing w:after="0" w:line="193" w:lineRule="exact"/>
        <w:rPr>
          <w:sz w:val="20"/>
          <w:szCs w:val="20"/>
          <w:color w:val="auto"/>
        </w:rPr>
      </w:pPr>
    </w:p>
    <w:p>
      <w:pPr>
        <w:jc w:val="both"/>
        <w:ind w:firstLine="616"/>
        <w:spacing w:after="0" w:line="260" w:lineRule="auto"/>
        <w:rPr>
          <w:sz w:val="20"/>
          <w:szCs w:val="20"/>
          <w:color w:val="auto"/>
        </w:rPr>
      </w:pPr>
      <w:r>
        <w:rPr>
          <w:rFonts w:ascii="Arial" w:cs="Arial" w:eastAsia="Arial" w:hAnsi="Arial"/>
          <w:sz w:val="17"/>
          <w:szCs w:val="17"/>
          <w:color w:val="auto"/>
        </w:rPr>
        <w:t>We continually evaluate and adjust the size and composition of our workforce. We also periodically retain contractors to support our sales and marketing, information technology and administrative functions. None of our employees are represented by a collective bargaining agreement. Asure has not experienced any work stoppages and we consider our relations with our employees to be good. Additionally, we augment our workforce capacity in research and development and customer service and technical support by contracting for services through third parties.</w:t>
      </w:r>
    </w:p>
    <w:p>
      <w:pPr>
        <w:spacing w:after="0" w:line="205" w:lineRule="exact"/>
        <w:rPr>
          <w:sz w:val="20"/>
          <w:szCs w:val="20"/>
          <w:color w:val="auto"/>
        </w:rPr>
      </w:pPr>
    </w:p>
    <w:p>
      <w:pPr>
        <w:jc w:val="both"/>
        <w:ind w:firstLine="616"/>
        <w:spacing w:after="0" w:line="278" w:lineRule="auto"/>
        <w:rPr>
          <w:sz w:val="20"/>
          <w:szCs w:val="20"/>
          <w:color w:val="auto"/>
        </w:rPr>
      </w:pPr>
      <w:r>
        <w:rPr>
          <w:rFonts w:ascii="Arial" w:cs="Arial" w:eastAsia="Arial" w:hAnsi="Arial"/>
          <w:sz w:val="16"/>
          <w:szCs w:val="16"/>
          <w:color w:val="auto"/>
        </w:rPr>
        <w:t>Our future performance depends largely on our ability to continually and effectively attract, train, retain, motivate and manage highly qualified and experienced technical, sales, marketing and managerial personnel. Asure’s future development and growth depend on the efforts of key management personnel and technical employees. Asure uses incentives, including competitive compensation and stock options, to attract and retain well-qualified employees. However, we cannot assure that we will continue to attract and retain personnel with the requisite capabilities and experience. The loss of one or more of Asure’s key management or technical personnel could have a material and adverse effect on our business and operating results.</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EXECUTIVE OFFICERS</w:t>
      </w:r>
    </w:p>
    <w:p>
      <w:pPr>
        <w:spacing w:after="0" w:line="247" w:lineRule="exact"/>
        <w:rPr>
          <w:sz w:val="20"/>
          <w:szCs w:val="20"/>
          <w:color w:val="auto"/>
        </w:rPr>
      </w:pPr>
    </w:p>
    <w:p>
      <w:pPr>
        <w:jc w:val="both"/>
        <w:ind w:firstLine="616"/>
        <w:spacing w:after="0" w:line="260" w:lineRule="auto"/>
        <w:rPr>
          <w:sz w:val="20"/>
          <w:szCs w:val="20"/>
          <w:color w:val="auto"/>
        </w:rPr>
      </w:pPr>
      <w:r>
        <w:rPr>
          <w:rFonts w:ascii="Arial" w:cs="Arial" w:eastAsia="Arial" w:hAnsi="Arial"/>
          <w:sz w:val="17"/>
          <w:szCs w:val="17"/>
          <w:color w:val="auto"/>
        </w:rPr>
        <w:t>The information regarding directors and corporate governance matters is incorporated herein by reference from the section entitled “Election of Directors” of the Company’s definitive Proxy Statement (the “Proxy Statement”) to be filed pursuant to Regulation 14A of the Securities Exchange Act of 1934, as amended, for the registrants’ Annual Meeting of Stockholders to be held on June 10, 2013. The Proxy Statement is anticipated to be filed within 120 days after the end of the registrant’s fiscal year ended December 31, 2012.</w:t>
      </w:r>
    </w:p>
    <w:p>
      <w:pPr>
        <w:spacing w:after="0" w:line="20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sets forth information regarding the Company’s current executive officers as of March 22, 2013:</w:t>
      </w:r>
    </w:p>
    <w:p>
      <w:pPr>
        <w:spacing w:after="0" w:line="235" w:lineRule="exact"/>
        <w:rPr>
          <w:sz w:val="20"/>
          <w:szCs w:val="20"/>
          <w:color w:val="auto"/>
        </w:rPr>
      </w:pPr>
    </w:p>
    <w:tbl>
      <w:tblPr>
        <w:tblLayout w:type="fixed"/>
        <w:tblInd w:w="1440" w:type="dxa"/>
        <w:tblCellMar>
          <w:top w:w="0" w:type="dxa"/>
          <w:left w:w="0" w:type="dxa"/>
          <w:bottom w:w="0" w:type="dxa"/>
          <w:right w:w="0" w:type="dxa"/>
        </w:tblCellMar>
      </w:tblPr>
      <w:tr>
        <w:trPr>
          <w:trHeight w:val="223"/>
        </w:trPr>
        <w:tc>
          <w:tcPr>
            <w:tcW w:w="3200" w:type="dxa"/>
            <w:vAlign w:val="bottom"/>
            <w:gridSpan w:val="2"/>
          </w:tcPr>
          <w:p>
            <w:pPr>
              <w:spacing w:after="0"/>
              <w:rPr>
                <w:sz w:val="20"/>
                <w:szCs w:val="20"/>
                <w:color w:val="auto"/>
              </w:rPr>
            </w:pPr>
            <w:r>
              <w:rPr>
                <w:rFonts w:ascii="Arial" w:cs="Arial" w:eastAsia="Arial" w:hAnsi="Arial"/>
                <w:sz w:val="17"/>
                <w:szCs w:val="17"/>
                <w:b w:val="1"/>
                <w:bCs w:val="1"/>
                <w:color w:val="auto"/>
              </w:rPr>
              <w:t>Name</w:t>
            </w:r>
          </w:p>
        </w:tc>
        <w:tc>
          <w:tcPr>
            <w:tcW w:w="100" w:type="dxa"/>
            <w:vAlign w:val="bottom"/>
          </w:tcPr>
          <w:p>
            <w:pPr>
              <w:spacing w:after="0"/>
              <w:rPr>
                <w:sz w:val="19"/>
                <w:szCs w:val="19"/>
                <w:color w:val="auto"/>
              </w:rPr>
            </w:pPr>
          </w:p>
        </w:tc>
        <w:tc>
          <w:tcPr>
            <w:tcW w:w="1360" w:type="dxa"/>
            <w:vAlign w:val="bottom"/>
          </w:tcPr>
          <w:p>
            <w:pPr>
              <w:jc w:val="right"/>
              <w:ind w:right="454"/>
              <w:spacing w:after="0"/>
              <w:rPr>
                <w:sz w:val="20"/>
                <w:szCs w:val="20"/>
                <w:color w:val="auto"/>
              </w:rPr>
            </w:pPr>
            <w:r>
              <w:rPr>
                <w:rFonts w:ascii="Arial" w:cs="Arial" w:eastAsia="Arial" w:hAnsi="Arial"/>
                <w:sz w:val="17"/>
                <w:szCs w:val="17"/>
                <w:b w:val="1"/>
                <w:bCs w:val="1"/>
                <w:color w:val="auto"/>
              </w:rPr>
              <w:t>Age</w:t>
            </w:r>
          </w:p>
        </w:tc>
        <w:tc>
          <w:tcPr>
            <w:tcW w:w="3900" w:type="dxa"/>
            <w:vAlign w:val="bottom"/>
            <w:gridSpan w:val="2"/>
          </w:tcPr>
          <w:p>
            <w:pPr>
              <w:ind w:left="100"/>
              <w:spacing w:after="0"/>
              <w:rPr>
                <w:sz w:val="20"/>
                <w:szCs w:val="20"/>
                <w:color w:val="auto"/>
              </w:rPr>
            </w:pPr>
            <w:r>
              <w:rPr>
                <w:rFonts w:ascii="Arial" w:cs="Arial" w:eastAsia="Arial" w:hAnsi="Arial"/>
                <w:sz w:val="17"/>
                <w:szCs w:val="17"/>
                <w:b w:val="1"/>
                <w:bCs w:val="1"/>
                <w:color w:val="auto"/>
              </w:rPr>
              <w:t>Position</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31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8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vMerge w:val="continue"/>
          </w:tcPr>
          <w:p>
            <w:pPr>
              <w:spacing w:after="0"/>
              <w:rPr>
                <w:sz w:val="17"/>
                <w:szCs w:val="17"/>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7"/>
                <w:szCs w:val="17"/>
                <w:color w:val="auto"/>
              </w:rPr>
              <w:t>Patrick Goepel</w:t>
            </w: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w:t>
            </w:r>
          </w:p>
        </w:tc>
        <w:tc>
          <w:tcPr>
            <w:tcW w:w="390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Chief Executive Officer</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180" w:type="dxa"/>
            <w:vAlign w:val="bottom"/>
          </w:tcPr>
          <w:p>
            <w:pPr>
              <w:spacing w:after="0"/>
              <w:rPr>
                <w:sz w:val="20"/>
                <w:szCs w:val="20"/>
                <w:color w:val="auto"/>
              </w:rPr>
            </w:pPr>
            <w:r>
              <w:rPr>
                <w:rFonts w:ascii="Arial" w:cs="Arial" w:eastAsia="Arial" w:hAnsi="Arial"/>
                <w:sz w:val="17"/>
                <w:szCs w:val="17"/>
                <w:color w:val="auto"/>
              </w:rPr>
              <w:t>Steven Rodriguez</w:t>
            </w:r>
          </w:p>
        </w:tc>
        <w:tc>
          <w:tcPr>
            <w:tcW w:w="1460" w:type="dxa"/>
            <w:vAlign w:val="bottom"/>
            <w:gridSpan w:val="2"/>
          </w:tcPr>
          <w:p>
            <w:pPr>
              <w:jc w:val="right"/>
              <w:spacing w:after="0"/>
              <w:rPr>
                <w:sz w:val="20"/>
                <w:szCs w:val="20"/>
                <w:color w:val="auto"/>
              </w:rPr>
            </w:pPr>
            <w:r>
              <w:rPr>
                <w:rFonts w:ascii="Arial" w:cs="Arial" w:eastAsia="Arial" w:hAnsi="Arial"/>
                <w:sz w:val="17"/>
                <w:szCs w:val="17"/>
                <w:color w:val="auto"/>
              </w:rPr>
              <w:t>46</w:t>
            </w:r>
          </w:p>
        </w:tc>
        <w:tc>
          <w:tcPr>
            <w:tcW w:w="3900" w:type="dxa"/>
            <w:vAlign w:val="bottom"/>
            <w:gridSpan w:val="2"/>
          </w:tcPr>
          <w:p>
            <w:pPr>
              <w:ind w:left="100"/>
              <w:spacing w:after="0"/>
              <w:rPr>
                <w:sz w:val="20"/>
                <w:szCs w:val="20"/>
                <w:color w:val="auto"/>
              </w:rPr>
            </w:pPr>
            <w:r>
              <w:rPr>
                <w:rFonts w:ascii="Arial" w:cs="Arial" w:eastAsia="Arial" w:hAnsi="Arial"/>
                <w:sz w:val="17"/>
                <w:szCs w:val="17"/>
                <w:color w:val="auto"/>
              </w:rPr>
              <w:t>Chief Operating Officer</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7"/>
                <w:szCs w:val="17"/>
                <w:color w:val="auto"/>
              </w:rPr>
              <w:t>Jennifer Crow</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46</w:t>
            </w:r>
          </w:p>
        </w:tc>
        <w:tc>
          <w:tcPr>
            <w:tcW w:w="390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Chief Financial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7"/>
                <w:szCs w:val="17"/>
                <w:color w:val="auto"/>
              </w:rPr>
              <w:t>Mike Kinney</w:t>
            </w:r>
          </w:p>
        </w:tc>
        <w:tc>
          <w:tcPr>
            <w:tcW w:w="1460" w:type="dxa"/>
            <w:vAlign w:val="bottom"/>
            <w:gridSpan w:val="2"/>
          </w:tcPr>
          <w:p>
            <w:pPr>
              <w:jc w:val="right"/>
              <w:spacing w:after="0"/>
              <w:rPr>
                <w:sz w:val="20"/>
                <w:szCs w:val="20"/>
                <w:color w:val="auto"/>
              </w:rPr>
            </w:pPr>
            <w:r>
              <w:rPr>
                <w:rFonts w:ascii="Arial" w:cs="Arial" w:eastAsia="Arial" w:hAnsi="Arial"/>
                <w:sz w:val="17"/>
                <w:szCs w:val="17"/>
                <w:color w:val="auto"/>
              </w:rPr>
              <w:t>43</w:t>
            </w:r>
          </w:p>
        </w:tc>
        <w:tc>
          <w:tcPr>
            <w:tcW w:w="3900" w:type="dxa"/>
            <w:vAlign w:val="bottom"/>
            <w:gridSpan w:val="2"/>
          </w:tcPr>
          <w:p>
            <w:pPr>
              <w:ind w:left="100"/>
              <w:spacing w:after="0"/>
              <w:rPr>
                <w:sz w:val="20"/>
                <w:szCs w:val="20"/>
                <w:color w:val="auto"/>
              </w:rPr>
            </w:pPr>
            <w:r>
              <w:rPr>
                <w:rFonts w:ascii="Arial" w:cs="Arial" w:eastAsia="Arial" w:hAnsi="Arial"/>
                <w:sz w:val="17"/>
                <w:szCs w:val="17"/>
                <w:color w:val="auto"/>
              </w:rPr>
              <w:t>Vice President of Sales</w:t>
            </w:r>
          </w:p>
        </w:tc>
        <w:tc>
          <w:tcPr>
            <w:tcW w:w="0" w:type="dxa"/>
            <w:vAlign w:val="bottom"/>
          </w:tcPr>
          <w:p>
            <w:pPr>
              <w:spacing w:after="0"/>
              <w:rPr>
                <w:sz w:val="1"/>
                <w:szCs w:val="1"/>
                <w:color w:val="auto"/>
              </w:rPr>
            </w:pPr>
          </w:p>
        </w:tc>
      </w:tr>
    </w:tbl>
    <w:p>
      <w:pPr>
        <w:spacing w:after="0" w:line="176" w:lineRule="exact"/>
        <w:rPr>
          <w:sz w:val="20"/>
          <w:szCs w:val="20"/>
          <w:color w:val="auto"/>
        </w:rPr>
      </w:pPr>
    </w:p>
    <w:p>
      <w:pPr>
        <w:jc w:val="both"/>
        <w:ind w:firstLine="616"/>
        <w:spacing w:after="0" w:line="258" w:lineRule="auto"/>
        <w:rPr>
          <w:sz w:val="20"/>
          <w:szCs w:val="20"/>
          <w:color w:val="auto"/>
        </w:rPr>
      </w:pPr>
      <w:r>
        <w:rPr>
          <w:rFonts w:ascii="Arial" w:cs="Arial" w:eastAsia="Arial" w:hAnsi="Arial"/>
          <w:sz w:val="17"/>
          <w:szCs w:val="17"/>
          <w:b w:val="1"/>
          <w:bCs w:val="1"/>
          <w:color w:val="auto"/>
        </w:rPr>
        <w:t xml:space="preserve">Patrick Goepel </w:t>
      </w:r>
      <w:r>
        <w:rPr>
          <w:rFonts w:ascii="Arial" w:cs="Arial" w:eastAsia="Arial" w:hAnsi="Arial"/>
          <w:sz w:val="17"/>
          <w:szCs w:val="17"/>
          <w:color w:val="auto"/>
        </w:rPr>
        <w:t>was elected to the Company’s Board of Directors at its August 28, 2009 Annual Meeting of Shareholders. He was subsequently appointed</w:t>
      </w:r>
      <w:r>
        <w:rPr>
          <w:rFonts w:ascii="Arial" w:cs="Arial" w:eastAsia="Arial" w:hAnsi="Arial"/>
          <w:sz w:val="17"/>
          <w:szCs w:val="17"/>
          <w:b w:val="1"/>
          <w:bCs w:val="1"/>
          <w:color w:val="auto"/>
        </w:rPr>
        <w:t xml:space="preserve"> </w:t>
      </w:r>
      <w:r>
        <w:rPr>
          <w:rFonts w:ascii="Arial" w:cs="Arial" w:eastAsia="Arial" w:hAnsi="Arial"/>
          <w:sz w:val="17"/>
          <w:szCs w:val="17"/>
          <w:color w:val="auto"/>
        </w:rPr>
        <w:t>as Interim Chief Executive Officer on September 15, 2009 and became Chief Executive Officer of the Company as of January 1, 2010. Prior to his appointment, he served as Chief Operating Officer of Patersons Global Payroll. Previously, he was the President and Chief Executive Officer of Fidelity Investment's Human Resource Services Division from 2006 to 2008; President and Chief Executive Officer of Advantec from 2005 to 2006; and Executive Vice President of Business Development and US Operations at Ceridian from 1994 to 2005. A former board member of iEmployee, Mr. Goepel currently serves on the board of directors of Allover Media, APPD Investments, and Safeguardworld International.</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07" w:right="23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5" w:lineRule="exact"/>
        <w:rPr>
          <w:sz w:val="20"/>
          <w:szCs w:val="20"/>
          <w:color w:val="auto"/>
        </w:rPr>
      </w:pPr>
    </w:p>
    <w:p>
      <w:pPr>
        <w:jc w:val="both"/>
        <w:ind w:firstLine="616"/>
        <w:spacing w:after="0" w:line="299" w:lineRule="auto"/>
        <w:rPr>
          <w:sz w:val="20"/>
          <w:szCs w:val="20"/>
          <w:color w:val="auto"/>
        </w:rPr>
      </w:pPr>
      <w:r>
        <w:rPr>
          <w:rFonts w:ascii="Arial" w:cs="Arial" w:eastAsia="Arial" w:hAnsi="Arial"/>
          <w:sz w:val="15"/>
          <w:szCs w:val="15"/>
          <w:b w:val="1"/>
          <w:bCs w:val="1"/>
          <w:color w:val="auto"/>
        </w:rPr>
        <w:t xml:space="preserve">Steven Rodriguez </w:t>
      </w:r>
      <w:r>
        <w:rPr>
          <w:rFonts w:ascii="Arial" w:cs="Arial" w:eastAsia="Arial" w:hAnsi="Arial"/>
          <w:sz w:val="15"/>
          <w:szCs w:val="15"/>
          <w:color w:val="auto"/>
        </w:rPr>
        <w:t>joined the Company as Chief Operating Officer in June 2011. From February through May 2011, the Company retained him as a</w:t>
      </w:r>
      <w:r>
        <w:rPr>
          <w:rFonts w:ascii="Arial" w:cs="Arial" w:eastAsia="Arial" w:hAnsi="Arial"/>
          <w:sz w:val="15"/>
          <w:szCs w:val="15"/>
          <w:b w:val="1"/>
          <w:bCs w:val="1"/>
          <w:color w:val="auto"/>
        </w:rPr>
        <w:t xml:space="preserve"> </w:t>
      </w:r>
      <w:r>
        <w:rPr>
          <w:rFonts w:ascii="Arial" w:cs="Arial" w:eastAsia="Arial" w:hAnsi="Arial"/>
          <w:sz w:val="15"/>
          <w:szCs w:val="15"/>
          <w:color w:val="auto"/>
        </w:rPr>
        <w:t>consultant to evaluate and make recommendations related to the Company's sales and marketing strategies and processes. Prior to that, he served as the Principal for HCS, a consulting company he founded. His past roles also include Executive Vice President and Officer at Perquest, a national workforce management company, from 2008 to 2009; Senior Vice President of Sales &amp; Sales Operations from at Ceridian Corporation, a human resource services company, from 2001 to 2007; Regional Director for Epicor Software from 2000 to 2001; and Vice President of Sales at Automatic Data Processing (ADP), Inc., a provider of payroll and benefits administration solutions, from 1990 to 2000. Mr. Rodriguez holds a Bachelors of Business Administration from the University of Oklahoma.</w:t>
      </w:r>
    </w:p>
    <w:p>
      <w:pPr>
        <w:spacing w:after="0" w:line="148" w:lineRule="exact"/>
        <w:rPr>
          <w:sz w:val="20"/>
          <w:szCs w:val="20"/>
          <w:color w:val="auto"/>
        </w:rPr>
      </w:pPr>
    </w:p>
    <w:p>
      <w:pPr>
        <w:jc w:val="both"/>
        <w:ind w:firstLine="616"/>
        <w:spacing w:after="0" w:line="258" w:lineRule="auto"/>
        <w:rPr>
          <w:sz w:val="20"/>
          <w:szCs w:val="20"/>
          <w:color w:val="auto"/>
        </w:rPr>
      </w:pPr>
      <w:r>
        <w:rPr>
          <w:rFonts w:ascii="Arial" w:cs="Arial" w:eastAsia="Arial" w:hAnsi="Arial"/>
          <w:sz w:val="17"/>
          <w:szCs w:val="17"/>
          <w:b w:val="1"/>
          <w:bCs w:val="1"/>
          <w:color w:val="auto"/>
        </w:rPr>
        <w:t xml:space="preserve">Jennifer Crow </w:t>
      </w:r>
      <w:r>
        <w:rPr>
          <w:rFonts w:ascii="Arial" w:cs="Arial" w:eastAsia="Arial" w:hAnsi="Arial"/>
          <w:sz w:val="17"/>
          <w:szCs w:val="17"/>
          <w:color w:val="auto"/>
        </w:rPr>
        <w:t>joined the Company as Vice President and Chief Financial Officer in November 2012. Prior to joining the Company, she served six years as</w:t>
      </w:r>
      <w:r>
        <w:rPr>
          <w:rFonts w:ascii="Arial" w:cs="Arial" w:eastAsia="Arial" w:hAnsi="Arial"/>
          <w:sz w:val="17"/>
          <w:szCs w:val="17"/>
          <w:b w:val="1"/>
          <w:bCs w:val="1"/>
          <w:color w:val="auto"/>
        </w:rPr>
        <w:t xml:space="preserve"> </w:t>
      </w:r>
      <w:r>
        <w:rPr>
          <w:rFonts w:ascii="Arial" w:cs="Arial" w:eastAsia="Arial" w:hAnsi="Arial"/>
          <w:sz w:val="17"/>
          <w:szCs w:val="17"/>
          <w:color w:val="auto"/>
        </w:rPr>
        <w:t>Director of Finance at Active Power, Inc, a designer and manufacturer of critical power back-up systems. Prior to Active Power, Ms. Crow spent three years as finance and accounting consultant providing litigation support and financial consulting services. From 1998 to 2003, she was Director of Financial Analysis at Broadwing Communications, a telecommunications infrastructure provider. Her background also includes other financial positions with BellSouth, Southwestern Bell, and Arthur Andersen &amp; Co. Ms. Crow is a Certified Public Accountant and holds a Bachelor of Business Administration degree from Southwest Texas State University.</w:t>
      </w:r>
    </w:p>
    <w:p>
      <w:pPr>
        <w:spacing w:after="0" w:line="202" w:lineRule="exact"/>
        <w:rPr>
          <w:sz w:val="20"/>
          <w:szCs w:val="20"/>
          <w:color w:val="auto"/>
        </w:rPr>
      </w:pPr>
    </w:p>
    <w:p>
      <w:pPr>
        <w:jc w:val="both"/>
        <w:ind w:firstLine="616"/>
        <w:spacing w:after="0" w:line="308" w:lineRule="auto"/>
        <w:rPr>
          <w:sz w:val="20"/>
          <w:szCs w:val="20"/>
          <w:color w:val="auto"/>
        </w:rPr>
      </w:pPr>
      <w:r>
        <w:rPr>
          <w:rFonts w:ascii="Arial" w:cs="Arial" w:eastAsia="Arial" w:hAnsi="Arial"/>
          <w:sz w:val="15"/>
          <w:szCs w:val="15"/>
          <w:b w:val="1"/>
          <w:bCs w:val="1"/>
          <w:color w:val="auto"/>
        </w:rPr>
        <w:t xml:space="preserve">Mike Kinney </w:t>
      </w:r>
      <w:r>
        <w:rPr>
          <w:rFonts w:ascii="Arial" w:cs="Arial" w:eastAsia="Arial" w:hAnsi="Arial"/>
          <w:sz w:val="15"/>
          <w:szCs w:val="15"/>
          <w:color w:val="auto"/>
        </w:rPr>
        <w:t>joined the Company in May 2011 as the Vice President of Sales. Prior to joining the Company, he was a Regional Vice President for the HR</w:t>
      </w:r>
      <w:r>
        <w:rPr>
          <w:rFonts w:ascii="Arial" w:cs="Arial" w:eastAsia="Arial" w:hAnsi="Arial"/>
          <w:sz w:val="15"/>
          <w:szCs w:val="15"/>
          <w:b w:val="1"/>
          <w:bCs w:val="1"/>
          <w:color w:val="auto"/>
        </w:rPr>
        <w:t xml:space="preserve"> </w:t>
      </w:r>
      <w:r>
        <w:rPr>
          <w:rFonts w:ascii="Arial" w:cs="Arial" w:eastAsia="Arial" w:hAnsi="Arial"/>
          <w:sz w:val="15"/>
          <w:szCs w:val="15"/>
          <w:color w:val="auto"/>
        </w:rPr>
        <w:t>Payroll Division of Ceridian Corporation from 2006 to 2010, where he lead multiple regions, focusing on rebuilding market presence and driving top-line revenue. From 2005 to 2006 he was Regional Vice President at KFORCE, a recruiting process outsource company. He was also Regional Vice President at Creative Financial Staffing from 2001 to 2005. Mr. Kinney holds a Bachelors of Arts in Political Science with a concentration in Economics at the University of Texas at Austin.</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 RISK FACTORS</w:t>
      </w:r>
    </w:p>
    <w:p>
      <w:pPr>
        <w:spacing w:after="0" w:line="221" w:lineRule="exact"/>
        <w:rPr>
          <w:sz w:val="20"/>
          <w:szCs w:val="20"/>
          <w:color w:val="auto"/>
        </w:rPr>
      </w:pPr>
    </w:p>
    <w:p>
      <w:pPr>
        <w:ind w:left="620"/>
        <w:spacing w:after="0"/>
        <w:rPr>
          <w:sz w:val="20"/>
          <w:szCs w:val="20"/>
          <w:color w:val="auto"/>
        </w:rPr>
      </w:pPr>
      <w:r>
        <w:rPr>
          <w:rFonts w:ascii="Arial" w:cs="Arial" w:eastAsia="Arial" w:hAnsi="Arial"/>
          <w:sz w:val="15"/>
          <w:szCs w:val="15"/>
          <w:color w:val="auto"/>
        </w:rPr>
        <w:t>We are a smaller reporting company as defined by Rule 12b-2 of the Exchange Act and are not required to provide the information required under this Item.</w:t>
      </w:r>
    </w:p>
    <w:p>
      <w:pPr>
        <w:spacing w:after="0" w:line="2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1B. UNRESOLVED STAFF COMMENTS</w:t>
      </w:r>
    </w:p>
    <w:p>
      <w:pPr>
        <w:spacing w:after="0" w:line="247" w:lineRule="exact"/>
        <w:rPr>
          <w:sz w:val="20"/>
          <w:szCs w:val="20"/>
          <w:color w:val="auto"/>
        </w:rPr>
      </w:pPr>
    </w:p>
    <w:p>
      <w:pPr>
        <w:ind w:left="620"/>
        <w:spacing w:after="0"/>
        <w:rPr>
          <w:sz w:val="20"/>
          <w:szCs w:val="20"/>
          <w:color w:val="auto"/>
        </w:rPr>
      </w:pPr>
      <w:r>
        <w:rPr>
          <w:rFonts w:ascii="Arial" w:cs="Arial" w:eastAsia="Arial" w:hAnsi="Arial"/>
          <w:sz w:val="15"/>
          <w:szCs w:val="15"/>
          <w:color w:val="auto"/>
        </w:rPr>
        <w:t>We are a smaller reporting company as defined by Rule 12b-2 of the Exchange Act and are not required to provide the information required under this Item.</w:t>
      </w:r>
    </w:p>
    <w:p>
      <w:pPr>
        <w:spacing w:after="0" w:line="2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PROPERTIES</w:t>
      </w:r>
    </w:p>
    <w:p>
      <w:pPr>
        <w:spacing w:after="0" w:line="247" w:lineRule="exact"/>
        <w:rPr>
          <w:sz w:val="20"/>
          <w:szCs w:val="20"/>
          <w:color w:val="auto"/>
        </w:rPr>
      </w:pPr>
    </w:p>
    <w:p>
      <w:pPr>
        <w:jc w:val="both"/>
        <w:ind w:firstLine="616"/>
        <w:spacing w:after="0" w:line="264" w:lineRule="auto"/>
        <w:rPr>
          <w:sz w:val="20"/>
          <w:szCs w:val="20"/>
          <w:color w:val="auto"/>
        </w:rPr>
      </w:pPr>
      <w:r>
        <w:rPr>
          <w:rFonts w:ascii="Arial" w:cs="Arial" w:eastAsia="Arial" w:hAnsi="Arial"/>
          <w:sz w:val="17"/>
          <w:szCs w:val="17"/>
          <w:color w:val="auto"/>
        </w:rPr>
        <w:t>Our principal offices are located in Austin, Texas where we occupy approximately 11,000 square feet of office space under one operating lease that expires in December 2015. We lease approximately 6,000 square feet in Framingham, Massachusetts and 5,000 square feet in Warwick, Rhode Island. We also lease office suites in Michigan and the United Kingdom.</w:t>
      </w:r>
    </w:p>
    <w:p>
      <w:pPr>
        <w:spacing w:after="0" w:line="202" w:lineRule="exact"/>
        <w:rPr>
          <w:sz w:val="20"/>
          <w:szCs w:val="20"/>
          <w:color w:val="auto"/>
        </w:rPr>
      </w:pPr>
    </w:p>
    <w:p>
      <w:pPr>
        <w:jc w:val="both"/>
        <w:ind w:firstLine="616"/>
        <w:spacing w:after="0" w:line="277" w:lineRule="auto"/>
        <w:rPr>
          <w:sz w:val="20"/>
          <w:szCs w:val="20"/>
          <w:color w:val="auto"/>
        </w:rPr>
      </w:pPr>
      <w:r>
        <w:rPr>
          <w:rFonts w:ascii="Arial" w:cs="Arial" w:eastAsia="Arial" w:hAnsi="Arial"/>
          <w:sz w:val="17"/>
          <w:szCs w:val="17"/>
          <w:color w:val="auto"/>
        </w:rPr>
        <w:t>Management believes that the leased properties described above are adequate to meet Asure’s current operational requirements and can accommodate further physical expansion of office space as needed</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LEGAL PROCEEDINGS</w:t>
      </w:r>
    </w:p>
    <w:p>
      <w:pPr>
        <w:spacing w:after="0" w:line="247" w:lineRule="exact"/>
        <w:rPr>
          <w:sz w:val="20"/>
          <w:szCs w:val="20"/>
          <w:color w:val="auto"/>
        </w:rPr>
      </w:pPr>
    </w:p>
    <w:p>
      <w:pPr>
        <w:jc w:val="both"/>
        <w:ind w:firstLine="616"/>
        <w:spacing w:after="0" w:line="277" w:lineRule="auto"/>
        <w:rPr>
          <w:sz w:val="20"/>
          <w:szCs w:val="20"/>
          <w:color w:val="auto"/>
        </w:rPr>
      </w:pPr>
      <w:r>
        <w:rPr>
          <w:rFonts w:ascii="Arial" w:cs="Arial" w:eastAsia="Arial" w:hAnsi="Arial"/>
          <w:sz w:val="17"/>
          <w:szCs w:val="17"/>
          <w:color w:val="auto"/>
        </w:rPr>
        <w:t>Asure is periodically the defendant or plaintiff in actions arising in the normal course of business. No pending legal proceedings to which we are a party are material to us.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MINE SAFETY DISCLOSURES</w:t>
      </w:r>
    </w:p>
    <w:p>
      <w:pPr>
        <w:spacing w:after="0" w:line="24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Not applicable.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II</w:t>
      </w:r>
    </w:p>
    <w:p>
      <w:pPr>
        <w:spacing w:after="0" w:line="241" w:lineRule="exact"/>
        <w:rPr>
          <w:sz w:val="20"/>
          <w:szCs w:val="20"/>
          <w:color w:val="auto"/>
        </w:rPr>
      </w:pPr>
    </w:p>
    <w:p>
      <w:pPr>
        <w:ind w:right="20"/>
        <w:spacing w:after="0" w:line="285" w:lineRule="auto"/>
        <w:rPr>
          <w:sz w:val="20"/>
          <w:szCs w:val="20"/>
          <w:color w:val="auto"/>
        </w:rPr>
      </w:pPr>
      <w:r>
        <w:rPr>
          <w:rFonts w:ascii="Arial" w:cs="Arial" w:eastAsia="Arial" w:hAnsi="Arial"/>
          <w:sz w:val="17"/>
          <w:szCs w:val="17"/>
          <w:b w:val="1"/>
          <w:bCs w:val="1"/>
          <w:color w:val="auto"/>
        </w:rPr>
        <w:t>ITEM 5. MARKET FOR REGISTRANT’S COMMON EQUITY, RELATED STOCKHOLDER MATTERS AND ISSUER PURCHASES OF EQUITY SECURITIES</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MARKET INFORMATION</w:t>
      </w:r>
    </w:p>
    <w:p>
      <w:pPr>
        <w:spacing w:after="0" w:line="247" w:lineRule="exact"/>
        <w:rPr>
          <w:sz w:val="20"/>
          <w:szCs w:val="20"/>
          <w:color w:val="auto"/>
        </w:rPr>
      </w:pPr>
    </w:p>
    <w:p>
      <w:pPr>
        <w:jc w:val="both"/>
        <w:ind w:firstLine="616"/>
        <w:spacing w:after="0" w:line="264" w:lineRule="auto"/>
        <w:rPr>
          <w:sz w:val="20"/>
          <w:szCs w:val="20"/>
          <w:color w:val="auto"/>
        </w:rPr>
      </w:pPr>
      <w:r>
        <w:rPr>
          <w:rFonts w:ascii="Arial" w:cs="Arial" w:eastAsia="Arial" w:hAnsi="Arial"/>
          <w:sz w:val="17"/>
          <w:szCs w:val="17"/>
          <w:color w:val="auto"/>
        </w:rPr>
        <w:t>Our common stock trades on the NASDAQ Capital Market System under the symbol “ASUR.” The following table shows the high and low sale prices of our common stock for each full quarter as reported by NASDAQ for the periods indicated, as adjusted for the 3-for-2 stock split of our common stock completed on April 30, 2012:</w:t>
      </w:r>
    </w:p>
    <w:p>
      <w:pPr>
        <w:spacing w:after="0" w:line="196" w:lineRule="exact"/>
        <w:rPr>
          <w:sz w:val="20"/>
          <w:szCs w:val="20"/>
          <w:color w:val="auto"/>
        </w:rPr>
      </w:pPr>
    </w:p>
    <w:tbl>
      <w:tblPr>
        <w:tblLayout w:type="fixed"/>
        <w:tblInd w:w="144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40" w:type="dxa"/>
            <w:vAlign w:val="bottom"/>
            <w:gridSpan w:val="2"/>
          </w:tcPr>
          <w:p>
            <w:pPr>
              <w:jc w:val="center"/>
              <w:ind w:left="114"/>
              <w:spacing w:after="0"/>
              <w:rPr>
                <w:sz w:val="20"/>
                <w:szCs w:val="20"/>
                <w:color w:val="auto"/>
              </w:rPr>
            </w:pPr>
            <w:r>
              <w:rPr>
                <w:rFonts w:ascii="Arial" w:cs="Arial" w:eastAsia="Arial" w:hAnsi="Arial"/>
                <w:sz w:val="17"/>
                <w:szCs w:val="17"/>
                <w:b w:val="1"/>
                <w:bCs w:val="1"/>
                <w:color w:val="auto"/>
              </w:rPr>
              <w:t>CALENDAR YEAR</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40" w:type="dxa"/>
            <w:vAlign w:val="bottom"/>
            <w:gridSpan w:val="2"/>
          </w:tcPr>
          <w:p>
            <w:pPr>
              <w:jc w:val="center"/>
              <w:ind w:left="94"/>
              <w:spacing w:after="0"/>
              <w:rPr>
                <w:sz w:val="20"/>
                <w:szCs w:val="20"/>
                <w:color w:val="auto"/>
              </w:rPr>
            </w:pPr>
            <w:r>
              <w:rPr>
                <w:rFonts w:ascii="Arial" w:cs="Arial" w:eastAsia="Arial" w:hAnsi="Arial"/>
                <w:sz w:val="17"/>
                <w:szCs w:val="17"/>
                <w:b w:val="1"/>
                <w:bCs w:val="1"/>
                <w:color w:val="auto"/>
              </w:rPr>
              <w:t>CALENDAR YEAR</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29"/>
        </w:trPr>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2"/>
          </w:tcPr>
          <w:p>
            <w:pPr>
              <w:jc w:val="right"/>
              <w:ind w:right="600"/>
              <w:spacing w:after="0"/>
              <w:rPr>
                <w:sz w:val="20"/>
                <w:szCs w:val="20"/>
                <w:color w:val="auto"/>
              </w:rPr>
            </w:pPr>
            <w:r>
              <w:rPr>
                <w:rFonts w:ascii="Arial" w:cs="Arial" w:eastAsia="Arial" w:hAnsi="Arial"/>
                <w:sz w:val="17"/>
                <w:szCs w:val="17"/>
                <w:b w:val="1"/>
                <w:bCs w:val="1"/>
                <w:color w:val="auto"/>
              </w:rPr>
              <w:t>2012</w:t>
            </w: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2"/>
          </w:tcPr>
          <w:p>
            <w:pPr>
              <w:jc w:val="right"/>
              <w:ind w:right="600"/>
              <w:spacing w:after="0"/>
              <w:rPr>
                <w:sz w:val="20"/>
                <w:szCs w:val="20"/>
                <w:color w:val="auto"/>
              </w:rPr>
            </w:pPr>
            <w:r>
              <w:rPr>
                <w:rFonts w:ascii="Arial" w:cs="Arial" w:eastAsia="Arial" w:hAnsi="Arial"/>
                <w:sz w:val="17"/>
                <w:szCs w:val="17"/>
                <w:b w:val="1"/>
                <w:bCs w:val="1"/>
                <w:color w:val="auto"/>
              </w:rPr>
              <w:t>2011</w:t>
            </w: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r>
      <w:tr>
        <w:trPr>
          <w:trHeight w:val="211"/>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Borders>
              <w:bottom w:val="single" w:sz="8" w:color="auto"/>
            </w:tcBorders>
            <w:gridSpan w:val="2"/>
          </w:tcPr>
          <w:p>
            <w:pPr>
              <w:jc w:val="right"/>
              <w:ind w:right="34"/>
              <w:spacing w:after="0"/>
              <w:rPr>
                <w:sz w:val="20"/>
                <w:szCs w:val="20"/>
                <w:color w:val="auto"/>
              </w:rPr>
            </w:pPr>
            <w:r>
              <w:rPr>
                <w:rFonts w:ascii="Arial" w:cs="Arial" w:eastAsia="Arial" w:hAnsi="Arial"/>
                <w:sz w:val="17"/>
                <w:szCs w:val="17"/>
                <w:b w:val="1"/>
                <w:bCs w:val="1"/>
                <w:color w:val="auto"/>
              </w:rPr>
              <w:t>HIGH</w:t>
            </w: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Borders>
              <w:bottom w:val="single" w:sz="8" w:color="auto"/>
            </w:tcBorders>
            <w:gridSpan w:val="2"/>
          </w:tcPr>
          <w:p>
            <w:pPr>
              <w:jc w:val="right"/>
              <w:ind w:right="54"/>
              <w:spacing w:after="0"/>
              <w:rPr>
                <w:sz w:val="20"/>
                <w:szCs w:val="20"/>
                <w:color w:val="auto"/>
              </w:rPr>
            </w:pPr>
            <w:r>
              <w:rPr>
                <w:rFonts w:ascii="Arial" w:cs="Arial" w:eastAsia="Arial" w:hAnsi="Arial"/>
                <w:sz w:val="17"/>
                <w:szCs w:val="17"/>
                <w:b w:val="1"/>
                <w:bCs w:val="1"/>
                <w:color w:val="auto"/>
              </w:rPr>
              <w:t>LOW</w:t>
            </w:r>
          </w:p>
        </w:tc>
        <w:tc>
          <w:tcPr>
            <w:tcW w:w="1320" w:type="dxa"/>
            <w:vAlign w:val="bottom"/>
          </w:tcPr>
          <w:p>
            <w:pPr>
              <w:spacing w:after="0"/>
              <w:rPr>
                <w:sz w:val="18"/>
                <w:szCs w:val="18"/>
                <w:color w:val="auto"/>
              </w:rPr>
            </w:pPr>
          </w:p>
        </w:tc>
        <w:tc>
          <w:tcPr>
            <w:tcW w:w="640" w:type="dxa"/>
            <w:vAlign w:val="bottom"/>
            <w:tcBorders>
              <w:bottom w:val="single" w:sz="8" w:color="auto"/>
            </w:tcBorders>
            <w:gridSpan w:val="2"/>
          </w:tcPr>
          <w:p>
            <w:pPr>
              <w:jc w:val="right"/>
              <w:ind w:right="34"/>
              <w:spacing w:after="0"/>
              <w:rPr>
                <w:sz w:val="20"/>
                <w:szCs w:val="20"/>
                <w:color w:val="auto"/>
              </w:rPr>
            </w:pPr>
            <w:r>
              <w:rPr>
                <w:rFonts w:ascii="Arial" w:cs="Arial" w:eastAsia="Arial" w:hAnsi="Arial"/>
                <w:sz w:val="17"/>
                <w:szCs w:val="17"/>
                <w:b w:val="1"/>
                <w:bCs w:val="1"/>
                <w:color w:val="auto"/>
              </w:rPr>
              <w:t>HIGH</w:t>
            </w: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Borders>
              <w:bottom w:val="single" w:sz="8" w:color="auto"/>
            </w:tcBorders>
            <w:gridSpan w:val="2"/>
          </w:tcPr>
          <w:p>
            <w:pPr>
              <w:jc w:val="right"/>
              <w:ind w:right="34"/>
              <w:spacing w:after="0"/>
              <w:rPr>
                <w:sz w:val="20"/>
                <w:szCs w:val="20"/>
                <w:color w:val="auto"/>
              </w:rPr>
            </w:pPr>
            <w:r>
              <w:rPr>
                <w:rFonts w:ascii="Arial" w:cs="Arial" w:eastAsia="Arial" w:hAnsi="Arial"/>
                <w:sz w:val="17"/>
                <w:szCs w:val="17"/>
                <w:b w:val="1"/>
                <w:bCs w:val="1"/>
                <w:color w:val="auto"/>
              </w:rPr>
              <w:t>LOW</w:t>
            </w:r>
          </w:p>
        </w:tc>
        <w:tc>
          <w:tcPr>
            <w:tcW w:w="660" w:type="dxa"/>
            <w:vAlign w:val="bottom"/>
          </w:tcPr>
          <w:p>
            <w:pPr>
              <w:spacing w:after="0"/>
              <w:rPr>
                <w:sz w:val="18"/>
                <w:szCs w:val="18"/>
                <w:color w:val="auto"/>
              </w:rPr>
            </w:pPr>
          </w:p>
        </w:tc>
      </w:tr>
      <w:tr>
        <w:trPr>
          <w:trHeight w:val="205"/>
        </w:trPr>
        <w:tc>
          <w:tcPr>
            <w:tcW w:w="20" w:type="dxa"/>
            <w:vAlign w:val="bottom"/>
          </w:tcPr>
          <w:p>
            <w:pPr>
              <w:spacing w:after="0"/>
              <w:rPr>
                <w:sz w:val="17"/>
                <w:szCs w:val="17"/>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7"/>
                <w:szCs w:val="17"/>
                <w:color w:val="auto"/>
              </w:rPr>
              <w:t>1st Quarter</w:t>
            </w:r>
          </w:p>
        </w:tc>
        <w:tc>
          <w:tcPr>
            <w:tcW w:w="540" w:type="dxa"/>
            <w:vAlign w:val="bottom"/>
            <w:gridSpan w:val="2"/>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5.97</w:t>
            </w:r>
          </w:p>
        </w:tc>
        <w:tc>
          <w:tcPr>
            <w:tcW w:w="132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4.17</w:t>
            </w:r>
          </w:p>
        </w:tc>
        <w:tc>
          <w:tcPr>
            <w:tcW w:w="1540" w:type="dxa"/>
            <w:vAlign w:val="bottom"/>
            <w:gridSpan w:val="2"/>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2.11</w:t>
            </w:r>
          </w:p>
        </w:tc>
        <w:tc>
          <w:tcPr>
            <w:tcW w:w="132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1.62</w:t>
            </w:r>
          </w:p>
        </w:tc>
        <w:tc>
          <w:tcPr>
            <w:tcW w:w="660" w:type="dxa"/>
            <w:vAlign w:val="bottom"/>
            <w:shd w:val="clear" w:color="auto" w:fill="CCEEFF"/>
          </w:tcPr>
          <w:p>
            <w:pPr>
              <w:spacing w:after="0"/>
              <w:rPr>
                <w:sz w:val="17"/>
                <w:szCs w:val="17"/>
                <w:color w:val="auto"/>
              </w:rPr>
            </w:pPr>
          </w:p>
        </w:tc>
      </w:tr>
      <w:tr>
        <w:trPr>
          <w:trHeight w:val="193"/>
        </w:trPr>
        <w:tc>
          <w:tcPr>
            <w:tcW w:w="20" w:type="dxa"/>
            <w:vAlign w:val="bottom"/>
          </w:tcPr>
          <w:p>
            <w:pPr>
              <w:spacing w:after="0"/>
              <w:rPr>
                <w:sz w:val="16"/>
                <w:szCs w:val="16"/>
                <w:color w:val="auto"/>
              </w:rPr>
            </w:pPr>
          </w:p>
        </w:tc>
        <w:tc>
          <w:tcPr>
            <w:tcW w:w="1080" w:type="dxa"/>
            <w:vAlign w:val="bottom"/>
          </w:tcPr>
          <w:p>
            <w:pPr>
              <w:spacing w:after="0" w:line="193" w:lineRule="exact"/>
              <w:rPr>
                <w:sz w:val="20"/>
                <w:szCs w:val="20"/>
                <w:color w:val="auto"/>
              </w:rPr>
            </w:pPr>
            <w:r>
              <w:rPr>
                <w:rFonts w:ascii="Arial" w:cs="Arial" w:eastAsia="Arial" w:hAnsi="Arial"/>
                <w:sz w:val="17"/>
                <w:szCs w:val="17"/>
                <w:color w:val="auto"/>
              </w:rPr>
              <w:t>2nd</w:t>
            </w: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16"/>
        </w:trPr>
        <w:tc>
          <w:tcPr>
            <w:tcW w:w="1100" w:type="dxa"/>
            <w:vAlign w:val="bottom"/>
            <w:gridSpan w:val="2"/>
          </w:tcPr>
          <w:p>
            <w:pPr>
              <w:spacing w:after="0"/>
              <w:rPr>
                <w:sz w:val="20"/>
                <w:szCs w:val="20"/>
                <w:color w:val="auto"/>
              </w:rPr>
            </w:pPr>
            <w:r>
              <w:rPr>
                <w:rFonts w:ascii="Arial" w:cs="Arial" w:eastAsia="Arial" w:hAnsi="Arial"/>
                <w:sz w:val="17"/>
                <w:szCs w:val="17"/>
                <w:color w:val="auto"/>
              </w:rPr>
              <w:t>Quarter</w:t>
            </w:r>
          </w:p>
        </w:tc>
        <w:tc>
          <w:tcPr>
            <w:tcW w:w="540" w:type="dxa"/>
            <w:vAlign w:val="bottom"/>
            <w:gridSpan w:val="2"/>
          </w:tcPr>
          <w:p>
            <w:pPr>
              <w:jc w:val="right"/>
              <w:ind w:right="34"/>
              <w:spacing w:after="0"/>
              <w:rPr>
                <w:sz w:val="20"/>
                <w:szCs w:val="20"/>
                <w:color w:val="auto"/>
              </w:rPr>
            </w:pPr>
            <w:r>
              <w:rPr>
                <w:rFonts w:ascii="Arial" w:cs="Arial" w:eastAsia="Arial" w:hAnsi="Arial"/>
                <w:sz w:val="17"/>
                <w:szCs w:val="17"/>
                <w:color w:val="auto"/>
              </w:rPr>
              <w:t>$</w:t>
            </w:r>
          </w:p>
        </w:tc>
        <w:tc>
          <w:tcPr>
            <w:tcW w:w="420" w:type="dxa"/>
            <w:vAlign w:val="bottom"/>
          </w:tcPr>
          <w:p>
            <w:pPr>
              <w:jc w:val="right"/>
              <w:spacing w:after="0"/>
              <w:rPr>
                <w:sz w:val="20"/>
                <w:szCs w:val="20"/>
                <w:color w:val="auto"/>
              </w:rPr>
            </w:pPr>
            <w:r>
              <w:rPr>
                <w:rFonts w:ascii="Arial" w:cs="Arial" w:eastAsia="Arial" w:hAnsi="Arial"/>
                <w:sz w:val="17"/>
                <w:szCs w:val="17"/>
                <w:color w:val="auto"/>
              </w:rPr>
              <w:t>5.17</w:t>
            </w:r>
          </w:p>
        </w:tc>
        <w:tc>
          <w:tcPr>
            <w:tcW w:w="1320" w:type="dxa"/>
            <w:vAlign w:val="bottom"/>
          </w:tcPr>
          <w:p>
            <w:pPr>
              <w:spacing w:after="0"/>
              <w:rPr>
                <w:sz w:val="18"/>
                <w:szCs w:val="18"/>
                <w:color w:val="auto"/>
              </w:rPr>
            </w:pPr>
          </w:p>
        </w:tc>
        <w:tc>
          <w:tcPr>
            <w:tcW w:w="200" w:type="dxa"/>
            <w:vAlign w:val="bottom"/>
            <w:gridSpan w:val="2"/>
          </w:tcPr>
          <w:p>
            <w:pPr>
              <w:jc w:val="right"/>
              <w:ind w:right="14"/>
              <w:spacing w:after="0"/>
              <w:rPr>
                <w:sz w:val="20"/>
                <w:szCs w:val="20"/>
                <w:color w:val="auto"/>
              </w:rPr>
            </w:pPr>
            <w:r>
              <w:rPr>
                <w:rFonts w:ascii="Arial" w:cs="Arial" w:eastAsia="Arial" w:hAnsi="Arial"/>
                <w:sz w:val="17"/>
                <w:szCs w:val="17"/>
                <w:color w:val="auto"/>
                <w:w w:val="84"/>
              </w:rPr>
              <w:t>$</w:t>
            </w:r>
          </w:p>
        </w:tc>
        <w:tc>
          <w:tcPr>
            <w:tcW w:w="420" w:type="dxa"/>
            <w:vAlign w:val="bottom"/>
          </w:tcPr>
          <w:p>
            <w:pPr>
              <w:jc w:val="right"/>
              <w:spacing w:after="0"/>
              <w:rPr>
                <w:sz w:val="20"/>
                <w:szCs w:val="20"/>
                <w:color w:val="auto"/>
              </w:rPr>
            </w:pPr>
            <w:r>
              <w:rPr>
                <w:rFonts w:ascii="Arial" w:cs="Arial" w:eastAsia="Arial" w:hAnsi="Arial"/>
                <w:sz w:val="17"/>
                <w:szCs w:val="17"/>
                <w:color w:val="auto"/>
              </w:rPr>
              <w:t>4.01</w:t>
            </w:r>
          </w:p>
        </w:tc>
        <w:tc>
          <w:tcPr>
            <w:tcW w:w="1540" w:type="dxa"/>
            <w:vAlign w:val="bottom"/>
            <w:gridSpan w:val="2"/>
          </w:tcPr>
          <w:p>
            <w:pPr>
              <w:jc w:val="right"/>
              <w:ind w:right="54"/>
              <w:spacing w:after="0"/>
              <w:rPr>
                <w:sz w:val="20"/>
                <w:szCs w:val="20"/>
                <w:color w:val="auto"/>
              </w:rPr>
            </w:pPr>
            <w:r>
              <w:rPr>
                <w:rFonts w:ascii="Arial" w:cs="Arial" w:eastAsia="Arial" w:hAnsi="Arial"/>
                <w:sz w:val="17"/>
                <w:szCs w:val="17"/>
                <w:color w:val="auto"/>
              </w:rPr>
              <w:t>$</w:t>
            </w:r>
          </w:p>
        </w:tc>
        <w:tc>
          <w:tcPr>
            <w:tcW w:w="420" w:type="dxa"/>
            <w:vAlign w:val="bottom"/>
          </w:tcPr>
          <w:p>
            <w:pPr>
              <w:jc w:val="right"/>
              <w:spacing w:after="0"/>
              <w:rPr>
                <w:sz w:val="20"/>
                <w:szCs w:val="20"/>
                <w:color w:val="auto"/>
              </w:rPr>
            </w:pPr>
            <w:r>
              <w:rPr>
                <w:rFonts w:ascii="Arial" w:cs="Arial" w:eastAsia="Arial" w:hAnsi="Arial"/>
                <w:sz w:val="17"/>
                <w:szCs w:val="17"/>
                <w:color w:val="auto"/>
              </w:rPr>
              <w:t>2.13</w:t>
            </w:r>
          </w:p>
        </w:tc>
        <w:tc>
          <w:tcPr>
            <w:tcW w:w="1320" w:type="dxa"/>
            <w:vAlign w:val="bottom"/>
          </w:tcPr>
          <w:p>
            <w:pPr>
              <w:spacing w:after="0"/>
              <w:rPr>
                <w:sz w:val="18"/>
                <w:szCs w:val="18"/>
                <w:color w:val="auto"/>
              </w:rPr>
            </w:pPr>
          </w:p>
        </w:tc>
        <w:tc>
          <w:tcPr>
            <w:tcW w:w="200" w:type="dxa"/>
            <w:vAlign w:val="bottom"/>
            <w:gridSpan w:val="2"/>
          </w:tcPr>
          <w:p>
            <w:pPr>
              <w:jc w:val="right"/>
              <w:ind w:right="14"/>
              <w:spacing w:after="0"/>
              <w:rPr>
                <w:sz w:val="20"/>
                <w:szCs w:val="20"/>
                <w:color w:val="auto"/>
              </w:rPr>
            </w:pPr>
            <w:r>
              <w:rPr>
                <w:rFonts w:ascii="Arial" w:cs="Arial" w:eastAsia="Arial" w:hAnsi="Arial"/>
                <w:sz w:val="17"/>
                <w:szCs w:val="17"/>
                <w:color w:val="auto"/>
                <w:w w:val="84"/>
              </w:rPr>
              <w:t>$</w:t>
            </w:r>
          </w:p>
        </w:tc>
        <w:tc>
          <w:tcPr>
            <w:tcW w:w="420" w:type="dxa"/>
            <w:vAlign w:val="bottom"/>
          </w:tcPr>
          <w:p>
            <w:pPr>
              <w:jc w:val="right"/>
              <w:spacing w:after="0"/>
              <w:rPr>
                <w:sz w:val="20"/>
                <w:szCs w:val="20"/>
                <w:color w:val="auto"/>
              </w:rPr>
            </w:pPr>
            <w:r>
              <w:rPr>
                <w:rFonts w:ascii="Arial" w:cs="Arial" w:eastAsia="Arial" w:hAnsi="Arial"/>
                <w:sz w:val="17"/>
                <w:szCs w:val="17"/>
                <w:color w:val="auto"/>
              </w:rPr>
              <w:t>1.50</w:t>
            </w:r>
          </w:p>
        </w:tc>
        <w:tc>
          <w:tcPr>
            <w:tcW w:w="660" w:type="dxa"/>
            <w:vAlign w:val="bottom"/>
          </w:tcPr>
          <w:p>
            <w:pPr>
              <w:spacing w:after="0"/>
              <w:rPr>
                <w:sz w:val="18"/>
                <w:szCs w:val="18"/>
                <w:color w:val="auto"/>
              </w:rPr>
            </w:pPr>
          </w:p>
        </w:tc>
      </w:tr>
      <w:tr>
        <w:trPr>
          <w:trHeight w:val="194"/>
        </w:trPr>
        <w:tc>
          <w:tcPr>
            <w:tcW w:w="20" w:type="dxa"/>
            <w:vAlign w:val="bottom"/>
          </w:tcPr>
          <w:p>
            <w:pPr>
              <w:spacing w:after="0"/>
              <w:rPr>
                <w:sz w:val="16"/>
                <w:szCs w:val="16"/>
                <w:color w:val="auto"/>
              </w:rPr>
            </w:pPr>
          </w:p>
        </w:tc>
        <w:tc>
          <w:tcPr>
            <w:tcW w:w="10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3rd</w:t>
            </w:r>
          </w:p>
        </w:tc>
        <w:tc>
          <w:tcPr>
            <w:tcW w:w="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r>
      <w:tr>
        <w:trPr>
          <w:trHeight w:val="218"/>
        </w:trPr>
        <w:tc>
          <w:tcPr>
            <w:tcW w:w="20" w:type="dxa"/>
            <w:vAlign w:val="bottom"/>
          </w:tcPr>
          <w:p>
            <w:pPr>
              <w:spacing w:after="0"/>
              <w:rPr>
                <w:sz w:val="18"/>
                <w:szCs w:val="18"/>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7"/>
                <w:szCs w:val="17"/>
                <w:color w:val="auto"/>
              </w:rPr>
              <w:t>Quarter</w:t>
            </w:r>
          </w:p>
        </w:tc>
        <w:tc>
          <w:tcPr>
            <w:tcW w:w="540" w:type="dxa"/>
            <w:vAlign w:val="bottom"/>
            <w:gridSpan w:val="2"/>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8.00</w:t>
            </w:r>
          </w:p>
        </w:tc>
        <w:tc>
          <w:tcPr>
            <w:tcW w:w="13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4.11</w:t>
            </w:r>
          </w:p>
        </w:tc>
        <w:tc>
          <w:tcPr>
            <w:tcW w:w="1540" w:type="dxa"/>
            <w:vAlign w:val="bottom"/>
            <w:gridSpan w:val="2"/>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2.60</w:t>
            </w:r>
          </w:p>
        </w:tc>
        <w:tc>
          <w:tcPr>
            <w:tcW w:w="13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w:t>
            </w:r>
          </w:p>
        </w:tc>
        <w:tc>
          <w:tcPr>
            <w:tcW w:w="660" w:type="dxa"/>
            <w:vAlign w:val="bottom"/>
            <w:shd w:val="clear" w:color="auto" w:fill="CCEEFF"/>
          </w:tcPr>
          <w:p>
            <w:pPr>
              <w:spacing w:after="0"/>
              <w:rPr>
                <w:sz w:val="18"/>
                <w:szCs w:val="18"/>
                <w:color w:val="auto"/>
              </w:rPr>
            </w:pPr>
          </w:p>
        </w:tc>
      </w:tr>
      <w:tr>
        <w:trPr>
          <w:trHeight w:val="193"/>
        </w:trPr>
        <w:tc>
          <w:tcPr>
            <w:tcW w:w="20" w:type="dxa"/>
            <w:vAlign w:val="bottom"/>
          </w:tcPr>
          <w:p>
            <w:pPr>
              <w:spacing w:after="0"/>
              <w:rPr>
                <w:sz w:val="16"/>
                <w:szCs w:val="16"/>
                <w:color w:val="auto"/>
              </w:rPr>
            </w:pPr>
          </w:p>
        </w:tc>
        <w:tc>
          <w:tcPr>
            <w:tcW w:w="1080" w:type="dxa"/>
            <w:vAlign w:val="bottom"/>
          </w:tcPr>
          <w:p>
            <w:pPr>
              <w:spacing w:after="0" w:line="193" w:lineRule="exact"/>
              <w:rPr>
                <w:sz w:val="20"/>
                <w:szCs w:val="20"/>
                <w:color w:val="auto"/>
              </w:rPr>
            </w:pPr>
            <w:r>
              <w:rPr>
                <w:rFonts w:ascii="Arial" w:cs="Arial" w:eastAsia="Arial" w:hAnsi="Arial"/>
                <w:sz w:val="17"/>
                <w:szCs w:val="17"/>
                <w:color w:val="auto"/>
              </w:rPr>
              <w:t>4th</w:t>
            </w: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16"/>
        </w:trPr>
        <w:tc>
          <w:tcPr>
            <w:tcW w:w="1100" w:type="dxa"/>
            <w:vAlign w:val="bottom"/>
            <w:gridSpan w:val="2"/>
          </w:tcPr>
          <w:p>
            <w:pPr>
              <w:spacing w:after="0"/>
              <w:rPr>
                <w:sz w:val="20"/>
                <w:szCs w:val="20"/>
                <w:color w:val="auto"/>
              </w:rPr>
            </w:pPr>
            <w:r>
              <w:rPr>
                <w:rFonts w:ascii="Arial" w:cs="Arial" w:eastAsia="Arial" w:hAnsi="Arial"/>
                <w:sz w:val="17"/>
                <w:szCs w:val="17"/>
                <w:color w:val="auto"/>
              </w:rPr>
              <w:t>Quarter</w:t>
            </w:r>
          </w:p>
        </w:tc>
        <w:tc>
          <w:tcPr>
            <w:tcW w:w="540" w:type="dxa"/>
            <w:vAlign w:val="bottom"/>
            <w:gridSpan w:val="2"/>
          </w:tcPr>
          <w:p>
            <w:pPr>
              <w:jc w:val="right"/>
              <w:ind w:right="34"/>
              <w:spacing w:after="0"/>
              <w:rPr>
                <w:sz w:val="20"/>
                <w:szCs w:val="20"/>
                <w:color w:val="auto"/>
              </w:rPr>
            </w:pPr>
            <w:r>
              <w:rPr>
                <w:rFonts w:ascii="Arial" w:cs="Arial" w:eastAsia="Arial" w:hAnsi="Arial"/>
                <w:sz w:val="17"/>
                <w:szCs w:val="17"/>
                <w:color w:val="auto"/>
              </w:rPr>
              <w:t>$</w:t>
            </w:r>
          </w:p>
        </w:tc>
        <w:tc>
          <w:tcPr>
            <w:tcW w:w="420" w:type="dxa"/>
            <w:vAlign w:val="bottom"/>
          </w:tcPr>
          <w:p>
            <w:pPr>
              <w:jc w:val="right"/>
              <w:spacing w:after="0"/>
              <w:rPr>
                <w:sz w:val="20"/>
                <w:szCs w:val="20"/>
                <w:color w:val="auto"/>
              </w:rPr>
            </w:pPr>
            <w:r>
              <w:rPr>
                <w:rFonts w:ascii="Arial" w:cs="Arial" w:eastAsia="Arial" w:hAnsi="Arial"/>
                <w:sz w:val="17"/>
                <w:szCs w:val="17"/>
                <w:color w:val="auto"/>
              </w:rPr>
              <w:t>7.47</w:t>
            </w:r>
          </w:p>
        </w:tc>
        <w:tc>
          <w:tcPr>
            <w:tcW w:w="1320" w:type="dxa"/>
            <w:vAlign w:val="bottom"/>
          </w:tcPr>
          <w:p>
            <w:pPr>
              <w:spacing w:after="0"/>
              <w:rPr>
                <w:sz w:val="18"/>
                <w:szCs w:val="18"/>
                <w:color w:val="auto"/>
              </w:rPr>
            </w:pPr>
          </w:p>
        </w:tc>
        <w:tc>
          <w:tcPr>
            <w:tcW w:w="200" w:type="dxa"/>
            <w:vAlign w:val="bottom"/>
            <w:gridSpan w:val="2"/>
          </w:tcPr>
          <w:p>
            <w:pPr>
              <w:jc w:val="right"/>
              <w:ind w:right="14"/>
              <w:spacing w:after="0"/>
              <w:rPr>
                <w:sz w:val="20"/>
                <w:szCs w:val="20"/>
                <w:color w:val="auto"/>
              </w:rPr>
            </w:pPr>
            <w:r>
              <w:rPr>
                <w:rFonts w:ascii="Arial" w:cs="Arial" w:eastAsia="Arial" w:hAnsi="Arial"/>
                <w:sz w:val="17"/>
                <w:szCs w:val="17"/>
                <w:color w:val="auto"/>
                <w:w w:val="84"/>
              </w:rPr>
              <w:t>$</w:t>
            </w:r>
          </w:p>
        </w:tc>
        <w:tc>
          <w:tcPr>
            <w:tcW w:w="420" w:type="dxa"/>
            <w:vAlign w:val="bottom"/>
          </w:tcPr>
          <w:p>
            <w:pPr>
              <w:jc w:val="right"/>
              <w:spacing w:after="0"/>
              <w:rPr>
                <w:sz w:val="20"/>
                <w:szCs w:val="20"/>
                <w:color w:val="auto"/>
              </w:rPr>
            </w:pPr>
            <w:r>
              <w:rPr>
                <w:rFonts w:ascii="Arial" w:cs="Arial" w:eastAsia="Arial" w:hAnsi="Arial"/>
                <w:sz w:val="17"/>
                <w:szCs w:val="17"/>
                <w:color w:val="auto"/>
              </w:rPr>
              <w:t>4.79</w:t>
            </w:r>
          </w:p>
        </w:tc>
        <w:tc>
          <w:tcPr>
            <w:tcW w:w="1540" w:type="dxa"/>
            <w:vAlign w:val="bottom"/>
            <w:gridSpan w:val="2"/>
          </w:tcPr>
          <w:p>
            <w:pPr>
              <w:jc w:val="right"/>
              <w:ind w:right="54"/>
              <w:spacing w:after="0"/>
              <w:rPr>
                <w:sz w:val="20"/>
                <w:szCs w:val="20"/>
                <w:color w:val="auto"/>
              </w:rPr>
            </w:pPr>
            <w:r>
              <w:rPr>
                <w:rFonts w:ascii="Arial" w:cs="Arial" w:eastAsia="Arial" w:hAnsi="Arial"/>
                <w:sz w:val="17"/>
                <w:szCs w:val="17"/>
                <w:color w:val="auto"/>
              </w:rPr>
              <w:t>$</w:t>
            </w:r>
          </w:p>
        </w:tc>
        <w:tc>
          <w:tcPr>
            <w:tcW w:w="420" w:type="dxa"/>
            <w:vAlign w:val="bottom"/>
          </w:tcPr>
          <w:p>
            <w:pPr>
              <w:jc w:val="right"/>
              <w:spacing w:after="0"/>
              <w:rPr>
                <w:sz w:val="20"/>
                <w:szCs w:val="20"/>
                <w:color w:val="auto"/>
              </w:rPr>
            </w:pPr>
            <w:r>
              <w:rPr>
                <w:rFonts w:ascii="Arial" w:cs="Arial" w:eastAsia="Arial" w:hAnsi="Arial"/>
                <w:sz w:val="17"/>
                <w:szCs w:val="17"/>
                <w:color w:val="auto"/>
              </w:rPr>
              <w:t>4.71</w:t>
            </w:r>
          </w:p>
        </w:tc>
        <w:tc>
          <w:tcPr>
            <w:tcW w:w="1320" w:type="dxa"/>
            <w:vAlign w:val="bottom"/>
          </w:tcPr>
          <w:p>
            <w:pPr>
              <w:spacing w:after="0"/>
              <w:rPr>
                <w:sz w:val="18"/>
                <w:szCs w:val="18"/>
                <w:color w:val="auto"/>
              </w:rPr>
            </w:pPr>
          </w:p>
        </w:tc>
        <w:tc>
          <w:tcPr>
            <w:tcW w:w="200" w:type="dxa"/>
            <w:vAlign w:val="bottom"/>
            <w:gridSpan w:val="2"/>
          </w:tcPr>
          <w:p>
            <w:pPr>
              <w:jc w:val="right"/>
              <w:ind w:right="14"/>
              <w:spacing w:after="0"/>
              <w:rPr>
                <w:sz w:val="20"/>
                <w:szCs w:val="20"/>
                <w:color w:val="auto"/>
              </w:rPr>
            </w:pPr>
            <w:r>
              <w:rPr>
                <w:rFonts w:ascii="Arial" w:cs="Arial" w:eastAsia="Arial" w:hAnsi="Arial"/>
                <w:sz w:val="17"/>
                <w:szCs w:val="17"/>
                <w:color w:val="auto"/>
                <w:w w:val="84"/>
              </w:rPr>
              <w:t>$</w:t>
            </w:r>
          </w:p>
        </w:tc>
        <w:tc>
          <w:tcPr>
            <w:tcW w:w="420" w:type="dxa"/>
            <w:vAlign w:val="bottom"/>
          </w:tcPr>
          <w:p>
            <w:pPr>
              <w:jc w:val="right"/>
              <w:spacing w:after="0"/>
              <w:rPr>
                <w:sz w:val="20"/>
                <w:szCs w:val="20"/>
                <w:color w:val="auto"/>
              </w:rPr>
            </w:pPr>
            <w:r>
              <w:rPr>
                <w:rFonts w:ascii="Arial" w:cs="Arial" w:eastAsia="Arial" w:hAnsi="Arial"/>
                <w:sz w:val="17"/>
                <w:szCs w:val="17"/>
                <w:color w:val="auto"/>
              </w:rPr>
              <w:t>1.99</w:t>
            </w:r>
          </w:p>
        </w:tc>
        <w:tc>
          <w:tcPr>
            <w:tcW w:w="660" w:type="dxa"/>
            <w:vAlign w:val="bottom"/>
          </w:tcPr>
          <w:p>
            <w:pPr>
              <w:spacing w:after="0"/>
              <w:rPr>
                <w:sz w:val="18"/>
                <w:szCs w:val="18"/>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DIVIDENDS</w:t>
      </w:r>
    </w:p>
    <w:p>
      <w:pPr>
        <w:spacing w:after="0" w:line="247" w:lineRule="exact"/>
        <w:rPr>
          <w:sz w:val="20"/>
          <w:szCs w:val="20"/>
          <w:color w:val="auto"/>
        </w:rPr>
      </w:pPr>
    </w:p>
    <w:p>
      <w:pPr>
        <w:ind w:firstLine="616"/>
        <w:spacing w:after="0" w:line="277" w:lineRule="auto"/>
        <w:rPr>
          <w:sz w:val="20"/>
          <w:szCs w:val="20"/>
          <w:color w:val="auto"/>
        </w:rPr>
      </w:pPr>
      <w:r>
        <w:rPr>
          <w:rFonts w:ascii="Arial" w:cs="Arial" w:eastAsia="Arial" w:hAnsi="Arial"/>
          <w:sz w:val="17"/>
          <w:szCs w:val="17"/>
          <w:color w:val="auto"/>
        </w:rPr>
        <w:t>We have not paid cash dividends on our common stock during fiscal years 2012 and 2011. We presently intend to continue a policy of retaining earnings for reinvestment in our business, rather than paying cash dividends.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HOLDERS</w:t>
      </w:r>
    </w:p>
    <w:p>
      <w:pPr>
        <w:spacing w:after="0" w:line="24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As of March 26, 2013, we had approximately 957 stockholders of record of our common stock.</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SECURITIES AUTHORIZED FOR ISSUANCE UNDER EQUITY COMPENSATION PLANS</w:t>
      </w:r>
    </w:p>
    <w:p>
      <w:pPr>
        <w:spacing w:after="0" w:line="247" w:lineRule="exact"/>
        <w:rPr>
          <w:sz w:val="20"/>
          <w:szCs w:val="20"/>
          <w:color w:val="auto"/>
        </w:rPr>
      </w:pPr>
    </w:p>
    <w:p>
      <w:pPr>
        <w:ind w:firstLine="616"/>
        <w:spacing w:after="0" w:line="277" w:lineRule="auto"/>
        <w:rPr>
          <w:sz w:val="20"/>
          <w:szCs w:val="20"/>
          <w:color w:val="auto"/>
        </w:rPr>
      </w:pPr>
      <w:r>
        <w:rPr>
          <w:rFonts w:ascii="Arial" w:cs="Arial" w:eastAsia="Arial" w:hAnsi="Arial"/>
          <w:sz w:val="17"/>
          <w:szCs w:val="17"/>
          <w:color w:val="auto"/>
        </w:rPr>
        <w:t>The following table provides information as of December 31, 2012 with respect to shares of our common stock that we may issue under our existing equity compensation plans.</w:t>
      </w:r>
    </w:p>
    <w:p>
      <w:pPr>
        <w:spacing w:after="0" w:line="185" w:lineRule="exact"/>
        <w:rPr>
          <w:sz w:val="20"/>
          <w:szCs w:val="20"/>
          <w:color w:val="auto"/>
        </w:rPr>
      </w:pPr>
    </w:p>
    <w:tbl>
      <w:tblPr>
        <w:tblLayout w:type="fixed"/>
        <w:tblInd w:w="144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Arial" w:cs="Arial" w:eastAsia="Arial" w:hAnsi="Arial"/>
                <w:sz w:val="17"/>
                <w:szCs w:val="17"/>
                <w:b w:val="1"/>
                <w:bCs w:val="1"/>
                <w:color w:val="auto"/>
                <w:w w:val="97"/>
              </w:rPr>
              <w:t>A</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jc w:val="right"/>
              <w:ind w:right="634"/>
              <w:spacing w:after="0"/>
              <w:rPr>
                <w:sz w:val="20"/>
                <w:szCs w:val="20"/>
                <w:color w:val="auto"/>
              </w:rPr>
            </w:pPr>
            <w:r>
              <w:rPr>
                <w:rFonts w:ascii="Arial" w:cs="Arial" w:eastAsia="Arial" w:hAnsi="Arial"/>
                <w:sz w:val="17"/>
                <w:szCs w:val="17"/>
                <w:b w:val="1"/>
                <w:bCs w:val="1"/>
                <w:color w:val="auto"/>
              </w:rPr>
              <w:t>B</w:t>
            </w:r>
          </w:p>
        </w:tc>
        <w:tc>
          <w:tcPr>
            <w:tcW w:w="180" w:type="dxa"/>
            <w:vAlign w:val="bottom"/>
          </w:tcPr>
          <w:p>
            <w:pPr>
              <w:spacing w:after="0"/>
              <w:rPr>
                <w:sz w:val="19"/>
                <w:szCs w:val="19"/>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w w:val="97"/>
              </w:rPr>
              <w:t>C</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720" w:type="dxa"/>
            <w:vAlign w:val="bottom"/>
            <w:tcBorders>
              <w:top w:val="single" w:sz="8" w:color="auto"/>
            </w:tcBorders>
          </w:tcPr>
          <w:p>
            <w:pPr>
              <w:jc w:val="center"/>
              <w:spacing w:after="0" w:line="187" w:lineRule="exact"/>
              <w:rPr>
                <w:sz w:val="20"/>
                <w:szCs w:val="20"/>
                <w:color w:val="auto"/>
              </w:rPr>
            </w:pPr>
            <w:r>
              <w:rPr>
                <w:rFonts w:ascii="Arial" w:cs="Arial" w:eastAsia="Arial" w:hAnsi="Arial"/>
                <w:sz w:val="17"/>
                <w:szCs w:val="17"/>
                <w:b w:val="1"/>
                <w:bCs w:val="1"/>
                <w:color w:val="auto"/>
                <w:w w:val="90"/>
              </w:rPr>
              <w:t>Number of Securities</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0" w:type="dxa"/>
            <w:vAlign w:val="bottom"/>
            <w:gridSpan w:val="2"/>
          </w:tcPr>
          <w:p>
            <w:pPr>
              <w:ind w:left="420"/>
              <w:spacing w:after="0"/>
              <w:rPr>
                <w:sz w:val="20"/>
                <w:szCs w:val="20"/>
                <w:color w:val="auto"/>
              </w:rPr>
            </w:pPr>
            <w:r>
              <w:rPr>
                <w:rFonts w:ascii="Arial" w:cs="Arial" w:eastAsia="Arial" w:hAnsi="Arial"/>
                <w:sz w:val="17"/>
                <w:szCs w:val="17"/>
                <w:b w:val="1"/>
                <w:bCs w:val="1"/>
                <w:color w:val="auto"/>
              </w:rPr>
              <w:t>Remaining</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0" w:type="dxa"/>
            <w:vAlign w:val="bottom"/>
            <w:gridSpan w:val="2"/>
          </w:tcPr>
          <w:p>
            <w:pPr>
              <w:jc w:val="center"/>
              <w:ind w:right="140"/>
              <w:spacing w:after="0"/>
              <w:rPr>
                <w:sz w:val="20"/>
                <w:szCs w:val="20"/>
                <w:color w:val="auto"/>
              </w:rPr>
            </w:pPr>
            <w:r>
              <w:rPr>
                <w:rFonts w:ascii="Arial" w:cs="Arial" w:eastAsia="Arial" w:hAnsi="Arial"/>
                <w:sz w:val="17"/>
                <w:szCs w:val="17"/>
                <w:b w:val="1"/>
                <w:bCs w:val="1"/>
                <w:color w:val="auto"/>
                <w:w w:val="93"/>
              </w:rPr>
              <w:t>Available for Future</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0" w:type="dxa"/>
            <w:vAlign w:val="bottom"/>
            <w:gridSpan w:val="2"/>
          </w:tcPr>
          <w:p>
            <w:pPr>
              <w:jc w:val="center"/>
              <w:ind w:right="140"/>
              <w:spacing w:after="0"/>
              <w:rPr>
                <w:sz w:val="20"/>
                <w:szCs w:val="20"/>
                <w:color w:val="auto"/>
              </w:rPr>
            </w:pPr>
            <w:r>
              <w:rPr>
                <w:rFonts w:ascii="Arial" w:cs="Arial" w:eastAsia="Arial" w:hAnsi="Arial"/>
                <w:sz w:val="17"/>
                <w:szCs w:val="17"/>
                <w:b w:val="1"/>
                <w:bCs w:val="1"/>
                <w:color w:val="auto"/>
                <w:w w:val="85"/>
              </w:rPr>
              <w:t>Issuance</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0" w:type="dxa"/>
            <w:vAlign w:val="bottom"/>
            <w:gridSpan w:val="2"/>
          </w:tcPr>
          <w:p>
            <w:pPr>
              <w:jc w:val="center"/>
              <w:ind w:right="140"/>
              <w:spacing w:after="0"/>
              <w:rPr>
                <w:sz w:val="20"/>
                <w:szCs w:val="20"/>
                <w:color w:val="auto"/>
              </w:rPr>
            </w:pPr>
            <w:r>
              <w:rPr>
                <w:rFonts w:ascii="Arial" w:cs="Arial" w:eastAsia="Arial" w:hAnsi="Arial"/>
                <w:sz w:val="17"/>
                <w:szCs w:val="17"/>
                <w:b w:val="1"/>
                <w:bCs w:val="1"/>
                <w:color w:val="auto"/>
                <w:w w:val="96"/>
              </w:rPr>
              <w:t>Under Equity</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Arial" w:cs="Arial" w:eastAsia="Arial" w:hAnsi="Arial"/>
                <w:sz w:val="17"/>
                <w:szCs w:val="17"/>
                <w:b w:val="1"/>
                <w:bCs w:val="1"/>
                <w:color w:val="auto"/>
                <w:w w:val="91"/>
              </w:rPr>
              <w:t>Number of Securities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0" w:type="dxa"/>
            <w:vAlign w:val="bottom"/>
            <w:gridSpan w:val="2"/>
          </w:tcPr>
          <w:p>
            <w:pPr>
              <w:jc w:val="center"/>
              <w:ind w:right="140"/>
              <w:spacing w:after="0"/>
              <w:rPr>
                <w:sz w:val="20"/>
                <w:szCs w:val="20"/>
                <w:color w:val="auto"/>
              </w:rPr>
            </w:pPr>
            <w:r>
              <w:rPr>
                <w:rFonts w:ascii="Arial" w:cs="Arial" w:eastAsia="Arial" w:hAnsi="Arial"/>
                <w:sz w:val="17"/>
                <w:szCs w:val="17"/>
                <w:b w:val="1"/>
                <w:bCs w:val="1"/>
                <w:color w:val="auto"/>
                <w:w w:val="89"/>
              </w:rPr>
              <w:t>Compensation</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Arial" w:cs="Arial" w:eastAsia="Arial" w:hAnsi="Arial"/>
                <w:sz w:val="17"/>
                <w:szCs w:val="17"/>
                <w:b w:val="1"/>
                <w:bCs w:val="1"/>
                <w:color w:val="auto"/>
                <w:w w:val="89"/>
              </w:rPr>
              <w:t>to be Issued Upon</w:t>
            </w:r>
          </w:p>
        </w:tc>
        <w:tc>
          <w:tcPr>
            <w:tcW w:w="160" w:type="dxa"/>
            <w:vAlign w:val="bottom"/>
          </w:tcPr>
          <w:p>
            <w:pPr>
              <w:spacing w:after="0"/>
              <w:rPr>
                <w:sz w:val="17"/>
                <w:szCs w:val="17"/>
                <w:color w:val="auto"/>
              </w:rPr>
            </w:pPr>
          </w:p>
        </w:tc>
        <w:tc>
          <w:tcPr>
            <w:tcW w:w="1520" w:type="dxa"/>
            <w:vAlign w:val="bottom"/>
            <w:gridSpan w:val="2"/>
          </w:tcPr>
          <w:p>
            <w:pPr>
              <w:jc w:val="center"/>
              <w:spacing w:after="0"/>
              <w:rPr>
                <w:sz w:val="20"/>
                <w:szCs w:val="20"/>
                <w:color w:val="auto"/>
              </w:rPr>
            </w:pPr>
            <w:r>
              <w:rPr>
                <w:rFonts w:ascii="Arial" w:cs="Arial" w:eastAsia="Arial" w:hAnsi="Arial"/>
                <w:sz w:val="17"/>
                <w:szCs w:val="17"/>
                <w:b w:val="1"/>
                <w:bCs w:val="1"/>
                <w:color w:val="auto"/>
                <w:w w:val="88"/>
              </w:rPr>
              <w:t>Weighted Average</w:t>
            </w:r>
          </w:p>
        </w:tc>
        <w:tc>
          <w:tcPr>
            <w:tcW w:w="180" w:type="dxa"/>
            <w:vAlign w:val="bottom"/>
          </w:tcPr>
          <w:p>
            <w:pPr>
              <w:spacing w:after="0"/>
              <w:rPr>
                <w:sz w:val="17"/>
                <w:szCs w:val="17"/>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w w:val="88"/>
              </w:rPr>
              <w:t>Plans</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Arial" w:cs="Arial" w:eastAsia="Arial" w:hAnsi="Arial"/>
                <w:sz w:val="17"/>
                <w:szCs w:val="17"/>
                <w:b w:val="1"/>
                <w:bCs w:val="1"/>
                <w:color w:val="auto"/>
                <w:w w:val="88"/>
              </w:rPr>
              <w:t>Exercise of</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jc w:val="center"/>
              <w:ind w:right="114"/>
              <w:spacing w:after="0"/>
              <w:rPr>
                <w:sz w:val="20"/>
                <w:szCs w:val="20"/>
                <w:color w:val="auto"/>
              </w:rPr>
            </w:pPr>
            <w:r>
              <w:rPr>
                <w:rFonts w:ascii="Arial" w:cs="Arial" w:eastAsia="Arial" w:hAnsi="Arial"/>
                <w:sz w:val="17"/>
                <w:szCs w:val="17"/>
                <w:b w:val="1"/>
                <w:bCs w:val="1"/>
                <w:color w:val="auto"/>
                <w:w w:val="89"/>
              </w:rPr>
              <w:t>Exercise Price of</w:t>
            </w:r>
          </w:p>
        </w:tc>
        <w:tc>
          <w:tcPr>
            <w:tcW w:w="180" w:type="dxa"/>
            <w:vAlign w:val="bottom"/>
          </w:tcPr>
          <w:p>
            <w:pPr>
              <w:spacing w:after="0"/>
              <w:rPr>
                <w:sz w:val="17"/>
                <w:szCs w:val="17"/>
                <w:color w:val="auto"/>
              </w:rPr>
            </w:pPr>
          </w:p>
        </w:tc>
        <w:tc>
          <w:tcPr>
            <w:tcW w:w="1800" w:type="dxa"/>
            <w:vAlign w:val="bottom"/>
            <w:gridSpan w:val="2"/>
          </w:tcPr>
          <w:p>
            <w:pPr>
              <w:jc w:val="center"/>
              <w:ind w:right="140"/>
              <w:spacing w:after="0"/>
              <w:rPr>
                <w:sz w:val="20"/>
                <w:szCs w:val="20"/>
                <w:color w:val="auto"/>
              </w:rPr>
            </w:pPr>
            <w:r>
              <w:rPr>
                <w:rFonts w:ascii="Arial" w:cs="Arial" w:eastAsia="Arial" w:hAnsi="Arial"/>
                <w:sz w:val="17"/>
                <w:szCs w:val="17"/>
                <w:b w:val="1"/>
                <w:bCs w:val="1"/>
                <w:color w:val="auto"/>
                <w:w w:val="89"/>
              </w:rPr>
              <w:t>(ExcludingSecurities</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80" w:type="dxa"/>
            <w:vAlign w:val="bottom"/>
          </w:tcPr>
          <w:p>
            <w:pPr>
              <w:jc w:val="right"/>
              <w:ind w:right="334"/>
              <w:spacing w:after="0"/>
              <w:rPr>
                <w:sz w:val="20"/>
                <w:szCs w:val="20"/>
                <w:color w:val="auto"/>
              </w:rPr>
            </w:pPr>
            <w:r>
              <w:rPr>
                <w:rFonts w:ascii="Arial" w:cs="Arial" w:eastAsia="Arial" w:hAnsi="Arial"/>
                <w:sz w:val="17"/>
                <w:szCs w:val="17"/>
                <w:b w:val="1"/>
                <w:bCs w:val="1"/>
                <w:color w:val="auto"/>
              </w:rPr>
              <w:t>Outstanding</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jc w:val="center"/>
              <w:ind w:right="134"/>
              <w:spacing w:after="0"/>
              <w:rPr>
                <w:sz w:val="20"/>
                <w:szCs w:val="20"/>
                <w:color w:val="auto"/>
              </w:rPr>
            </w:pPr>
            <w:r>
              <w:rPr>
                <w:rFonts w:ascii="Arial" w:cs="Arial" w:eastAsia="Arial" w:hAnsi="Arial"/>
                <w:sz w:val="17"/>
                <w:szCs w:val="17"/>
                <w:b w:val="1"/>
                <w:bCs w:val="1"/>
                <w:color w:val="auto"/>
                <w:w w:val="91"/>
              </w:rPr>
              <w:t>Outstanding</w:t>
            </w:r>
          </w:p>
        </w:tc>
        <w:tc>
          <w:tcPr>
            <w:tcW w:w="180" w:type="dxa"/>
            <w:vAlign w:val="bottom"/>
          </w:tcPr>
          <w:p>
            <w:pPr>
              <w:spacing w:after="0"/>
              <w:rPr>
                <w:sz w:val="17"/>
                <w:szCs w:val="17"/>
                <w:color w:val="auto"/>
              </w:rPr>
            </w:pPr>
          </w:p>
        </w:tc>
        <w:tc>
          <w:tcPr>
            <w:tcW w:w="1800" w:type="dxa"/>
            <w:vAlign w:val="bottom"/>
            <w:gridSpan w:val="2"/>
          </w:tcPr>
          <w:p>
            <w:pPr>
              <w:jc w:val="center"/>
              <w:ind w:right="140"/>
              <w:spacing w:after="0"/>
              <w:rPr>
                <w:sz w:val="20"/>
                <w:szCs w:val="20"/>
                <w:color w:val="auto"/>
              </w:rPr>
            </w:pPr>
            <w:r>
              <w:rPr>
                <w:rFonts w:ascii="Arial" w:cs="Arial" w:eastAsia="Arial" w:hAnsi="Arial"/>
                <w:sz w:val="17"/>
                <w:szCs w:val="17"/>
                <w:b w:val="1"/>
                <w:bCs w:val="1"/>
                <w:color w:val="auto"/>
                <w:w w:val="91"/>
              </w:rPr>
              <w:t>Reflected in Column</w:t>
            </w:r>
          </w:p>
        </w:tc>
        <w:tc>
          <w:tcPr>
            <w:tcW w:w="0" w:type="dxa"/>
            <w:vAlign w:val="bottom"/>
          </w:tcPr>
          <w:p>
            <w:pPr>
              <w:spacing w:after="0"/>
              <w:rPr>
                <w:sz w:val="1"/>
                <w:szCs w:val="1"/>
                <w:color w:val="auto"/>
              </w:rPr>
            </w:pPr>
          </w:p>
        </w:tc>
      </w:tr>
      <w:tr>
        <w:trPr>
          <w:trHeight w:val="229"/>
        </w:trPr>
        <w:tc>
          <w:tcPr>
            <w:tcW w:w="3220" w:type="dxa"/>
            <w:vAlign w:val="bottom"/>
            <w:gridSpan w:val="3"/>
          </w:tcPr>
          <w:p>
            <w:pPr>
              <w:spacing w:after="0"/>
              <w:rPr>
                <w:sz w:val="20"/>
                <w:szCs w:val="20"/>
                <w:color w:val="auto"/>
              </w:rPr>
            </w:pPr>
            <w:r>
              <w:rPr>
                <w:rFonts w:ascii="Arial" w:cs="Arial" w:eastAsia="Arial" w:hAnsi="Arial"/>
                <w:sz w:val="17"/>
                <w:szCs w:val="17"/>
                <w:b w:val="1"/>
                <w:bCs w:val="1"/>
                <w:color w:val="auto"/>
              </w:rPr>
              <w:t>Plan Category</w:t>
            </w:r>
          </w:p>
        </w:tc>
        <w:tc>
          <w:tcPr>
            <w:tcW w:w="1680" w:type="dxa"/>
            <w:vAlign w:val="bottom"/>
          </w:tcPr>
          <w:p>
            <w:pPr>
              <w:jc w:val="center"/>
              <w:spacing w:after="0"/>
              <w:rPr>
                <w:sz w:val="20"/>
                <w:szCs w:val="20"/>
                <w:color w:val="auto"/>
              </w:rPr>
            </w:pPr>
            <w:r>
              <w:rPr>
                <w:rFonts w:ascii="Arial" w:cs="Arial" w:eastAsia="Arial" w:hAnsi="Arial"/>
                <w:sz w:val="17"/>
                <w:szCs w:val="17"/>
                <w:b w:val="1"/>
                <w:bCs w:val="1"/>
                <w:color w:val="auto"/>
                <w:w w:val="90"/>
              </w:rPr>
              <w:t>Options</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jc w:val="center"/>
              <w:ind w:right="114"/>
              <w:spacing w:after="0"/>
              <w:rPr>
                <w:sz w:val="20"/>
                <w:szCs w:val="20"/>
                <w:color w:val="auto"/>
              </w:rPr>
            </w:pPr>
            <w:r>
              <w:rPr>
                <w:rFonts w:ascii="Arial" w:cs="Arial" w:eastAsia="Arial" w:hAnsi="Arial"/>
                <w:sz w:val="17"/>
                <w:szCs w:val="17"/>
                <w:b w:val="1"/>
                <w:bCs w:val="1"/>
                <w:color w:val="auto"/>
                <w:w w:val="90"/>
              </w:rPr>
              <w:t>Options</w:t>
            </w:r>
          </w:p>
        </w:tc>
        <w:tc>
          <w:tcPr>
            <w:tcW w:w="180" w:type="dxa"/>
            <w:vAlign w:val="bottom"/>
          </w:tcPr>
          <w:p>
            <w:pPr>
              <w:spacing w:after="0"/>
              <w:rPr>
                <w:sz w:val="19"/>
                <w:szCs w:val="19"/>
                <w:color w:val="auto"/>
              </w:rPr>
            </w:pPr>
          </w:p>
        </w:tc>
        <w:tc>
          <w:tcPr>
            <w:tcW w:w="1800" w:type="dxa"/>
            <w:vAlign w:val="bottom"/>
            <w:gridSpan w:val="2"/>
          </w:tcPr>
          <w:p>
            <w:pPr>
              <w:jc w:val="center"/>
              <w:ind w:right="140"/>
              <w:spacing w:after="0"/>
              <w:rPr>
                <w:sz w:val="20"/>
                <w:szCs w:val="20"/>
                <w:color w:val="auto"/>
              </w:rPr>
            </w:pPr>
            <w:r>
              <w:rPr>
                <w:rFonts w:ascii="Arial" w:cs="Arial" w:eastAsia="Arial" w:hAnsi="Arial"/>
                <w:sz w:val="17"/>
                <w:szCs w:val="17"/>
                <w:b w:val="1"/>
                <w:bCs w:val="1"/>
                <w:color w:val="auto"/>
              </w:rPr>
              <w:t>A)</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120" w:type="dxa"/>
            <w:vAlign w:val="bottom"/>
            <w:tcBorders>
              <w:top w:val="single" w:sz="8" w:color="auto"/>
            </w:tcBorders>
            <w:shd w:val="clear" w:color="auto" w:fill="CCEEFF"/>
          </w:tcPr>
          <w:p>
            <w:pPr>
              <w:spacing w:after="0" w:line="193" w:lineRule="exact"/>
              <w:rPr>
                <w:sz w:val="20"/>
                <w:szCs w:val="20"/>
                <w:color w:val="auto"/>
              </w:rPr>
            </w:pPr>
            <w:r>
              <w:rPr>
                <w:rFonts w:ascii="Arial" w:cs="Arial" w:eastAsia="Arial" w:hAnsi="Arial"/>
                <w:sz w:val="17"/>
                <w:szCs w:val="17"/>
                <w:color w:val="auto"/>
              </w:rPr>
              <w:t>Equity Compensation Plans Approved by</w:t>
            </w:r>
          </w:p>
        </w:tc>
        <w:tc>
          <w:tcPr>
            <w:tcW w:w="80" w:type="dxa"/>
            <w:vAlign w:val="bottom"/>
            <w:shd w:val="clear" w:color="auto" w:fill="CCEEFF"/>
          </w:tcPr>
          <w:p>
            <w:pPr>
              <w:spacing w:after="0"/>
              <w:rPr>
                <w:sz w:val="16"/>
                <w:szCs w:val="16"/>
                <w:color w:val="auto"/>
              </w:rPr>
            </w:pPr>
          </w:p>
        </w:tc>
        <w:tc>
          <w:tcPr>
            <w:tcW w:w="168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42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72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Stockholders (1)</w:t>
            </w: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3.16</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221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200" w:type="dxa"/>
            <w:vAlign w:val="bottom"/>
            <w:gridSpan w:val="2"/>
          </w:tcPr>
          <w:p>
            <w:pPr>
              <w:spacing w:after="0" w:line="193" w:lineRule="exact"/>
              <w:rPr>
                <w:sz w:val="20"/>
                <w:szCs w:val="20"/>
                <w:color w:val="auto"/>
              </w:rPr>
            </w:pPr>
            <w:r>
              <w:rPr>
                <w:rFonts w:ascii="Arial" w:cs="Arial" w:eastAsia="Arial" w:hAnsi="Arial"/>
                <w:sz w:val="17"/>
                <w:szCs w:val="17"/>
                <w:color w:val="auto"/>
                <w:w w:val="93"/>
              </w:rPr>
              <w:t>Equity Compensation Plans Not Approved by</w:t>
            </w:r>
          </w:p>
        </w:tc>
        <w:tc>
          <w:tcPr>
            <w:tcW w:w="1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220" w:type="dxa"/>
            <w:vAlign w:val="bottom"/>
            <w:gridSpan w:val="3"/>
          </w:tcPr>
          <w:p>
            <w:pPr>
              <w:spacing w:after="0"/>
              <w:rPr>
                <w:sz w:val="20"/>
                <w:szCs w:val="20"/>
                <w:color w:val="auto"/>
              </w:rPr>
            </w:pPr>
            <w:r>
              <w:rPr>
                <w:rFonts w:ascii="Arial" w:cs="Arial" w:eastAsia="Arial" w:hAnsi="Arial"/>
                <w:sz w:val="17"/>
                <w:szCs w:val="17"/>
                <w:color w:val="auto"/>
              </w:rPr>
              <w:t>Stockholders (2)</w:t>
            </w:r>
          </w:p>
        </w:tc>
        <w:tc>
          <w:tcPr>
            <w:tcW w:w="1680" w:type="dxa"/>
            <w:vAlign w:val="bottom"/>
          </w:tcPr>
          <w:p>
            <w:pPr>
              <w:jc w:val="right"/>
              <w:spacing w:after="0"/>
              <w:rPr>
                <w:sz w:val="20"/>
                <w:szCs w:val="20"/>
                <w:color w:val="auto"/>
              </w:rPr>
            </w:pPr>
            <w:r>
              <w:rPr>
                <w:rFonts w:ascii="Arial" w:cs="Arial" w:eastAsia="Arial" w:hAnsi="Arial"/>
                <w:sz w:val="17"/>
                <w:szCs w:val="17"/>
                <w:color w:val="auto"/>
              </w:rPr>
              <w:t>-0-</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-0-</w:t>
            </w:r>
          </w:p>
        </w:tc>
        <w:tc>
          <w:tcPr>
            <w:tcW w:w="1900" w:type="dxa"/>
            <w:vAlign w:val="bottom"/>
            <w:gridSpan w:val="2"/>
          </w:tcPr>
          <w:p>
            <w:pPr>
              <w:jc w:val="right"/>
              <w:spacing w:after="0"/>
              <w:rPr>
                <w:sz w:val="20"/>
                <w:szCs w:val="20"/>
                <w:color w:val="auto"/>
              </w:rPr>
            </w:pPr>
            <w:r>
              <w:rPr>
                <w:rFonts w:ascii="Arial" w:cs="Arial" w:eastAsia="Arial" w:hAnsi="Arial"/>
                <w:sz w:val="17"/>
                <w:szCs w:val="17"/>
                <w:color w:val="auto"/>
              </w:rPr>
              <w:t>-0-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3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vMerge w:val="continue"/>
          </w:tcPr>
          <w:p>
            <w:pPr>
              <w:spacing w:after="0"/>
              <w:rPr>
                <w:sz w:val="19"/>
                <w:szCs w:val="19"/>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w:t>
            </w: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3.16</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221-</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9" w:lineRule="exact"/>
        <w:rPr>
          <w:sz w:val="20"/>
          <w:szCs w:val="20"/>
          <w:color w:val="auto"/>
        </w:rPr>
      </w:pPr>
    </w:p>
    <w:p>
      <w:pPr>
        <w:ind w:left="520" w:hanging="517"/>
        <w:spacing w:after="0"/>
        <w:tabs>
          <w:tab w:leader="none" w:pos="520" w:val="left"/>
        </w:tabs>
        <w:numPr>
          <w:ilvl w:val="0"/>
          <w:numId w:val="4"/>
        </w:numPr>
        <w:rPr>
          <w:rFonts w:ascii="Arial" w:cs="Arial" w:eastAsia="Arial" w:hAnsi="Arial"/>
          <w:sz w:val="17"/>
          <w:szCs w:val="17"/>
          <w:color w:val="auto"/>
        </w:rPr>
      </w:pPr>
      <w:r>
        <w:rPr>
          <w:rFonts w:ascii="Arial" w:cs="Arial" w:eastAsia="Arial" w:hAnsi="Arial"/>
          <w:sz w:val="17"/>
          <w:szCs w:val="17"/>
          <w:color w:val="auto"/>
        </w:rPr>
        <w:t>Consists of the 1996 Stock Option Plan and the 2009 Equity Plan.</w:t>
      </w:r>
    </w:p>
    <w:p>
      <w:pPr>
        <w:spacing w:after="0" w:line="20" w:lineRule="exact"/>
        <w:rPr>
          <w:rFonts w:ascii="Arial" w:cs="Arial" w:eastAsia="Arial" w:hAnsi="Arial"/>
          <w:sz w:val="17"/>
          <w:szCs w:val="17"/>
          <w:color w:val="auto"/>
        </w:rPr>
      </w:pPr>
    </w:p>
    <w:p>
      <w:pPr>
        <w:ind w:left="520" w:hanging="517"/>
        <w:spacing w:after="0"/>
        <w:tabs>
          <w:tab w:leader="none" w:pos="5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stockholders have previously approved each of our existing equity compensation plans.</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ISSUER PURCHASES OF EQUITY SECURITIES</w:t>
      </w:r>
    </w:p>
    <w:p>
      <w:pPr>
        <w:spacing w:after="0" w:line="24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None.</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 SELECTED FINANCIAL DATA</w:t>
      </w:r>
    </w:p>
    <w:p>
      <w:pPr>
        <w:spacing w:after="0" w:line="247" w:lineRule="exact"/>
        <w:rPr>
          <w:sz w:val="20"/>
          <w:szCs w:val="20"/>
          <w:color w:val="auto"/>
        </w:rPr>
      </w:pPr>
    </w:p>
    <w:p>
      <w:pPr>
        <w:ind w:left="620"/>
        <w:spacing w:after="0"/>
        <w:rPr>
          <w:sz w:val="20"/>
          <w:szCs w:val="20"/>
          <w:color w:val="auto"/>
        </w:rPr>
      </w:pPr>
      <w:r>
        <w:rPr>
          <w:rFonts w:ascii="Arial" w:cs="Arial" w:eastAsia="Arial" w:hAnsi="Arial"/>
          <w:sz w:val="15"/>
          <w:szCs w:val="15"/>
          <w:color w:val="auto"/>
        </w:rPr>
        <w:t>We are a smaller reporting company as defined by Rule 12-b-2 of the Exchange Act and are not required to provide the information required under this Item.</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  MANAGEMENT’S DISCUSSION AND ANALYSIS OF FINANCIAL CONDITION AND RESULTS OF OPERATIONS</w:t>
      </w:r>
    </w:p>
    <w:p>
      <w:pPr>
        <w:spacing w:after="0" w:line="247" w:lineRule="exact"/>
        <w:rPr>
          <w:sz w:val="20"/>
          <w:szCs w:val="20"/>
          <w:color w:val="auto"/>
        </w:rPr>
      </w:pPr>
    </w:p>
    <w:p>
      <w:pPr>
        <w:jc w:val="both"/>
        <w:ind w:firstLine="616"/>
        <w:spacing w:after="0" w:line="277" w:lineRule="auto"/>
        <w:rPr>
          <w:sz w:val="20"/>
          <w:szCs w:val="20"/>
          <w:color w:val="auto"/>
        </w:rPr>
      </w:pPr>
      <w:r>
        <w:rPr>
          <w:rFonts w:ascii="Arial" w:cs="Arial" w:eastAsia="Arial" w:hAnsi="Arial"/>
          <w:sz w:val="17"/>
          <w:szCs w:val="17"/>
          <w:color w:val="auto"/>
        </w:rPr>
        <w:t>In April 2012, we effected a 3-for-2 stock split. Share and per share information in our financial statements and the following discussion reflect the impact of the stock split.</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CAUTIONARY STATEMENT REGARDING FORWARD-LOOKING STATEMENTS</w:t>
      </w:r>
    </w:p>
    <w:p>
      <w:pPr>
        <w:spacing w:after="0" w:line="247" w:lineRule="exact"/>
        <w:rPr>
          <w:sz w:val="20"/>
          <w:szCs w:val="20"/>
          <w:color w:val="auto"/>
        </w:rPr>
      </w:pPr>
    </w:p>
    <w:p>
      <w:pPr>
        <w:jc w:val="both"/>
        <w:ind w:firstLine="616"/>
        <w:spacing w:after="0" w:line="316" w:lineRule="auto"/>
        <w:rPr>
          <w:sz w:val="20"/>
          <w:szCs w:val="20"/>
          <w:color w:val="auto"/>
        </w:rPr>
      </w:pPr>
      <w:r>
        <w:rPr>
          <w:rFonts w:ascii="Arial" w:cs="Arial" w:eastAsia="Arial" w:hAnsi="Arial"/>
          <w:sz w:val="15"/>
          <w:szCs w:val="15"/>
          <w:color w:val="auto"/>
        </w:rPr>
        <w:t>Certain statements in this Report represent forward-looking statements. These statements involve known and unknown risks, uncertainties and other factors that may cause actual results of operations, levels of activity, economic performance, financial condition or achievements to be materially different from future results of operations, levels of activity, economic performance, financial condition or achievements as expressed or implied by such forward-looking statements.</w:t>
      </w:r>
    </w:p>
    <w:p>
      <w:pPr>
        <w:spacing w:after="0" w:line="166" w:lineRule="exact"/>
        <w:rPr>
          <w:sz w:val="20"/>
          <w:szCs w:val="20"/>
          <w:color w:val="auto"/>
        </w:rPr>
      </w:pPr>
    </w:p>
    <w:p>
      <w:pPr>
        <w:jc w:val="both"/>
        <w:ind w:firstLine="616"/>
        <w:spacing w:after="0" w:line="260" w:lineRule="auto"/>
        <w:rPr>
          <w:sz w:val="20"/>
          <w:szCs w:val="20"/>
          <w:color w:val="auto"/>
        </w:rPr>
      </w:pPr>
      <w:r>
        <w:rPr>
          <w:rFonts w:ascii="Arial" w:cs="Arial" w:eastAsia="Arial" w:hAnsi="Arial"/>
          <w:sz w:val="17"/>
          <w:szCs w:val="17"/>
          <w:color w:val="auto"/>
        </w:rPr>
        <w:t>Asure has attempted to identify these forward-looking statements with the words “believes,” “estimates,” “plans,” “expects,” “anticipates,” “may,” “could” and other similar expressions. Although these forward-looking statements reflect management’s current plans and expectations, which we believe reasonable as of the filing date of this Report, they inherently are subject to certain risks and uncertainties. Additionally, Asure is under no obligation to update any of the forward-looking statements after the date of this Form 10-K to conform such statements to actual results.</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RESULTS OF OPERATIONS</w:t>
      </w:r>
    </w:p>
    <w:p>
      <w:pPr>
        <w:spacing w:after="0" w:line="247" w:lineRule="exact"/>
        <w:rPr>
          <w:sz w:val="20"/>
          <w:szCs w:val="20"/>
          <w:color w:val="auto"/>
        </w:rPr>
      </w:pPr>
    </w:p>
    <w:p>
      <w:pPr>
        <w:jc w:val="both"/>
        <w:ind w:firstLine="616"/>
        <w:spacing w:after="0" w:line="277" w:lineRule="auto"/>
        <w:rPr>
          <w:sz w:val="20"/>
          <w:szCs w:val="20"/>
          <w:color w:val="auto"/>
        </w:rPr>
      </w:pPr>
      <w:r>
        <w:rPr>
          <w:rFonts w:ascii="Arial" w:cs="Arial" w:eastAsia="Arial" w:hAnsi="Arial"/>
          <w:sz w:val="17"/>
          <w:szCs w:val="17"/>
          <w:color w:val="auto"/>
        </w:rPr>
        <w:t>The following table sets forth, for the fiscal periods indicated, the percentage of total revenues represented by certain items in Asure’s Consolidated Statements of Comprehensive Income (Loss) Operations: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44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620" w:type="dxa"/>
            <w:vAlign w:val="bottom"/>
            <w:gridSpan w:val="2"/>
          </w:tcPr>
          <w:p>
            <w:pPr>
              <w:jc w:val="right"/>
              <w:ind w:right="420"/>
              <w:spacing w:after="0"/>
              <w:rPr>
                <w:sz w:val="20"/>
                <w:szCs w:val="20"/>
                <w:color w:val="auto"/>
              </w:rPr>
            </w:pPr>
            <w:r>
              <w:rPr>
                <w:rFonts w:ascii="Arial" w:cs="Arial" w:eastAsia="Arial" w:hAnsi="Arial"/>
                <w:sz w:val="17"/>
                <w:szCs w:val="17"/>
                <w:b w:val="1"/>
                <w:bCs w:val="1"/>
                <w:color w:val="auto"/>
                <w:w w:val="96"/>
              </w:rPr>
              <w:t>Twelve Months</w:t>
            </w:r>
          </w:p>
        </w:tc>
        <w:tc>
          <w:tcPr>
            <w:tcW w:w="1540" w:type="dxa"/>
            <w:vAlign w:val="bottom"/>
            <w:gridSpan w:val="2"/>
          </w:tcPr>
          <w:p>
            <w:pPr>
              <w:jc w:val="right"/>
              <w:ind w:right="340"/>
              <w:spacing w:after="0"/>
              <w:rPr>
                <w:sz w:val="20"/>
                <w:szCs w:val="20"/>
                <w:color w:val="auto"/>
              </w:rPr>
            </w:pPr>
            <w:r>
              <w:rPr>
                <w:rFonts w:ascii="Arial" w:cs="Arial" w:eastAsia="Arial" w:hAnsi="Arial"/>
                <w:sz w:val="17"/>
                <w:szCs w:val="17"/>
                <w:b w:val="1"/>
                <w:bCs w:val="1"/>
                <w:color w:val="auto"/>
                <w:w w:val="96"/>
              </w:rPr>
              <w:t>Twelve Months</w:t>
            </w:r>
          </w:p>
        </w:tc>
        <w:tc>
          <w:tcPr>
            <w:tcW w:w="1420" w:type="dxa"/>
            <w:vAlign w:val="bottom"/>
          </w:tcPr>
          <w:p>
            <w:pPr>
              <w:spacing w:after="0"/>
              <w:rPr>
                <w:sz w:val="17"/>
                <w:szCs w:val="17"/>
                <w:color w:val="auto"/>
              </w:rPr>
            </w:pPr>
          </w:p>
        </w:tc>
      </w:tr>
      <w:tr>
        <w:trPr>
          <w:trHeight w:val="205"/>
        </w:trPr>
        <w:tc>
          <w:tcPr>
            <w:tcW w:w="144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620" w:type="dxa"/>
            <w:vAlign w:val="bottom"/>
            <w:gridSpan w:val="2"/>
          </w:tcPr>
          <w:p>
            <w:pPr>
              <w:jc w:val="right"/>
              <w:ind w:right="340"/>
              <w:spacing w:after="0"/>
              <w:rPr>
                <w:sz w:val="20"/>
                <w:szCs w:val="20"/>
                <w:color w:val="auto"/>
              </w:rPr>
            </w:pPr>
            <w:r>
              <w:rPr>
                <w:rFonts w:ascii="Arial" w:cs="Arial" w:eastAsia="Arial" w:hAnsi="Arial"/>
                <w:sz w:val="17"/>
                <w:szCs w:val="17"/>
                <w:b w:val="1"/>
                <w:bCs w:val="1"/>
                <w:color w:val="auto"/>
                <w:w w:val="90"/>
              </w:rPr>
              <w:t>Ended December</w:t>
            </w:r>
          </w:p>
        </w:tc>
        <w:tc>
          <w:tcPr>
            <w:tcW w:w="1540" w:type="dxa"/>
            <w:vAlign w:val="bottom"/>
            <w:gridSpan w:val="2"/>
          </w:tcPr>
          <w:p>
            <w:pPr>
              <w:jc w:val="right"/>
              <w:ind w:right="260"/>
              <w:spacing w:after="0"/>
              <w:rPr>
                <w:sz w:val="20"/>
                <w:szCs w:val="20"/>
                <w:color w:val="auto"/>
              </w:rPr>
            </w:pPr>
            <w:r>
              <w:rPr>
                <w:rFonts w:ascii="Arial" w:cs="Arial" w:eastAsia="Arial" w:hAnsi="Arial"/>
                <w:sz w:val="17"/>
                <w:szCs w:val="17"/>
                <w:b w:val="1"/>
                <w:bCs w:val="1"/>
                <w:color w:val="auto"/>
                <w:w w:val="90"/>
              </w:rPr>
              <w:t>Ended December</w:t>
            </w:r>
          </w:p>
        </w:tc>
        <w:tc>
          <w:tcPr>
            <w:tcW w:w="1420" w:type="dxa"/>
            <w:vAlign w:val="bottom"/>
          </w:tcPr>
          <w:p>
            <w:pPr>
              <w:spacing w:after="0"/>
              <w:rPr>
                <w:sz w:val="17"/>
                <w:szCs w:val="17"/>
                <w:color w:val="auto"/>
              </w:rPr>
            </w:pPr>
          </w:p>
        </w:tc>
      </w:tr>
      <w:tr>
        <w:trPr>
          <w:trHeight w:val="205"/>
        </w:trPr>
        <w:tc>
          <w:tcPr>
            <w:tcW w:w="144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2880" w:type="dxa"/>
            <w:vAlign w:val="bottom"/>
            <w:gridSpan w:val="2"/>
          </w:tcPr>
          <w:p>
            <w:pPr>
              <w:jc w:val="right"/>
              <w:ind w:right="494"/>
              <w:spacing w:after="0"/>
              <w:rPr>
                <w:sz w:val="20"/>
                <w:szCs w:val="20"/>
                <w:color w:val="auto"/>
              </w:rPr>
            </w:pPr>
            <w:r>
              <w:rPr>
                <w:rFonts w:ascii="Arial" w:cs="Arial" w:eastAsia="Arial" w:hAnsi="Arial"/>
                <w:sz w:val="17"/>
                <w:szCs w:val="17"/>
                <w:b w:val="1"/>
                <w:bCs w:val="1"/>
                <w:color w:val="auto"/>
              </w:rPr>
              <w:t>31,</w:t>
            </w:r>
          </w:p>
        </w:tc>
        <w:tc>
          <w:tcPr>
            <w:tcW w:w="280" w:type="dxa"/>
            <w:vAlign w:val="bottom"/>
          </w:tcPr>
          <w:p>
            <w:pPr>
              <w:spacing w:after="0"/>
              <w:rPr>
                <w:sz w:val="17"/>
                <w:szCs w:val="17"/>
                <w:color w:val="auto"/>
              </w:rPr>
            </w:pPr>
          </w:p>
        </w:tc>
        <w:tc>
          <w:tcPr>
            <w:tcW w:w="1340" w:type="dxa"/>
            <w:vAlign w:val="bottom"/>
          </w:tcPr>
          <w:p>
            <w:pPr>
              <w:jc w:val="right"/>
              <w:ind w:right="494"/>
              <w:spacing w:after="0"/>
              <w:rPr>
                <w:sz w:val="20"/>
                <w:szCs w:val="20"/>
                <w:color w:val="auto"/>
              </w:rPr>
            </w:pPr>
            <w:r>
              <w:rPr>
                <w:rFonts w:ascii="Arial" w:cs="Arial" w:eastAsia="Arial" w:hAnsi="Arial"/>
                <w:sz w:val="17"/>
                <w:szCs w:val="17"/>
                <w:b w:val="1"/>
                <w:bCs w:val="1"/>
                <w:color w:val="auto"/>
              </w:rPr>
              <w:t>31,</w:t>
            </w: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29"/>
        </w:trPr>
        <w:tc>
          <w:tcPr>
            <w:tcW w:w="144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340" w:type="dxa"/>
            <w:vAlign w:val="bottom"/>
            <w:tcBorders>
              <w:bottom w:val="single" w:sz="8" w:color="auto"/>
            </w:tcBorders>
          </w:tcPr>
          <w:p>
            <w:pPr>
              <w:jc w:val="right"/>
              <w:ind w:right="434"/>
              <w:spacing w:after="0"/>
              <w:rPr>
                <w:sz w:val="20"/>
                <w:szCs w:val="20"/>
                <w:color w:val="auto"/>
              </w:rPr>
            </w:pPr>
            <w:r>
              <w:rPr>
                <w:rFonts w:ascii="Arial" w:cs="Arial" w:eastAsia="Arial" w:hAnsi="Arial"/>
                <w:sz w:val="17"/>
                <w:szCs w:val="17"/>
                <w:b w:val="1"/>
                <w:bCs w:val="1"/>
                <w:color w:val="auto"/>
              </w:rPr>
              <w:t>2012</w:t>
            </w:r>
          </w:p>
        </w:tc>
        <w:tc>
          <w:tcPr>
            <w:tcW w:w="280" w:type="dxa"/>
            <w:vAlign w:val="bottom"/>
          </w:tcPr>
          <w:p>
            <w:pPr>
              <w:spacing w:after="0"/>
              <w:rPr>
                <w:sz w:val="19"/>
                <w:szCs w:val="19"/>
                <w:color w:val="auto"/>
              </w:rPr>
            </w:pPr>
          </w:p>
        </w:tc>
        <w:tc>
          <w:tcPr>
            <w:tcW w:w="1340" w:type="dxa"/>
            <w:vAlign w:val="bottom"/>
            <w:tcBorders>
              <w:bottom w:val="single" w:sz="8" w:color="auto"/>
            </w:tcBorders>
          </w:tcPr>
          <w:p>
            <w:pPr>
              <w:jc w:val="right"/>
              <w:ind w:right="434"/>
              <w:spacing w:after="0"/>
              <w:rPr>
                <w:sz w:val="20"/>
                <w:szCs w:val="20"/>
                <w:color w:val="auto"/>
              </w:rPr>
            </w:pPr>
            <w:r>
              <w:rPr>
                <w:rFonts w:ascii="Arial" w:cs="Arial" w:eastAsia="Arial" w:hAnsi="Arial"/>
                <w:sz w:val="17"/>
                <w:szCs w:val="17"/>
                <w:b w:val="1"/>
                <w:bCs w:val="1"/>
                <w:color w:val="auto"/>
              </w:rPr>
              <w:t>2011</w:t>
            </w: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05"/>
        </w:trPr>
        <w:tc>
          <w:tcPr>
            <w:tcW w:w="1440" w:type="dxa"/>
            <w:vAlign w:val="bottom"/>
          </w:tcPr>
          <w:p>
            <w:pPr>
              <w:spacing w:after="0"/>
              <w:rPr>
                <w:sz w:val="17"/>
                <w:szCs w:val="17"/>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7"/>
                <w:szCs w:val="17"/>
                <w:color w:val="auto"/>
              </w:rPr>
              <w:t>Revenues</w:t>
            </w:r>
          </w:p>
        </w:tc>
        <w:tc>
          <w:tcPr>
            <w:tcW w:w="316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100.0%</w:t>
            </w:r>
          </w:p>
        </w:tc>
        <w:tc>
          <w:tcPr>
            <w:tcW w:w="15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100.0%</w:t>
            </w:r>
          </w:p>
        </w:tc>
        <w:tc>
          <w:tcPr>
            <w:tcW w:w="1420" w:type="dxa"/>
            <w:vAlign w:val="bottom"/>
          </w:tcPr>
          <w:p>
            <w:pPr>
              <w:spacing w:after="0"/>
              <w:rPr>
                <w:sz w:val="17"/>
                <w:szCs w:val="17"/>
                <w:color w:val="auto"/>
              </w:rPr>
            </w:pPr>
          </w:p>
        </w:tc>
      </w:tr>
      <w:tr>
        <w:trPr>
          <w:trHeight w:val="205"/>
        </w:trPr>
        <w:tc>
          <w:tcPr>
            <w:tcW w:w="1440" w:type="dxa"/>
            <w:vAlign w:val="bottom"/>
          </w:tcPr>
          <w:p>
            <w:pPr>
              <w:spacing w:after="0"/>
              <w:rPr>
                <w:sz w:val="17"/>
                <w:szCs w:val="17"/>
                <w:color w:val="auto"/>
              </w:rPr>
            </w:pPr>
          </w:p>
        </w:tc>
        <w:tc>
          <w:tcPr>
            <w:tcW w:w="3860" w:type="dxa"/>
            <w:vAlign w:val="bottom"/>
          </w:tcPr>
          <w:p>
            <w:pPr>
              <w:spacing w:after="0"/>
              <w:rPr>
                <w:sz w:val="20"/>
                <w:szCs w:val="20"/>
                <w:color w:val="auto"/>
              </w:rPr>
            </w:pPr>
            <w:r>
              <w:rPr>
                <w:rFonts w:ascii="Arial" w:cs="Arial" w:eastAsia="Arial" w:hAnsi="Arial"/>
                <w:sz w:val="17"/>
                <w:szCs w:val="17"/>
                <w:color w:val="auto"/>
              </w:rPr>
              <w:t>Gross Margin</w:t>
            </w:r>
          </w:p>
        </w:tc>
        <w:tc>
          <w:tcPr>
            <w:tcW w:w="2880" w:type="dxa"/>
            <w:vAlign w:val="bottom"/>
            <w:gridSpan w:val="2"/>
          </w:tcPr>
          <w:p>
            <w:pPr>
              <w:jc w:val="right"/>
              <w:spacing w:after="0"/>
              <w:rPr>
                <w:sz w:val="20"/>
                <w:szCs w:val="20"/>
                <w:color w:val="auto"/>
              </w:rPr>
            </w:pPr>
            <w:r>
              <w:rPr>
                <w:rFonts w:ascii="Arial" w:cs="Arial" w:eastAsia="Arial" w:hAnsi="Arial"/>
                <w:sz w:val="17"/>
                <w:szCs w:val="17"/>
                <w:color w:val="auto"/>
              </w:rPr>
              <w:t>77.1</w:t>
            </w:r>
          </w:p>
        </w:tc>
        <w:tc>
          <w:tcPr>
            <w:tcW w:w="2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79.1</w:t>
            </w: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5"/>
        </w:trPr>
        <w:tc>
          <w:tcPr>
            <w:tcW w:w="1440" w:type="dxa"/>
            <w:vAlign w:val="bottom"/>
          </w:tcPr>
          <w:p>
            <w:pPr>
              <w:spacing w:after="0"/>
              <w:rPr>
                <w:sz w:val="17"/>
                <w:szCs w:val="17"/>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7"/>
                <w:szCs w:val="17"/>
                <w:color w:val="auto"/>
              </w:rPr>
              <w:t>SG&amp;A</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59.1</w:t>
            </w:r>
          </w:p>
        </w:tc>
        <w:tc>
          <w:tcPr>
            <w:tcW w:w="28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56.7</w:t>
            </w:r>
          </w:p>
        </w:tc>
        <w:tc>
          <w:tcPr>
            <w:tcW w:w="200" w:type="dxa"/>
            <w:vAlign w:val="bottom"/>
            <w:shd w:val="clear" w:color="auto" w:fill="CCEEFF"/>
          </w:tcPr>
          <w:p>
            <w:pPr>
              <w:spacing w:after="0"/>
              <w:rPr>
                <w:sz w:val="17"/>
                <w:szCs w:val="17"/>
                <w:color w:val="auto"/>
              </w:rPr>
            </w:pPr>
          </w:p>
        </w:tc>
        <w:tc>
          <w:tcPr>
            <w:tcW w:w="1420" w:type="dxa"/>
            <w:vAlign w:val="bottom"/>
          </w:tcPr>
          <w:p>
            <w:pPr>
              <w:spacing w:after="0"/>
              <w:rPr>
                <w:sz w:val="17"/>
                <w:szCs w:val="17"/>
                <w:color w:val="auto"/>
              </w:rPr>
            </w:pPr>
          </w:p>
        </w:tc>
      </w:tr>
      <w:tr>
        <w:trPr>
          <w:trHeight w:val="205"/>
        </w:trPr>
        <w:tc>
          <w:tcPr>
            <w:tcW w:w="1440" w:type="dxa"/>
            <w:vAlign w:val="bottom"/>
          </w:tcPr>
          <w:p>
            <w:pPr>
              <w:spacing w:after="0"/>
              <w:rPr>
                <w:sz w:val="17"/>
                <w:szCs w:val="17"/>
                <w:color w:val="auto"/>
              </w:rPr>
            </w:pPr>
          </w:p>
        </w:tc>
        <w:tc>
          <w:tcPr>
            <w:tcW w:w="3860" w:type="dxa"/>
            <w:vAlign w:val="bottom"/>
          </w:tcPr>
          <w:p>
            <w:pPr>
              <w:spacing w:after="0"/>
              <w:rPr>
                <w:sz w:val="20"/>
                <w:szCs w:val="20"/>
                <w:color w:val="auto"/>
              </w:rPr>
            </w:pPr>
            <w:r>
              <w:rPr>
                <w:rFonts w:ascii="Arial" w:cs="Arial" w:eastAsia="Arial" w:hAnsi="Arial"/>
                <w:sz w:val="17"/>
                <w:szCs w:val="17"/>
                <w:color w:val="auto"/>
              </w:rPr>
              <w:t>R&amp;D</w:t>
            </w:r>
          </w:p>
        </w:tc>
        <w:tc>
          <w:tcPr>
            <w:tcW w:w="2880" w:type="dxa"/>
            <w:vAlign w:val="bottom"/>
            <w:gridSpan w:val="2"/>
          </w:tcPr>
          <w:p>
            <w:pPr>
              <w:jc w:val="right"/>
              <w:spacing w:after="0"/>
              <w:rPr>
                <w:sz w:val="20"/>
                <w:szCs w:val="20"/>
                <w:color w:val="auto"/>
              </w:rPr>
            </w:pPr>
            <w:r>
              <w:rPr>
                <w:rFonts w:ascii="Arial" w:cs="Arial" w:eastAsia="Arial" w:hAnsi="Arial"/>
                <w:sz w:val="17"/>
                <w:szCs w:val="17"/>
                <w:color w:val="auto"/>
              </w:rPr>
              <w:t>11.9</w:t>
            </w:r>
          </w:p>
        </w:tc>
        <w:tc>
          <w:tcPr>
            <w:tcW w:w="2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15.3</w:t>
            </w: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5"/>
        </w:trPr>
        <w:tc>
          <w:tcPr>
            <w:tcW w:w="1440" w:type="dxa"/>
            <w:vAlign w:val="bottom"/>
          </w:tcPr>
          <w:p>
            <w:pPr>
              <w:spacing w:after="0"/>
              <w:rPr>
                <w:sz w:val="17"/>
                <w:szCs w:val="17"/>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7"/>
                <w:szCs w:val="17"/>
                <w:color w:val="auto"/>
              </w:rPr>
              <w:t>Amortization of Intangible Assets</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8.6</w:t>
            </w:r>
          </w:p>
        </w:tc>
        <w:tc>
          <w:tcPr>
            <w:tcW w:w="28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w:t>
            </w:r>
          </w:p>
        </w:tc>
        <w:tc>
          <w:tcPr>
            <w:tcW w:w="200" w:type="dxa"/>
            <w:vAlign w:val="bottom"/>
            <w:shd w:val="clear" w:color="auto" w:fill="CCEEFF"/>
          </w:tcPr>
          <w:p>
            <w:pPr>
              <w:spacing w:after="0"/>
              <w:rPr>
                <w:sz w:val="17"/>
                <w:szCs w:val="17"/>
                <w:color w:val="auto"/>
              </w:rPr>
            </w:pPr>
          </w:p>
        </w:tc>
        <w:tc>
          <w:tcPr>
            <w:tcW w:w="1420" w:type="dxa"/>
            <w:vAlign w:val="bottom"/>
          </w:tcPr>
          <w:p>
            <w:pPr>
              <w:spacing w:after="0"/>
              <w:rPr>
                <w:sz w:val="17"/>
                <w:szCs w:val="17"/>
                <w:color w:val="auto"/>
              </w:rPr>
            </w:pPr>
          </w:p>
        </w:tc>
      </w:tr>
      <w:tr>
        <w:trPr>
          <w:trHeight w:val="205"/>
        </w:trPr>
        <w:tc>
          <w:tcPr>
            <w:tcW w:w="1440" w:type="dxa"/>
            <w:vAlign w:val="bottom"/>
          </w:tcPr>
          <w:p>
            <w:pPr>
              <w:spacing w:after="0"/>
              <w:rPr>
                <w:sz w:val="17"/>
                <w:szCs w:val="17"/>
                <w:color w:val="auto"/>
              </w:rPr>
            </w:pPr>
          </w:p>
        </w:tc>
        <w:tc>
          <w:tcPr>
            <w:tcW w:w="3860" w:type="dxa"/>
            <w:vAlign w:val="bottom"/>
          </w:tcPr>
          <w:p>
            <w:pPr>
              <w:spacing w:after="0"/>
              <w:rPr>
                <w:sz w:val="20"/>
                <w:szCs w:val="20"/>
                <w:color w:val="auto"/>
              </w:rPr>
            </w:pPr>
            <w:r>
              <w:rPr>
                <w:rFonts w:ascii="Arial" w:cs="Arial" w:eastAsia="Arial" w:hAnsi="Arial"/>
                <w:sz w:val="17"/>
                <w:szCs w:val="17"/>
                <w:color w:val="auto"/>
              </w:rPr>
              <w:t>Total Operating Expenses</w:t>
            </w:r>
          </w:p>
        </w:tc>
        <w:tc>
          <w:tcPr>
            <w:tcW w:w="2880" w:type="dxa"/>
            <w:vAlign w:val="bottom"/>
            <w:gridSpan w:val="2"/>
          </w:tcPr>
          <w:p>
            <w:pPr>
              <w:jc w:val="right"/>
              <w:spacing w:after="0"/>
              <w:rPr>
                <w:sz w:val="20"/>
                <w:szCs w:val="20"/>
                <w:color w:val="auto"/>
              </w:rPr>
            </w:pPr>
            <w:r>
              <w:rPr>
                <w:rFonts w:ascii="Arial" w:cs="Arial" w:eastAsia="Arial" w:hAnsi="Arial"/>
                <w:sz w:val="17"/>
                <w:szCs w:val="17"/>
                <w:color w:val="auto"/>
              </w:rPr>
              <w:t>79.7</w:t>
            </w:r>
          </w:p>
        </w:tc>
        <w:tc>
          <w:tcPr>
            <w:tcW w:w="2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78.2</w:t>
            </w: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5"/>
        </w:trPr>
        <w:tc>
          <w:tcPr>
            <w:tcW w:w="1440" w:type="dxa"/>
            <w:vAlign w:val="bottom"/>
          </w:tcPr>
          <w:p>
            <w:pPr>
              <w:spacing w:after="0"/>
              <w:rPr>
                <w:sz w:val="17"/>
                <w:szCs w:val="17"/>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7"/>
                <w:szCs w:val="17"/>
                <w:color w:val="auto"/>
              </w:rPr>
              <w:t>Interest, Mark to Market &amp; Original Issue Discount</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(9.9)</w:t>
            </w:r>
          </w:p>
        </w:tc>
        <w:tc>
          <w:tcPr>
            <w:tcW w:w="28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w:t>
            </w:r>
          </w:p>
        </w:tc>
        <w:tc>
          <w:tcPr>
            <w:tcW w:w="200" w:type="dxa"/>
            <w:vAlign w:val="bottom"/>
            <w:shd w:val="clear" w:color="auto" w:fill="CCEEFF"/>
          </w:tcPr>
          <w:p>
            <w:pPr>
              <w:spacing w:after="0"/>
              <w:rPr>
                <w:sz w:val="17"/>
                <w:szCs w:val="17"/>
                <w:color w:val="auto"/>
              </w:rPr>
            </w:pPr>
          </w:p>
        </w:tc>
        <w:tc>
          <w:tcPr>
            <w:tcW w:w="1420" w:type="dxa"/>
            <w:vAlign w:val="bottom"/>
          </w:tcPr>
          <w:p>
            <w:pPr>
              <w:spacing w:after="0"/>
              <w:rPr>
                <w:sz w:val="17"/>
                <w:szCs w:val="17"/>
                <w:color w:val="auto"/>
              </w:rPr>
            </w:pPr>
          </w:p>
        </w:tc>
      </w:tr>
      <w:tr>
        <w:trPr>
          <w:trHeight w:val="205"/>
        </w:trPr>
        <w:tc>
          <w:tcPr>
            <w:tcW w:w="1440" w:type="dxa"/>
            <w:vAlign w:val="bottom"/>
          </w:tcPr>
          <w:p>
            <w:pPr>
              <w:spacing w:after="0"/>
              <w:rPr>
                <w:sz w:val="17"/>
                <w:szCs w:val="17"/>
                <w:color w:val="auto"/>
              </w:rPr>
            </w:pPr>
          </w:p>
        </w:tc>
        <w:tc>
          <w:tcPr>
            <w:tcW w:w="3860" w:type="dxa"/>
            <w:vAlign w:val="bottom"/>
          </w:tcPr>
          <w:p>
            <w:pPr>
              <w:spacing w:after="0"/>
              <w:rPr>
                <w:sz w:val="20"/>
                <w:szCs w:val="20"/>
                <w:color w:val="auto"/>
              </w:rPr>
            </w:pPr>
            <w:r>
              <w:rPr>
                <w:rFonts w:ascii="Arial" w:cs="Arial" w:eastAsia="Arial" w:hAnsi="Arial"/>
                <w:sz w:val="17"/>
                <w:szCs w:val="17"/>
                <w:color w:val="auto"/>
              </w:rPr>
              <w:t>Other Income (Loss), Net</w:t>
            </w:r>
          </w:p>
        </w:tc>
        <w:tc>
          <w:tcPr>
            <w:tcW w:w="2880" w:type="dxa"/>
            <w:vAlign w:val="bottom"/>
            <w:gridSpan w:val="2"/>
          </w:tcPr>
          <w:p>
            <w:pPr>
              <w:jc w:val="right"/>
              <w:spacing w:after="0"/>
              <w:rPr>
                <w:sz w:val="20"/>
                <w:szCs w:val="20"/>
                <w:color w:val="auto"/>
              </w:rPr>
            </w:pPr>
            <w:r>
              <w:rPr>
                <w:rFonts w:ascii="Arial" w:cs="Arial" w:eastAsia="Arial" w:hAnsi="Arial"/>
                <w:sz w:val="17"/>
                <w:szCs w:val="17"/>
                <w:color w:val="auto"/>
              </w:rPr>
              <w:t>(2.7)</w:t>
            </w:r>
          </w:p>
        </w:tc>
        <w:tc>
          <w:tcPr>
            <w:tcW w:w="2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5"/>
        </w:trPr>
        <w:tc>
          <w:tcPr>
            <w:tcW w:w="1440" w:type="dxa"/>
            <w:vAlign w:val="bottom"/>
          </w:tcPr>
          <w:p>
            <w:pPr>
              <w:spacing w:after="0"/>
              <w:rPr>
                <w:sz w:val="17"/>
                <w:szCs w:val="17"/>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7"/>
                <w:szCs w:val="17"/>
                <w:color w:val="auto"/>
              </w:rPr>
              <w:t>Net Loss</w:t>
            </w:r>
          </w:p>
        </w:tc>
        <w:tc>
          <w:tcPr>
            <w:tcW w:w="316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(15.2)%</w:t>
            </w:r>
          </w:p>
        </w:tc>
        <w:tc>
          <w:tcPr>
            <w:tcW w:w="15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(5.9)%</w:t>
            </w:r>
          </w:p>
        </w:tc>
        <w:tc>
          <w:tcPr>
            <w:tcW w:w="1420" w:type="dxa"/>
            <w:vAlign w:val="bottom"/>
          </w:tcPr>
          <w:p>
            <w:pPr>
              <w:spacing w:after="0"/>
              <w:rPr>
                <w:sz w:val="17"/>
                <w:szCs w:val="17"/>
                <w:color w:val="auto"/>
              </w:rPr>
            </w:pPr>
          </w:p>
        </w:tc>
      </w:tr>
      <w:tr>
        <w:trPr>
          <w:trHeight w:val="551"/>
        </w:trPr>
        <w:tc>
          <w:tcPr>
            <w:tcW w:w="144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540" w:type="dxa"/>
            <w:vAlign w:val="bottom"/>
          </w:tcPr>
          <w:p>
            <w:pPr>
              <w:jc w:val="right"/>
              <w:ind w:right="954"/>
              <w:spacing w:after="0"/>
              <w:rPr>
                <w:sz w:val="20"/>
                <w:szCs w:val="20"/>
                <w:color w:val="auto"/>
              </w:rPr>
            </w:pPr>
            <w:r>
              <w:rPr>
                <w:rFonts w:ascii="Arial" w:cs="Arial" w:eastAsia="Arial" w:hAnsi="Arial"/>
                <w:sz w:val="17"/>
                <w:szCs w:val="17"/>
                <w:color w:val="auto"/>
              </w:rPr>
              <w:t>10</w:t>
            </w: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13"/>
        </w:trPr>
        <w:tc>
          <w:tcPr>
            <w:tcW w:w="1440" w:type="dxa"/>
            <w:vAlign w:val="bottom"/>
            <w:tcBorders>
              <w:bottom w:val="single" w:sz="8" w:color="808080"/>
            </w:tcBorders>
          </w:tcPr>
          <w:p>
            <w:pPr>
              <w:spacing w:after="0"/>
              <w:rPr>
                <w:sz w:val="9"/>
                <w:szCs w:val="9"/>
                <w:color w:val="auto"/>
              </w:rPr>
            </w:pPr>
          </w:p>
        </w:tc>
        <w:tc>
          <w:tcPr>
            <w:tcW w:w="3860" w:type="dxa"/>
            <w:vAlign w:val="bottom"/>
            <w:tcBorders>
              <w:bottom w:val="single" w:sz="8" w:color="808080"/>
            </w:tcBorders>
          </w:tcPr>
          <w:p>
            <w:pPr>
              <w:spacing w:after="0"/>
              <w:rPr>
                <w:sz w:val="9"/>
                <w:szCs w:val="9"/>
                <w:color w:val="auto"/>
              </w:rPr>
            </w:pPr>
          </w:p>
        </w:tc>
        <w:tc>
          <w:tcPr>
            <w:tcW w:w="154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21" w:lineRule="exact"/>
        <w:rPr>
          <w:sz w:val="20"/>
          <w:szCs w:val="20"/>
          <w:color w:val="auto"/>
        </w:rPr>
      </w:pPr>
    </w:p>
    <w:p>
      <w:pPr>
        <w:jc w:val="both"/>
        <w:ind w:firstLine="616"/>
        <w:spacing w:after="0" w:line="258" w:lineRule="auto"/>
        <w:rPr>
          <w:sz w:val="20"/>
          <w:szCs w:val="20"/>
          <w:color w:val="auto"/>
        </w:rPr>
      </w:pPr>
      <w:r>
        <w:rPr>
          <w:rFonts w:ascii="Arial" w:cs="Arial" w:eastAsia="Arial" w:hAnsi="Arial"/>
          <w:sz w:val="17"/>
          <w:szCs w:val="17"/>
          <w:color w:val="auto"/>
        </w:rPr>
        <w:t>Asure is a leading global provider of web-based workforce management solutions that enable organizations to manage their office environment as well as their human resource and payroll processes effectively and efficiently. Our software is delivered primarily as software-as-a-service, or SaaS, and on premise. Asure markets a suite of hardware products that enable time and facility management and are fully integrated with our software offerings. We also offer a wide range of professional services for implementation and customer customization. Our revenues consist of software subscription revenue, hardware revenue, maintenance revenue, onetime software license revenue and professional services revenue.</w:t>
      </w:r>
    </w:p>
    <w:p>
      <w:pPr>
        <w:spacing w:after="0" w:line="181" w:lineRule="exact"/>
        <w:rPr>
          <w:sz w:val="20"/>
          <w:szCs w:val="20"/>
          <w:color w:val="auto"/>
        </w:rPr>
      </w:pPr>
    </w:p>
    <w:p>
      <w:pPr>
        <w:jc w:val="both"/>
        <w:ind w:firstLine="616"/>
        <w:spacing w:after="0" w:line="260" w:lineRule="auto"/>
        <w:rPr>
          <w:sz w:val="20"/>
          <w:szCs w:val="20"/>
          <w:color w:val="auto"/>
        </w:rPr>
      </w:pPr>
      <w:r>
        <w:rPr>
          <w:rFonts w:ascii="Arial" w:cs="Arial" w:eastAsia="Arial" w:hAnsi="Arial"/>
          <w:sz w:val="17"/>
          <w:szCs w:val="17"/>
          <w:color w:val="auto"/>
        </w:rPr>
        <w:t>Through acquisitions in 2011 of ADI Software, LLC (“ADI”) and the WG Ross Corp., doing business as Legiant (“Legiant”), we expanded our cloud computing time and attendance software and management services business. Additionally in 2012, Asure acquired Meeting Maker – United States, Inc., doing business as PeopleCube (“PeopleCube”). The PeopleCube product line includes software that helps customers drive integrated facility management of offices, conference rooms, video conferencing, events and training, alternative workspaces and lobby use.</w:t>
      </w:r>
    </w:p>
    <w:p>
      <w:pPr>
        <w:spacing w:after="0" w:line="200" w:lineRule="exact"/>
        <w:rPr>
          <w:sz w:val="20"/>
          <w:szCs w:val="20"/>
          <w:color w:val="auto"/>
        </w:rPr>
      </w:pPr>
    </w:p>
    <w:p>
      <w:pPr>
        <w:spacing w:after="0" w:line="236" w:lineRule="exact"/>
        <w:rPr>
          <w:sz w:val="20"/>
          <w:szCs w:val="20"/>
          <w:color w:val="auto"/>
        </w:rPr>
      </w:pPr>
    </w:p>
    <w:p>
      <w:pPr>
        <w:jc w:val="both"/>
        <w:ind w:firstLine="616"/>
        <w:spacing w:after="0" w:line="278" w:lineRule="auto"/>
        <w:rPr>
          <w:sz w:val="20"/>
          <w:szCs w:val="20"/>
          <w:color w:val="auto"/>
        </w:rPr>
      </w:pPr>
      <w:r>
        <w:rPr>
          <w:rFonts w:ascii="Arial" w:cs="Arial" w:eastAsia="Arial" w:hAnsi="Arial"/>
          <w:sz w:val="16"/>
          <w:szCs w:val="16"/>
          <w:color w:val="auto"/>
        </w:rPr>
        <w:t>Our product offerings consist of AsureSpace™ workplace management solutions that enable organizations to manage their office environments and optimize real estate utilization, and AsureForce® time and labor management solutions which help organization optimize labor and labor administration costs and activities. We target our sales and marketing efforts to wide range of audiences, from small and medium-sized businesses to Fortune 500 companies and divisions of enterprise organizations throughout the United States, Europe and Asia/Pacific. We generate sales of our solutions through our direct sales teams and indirectly through our channel partners. We are expanding our investment in our direct sales teams to continue to address our market opportunity.</w:t>
      </w:r>
    </w:p>
    <w:p>
      <w:pPr>
        <w:spacing w:after="0" w:line="192" w:lineRule="exact"/>
        <w:rPr>
          <w:sz w:val="20"/>
          <w:szCs w:val="20"/>
          <w:color w:val="auto"/>
        </w:rPr>
      </w:pPr>
    </w:p>
    <w:p>
      <w:pPr>
        <w:jc w:val="both"/>
        <w:ind w:firstLine="616"/>
        <w:spacing w:after="0" w:line="306" w:lineRule="auto"/>
        <w:rPr>
          <w:sz w:val="20"/>
          <w:szCs w:val="20"/>
          <w:color w:val="auto"/>
        </w:rPr>
      </w:pPr>
      <w:r>
        <w:rPr>
          <w:rFonts w:ascii="Arial" w:cs="Arial" w:eastAsia="Arial" w:hAnsi="Arial"/>
          <w:sz w:val="15"/>
          <w:szCs w:val="15"/>
          <w:color w:val="auto"/>
        </w:rPr>
        <w:t>Asure plans to continue to target small and medium businesses and divisions of enterprises. In addition to continuing to develop its workforce management solutions and release new software updates and enhancements, we are continuing to actively explore other opportunities to acquire additional products or technologies to complement our current software and services. As the overall workforce management solutions market continues to experience significant growth in related to SaaS products, Asure intends to continue to focus on sales of our Meeting Room Manager, PeopleCube, and ADI SaaS-based products.</w:t>
      </w:r>
    </w:p>
    <w:p>
      <w:pPr>
        <w:spacing w:after="0" w:line="173" w:lineRule="exact"/>
        <w:rPr>
          <w:sz w:val="20"/>
          <w:szCs w:val="20"/>
          <w:color w:val="auto"/>
        </w:rPr>
      </w:pPr>
    </w:p>
    <w:p>
      <w:pPr>
        <w:jc w:val="both"/>
        <w:ind w:firstLine="616"/>
        <w:spacing w:after="0" w:line="310" w:lineRule="auto"/>
        <w:rPr>
          <w:sz w:val="20"/>
          <w:szCs w:val="20"/>
          <w:color w:val="auto"/>
        </w:rPr>
      </w:pPr>
      <w:r>
        <w:rPr>
          <w:rFonts w:ascii="Arial" w:cs="Arial" w:eastAsia="Arial" w:hAnsi="Arial"/>
          <w:sz w:val="16"/>
          <w:szCs w:val="16"/>
          <w:color w:val="auto"/>
        </w:rPr>
        <w:t>In April 2012, we effected a 3-for-2 stock split. We made cash payments based upon the closing price of our shares on the record date in lieu of the issuance of fractional shares. Share and per share information in this report, including in our financial statements, reflect the impact of the stock split.</w:t>
      </w:r>
    </w:p>
    <w:p>
      <w:pPr>
        <w:spacing w:after="0" w:line="166" w:lineRule="exact"/>
        <w:rPr>
          <w:sz w:val="20"/>
          <w:szCs w:val="20"/>
          <w:color w:val="auto"/>
        </w:rPr>
      </w:pPr>
    </w:p>
    <w:p>
      <w:pPr>
        <w:jc w:val="both"/>
        <w:ind w:firstLine="616"/>
        <w:spacing w:after="0" w:line="277" w:lineRule="auto"/>
        <w:rPr>
          <w:sz w:val="20"/>
          <w:szCs w:val="20"/>
          <w:color w:val="auto"/>
        </w:rPr>
      </w:pPr>
      <w:r>
        <w:rPr>
          <w:rFonts w:ascii="Arial" w:cs="Arial" w:eastAsia="Arial" w:hAnsi="Arial"/>
          <w:sz w:val="17"/>
          <w:szCs w:val="17"/>
          <w:color w:val="auto"/>
        </w:rPr>
        <w:t>On March 29, 2013, we amended our Senior Note Payable that provided for updated financial covenants in exchange for an increase in the floor interest rate from 10% to 11.5%. See Note 5 in the accompanying financial statements for more information.</w:t>
      </w:r>
    </w:p>
    <w:p>
      <w:pPr>
        <w:spacing w:after="0" w:line="191" w:lineRule="exact"/>
        <w:rPr>
          <w:sz w:val="20"/>
          <w:szCs w:val="20"/>
          <w:color w:val="auto"/>
        </w:rPr>
      </w:pPr>
    </w:p>
    <w:p>
      <w:pPr>
        <w:jc w:val="both"/>
        <w:ind w:firstLine="616"/>
        <w:spacing w:after="0" w:line="264" w:lineRule="auto"/>
        <w:rPr>
          <w:sz w:val="20"/>
          <w:szCs w:val="20"/>
          <w:color w:val="auto"/>
        </w:rPr>
      </w:pPr>
      <w:r>
        <w:rPr>
          <w:rFonts w:ascii="Arial" w:cs="Arial" w:eastAsia="Arial" w:hAnsi="Arial"/>
          <w:sz w:val="17"/>
          <w:szCs w:val="17"/>
          <w:color w:val="auto"/>
        </w:rPr>
        <w:t>Under the continued guidance and direction of our directors and Chief Executive Officer, Asure will continue to implement its corporate strategy for growing its software and services business. However, uncertainties and challenges remain and there can be no assurances that Asure can successfully grow its revenues or achieve profitability and positive cash flows during calendar year 2013.</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Revenues</w:t>
      </w:r>
    </w:p>
    <w:p>
      <w:pPr>
        <w:spacing w:after="0" w:line="247" w:lineRule="exact"/>
        <w:rPr>
          <w:sz w:val="20"/>
          <w:szCs w:val="20"/>
          <w:color w:val="auto"/>
        </w:rPr>
      </w:pPr>
    </w:p>
    <w:p>
      <w:pPr>
        <w:jc w:val="both"/>
        <w:ind w:firstLine="616"/>
        <w:spacing w:after="0" w:line="264" w:lineRule="auto"/>
        <w:rPr>
          <w:sz w:val="20"/>
          <w:szCs w:val="20"/>
          <w:color w:val="auto"/>
        </w:rPr>
      </w:pPr>
      <w:r>
        <w:rPr>
          <w:rFonts w:ascii="Arial" w:cs="Arial" w:eastAsia="Arial" w:hAnsi="Arial"/>
          <w:sz w:val="17"/>
          <w:szCs w:val="17"/>
          <w:color w:val="auto"/>
        </w:rPr>
        <w:t>Our revenues in 2012 were $20.0 million, as compared to $10.9 million for 2011. Revenues represent our consolidated revenues, including sales of our scheduling software, time and attendance and human resource software, complementary hardware devices to enhance our software products, software maintenance and support services, installation and training services and other professional services.</w:t>
      </w:r>
    </w:p>
    <w:p>
      <w:pPr>
        <w:spacing w:after="0" w:line="202" w:lineRule="exact"/>
        <w:rPr>
          <w:sz w:val="20"/>
          <w:szCs w:val="20"/>
          <w:color w:val="auto"/>
        </w:rPr>
      </w:pPr>
    </w:p>
    <w:p>
      <w:pPr>
        <w:jc w:val="both"/>
        <w:ind w:firstLine="616"/>
        <w:spacing w:after="0" w:line="256" w:lineRule="auto"/>
        <w:rPr>
          <w:sz w:val="20"/>
          <w:szCs w:val="20"/>
          <w:color w:val="auto"/>
        </w:rPr>
      </w:pPr>
      <w:r>
        <w:rPr>
          <w:rFonts w:ascii="Arial" w:cs="Arial" w:eastAsia="Arial" w:hAnsi="Arial"/>
          <w:sz w:val="17"/>
          <w:szCs w:val="17"/>
          <w:color w:val="auto"/>
        </w:rPr>
        <w:t>Revenues increased by $9.0 million, or 82%, in 2012 as compared to 2011. This revenue increase is due primarily to our ADI and Legiant acquisitions in the fourth quarter of 2011 and our PeopleCube acquisition in July 2012. We attribute $5.3 million of the revenue increase to the full year of ADI and Legiant revenues, consisting of $2.0 million increase in software subscription revenue, $1.4 million in hardware revenue, $1.3 million in maintenance revenue, $443,000 in onetime software license revenue and $222,000 in professional services revenue. We attribute $3.8 million of the revenue increase to six months of revenues from PeopleCube, consisting primarily of $1.6 million in software subscription revenue, $1.2 million in maintenance revenue, $637,000 in professional services revenue, $180,000 in onetime software license revenue and $138,000 in hardware revenue. iEmployee and Meeting Room Manager software solutions revenues remained level at $9.6 million for 2012 and 2011.</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91" w:lineRule="exact"/>
        <w:rPr>
          <w:sz w:val="20"/>
          <w:szCs w:val="20"/>
          <w:color w:val="auto"/>
        </w:rPr>
      </w:pPr>
    </w:p>
    <w:p>
      <w:pPr>
        <w:jc w:val="both"/>
        <w:ind w:firstLine="616"/>
        <w:spacing w:after="0" w:line="260" w:lineRule="auto"/>
        <w:rPr>
          <w:sz w:val="20"/>
          <w:szCs w:val="20"/>
          <w:color w:val="auto"/>
        </w:rPr>
      </w:pPr>
      <w:r>
        <w:rPr>
          <w:rFonts w:ascii="Arial" w:cs="Arial" w:eastAsia="Arial" w:hAnsi="Arial"/>
          <w:sz w:val="17"/>
          <w:szCs w:val="17"/>
          <w:color w:val="auto"/>
        </w:rPr>
        <w:t>Meeting Room Manager revenues were $5.2 million in 2012. This compares to revenues of $4.9 million in 2011. iEmployee revenues were $4.4 million in 2012, as compared to $4.7 million in 2011. Meeting Room Manager revenues increased $296,000 overall from 2011 and iEmployee revenues decreased $333,000 from 2011, primarily driven by an increase in our “cloud-based” software subscriptions and a decrease in our software licenses, as we focused more on Asure’s cloud-based software solutions.</w:t>
      </w:r>
    </w:p>
    <w:p>
      <w:pPr>
        <w:spacing w:after="0" w:line="205" w:lineRule="exact"/>
        <w:rPr>
          <w:sz w:val="20"/>
          <w:szCs w:val="20"/>
          <w:color w:val="auto"/>
        </w:rPr>
      </w:pPr>
    </w:p>
    <w:p>
      <w:pPr>
        <w:jc w:val="both"/>
        <w:ind w:firstLine="616"/>
        <w:spacing w:after="0" w:line="255" w:lineRule="auto"/>
        <w:rPr>
          <w:sz w:val="20"/>
          <w:szCs w:val="20"/>
          <w:color w:val="auto"/>
        </w:rPr>
      </w:pPr>
      <w:r>
        <w:rPr>
          <w:rFonts w:ascii="Arial" w:cs="Arial" w:eastAsia="Arial" w:hAnsi="Arial"/>
          <w:sz w:val="17"/>
          <w:szCs w:val="17"/>
          <w:color w:val="auto"/>
        </w:rPr>
        <w:t>We deliver our software to customers under the SaaS model on a subscription basis. In recent times, this type of software subscription has become known as “cloud-based” software subscriptions in addition to being referred to as a SaaS model. When purchasing any of Asure’s cloud-based software solutions, customers do not need to install or maintain the software on their own servers. Additionally, purchasing an annual subscription may not require as stringent approval requirements as purchasing a perpetual license. Thus, we believe that purchasing our products on a subscription basis is becoming more appealing to customers as they try to meet operational goals while reducing capital expenditures. Our Meeting Room Manager cloud-based software subscription revenue for 2012 increased $578,000, or 47%, over 2011 revenues, while our Meeting Room Manager software license revenues decreased $518,000, or 55%, as compared to 2011. iEmployee software subscription revenue decreased by $223,000, or 5%. This was due to turning focus away from the iEmployee software subscription product and focusing on the ADI software subscription solutions. We attribute our Meeting Room Manager software subscription increases to a combination of new sales and the accretive nature of recurring subscription revenue.</w:t>
      </w:r>
    </w:p>
    <w:p>
      <w:pPr>
        <w:spacing w:after="0" w:line="210" w:lineRule="exact"/>
        <w:rPr>
          <w:sz w:val="20"/>
          <w:szCs w:val="20"/>
          <w:color w:val="auto"/>
        </w:rPr>
      </w:pPr>
    </w:p>
    <w:p>
      <w:pPr>
        <w:jc w:val="both"/>
        <w:ind w:firstLine="616"/>
        <w:spacing w:after="0" w:line="276" w:lineRule="auto"/>
        <w:rPr>
          <w:sz w:val="20"/>
          <w:szCs w:val="20"/>
          <w:color w:val="auto"/>
        </w:rPr>
      </w:pPr>
      <w:r>
        <w:rPr>
          <w:rFonts w:ascii="Arial" w:cs="Arial" w:eastAsia="Arial" w:hAnsi="Arial"/>
          <w:sz w:val="16"/>
          <w:szCs w:val="16"/>
          <w:color w:val="auto"/>
        </w:rPr>
        <w:t>During 2012, software license revenues increased $105,000 as compared 2011. The full year of revenues for ADI and Legiant contributed to $443,000 of this increase. PeopleCube comprised $180,000 of the increase. Meeting Room Manager software license revenues decreased $518,000, or 55%, as compared to 2011.The Company continues to focus efforts on the repetitive nature of its Meeting Room Manager On Demand software subscription product as an alternative to the one time nature of its perpetual, in-house software solution. Meeting Room Manager software license revenues contributed $420,000 to software license revenue in 2012, PeopleCube contributed $180,000 and ADI and Legiant contributed $422,000 and $189,000, respectively. We continue to focus our efforts on obtaining software subscription revenue from our direct customers, as opposed to onetime software license revenue.</w:t>
      </w:r>
    </w:p>
    <w:p>
      <w:pPr>
        <w:spacing w:after="0" w:line="194" w:lineRule="exact"/>
        <w:rPr>
          <w:sz w:val="20"/>
          <w:szCs w:val="20"/>
          <w:color w:val="auto"/>
        </w:rPr>
      </w:pPr>
    </w:p>
    <w:p>
      <w:pPr>
        <w:jc w:val="both"/>
        <w:ind w:firstLine="616"/>
        <w:spacing w:after="0" w:line="264" w:lineRule="auto"/>
        <w:rPr>
          <w:sz w:val="20"/>
          <w:szCs w:val="20"/>
          <w:color w:val="auto"/>
        </w:rPr>
      </w:pPr>
      <w:r>
        <w:rPr>
          <w:rFonts w:ascii="Arial" w:cs="Arial" w:eastAsia="Arial" w:hAnsi="Arial"/>
          <w:sz w:val="17"/>
          <w:szCs w:val="17"/>
          <w:color w:val="auto"/>
        </w:rPr>
        <w:t>During 2012, hardware revenues increased $1.5 million over 2011. We attribute this increase principally to the $1.4 million increase of full year ADI and Legiant hardware revenues, along with $138,000 in PeopleCube hardware revenues for 2012. For iEmployee and Meeting Room Manager, our hardware revenue remained steady at approximately $200,000 in 2012.</w:t>
      </w:r>
    </w:p>
    <w:p>
      <w:pPr>
        <w:spacing w:after="0" w:line="202" w:lineRule="exact"/>
        <w:rPr>
          <w:sz w:val="20"/>
          <w:szCs w:val="20"/>
          <w:color w:val="auto"/>
        </w:rPr>
      </w:pPr>
    </w:p>
    <w:p>
      <w:pPr>
        <w:jc w:val="both"/>
        <w:ind w:firstLine="616"/>
        <w:spacing w:after="0" w:line="281" w:lineRule="auto"/>
        <w:rPr>
          <w:sz w:val="20"/>
          <w:szCs w:val="20"/>
          <w:color w:val="auto"/>
        </w:rPr>
      </w:pPr>
      <w:r>
        <w:rPr>
          <w:rFonts w:ascii="Arial" w:cs="Arial" w:eastAsia="Arial" w:hAnsi="Arial"/>
          <w:sz w:val="16"/>
          <w:szCs w:val="16"/>
          <w:color w:val="auto"/>
        </w:rPr>
        <w:t>During 2012, maintenance revenue increased by $2.4 million. ADI and Legiant contributed $1.3 million to this increase. Peoplecube had $1.2 million of maintenance revenue in 2012, offset by a slight decrease in iEmployee and Meeting Room Manager maintenance revenue of $90,000 as compared to 2011. Contributing to this overall increase was new onetime license sales, and aggressive focus on both retaining and winning back maintenance customers, as well as the continued enforcement of our auto-renew provision (absent sufficient notice) to our annual maintenance contracts.</w:t>
      </w:r>
    </w:p>
    <w:p>
      <w:pPr>
        <w:spacing w:after="0" w:line="165" w:lineRule="exact"/>
        <w:rPr>
          <w:sz w:val="20"/>
          <w:szCs w:val="20"/>
          <w:color w:val="auto"/>
        </w:rPr>
      </w:pPr>
    </w:p>
    <w:p>
      <w:pPr>
        <w:jc w:val="both"/>
        <w:ind w:firstLine="616"/>
        <w:spacing w:after="0" w:line="264" w:lineRule="auto"/>
        <w:rPr>
          <w:sz w:val="20"/>
          <w:szCs w:val="20"/>
          <w:color w:val="auto"/>
        </w:rPr>
      </w:pPr>
      <w:r>
        <w:rPr>
          <w:rFonts w:ascii="Arial" w:cs="Arial" w:eastAsia="Arial" w:hAnsi="Arial"/>
          <w:sz w:val="17"/>
          <w:szCs w:val="17"/>
          <w:color w:val="auto"/>
        </w:rPr>
        <w:t>Professional services revenue increased $1.1 million in 2012 over 2011. ADI and Legiant contributed $222,000 to this increase. PeopleCube had $637,000 of professional services revenue in 2012. iEmployee and Meeting Room Manager professional services revenue increased $258,000 in 2012 as compared to 2011, reflecting price increases which were initiated in early 2012.</w:t>
      </w:r>
    </w:p>
    <w:p>
      <w:pPr>
        <w:spacing w:after="0" w:line="202" w:lineRule="exact"/>
        <w:rPr>
          <w:sz w:val="20"/>
          <w:szCs w:val="20"/>
          <w:color w:val="auto"/>
        </w:rPr>
      </w:pPr>
    </w:p>
    <w:p>
      <w:pPr>
        <w:jc w:val="both"/>
        <w:ind w:firstLine="616"/>
        <w:spacing w:after="0" w:line="258" w:lineRule="auto"/>
        <w:rPr>
          <w:sz w:val="20"/>
          <w:szCs w:val="20"/>
          <w:color w:val="auto"/>
        </w:rPr>
      </w:pPr>
      <w:r>
        <w:rPr>
          <w:rFonts w:ascii="Arial" w:cs="Arial" w:eastAsia="Arial" w:hAnsi="Arial"/>
          <w:sz w:val="17"/>
          <w:szCs w:val="17"/>
          <w:color w:val="auto"/>
        </w:rPr>
        <w:t>Although our sales are concentrated in certain industries, including corporate, education, healthcare, governmental, legal and non-profit, our total customer base is widely spread across industries. Geographically, we sell our products worldwide, but sales are largely concentrated in the United States and Canada. Additionally, Asure has a distribution partner in Australia. For 2012, Asure continued to target small and medium businesses and divisions of enterprises in these same industries. As the overall workforce management solutions market continues to experience significant growth related to SaaS products, Asure will continue to focus on sales of its Meeting Room Manager On Demand, PeopleCube and ADI SaaS products.</w:t>
      </w:r>
    </w:p>
    <w:p>
      <w:pPr>
        <w:spacing w:after="0" w:line="207" w:lineRule="exact"/>
        <w:rPr>
          <w:sz w:val="20"/>
          <w:szCs w:val="20"/>
          <w:color w:val="auto"/>
        </w:rPr>
      </w:pPr>
    </w:p>
    <w:p>
      <w:pPr>
        <w:jc w:val="both"/>
        <w:ind w:firstLine="616"/>
        <w:spacing w:after="0" w:line="258" w:lineRule="auto"/>
        <w:rPr>
          <w:sz w:val="20"/>
          <w:szCs w:val="20"/>
          <w:color w:val="auto"/>
        </w:rPr>
      </w:pPr>
      <w:r>
        <w:rPr>
          <w:rFonts w:ascii="Arial" w:cs="Arial" w:eastAsia="Arial" w:hAnsi="Arial"/>
          <w:sz w:val="17"/>
          <w:szCs w:val="17"/>
          <w:color w:val="auto"/>
        </w:rPr>
        <w:t>In addition to continuing to develop our workforce management solutions and release new software updates and enhancements, we continue to actively explore other opportunities to acquire additional products or technologies to complement our current software and services. Through acquisitions in 2011 of ADI and Legiant, we expanded our cloud computing time and attendance software and management services business. The 2012 acquisition of PeopleCube gave Asure a product line that includes software to assist customers in driving integrated facility management of offices, conference rooms, video conferencing, events and training, alternative workspaces and lobby use.</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Gross Margin</w:t>
      </w:r>
    </w:p>
    <w:p>
      <w:pPr>
        <w:spacing w:after="0" w:line="247" w:lineRule="exact"/>
        <w:rPr>
          <w:sz w:val="20"/>
          <w:szCs w:val="20"/>
          <w:color w:val="auto"/>
        </w:rPr>
      </w:pPr>
    </w:p>
    <w:p>
      <w:pPr>
        <w:jc w:val="both"/>
        <w:ind w:firstLine="616"/>
        <w:spacing w:after="0" w:line="277" w:lineRule="auto"/>
        <w:rPr>
          <w:sz w:val="20"/>
          <w:szCs w:val="20"/>
          <w:color w:val="auto"/>
        </w:rPr>
      </w:pPr>
      <w:r>
        <w:rPr>
          <w:rFonts w:ascii="Arial" w:cs="Arial" w:eastAsia="Arial" w:hAnsi="Arial"/>
          <w:sz w:val="17"/>
          <w:szCs w:val="17"/>
          <w:color w:val="auto"/>
        </w:rPr>
        <w:t>Consolidated gross margin was $15.4 million in 2012 and $8.7 million in 2011, an increase of $6.7 million, or 77%. Consolidated gross margin percentages were 77.1% for 2012 and 79.1% for 2011.</w:t>
      </w:r>
    </w:p>
    <w:p>
      <w:pPr>
        <w:spacing w:after="0" w:line="191" w:lineRule="exact"/>
        <w:rPr>
          <w:sz w:val="20"/>
          <w:szCs w:val="20"/>
          <w:color w:val="auto"/>
        </w:rPr>
      </w:pPr>
    </w:p>
    <w:p>
      <w:pPr>
        <w:jc w:val="both"/>
        <w:ind w:firstLine="616"/>
        <w:spacing w:after="0" w:line="301" w:lineRule="auto"/>
        <w:rPr>
          <w:sz w:val="20"/>
          <w:szCs w:val="20"/>
          <w:color w:val="auto"/>
        </w:rPr>
      </w:pPr>
      <w:r>
        <w:rPr>
          <w:rFonts w:ascii="Arial" w:cs="Arial" w:eastAsia="Arial" w:hAnsi="Arial"/>
          <w:sz w:val="15"/>
          <w:szCs w:val="15"/>
          <w:color w:val="auto"/>
        </w:rPr>
        <w:t>Our cost of sales relates primarily to compensation and related consulting expenses, hardware expenses and the amortization of our purchased software development costs. These expenses represented approximately 76% and 79% of the total cost of sales for 2012 and 2011, respectively. These expenses increased approximately $1.6 million in 2012 over 2011 levels, or 91%, due primarily to our 2011 and 2012 acquisitions. Salary expense increased $622,000, primarily due to a full year of ADI and Legiant salaries of $475,000 and PeopleCube salaries of $239,000 offset by a reduction in iEmployee and Meeting Room Manager salaries of $91,000 as compared to 2011. We include intangible amortization related to developed and acquired technology within cost of sales.</w:t>
      </w:r>
    </w:p>
    <w:p>
      <w:pPr>
        <w:spacing w:after="0" w:line="15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During 2013, we expect to continue proactively managing our cost of sales by maximizing efficiencies throughout our company.</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Selling, General and Administrative</w:t>
      </w:r>
    </w:p>
    <w:p>
      <w:pPr>
        <w:spacing w:after="0" w:line="247" w:lineRule="exact"/>
        <w:rPr>
          <w:sz w:val="20"/>
          <w:szCs w:val="20"/>
          <w:color w:val="auto"/>
        </w:rPr>
      </w:pPr>
    </w:p>
    <w:p>
      <w:pPr>
        <w:jc w:val="both"/>
        <w:ind w:firstLine="616"/>
        <w:spacing w:after="0" w:line="277" w:lineRule="auto"/>
        <w:rPr>
          <w:sz w:val="20"/>
          <w:szCs w:val="20"/>
          <w:color w:val="auto"/>
        </w:rPr>
      </w:pPr>
      <w:r>
        <w:rPr>
          <w:rFonts w:ascii="Arial" w:cs="Arial" w:eastAsia="Arial" w:hAnsi="Arial"/>
          <w:sz w:val="17"/>
          <w:szCs w:val="17"/>
          <w:color w:val="auto"/>
        </w:rPr>
        <w:t>Selling, general and administrative (“SG&amp;A”) expenses were $11.8 million in 2012 and $6.2 million in 2011, an increase of $5.6 million, or 90%. SG&amp;A expenses were 59.1% and 56.7% of total revenues for 2012 and 2011, respectively.</w:t>
      </w:r>
    </w:p>
    <w:p>
      <w:pPr>
        <w:spacing w:after="0" w:line="165" w:lineRule="exact"/>
        <w:rPr>
          <w:sz w:val="20"/>
          <w:szCs w:val="20"/>
          <w:color w:val="auto"/>
        </w:rPr>
      </w:pPr>
    </w:p>
    <w:p>
      <w:pPr>
        <w:jc w:val="both"/>
        <w:ind w:firstLine="616"/>
        <w:spacing w:after="0" w:line="258" w:lineRule="auto"/>
        <w:rPr>
          <w:sz w:val="20"/>
          <w:szCs w:val="20"/>
          <w:color w:val="auto"/>
        </w:rPr>
      </w:pPr>
      <w:r>
        <w:rPr>
          <w:rFonts w:ascii="Arial" w:cs="Arial" w:eastAsia="Arial" w:hAnsi="Arial"/>
          <w:sz w:val="17"/>
          <w:szCs w:val="17"/>
          <w:color w:val="auto"/>
        </w:rPr>
        <w:t>The $5.6 million increase is primarily due to approximately $3.4 million of PeopleCube expenses, which business we acquired in the third quarter of 2012, as well as a full year of ADI and Legiant expenses, or approximately $1.6 million, which business we acquired in the fourth quarter of 2011. The remaining increase is comprised of higher legal fees of approximately $260,000, increased audit fees of approximately $153,000 and increased professional consulting fees of approximately $237,000 that we attribute to expenses of our April 2012 stock split, fees related to our new debt agreement and fees related to the PeopleCube acquisition.</w:t>
      </w:r>
    </w:p>
    <w:p>
      <w:pPr>
        <w:spacing w:after="0" w:line="207" w:lineRule="exact"/>
        <w:rPr>
          <w:sz w:val="20"/>
          <w:szCs w:val="20"/>
          <w:color w:val="auto"/>
        </w:rPr>
      </w:pPr>
    </w:p>
    <w:p>
      <w:pPr>
        <w:jc w:val="both"/>
        <w:ind w:firstLine="616"/>
        <w:spacing w:after="0" w:line="277" w:lineRule="auto"/>
        <w:rPr>
          <w:sz w:val="20"/>
          <w:szCs w:val="20"/>
          <w:color w:val="auto"/>
        </w:rPr>
      </w:pPr>
      <w:r>
        <w:rPr>
          <w:rFonts w:ascii="Arial" w:cs="Arial" w:eastAsia="Arial" w:hAnsi="Arial"/>
          <w:sz w:val="17"/>
          <w:szCs w:val="17"/>
          <w:color w:val="auto"/>
        </w:rPr>
        <w:t>We will incur significant additional legal expenses and/or professional services-related expenses in the future if we pursue further acquisitions of products or businesses, even if we ultimately do not consummate any acquisition.</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Research and Development</w:t>
      </w:r>
    </w:p>
    <w:p>
      <w:pPr>
        <w:spacing w:after="0" w:line="247" w:lineRule="exact"/>
        <w:rPr>
          <w:sz w:val="20"/>
          <w:szCs w:val="20"/>
          <w:color w:val="auto"/>
        </w:rPr>
      </w:pPr>
    </w:p>
    <w:p>
      <w:pPr>
        <w:jc w:val="both"/>
        <w:ind w:firstLine="616"/>
        <w:spacing w:after="0" w:line="277" w:lineRule="auto"/>
        <w:rPr>
          <w:sz w:val="20"/>
          <w:szCs w:val="20"/>
          <w:color w:val="auto"/>
        </w:rPr>
      </w:pPr>
      <w:r>
        <w:rPr>
          <w:rFonts w:ascii="Arial" w:cs="Arial" w:eastAsia="Arial" w:hAnsi="Arial"/>
          <w:sz w:val="17"/>
          <w:szCs w:val="17"/>
          <w:color w:val="auto"/>
        </w:rPr>
        <w:t>Research and development (“R&amp;D”) expenses were $2.4 million in 2012 and $1.7 million in 2011, an increase of $700,000 or 41.2%. R&amp;D expenses were 11.9% and 15.3% of revenues in 2012 and 2011, respectively.</w:t>
      </w:r>
    </w:p>
    <w:p>
      <w:pPr>
        <w:spacing w:after="0" w:line="191" w:lineRule="exact"/>
        <w:rPr>
          <w:sz w:val="20"/>
          <w:szCs w:val="20"/>
          <w:color w:val="auto"/>
        </w:rPr>
      </w:pPr>
    </w:p>
    <w:p>
      <w:pPr>
        <w:jc w:val="both"/>
        <w:ind w:firstLine="616"/>
        <w:spacing w:after="0" w:line="310" w:lineRule="auto"/>
        <w:rPr>
          <w:sz w:val="20"/>
          <w:szCs w:val="20"/>
          <w:color w:val="auto"/>
        </w:rPr>
      </w:pPr>
      <w:r>
        <w:rPr>
          <w:rFonts w:ascii="Arial" w:cs="Arial" w:eastAsia="Arial" w:hAnsi="Arial"/>
          <w:sz w:val="16"/>
          <w:szCs w:val="16"/>
          <w:color w:val="auto"/>
        </w:rPr>
        <w:t>The $700,000 increase is primarily due to a full year of ADI and Legiant R&amp;D expenses of $755,000 and PeopleCube R&amp;D expenses of approximately $148,000 in 2012, offset by a decrease of $205,000 in salaries and rent expenses due to closure of our India and Canada operations in 2012.</w:t>
      </w:r>
    </w:p>
    <w:p>
      <w:pPr>
        <w:spacing w:after="0" w:line="166" w:lineRule="exact"/>
        <w:rPr>
          <w:sz w:val="20"/>
          <w:szCs w:val="20"/>
          <w:color w:val="auto"/>
        </w:rPr>
      </w:pPr>
    </w:p>
    <w:p>
      <w:pPr>
        <w:jc w:val="both"/>
        <w:ind w:firstLine="616"/>
        <w:spacing w:after="0" w:line="278" w:lineRule="auto"/>
        <w:rPr>
          <w:sz w:val="20"/>
          <w:szCs w:val="20"/>
          <w:color w:val="auto"/>
        </w:rPr>
      </w:pPr>
      <w:r>
        <w:rPr>
          <w:rFonts w:ascii="Arial" w:cs="Arial" w:eastAsia="Arial" w:hAnsi="Arial"/>
          <w:sz w:val="16"/>
          <w:szCs w:val="16"/>
          <w:color w:val="auto"/>
        </w:rPr>
        <w:t>We continue to improve its products and technologies through organic improvements and through acquired intellectual property. The workforce product line continued to innovate by adding mobile solutions, world class SaaS hosting infrastructure and a proprietary time clock product set. The proprietary time clock product set includes multiple models which incorporate keypad and touch screen user interfaces, as well as proximity card, bar code card, and biometric data input. The workforce software product lines continued to evolve through quarterly feature releases and monthly maintenance releases. These product releases continued to serve client requests, and maintain in management’s view a technological edge with competition.</w:t>
      </w:r>
    </w:p>
    <w:p>
      <w:pPr>
        <w:spacing w:after="0" w:line="192" w:lineRule="exact"/>
        <w:rPr>
          <w:sz w:val="20"/>
          <w:szCs w:val="20"/>
          <w:color w:val="auto"/>
        </w:rPr>
      </w:pPr>
    </w:p>
    <w:p>
      <w:pPr>
        <w:jc w:val="both"/>
        <w:ind w:firstLine="616"/>
        <w:spacing w:after="0" w:line="264" w:lineRule="auto"/>
        <w:rPr>
          <w:sz w:val="20"/>
          <w:szCs w:val="20"/>
          <w:color w:val="auto"/>
        </w:rPr>
      </w:pPr>
      <w:r>
        <w:rPr>
          <w:rFonts w:ascii="Arial" w:cs="Arial" w:eastAsia="Arial" w:hAnsi="Arial"/>
          <w:sz w:val="17"/>
          <w:szCs w:val="17"/>
          <w:color w:val="auto"/>
        </w:rPr>
        <w:t>Additionally, we continue to develop Meeting Room Manager and released in June 2012 a new version that enhanced the Microsoft Outlook Plug-in, Web and Interactive LCD interfaces, allowed assigned delegates the ability to schedule meetings on behalf of others, and provided more sophisticated conflict resolution options for scheduling recurring meetings via Microsoft Outlook</w:t>
      </w:r>
    </w:p>
    <w:p>
      <w:pPr>
        <w:spacing w:after="0" w:line="176" w:lineRule="exact"/>
        <w:rPr>
          <w:sz w:val="20"/>
          <w:szCs w:val="20"/>
          <w:color w:val="auto"/>
        </w:rPr>
      </w:pPr>
    </w:p>
    <w:p>
      <w:pPr>
        <w:jc w:val="both"/>
        <w:ind w:firstLine="616"/>
        <w:spacing w:after="0" w:line="277" w:lineRule="auto"/>
        <w:rPr>
          <w:sz w:val="20"/>
          <w:szCs w:val="20"/>
          <w:color w:val="auto"/>
        </w:rPr>
      </w:pPr>
      <w:r>
        <w:rPr>
          <w:rFonts w:ascii="Arial" w:cs="Arial" w:eastAsia="Arial" w:hAnsi="Arial"/>
          <w:sz w:val="17"/>
          <w:szCs w:val="17"/>
          <w:color w:val="auto"/>
        </w:rPr>
        <w:t>Our development efforts for future releases and enhancements are driven by feedback received from its existing and potential customers and by gauging market trends. We believe it has the appropriate development team to design and further improve its workforce management solutions.</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Amortization of Intangible Assets</w:t>
      </w:r>
    </w:p>
    <w:p>
      <w:pPr>
        <w:spacing w:after="0" w:line="247" w:lineRule="exact"/>
        <w:rPr>
          <w:sz w:val="20"/>
          <w:szCs w:val="20"/>
          <w:color w:val="auto"/>
        </w:rPr>
      </w:pPr>
    </w:p>
    <w:p>
      <w:pPr>
        <w:jc w:val="both"/>
        <w:ind w:firstLine="616"/>
        <w:spacing w:after="0" w:line="264" w:lineRule="auto"/>
        <w:rPr>
          <w:sz w:val="20"/>
          <w:szCs w:val="20"/>
          <w:color w:val="auto"/>
        </w:rPr>
      </w:pPr>
      <w:r>
        <w:rPr>
          <w:rFonts w:ascii="Arial" w:cs="Arial" w:eastAsia="Arial" w:hAnsi="Arial"/>
          <w:sz w:val="17"/>
          <w:szCs w:val="17"/>
          <w:color w:val="auto"/>
        </w:rPr>
        <w:t>Amortization expenses were $1.7 million, or 8.6% of revenues, in 2012 as compared to $680,000, or 6.2% of revenues, in 2011. Amortization expenses relate to the acquisitions of ADI and Legiant in the fourth quarter of 2011 and the acquisition of PeopleCube in the third quarter of 2012 (see Note 6, in the accompanying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Income and Loss</w:t>
      </w:r>
    </w:p>
    <w:p>
      <w:pPr>
        <w:spacing w:after="0" w:line="247" w:lineRule="exact"/>
        <w:rPr>
          <w:sz w:val="20"/>
          <w:szCs w:val="20"/>
          <w:color w:val="auto"/>
        </w:rPr>
      </w:pPr>
    </w:p>
    <w:p>
      <w:pPr>
        <w:jc w:val="both"/>
        <w:ind w:firstLine="616"/>
        <w:spacing w:after="0" w:line="277" w:lineRule="auto"/>
        <w:rPr>
          <w:sz w:val="20"/>
          <w:szCs w:val="20"/>
          <w:color w:val="auto"/>
        </w:rPr>
      </w:pPr>
      <w:r>
        <w:rPr>
          <w:rFonts w:ascii="Arial" w:cs="Arial" w:eastAsia="Arial" w:hAnsi="Arial"/>
          <w:sz w:val="17"/>
          <w:szCs w:val="17"/>
          <w:color w:val="auto"/>
        </w:rPr>
        <w:t>Other Loss was $2.2 million for the year ended 2012 as compared to $668,000 in the year ended 2011. Other Loss in 2012 is primarily comprised of interest expense and amortization of original issue discount from acquisition-related debt.</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Income Taxes</w:t>
      </w:r>
    </w:p>
    <w:p>
      <w:pPr>
        <w:spacing w:after="0" w:line="247" w:lineRule="exact"/>
        <w:rPr>
          <w:sz w:val="20"/>
          <w:szCs w:val="20"/>
          <w:color w:val="auto"/>
        </w:rPr>
      </w:pPr>
    </w:p>
    <w:p>
      <w:pPr>
        <w:jc w:val="both"/>
        <w:ind w:firstLine="616"/>
        <w:spacing w:after="0" w:line="264" w:lineRule="auto"/>
        <w:rPr>
          <w:sz w:val="20"/>
          <w:szCs w:val="20"/>
          <w:color w:val="auto"/>
        </w:rPr>
      </w:pPr>
      <w:r>
        <w:rPr>
          <w:rFonts w:ascii="Arial" w:cs="Arial" w:eastAsia="Arial" w:hAnsi="Arial"/>
          <w:sz w:val="17"/>
          <w:szCs w:val="17"/>
          <w:color w:val="auto"/>
        </w:rPr>
        <w:t>At December 31, 2012, we had federal net operating loss carryforwards of approximately $118.1 million, R&amp;D credit carryforwards of approximately $4.8 million and alternative minimum tax credit carryforwards of approximately $161,000. The net operating loss and R&amp;D credit carryforwards will expire in varying amounts from 2013 through 2033, if not utilized. Minimum tax credit carryforwards carry forward indefinitely.</w:t>
      </w:r>
    </w:p>
    <w:p>
      <w:pPr>
        <w:spacing w:after="0" w:line="202" w:lineRule="exact"/>
        <w:rPr>
          <w:sz w:val="20"/>
          <w:szCs w:val="20"/>
          <w:color w:val="auto"/>
        </w:rPr>
      </w:pPr>
    </w:p>
    <w:p>
      <w:pPr>
        <w:jc w:val="both"/>
        <w:ind w:firstLine="616"/>
        <w:spacing w:after="0" w:line="264" w:lineRule="auto"/>
        <w:rPr>
          <w:sz w:val="20"/>
          <w:szCs w:val="20"/>
          <w:color w:val="auto"/>
        </w:rPr>
      </w:pPr>
      <w:r>
        <w:rPr>
          <w:rFonts w:ascii="Arial" w:cs="Arial" w:eastAsia="Arial" w:hAnsi="Arial"/>
          <w:sz w:val="17"/>
          <w:szCs w:val="17"/>
          <w:color w:val="auto"/>
        </w:rPr>
        <w:t>Income tax expense increased to $285,000 in 2012, compared to an expense of $72,000 in 2011. These figures represent an effective tax rate of (10.4%) and (12.0%) in 2012 and 2011, respectively. The 2012 income tax expense, and the increase from 2011, is primarily due to deferred taxes on the amortization of goodwill for tax purposes and the results of foreign operations.</w:t>
      </w:r>
    </w:p>
    <w:p>
      <w:pPr>
        <w:spacing w:after="0" w:line="176" w:lineRule="exact"/>
        <w:rPr>
          <w:sz w:val="20"/>
          <w:szCs w:val="20"/>
          <w:color w:val="auto"/>
        </w:rPr>
      </w:pPr>
    </w:p>
    <w:p>
      <w:pPr>
        <w:jc w:val="both"/>
        <w:ind w:firstLine="616"/>
        <w:spacing w:after="0" w:line="264" w:lineRule="auto"/>
        <w:rPr>
          <w:sz w:val="20"/>
          <w:szCs w:val="20"/>
          <w:color w:val="auto"/>
        </w:rPr>
      </w:pPr>
      <w:r>
        <w:rPr>
          <w:rFonts w:ascii="Arial" w:cs="Arial" w:eastAsia="Arial" w:hAnsi="Arial"/>
          <w:sz w:val="17"/>
          <w:szCs w:val="17"/>
          <w:color w:val="auto"/>
        </w:rPr>
        <w:t>As a result of our various acquisitions in prior years, we may be subject to a substantial annual limitation in the utilization of the net operating losses and credit carryforwards due to the “change in ownership” provisions of the Internal Revenue Code of 1986. The annual limitation may result in the expiration of net operating losses before utilization.</w:t>
      </w:r>
    </w:p>
    <w:p>
      <w:pPr>
        <w:spacing w:after="0" w:line="202" w:lineRule="exact"/>
        <w:rPr>
          <w:sz w:val="20"/>
          <w:szCs w:val="20"/>
          <w:color w:val="auto"/>
        </w:rPr>
      </w:pPr>
    </w:p>
    <w:p>
      <w:pPr>
        <w:jc w:val="both"/>
        <w:ind w:firstLine="616"/>
        <w:spacing w:after="0" w:line="257" w:lineRule="auto"/>
        <w:rPr>
          <w:sz w:val="20"/>
          <w:szCs w:val="20"/>
          <w:color w:val="auto"/>
        </w:rPr>
      </w:pPr>
      <w:r>
        <w:rPr>
          <w:rFonts w:ascii="Arial" w:cs="Arial" w:eastAsia="Arial" w:hAnsi="Arial"/>
          <w:sz w:val="17"/>
          <w:szCs w:val="17"/>
          <w:color w:val="auto"/>
        </w:rPr>
        <w:t>Due to the uncertainty surrounding the timing of realizing the benefits of our favorable tax attributes in future tax returns, we have placed a valuation allowance against our net deferred tax asset, exclusive of goodwill. During 2012, we decreased the valuation allowance by approximately $3.3 million due primarily to operations, including expiration of tax carryforwards. The valuation allowance also increased by approximately $2.3 million in 2012 due to the acquisition of PeopleCube. Approximately $8.3 million of the valuation allowance relates to tax benefits for stock option deductions included in our net operating loss carryforward which we will allocate, if and when realized, directly to contributed capital to the extent the benefits exceed amounts attributable to book deferred compensation expense.</w:t>
      </w:r>
    </w:p>
    <w:p>
      <w:pPr>
        <w:spacing w:after="0" w:line="207" w:lineRule="exact"/>
        <w:rPr>
          <w:sz w:val="20"/>
          <w:szCs w:val="20"/>
          <w:color w:val="auto"/>
        </w:rPr>
      </w:pPr>
    </w:p>
    <w:p>
      <w:pPr>
        <w:jc w:val="both"/>
        <w:ind w:firstLine="616"/>
        <w:spacing w:after="0" w:line="277" w:lineRule="auto"/>
        <w:rPr>
          <w:sz w:val="20"/>
          <w:szCs w:val="20"/>
          <w:color w:val="auto"/>
        </w:rPr>
      </w:pPr>
      <w:r>
        <w:rPr>
          <w:rFonts w:ascii="Arial" w:cs="Arial" w:eastAsia="Arial" w:hAnsi="Arial"/>
          <w:sz w:val="17"/>
          <w:szCs w:val="17"/>
          <w:color w:val="auto"/>
        </w:rPr>
        <w:t>We consider the undistributed earnings of our foreign subsidiaries permanently reinvested and, accordingly, we have not provided for U.S. federal or state income taxes thereon.</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Net Loss</w:t>
      </w:r>
    </w:p>
    <w:p>
      <w:pPr>
        <w:spacing w:after="0" w:line="247" w:lineRule="exact"/>
        <w:rPr>
          <w:sz w:val="20"/>
          <w:szCs w:val="20"/>
          <w:color w:val="auto"/>
        </w:rPr>
      </w:pPr>
    </w:p>
    <w:p>
      <w:pPr>
        <w:jc w:val="both"/>
        <w:ind w:firstLine="616"/>
        <w:spacing w:after="0" w:line="277" w:lineRule="auto"/>
        <w:rPr>
          <w:sz w:val="20"/>
          <w:szCs w:val="20"/>
          <w:color w:val="auto"/>
        </w:rPr>
      </w:pPr>
      <w:r>
        <w:rPr>
          <w:rFonts w:ascii="Arial" w:cs="Arial" w:eastAsia="Arial" w:hAnsi="Arial"/>
          <w:sz w:val="17"/>
          <w:szCs w:val="17"/>
          <w:color w:val="auto"/>
        </w:rPr>
        <w:t>Net loss was $3.0 million and $649,000 in 2012 and 2011, respectively. The increase in net loss was $2.4 million or 367.2%. Net loss as a percentage of total revenues was 15.2% and 5.9% in 2012 and 2011, respectively.</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900" w:type="dxa"/>
            <w:vAlign w:val="bottom"/>
            <w:gridSpan w:val="3"/>
          </w:tcPr>
          <w:p>
            <w:pPr>
              <w:spacing w:after="0"/>
              <w:rPr>
                <w:sz w:val="20"/>
                <w:szCs w:val="20"/>
                <w:color w:val="auto"/>
              </w:rPr>
            </w:pPr>
            <w:r>
              <w:rPr>
                <w:rFonts w:ascii="Arial" w:cs="Arial" w:eastAsia="Arial" w:hAnsi="Arial"/>
                <w:sz w:val="17"/>
                <w:szCs w:val="17"/>
                <w:b w:val="1"/>
                <w:bCs w:val="1"/>
                <w:color w:val="auto"/>
              </w:rPr>
              <w:t>LIQUIDITY AND CAPITAL RESOURCES</w:t>
            </w:r>
          </w:p>
        </w:tc>
        <w:tc>
          <w:tcPr>
            <w:tcW w:w="10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6"/>
        </w:trPr>
        <w:tc>
          <w:tcPr>
            <w:tcW w:w="1440" w:type="dxa"/>
            <w:vAlign w:val="bottom"/>
            <w:tcBorders>
              <w:top w:val="single" w:sz="8" w:color="auto"/>
            </w:tcBorders>
          </w:tcPr>
          <w:p>
            <w:pPr>
              <w:spacing w:after="0"/>
              <w:rPr>
                <w:sz w:val="24"/>
                <w:szCs w:val="24"/>
                <w:color w:val="auto"/>
              </w:rPr>
            </w:pPr>
          </w:p>
        </w:tc>
        <w:tc>
          <w:tcPr>
            <w:tcW w:w="1800" w:type="dxa"/>
            <w:vAlign w:val="bottom"/>
            <w:tcBorders>
              <w:top w:val="single" w:sz="8" w:color="auto"/>
            </w:tcBorders>
          </w:tcPr>
          <w:p>
            <w:pPr>
              <w:spacing w:after="0"/>
              <w:rPr>
                <w:sz w:val="24"/>
                <w:szCs w:val="24"/>
                <w:color w:val="auto"/>
              </w:rPr>
            </w:pPr>
          </w:p>
        </w:tc>
        <w:tc>
          <w:tcPr>
            <w:tcW w:w="26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100" w:type="dxa"/>
            <w:vAlign w:val="bottom"/>
            <w:gridSpan w:val="7"/>
          </w:tcPr>
          <w:p>
            <w:pPr>
              <w:jc w:val="right"/>
              <w:ind w:right="520"/>
              <w:spacing w:after="0"/>
              <w:rPr>
                <w:sz w:val="20"/>
                <w:szCs w:val="20"/>
                <w:color w:val="auto"/>
              </w:rPr>
            </w:pPr>
            <w:r>
              <w:rPr>
                <w:rFonts w:ascii="Arial" w:cs="Arial" w:eastAsia="Arial" w:hAnsi="Arial"/>
                <w:sz w:val="17"/>
                <w:szCs w:val="17"/>
                <w:b w:val="1"/>
                <w:bCs w:val="1"/>
                <w:color w:val="auto"/>
                <w:w w:val="95"/>
              </w:rPr>
              <w:t>For the year ended December 31,</w:t>
            </w:r>
          </w:p>
        </w:tc>
        <w:tc>
          <w:tcPr>
            <w:tcW w:w="0" w:type="dxa"/>
            <w:vAlign w:val="bottom"/>
          </w:tcPr>
          <w:p>
            <w:pPr>
              <w:spacing w:after="0"/>
              <w:rPr>
                <w:sz w:val="1"/>
                <w:szCs w:val="1"/>
                <w:color w:val="auto"/>
              </w:rPr>
            </w:pPr>
          </w:p>
        </w:tc>
      </w:tr>
      <w:tr>
        <w:trPr>
          <w:trHeight w:val="229"/>
        </w:trPr>
        <w:tc>
          <w:tcPr>
            <w:tcW w:w="14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2012</w:t>
            </w:r>
          </w:p>
        </w:tc>
        <w:tc>
          <w:tcPr>
            <w:tcW w:w="5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74"/>
              <w:spacing w:after="0"/>
              <w:rPr>
                <w:sz w:val="20"/>
                <w:szCs w:val="20"/>
                <w:color w:val="auto"/>
              </w:rPr>
            </w:pPr>
            <w:r>
              <w:rPr>
                <w:rFonts w:ascii="Arial" w:cs="Arial" w:eastAsia="Arial" w:hAnsi="Arial"/>
                <w:sz w:val="17"/>
                <w:szCs w:val="17"/>
                <w:b w:val="1"/>
                <w:bCs w:val="1"/>
                <w:color w:val="auto"/>
                <w:w w:val="89"/>
              </w:rPr>
              <w:t>2011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14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b w:val="1"/>
                <w:bCs w:val="1"/>
                <w:color w:val="auto"/>
              </w:rPr>
              <w:t>(in</w:t>
            </w:r>
          </w:p>
        </w:tc>
        <w:tc>
          <w:tcPr>
            <w:tcW w:w="6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6"/>
                <w:szCs w:val="16"/>
                <w:b w:val="1"/>
                <w:bCs w:val="1"/>
                <w:color w:val="auto"/>
                <w:w w:val="71"/>
              </w:rPr>
              <w:t>thousands)</w:t>
            </w:r>
          </w:p>
        </w:tc>
        <w:tc>
          <w:tcPr>
            <w:tcW w:w="9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440" w:type="dxa"/>
            <w:vAlign w:val="bottom"/>
            <w:vMerge w:val="restart"/>
          </w:tcPr>
          <w:p>
            <w:pPr>
              <w:spacing w:after="0"/>
              <w:rPr>
                <w:sz w:val="17"/>
                <w:szCs w:val="17"/>
                <w:color w:val="auto"/>
              </w:rPr>
            </w:pPr>
          </w:p>
        </w:tc>
        <w:tc>
          <w:tcPr>
            <w:tcW w:w="180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440" w:type="dxa"/>
            <w:vAlign w:val="bottom"/>
            <w:vMerge w:val="continue"/>
          </w:tcPr>
          <w:p>
            <w:pPr>
              <w:spacing w:after="0"/>
              <w:rPr>
                <w:sz w:val="17"/>
                <w:szCs w:val="17"/>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Working capital (deficit)</w:t>
            </w:r>
          </w:p>
        </w:tc>
        <w:tc>
          <w:tcPr>
            <w:tcW w:w="1820" w:type="dxa"/>
            <w:vAlign w:val="bottom"/>
            <w:gridSpan w:val="2"/>
            <w:shd w:val="clear" w:color="auto" w:fill="CCEEFF"/>
          </w:tcPr>
          <w:p>
            <w:pPr>
              <w:jc w:val="right"/>
              <w:ind w:right="654"/>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(9,689)</w:t>
            </w:r>
          </w:p>
        </w:tc>
        <w:tc>
          <w:tcPr>
            <w:tcW w:w="54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(4,315)</w:t>
            </w:r>
          </w:p>
        </w:tc>
        <w:tc>
          <w:tcPr>
            <w:tcW w:w="0" w:type="dxa"/>
            <w:vAlign w:val="bottom"/>
          </w:tcPr>
          <w:p>
            <w:pPr>
              <w:spacing w:after="0"/>
              <w:rPr>
                <w:sz w:val="1"/>
                <w:szCs w:val="1"/>
                <w:color w:val="auto"/>
              </w:rPr>
            </w:pPr>
          </w:p>
        </w:tc>
      </w:tr>
      <w:tr>
        <w:trPr>
          <w:trHeight w:val="205"/>
        </w:trPr>
        <w:tc>
          <w:tcPr>
            <w:tcW w:w="1440" w:type="dxa"/>
            <w:vAlign w:val="bottom"/>
          </w:tcPr>
          <w:p>
            <w:pPr>
              <w:spacing w:after="0"/>
              <w:rPr>
                <w:sz w:val="17"/>
                <w:szCs w:val="17"/>
                <w:color w:val="auto"/>
              </w:rPr>
            </w:pPr>
          </w:p>
        </w:tc>
        <w:tc>
          <w:tcPr>
            <w:tcW w:w="4460" w:type="dxa"/>
            <w:vAlign w:val="bottom"/>
            <w:gridSpan w:val="2"/>
          </w:tcPr>
          <w:p>
            <w:pPr>
              <w:spacing w:after="0"/>
              <w:rPr>
                <w:sz w:val="20"/>
                <w:szCs w:val="20"/>
                <w:color w:val="auto"/>
              </w:rPr>
            </w:pPr>
            <w:r>
              <w:rPr>
                <w:rFonts w:ascii="Arial" w:cs="Arial" w:eastAsia="Arial" w:hAnsi="Arial"/>
                <w:sz w:val="17"/>
                <w:szCs w:val="17"/>
                <w:color w:val="auto"/>
              </w:rPr>
              <w:t>Cash, cash equivalents and short-term investments</w:t>
            </w:r>
          </w:p>
        </w:tc>
        <w:tc>
          <w:tcPr>
            <w:tcW w:w="10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2,177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1,067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440" w:type="dxa"/>
            <w:vAlign w:val="bottom"/>
          </w:tcPr>
          <w:p>
            <w:pPr>
              <w:spacing w:after="0"/>
              <w:rPr>
                <w:sz w:val="17"/>
                <w:szCs w:val="17"/>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Cash provided by operating activities</w:t>
            </w:r>
          </w:p>
        </w:tc>
        <w:tc>
          <w:tcPr>
            <w:tcW w:w="10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2,809</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3,353</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440" w:type="dxa"/>
            <w:vAlign w:val="bottom"/>
          </w:tcPr>
          <w:p>
            <w:pPr>
              <w:spacing w:after="0"/>
              <w:rPr>
                <w:sz w:val="17"/>
                <w:szCs w:val="17"/>
                <w:color w:val="auto"/>
              </w:rPr>
            </w:pPr>
          </w:p>
        </w:tc>
        <w:tc>
          <w:tcPr>
            <w:tcW w:w="4460" w:type="dxa"/>
            <w:vAlign w:val="bottom"/>
            <w:gridSpan w:val="2"/>
          </w:tcPr>
          <w:p>
            <w:pPr>
              <w:spacing w:after="0"/>
              <w:rPr>
                <w:sz w:val="20"/>
                <w:szCs w:val="20"/>
                <w:color w:val="auto"/>
              </w:rPr>
            </w:pPr>
            <w:r>
              <w:rPr>
                <w:rFonts w:ascii="Arial" w:cs="Arial" w:eastAsia="Arial" w:hAnsi="Arial"/>
                <w:sz w:val="17"/>
                <w:szCs w:val="17"/>
                <w:color w:val="auto"/>
              </w:rPr>
              <w:t>Cash used in investing activities</w:t>
            </w:r>
          </w:p>
        </w:tc>
        <w:tc>
          <w:tcPr>
            <w:tcW w:w="10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7"/>
                <w:szCs w:val="17"/>
                <w:color w:val="auto"/>
                <w:w w:val="88"/>
              </w:rPr>
              <w:t>(10,978)</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7"/>
                <w:szCs w:val="17"/>
                <w:color w:val="auto"/>
              </w:rPr>
              <w:t>(10,496)</w:t>
            </w:r>
          </w:p>
        </w:tc>
        <w:tc>
          <w:tcPr>
            <w:tcW w:w="0" w:type="dxa"/>
            <w:vAlign w:val="bottom"/>
          </w:tcPr>
          <w:p>
            <w:pPr>
              <w:spacing w:after="0"/>
              <w:rPr>
                <w:sz w:val="1"/>
                <w:szCs w:val="1"/>
                <w:color w:val="auto"/>
              </w:rPr>
            </w:pPr>
          </w:p>
        </w:tc>
      </w:tr>
      <w:tr>
        <w:trPr>
          <w:trHeight w:val="205"/>
        </w:trPr>
        <w:tc>
          <w:tcPr>
            <w:tcW w:w="1440" w:type="dxa"/>
            <w:vAlign w:val="bottom"/>
          </w:tcPr>
          <w:p>
            <w:pPr>
              <w:spacing w:after="0"/>
              <w:rPr>
                <w:sz w:val="17"/>
                <w:szCs w:val="17"/>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Cash provided by financing activities</w:t>
            </w:r>
          </w:p>
        </w:tc>
        <w:tc>
          <w:tcPr>
            <w:tcW w:w="10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9,252</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7,231</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19" w:lineRule="exact"/>
        <w:rPr>
          <w:sz w:val="20"/>
          <w:szCs w:val="20"/>
          <w:color w:val="auto"/>
        </w:rPr>
      </w:pPr>
    </w:p>
    <w:p>
      <w:pPr>
        <w:jc w:val="both"/>
        <w:ind w:firstLine="616"/>
        <w:spacing w:after="0" w:line="258" w:lineRule="auto"/>
        <w:rPr>
          <w:sz w:val="20"/>
          <w:szCs w:val="20"/>
          <w:color w:val="auto"/>
        </w:rPr>
      </w:pPr>
      <w:r>
        <w:rPr>
          <w:rFonts w:ascii="Arial" w:cs="Arial" w:eastAsia="Arial" w:hAnsi="Arial"/>
          <w:sz w:val="17"/>
          <w:szCs w:val="17"/>
          <w:color w:val="auto"/>
        </w:rPr>
        <w:t>We had a working capital deficit of $9.7 million at December 31, 2012, an increase in our deficit of $5.4 million from the $4.3 million deficit at December 31, 2011. The working capital deficit at December 31, 2012 includes $9.7 million of deferred revenue. Deferred revenue is an obligation to perform future services. It should be converted to future revenue, but does not represent future payments. We attribute the decrease in our working capital to $500,000 of payments on our line of credit and a $3.1 million increase in current notes payable, together with an increase in accounts payable of $1.6 million and an increase in deferred revenue of $4.9 million in 2012 compared to 2011, primarily due to our PeopleCube acquisition in July 2012.</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jc w:val="both"/>
        <w:ind w:firstLine="616"/>
        <w:spacing w:after="0" w:line="260" w:lineRule="auto"/>
        <w:rPr>
          <w:sz w:val="20"/>
          <w:szCs w:val="20"/>
          <w:color w:val="auto"/>
        </w:rPr>
      </w:pPr>
      <w:r>
        <w:rPr>
          <w:rFonts w:ascii="Arial" w:cs="Arial" w:eastAsia="Arial" w:hAnsi="Arial"/>
          <w:sz w:val="17"/>
          <w:szCs w:val="17"/>
          <w:color w:val="auto"/>
        </w:rPr>
        <w:t>Cash provided by operating activities was $2.8 million in 2012 and $3.4 million in 2011. The $2.8 million of cash provided by operating activities during the year ended December 31, 2012 was primarily driven by growth in deferred revenue of $940,000 and non-cash depreciation and amortization of $2.3 million. The $3.4 million of cash provided by operating activities during the year ended December 31, 2011 was primarily driven by growth in deferred revenue of $1.5 million, non-cash depreciation and amortization of $1.0 million and an increase in accounts payable of $0.4 million.</w:t>
      </w:r>
    </w:p>
    <w:p>
      <w:pPr>
        <w:spacing w:after="0" w:line="205" w:lineRule="exact"/>
        <w:rPr>
          <w:sz w:val="20"/>
          <w:szCs w:val="20"/>
          <w:color w:val="auto"/>
        </w:rPr>
      </w:pPr>
    </w:p>
    <w:p>
      <w:pPr>
        <w:jc w:val="both"/>
        <w:ind w:firstLine="616"/>
        <w:spacing w:after="0" w:line="258" w:lineRule="auto"/>
        <w:rPr>
          <w:sz w:val="20"/>
          <w:szCs w:val="20"/>
          <w:color w:val="auto"/>
        </w:rPr>
      </w:pPr>
      <w:r>
        <w:rPr>
          <w:rFonts w:ascii="Arial" w:cs="Arial" w:eastAsia="Arial" w:hAnsi="Arial"/>
          <w:sz w:val="17"/>
          <w:szCs w:val="17"/>
          <w:color w:val="auto"/>
        </w:rPr>
        <w:t>Cash used in investing activities during 2012 was $11.0 million. Components of this $11.0 million include the acquisition of PeopleCube for $9.8 million and purchases of $1.3 million of intangibles and property and equipment, offset by the collection of notes receivable of $77,000. Cash used in investing activities during 2011 was $10.4 million. In 2011 we used $10.4 million to acquire the ADI and Legiant businesses and invested $121,000 in purchases of property and equipment. Although we believe our current operations are not capital intensive, we anticipate approximately $400,000 to $700,000 of 2013 capital expenditures to upgrade our cloud infrastructure and position it for future growth.</w:t>
      </w:r>
    </w:p>
    <w:p>
      <w:pPr>
        <w:spacing w:after="0" w:line="207" w:lineRule="exact"/>
        <w:rPr>
          <w:sz w:val="20"/>
          <w:szCs w:val="20"/>
          <w:color w:val="auto"/>
        </w:rPr>
      </w:pPr>
    </w:p>
    <w:p>
      <w:pPr>
        <w:jc w:val="both"/>
        <w:ind w:firstLine="616"/>
        <w:spacing w:after="0" w:line="264" w:lineRule="auto"/>
        <w:rPr>
          <w:sz w:val="20"/>
          <w:szCs w:val="20"/>
          <w:color w:val="auto"/>
        </w:rPr>
      </w:pPr>
      <w:r>
        <w:rPr>
          <w:rFonts w:ascii="Arial" w:cs="Arial" w:eastAsia="Arial" w:hAnsi="Arial"/>
          <w:sz w:val="17"/>
          <w:szCs w:val="17"/>
          <w:color w:val="auto"/>
        </w:rPr>
        <w:t>Cash provided by financing activities during 2012 was $9.3 million. We incurred $14.5 million of debt principally to fund the PeopleCube acquisition, offset by note payments of $3.9 million and $500,000 on our line of credit. Cash provided by financing activities during 2011 was $7.2 million. We incurred $7.3 million of debt principally to fund the acquisitions of ADI and Legiant.</w:t>
      </w:r>
    </w:p>
    <w:p>
      <w:pPr>
        <w:spacing w:after="0" w:line="202" w:lineRule="exact"/>
        <w:rPr>
          <w:sz w:val="20"/>
          <w:szCs w:val="20"/>
          <w:color w:val="auto"/>
        </w:rPr>
      </w:pPr>
    </w:p>
    <w:p>
      <w:pPr>
        <w:jc w:val="both"/>
        <w:ind w:firstLine="616"/>
        <w:spacing w:after="0" w:line="260" w:lineRule="auto"/>
        <w:rPr>
          <w:sz w:val="20"/>
          <w:szCs w:val="20"/>
          <w:color w:val="auto"/>
        </w:rPr>
      </w:pPr>
      <w:r>
        <w:rPr>
          <w:rFonts w:ascii="Arial" w:cs="Arial" w:eastAsia="Arial" w:hAnsi="Arial"/>
          <w:sz w:val="17"/>
          <w:szCs w:val="17"/>
          <w:color w:val="auto"/>
        </w:rPr>
        <w:t>As of December 31, 2012, Asure’s principal source of liquidity consisted of approximately $2.2 million of current cash and cash equivalents as well as future cash generated from operations. We believe that we currently have and/or will generate sufficient cash for our operational needs, including any required debt payments, for at least the next twelve months. We continue to reduce expenses and may utilize some of our cash balances in the short-term to reduce our long-term costs. We currently project that we can generate positive cash flows from our operating activities in 2013.</w:t>
      </w:r>
    </w:p>
    <w:p>
      <w:pPr>
        <w:spacing w:after="0" w:line="180" w:lineRule="exact"/>
        <w:rPr>
          <w:sz w:val="20"/>
          <w:szCs w:val="20"/>
          <w:color w:val="auto"/>
        </w:rPr>
      </w:pPr>
    </w:p>
    <w:p>
      <w:pPr>
        <w:jc w:val="both"/>
        <w:ind w:firstLine="616"/>
        <w:spacing w:after="0" w:line="264" w:lineRule="auto"/>
        <w:rPr>
          <w:sz w:val="20"/>
          <w:szCs w:val="20"/>
          <w:color w:val="auto"/>
        </w:rPr>
      </w:pPr>
      <w:r>
        <w:rPr>
          <w:rFonts w:ascii="Arial" w:cs="Arial" w:eastAsia="Arial" w:hAnsi="Arial"/>
          <w:sz w:val="17"/>
          <w:szCs w:val="17"/>
          <w:color w:val="auto"/>
        </w:rPr>
        <w:t>Our management team is focused on growing our existing software operations and is also seeking additional strategic acquisitions for the near future, although we have no current agreements to acquire any technology or business. At present, we plan to fund any future acquisition with equity, existing cash, cash generated from future operations and/or cash or debt raised from outside sources.</w:t>
      </w:r>
    </w:p>
    <w:p>
      <w:pPr>
        <w:spacing w:after="0" w:line="176" w:lineRule="exact"/>
        <w:rPr>
          <w:sz w:val="20"/>
          <w:szCs w:val="20"/>
          <w:color w:val="auto"/>
        </w:rPr>
      </w:pPr>
    </w:p>
    <w:p>
      <w:pPr>
        <w:jc w:val="both"/>
        <w:ind w:firstLine="616"/>
        <w:spacing w:after="0" w:line="256" w:lineRule="auto"/>
        <w:rPr>
          <w:sz w:val="20"/>
          <w:szCs w:val="20"/>
          <w:color w:val="auto"/>
        </w:rPr>
      </w:pPr>
      <w:r>
        <w:rPr>
          <w:rFonts w:ascii="Arial" w:cs="Arial" w:eastAsia="Arial" w:hAnsi="Arial"/>
          <w:sz w:val="17"/>
          <w:szCs w:val="17"/>
          <w:color w:val="auto"/>
        </w:rPr>
        <w:t>We have determined that we have not been in compliance with certain of our financial covenants, including minimum EBITDA, under our loan agreement with Deerpath Funding, LP as of December 31, 2012. Deerpath did not declare the loan in default while we were not in compliance. On March 29, 2013, but effective as of December 31, 2012, we amended our loan agreement with Deerpath Funding, LP. Under the amended agreement, Deerpath increased by $5,000,000 (to $10,000,000 in the aggregate) its conditional commitment to provide us additional single advance senior secured terms loans from time to time for refinancing certain other indebtedness, funding permitted acquisitions or other growth initiatives and paying fees and expenses of the term loans and permitted acquisitions. In addition, Deerpath eliminated the requirement for us to maintain certain minimum EBITDA levels during the loan term and modified other financial covenants as discussed below.</w:t>
      </w:r>
    </w:p>
    <w:p>
      <w:pPr>
        <w:spacing w:after="0" w:line="183" w:lineRule="exact"/>
        <w:rPr>
          <w:sz w:val="20"/>
          <w:szCs w:val="20"/>
          <w:color w:val="auto"/>
        </w:rPr>
      </w:pPr>
    </w:p>
    <w:p>
      <w:pPr>
        <w:jc w:val="both"/>
        <w:ind w:firstLine="616"/>
        <w:spacing w:after="0" w:line="281" w:lineRule="auto"/>
        <w:rPr>
          <w:sz w:val="20"/>
          <w:szCs w:val="20"/>
          <w:color w:val="auto"/>
        </w:rPr>
      </w:pPr>
      <w:r>
        <w:rPr>
          <w:rFonts w:ascii="Arial" w:cs="Arial" w:eastAsia="Arial" w:hAnsi="Arial"/>
          <w:sz w:val="16"/>
          <w:szCs w:val="16"/>
          <w:color w:val="auto"/>
        </w:rPr>
        <w:t>In exchange, we agreed to an increase in the term loan interest rate from a floating annual rate of LIBOR plus 8% to LIBOR plus 9.5% and an increase in the floor interest rate from 10% to 11.5%. In addition to continuing our monthly interest payments and quarterly principal payments, we further agreed to make a separate $2,000,000 principal payment by October 31, 2013. However, if we do not make the $2,000,000 principal payment by May 31, 2013, the interest rate on that portion of the entire term loan will increase by 3% until paid. In addition, we agreed to pay a $240,000 loan amendment fee.</w:t>
      </w:r>
    </w:p>
    <w:p>
      <w:pPr>
        <w:spacing w:after="0" w:line="165" w:lineRule="exact"/>
        <w:rPr>
          <w:sz w:val="20"/>
          <w:szCs w:val="20"/>
          <w:color w:val="auto"/>
        </w:rPr>
      </w:pPr>
    </w:p>
    <w:p>
      <w:pPr>
        <w:jc w:val="both"/>
        <w:ind w:firstLine="616"/>
        <w:spacing w:after="0" w:line="276" w:lineRule="auto"/>
        <w:rPr>
          <w:sz w:val="20"/>
          <w:szCs w:val="20"/>
          <w:color w:val="auto"/>
        </w:rPr>
      </w:pPr>
      <w:r>
        <w:rPr>
          <w:rFonts w:ascii="Arial" w:cs="Arial" w:eastAsia="Arial" w:hAnsi="Arial"/>
          <w:sz w:val="16"/>
          <w:szCs w:val="16"/>
          <w:color w:val="auto"/>
        </w:rPr>
        <w:t>We also agreed to revised financial covenants. Beginning with the quarter ending March 31, 2013, we agreed to a total debt to EBITDA ratio of not greater than 4.50 to 1.00 (formerly 3.25 to 1.00 beginning with that period), with the levels stepping down thereafter to 2.75 to 1.00 for the quarter ending March 31, 2014 and thereafter (formerly 2.25 to 1.00 for those periods). Beginning with the quarter ended December 31, 2012, we agreed to a senior debt to EBITDA ratio of not greater than 2.66 to 1.00 (formerly 2.50 to 1.00 beginning with that period) with the levels stepping down thereafter to 1.75 to 1.00 for the quarter ending December 31, 2014 and thereafter (formerly 1.00 to 1.00 for those periods). Other financial covenants remain unchanged. We are in compliance with the amended covenant requirements as of December 31, 2012 and expect to be incompliance over the subsequent twelve month period.</w:t>
      </w:r>
    </w:p>
    <w:p>
      <w:pPr>
        <w:spacing w:after="0" w:line="168" w:lineRule="exact"/>
        <w:rPr>
          <w:sz w:val="20"/>
          <w:szCs w:val="20"/>
          <w:color w:val="auto"/>
        </w:rPr>
      </w:pPr>
    </w:p>
    <w:p>
      <w:pPr>
        <w:jc w:val="both"/>
        <w:ind w:firstLine="616"/>
        <w:spacing w:after="0" w:line="260" w:lineRule="auto"/>
        <w:rPr>
          <w:sz w:val="20"/>
          <w:szCs w:val="20"/>
          <w:color w:val="auto"/>
        </w:rPr>
      </w:pPr>
      <w:r>
        <w:rPr>
          <w:rFonts w:ascii="Arial" w:cs="Arial" w:eastAsia="Arial" w:hAnsi="Arial"/>
          <w:sz w:val="17"/>
          <w:szCs w:val="17"/>
          <w:color w:val="auto"/>
        </w:rPr>
        <w:t>We cannot assure that we can grow our cash balances or limit our cash consumption and thus maintain sufficient cash balances for our planned operations or future acquisitions. Future business demands may lead to cash utilization at levels greater than recently experienced. We may need to raise additional capital in the future, including making the required $2,000,000 principal payment to Deerpath Funding, LP. However, we cannot assure that we will be able to raise additional capital on acceptable terms, or at all.</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CRITICAL ACCOUNTING POLICIES</w:t>
      </w:r>
    </w:p>
    <w:p>
      <w:pPr>
        <w:spacing w:after="0" w:line="221" w:lineRule="exact"/>
        <w:rPr>
          <w:sz w:val="20"/>
          <w:szCs w:val="20"/>
          <w:color w:val="auto"/>
        </w:rPr>
      </w:pPr>
    </w:p>
    <w:p>
      <w:pPr>
        <w:jc w:val="both"/>
        <w:ind w:firstLine="616"/>
        <w:spacing w:after="0" w:line="271" w:lineRule="auto"/>
        <w:rPr>
          <w:sz w:val="20"/>
          <w:szCs w:val="20"/>
          <w:color w:val="auto"/>
        </w:rPr>
      </w:pPr>
      <w:r>
        <w:rPr>
          <w:rFonts w:ascii="Arial" w:cs="Arial" w:eastAsia="Arial" w:hAnsi="Arial"/>
          <w:sz w:val="16"/>
          <w:szCs w:val="16"/>
          <w:color w:val="auto"/>
        </w:rPr>
        <w:t>We have prepared our consolidated financial statements in accordance with U.S. generally accepted accounting principles and including the accounts of Asure’s wholly owned subsidiaries. We have eliminated all significant intercompany transactions and balances in the consolidation. Preparation of the consolidated financial statements in conformity with U.S. generally accepted accounting principles requires management to make estimates and assumptions that affect the reported amounts of the assets and liabilities and disclosure of contingent assets and liabilities at the date of the financial statements and the reported amounts of revenues and expenses during the reporting period. These estimates are subjective in nature and involve judgments that affect the reported amounts of assets and liabilities, the disclosure of contingent assets and liabilities at fiscal year end and the reported amounts of revenues and expenses during the fiscal year. The more significant estimates made by management include the valuation allowance for our gross deferred tax asset, lease impairment, useful lives of fixed assets, the determination of the fair value of our long-lived assets and the fair value of assets acquired and liabilities assumed during acquisitions. We base our estimates on historical experience and on various other assumptions that management believes are reasonable under the given circumstances. These estimates could be materially different under different conditions and assumptions. Additionally, the actual amounts could differ from the estimates made. Management periodically evaluates estimates used in the preparation of our financial statements for continued reasonableness. We prospectively apply appropriate adjustments, if any, to our estimates based upon our periodic evaluation.</w:t>
      </w:r>
    </w:p>
    <w:p>
      <w:pPr>
        <w:sectPr>
          <w:pgSz w:w="11900" w:h="16838" w:orient="portrait"/>
          <w:cols w:equalWidth="0" w:num="1">
            <w:col w:w="11420"/>
          </w:cols>
          <w:pgMar w:left="240" w:top="122" w:right="239" w:bottom="1440" w:gutter="0" w:footer="0" w:header="0"/>
        </w:sect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84455</wp:posOffset>
            </wp:positionV>
            <wp:extent cx="7258050"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16" w:name="page17"/>
    <w:bookmarkEnd w:id="1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9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We believe the following are our critical accounting policies: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 Recognition</w:t>
      </w:r>
    </w:p>
    <w:p>
      <w:pPr>
        <w:spacing w:after="0" w:line="221" w:lineRule="exact"/>
        <w:rPr>
          <w:sz w:val="20"/>
          <w:szCs w:val="20"/>
          <w:color w:val="auto"/>
        </w:rPr>
      </w:pPr>
    </w:p>
    <w:p>
      <w:pPr>
        <w:jc w:val="both"/>
        <w:ind w:firstLine="616"/>
        <w:spacing w:after="0" w:line="257" w:lineRule="auto"/>
        <w:rPr>
          <w:sz w:val="20"/>
          <w:szCs w:val="20"/>
          <w:color w:val="auto"/>
        </w:rPr>
      </w:pPr>
      <w:r>
        <w:rPr>
          <w:rFonts w:ascii="Arial" w:cs="Arial" w:eastAsia="Arial" w:hAnsi="Arial"/>
          <w:sz w:val="17"/>
          <w:szCs w:val="17"/>
          <w:color w:val="auto"/>
        </w:rPr>
        <w:t>We recognize revenue when persuasive evidence of an arrangement exists, delivery has occurred, the fee is fixed or determinable and collectability is probable. We recognize software revenue in accordance with Financial Accounting Standards Board (“FASB”) Accounting Standards Codification (“ASC”) 985-605, Revenue Recognition. Our revenues consist of software license, software subscription and service fees. We earn revenue from the software element through the licensing or right to use our software and from the sale of specific software products. We earn service fee income through the sale of maintenance and technical support, training and installation. We recognize revenue from the sale of hardware devices upon shipment of the hardware. Asure also sells multiple elements within a single sale.</w:t>
      </w:r>
    </w:p>
    <w:p>
      <w:pPr>
        <w:spacing w:after="0" w:line="207" w:lineRule="exact"/>
        <w:rPr>
          <w:sz w:val="20"/>
          <w:szCs w:val="20"/>
          <w:color w:val="auto"/>
        </w:rPr>
      </w:pPr>
    </w:p>
    <w:p>
      <w:pPr>
        <w:jc w:val="both"/>
        <w:ind w:firstLine="677"/>
        <w:spacing w:after="0" w:line="277" w:lineRule="auto"/>
        <w:rPr>
          <w:sz w:val="20"/>
          <w:szCs w:val="20"/>
          <w:color w:val="auto"/>
        </w:rPr>
      </w:pPr>
      <w:r>
        <w:rPr>
          <w:rFonts w:ascii="Arial" w:cs="Arial" w:eastAsia="Arial" w:hAnsi="Arial"/>
          <w:sz w:val="17"/>
          <w:szCs w:val="17"/>
          <w:color w:val="auto"/>
        </w:rPr>
        <w:t>Since we currently offer software both as a perpetual license and as software as a service, revenue recognition varies based on which of these forms of software the customer purchases.</w:t>
      </w:r>
    </w:p>
    <w:p>
      <w:pPr>
        <w:spacing w:after="0" w:line="191" w:lineRule="exact"/>
        <w:rPr>
          <w:sz w:val="20"/>
          <w:szCs w:val="20"/>
          <w:color w:val="auto"/>
        </w:rPr>
      </w:pPr>
    </w:p>
    <w:p>
      <w:pPr>
        <w:jc w:val="both"/>
        <w:ind w:firstLine="616"/>
        <w:spacing w:after="0" w:line="273" w:lineRule="auto"/>
        <w:rPr>
          <w:sz w:val="20"/>
          <w:szCs w:val="20"/>
          <w:color w:val="auto"/>
        </w:rPr>
      </w:pPr>
      <w:r>
        <w:rPr>
          <w:rFonts w:ascii="Arial" w:cs="Arial" w:eastAsia="Arial" w:hAnsi="Arial"/>
          <w:sz w:val="16"/>
          <w:szCs w:val="16"/>
          <w:color w:val="auto"/>
        </w:rPr>
        <w:t>When we sell software licenses in a multiple element arrangement and we have vendor-specific objective evidence (“VSOE”) of fair value for the undelivered element, we recognize sales revenue on the date we ship the product, using the residual method, deferring the unearned portion of revenue due to the applicable undelivered elements. We base VSOE of fair value for our maintenance, training and installation services on the prices charged for these services when sold separately. Generally, we restrict the undelivered elements for our multiple element arrangements with a customer to post-contract support, training and installation services. We apply the VSOE of fair value for the undelivered elements to allocate the amount of revenue to them. We recognize deferred revenue due to undelivered elements ratably on a straight-line basis over the service period (typically one year) or when we complete the service. When we cannot determine VSOE of fair value for the undelivered element of a multiple element arrangement, we generally recognize sales revenue on the entire arrangement ratably on a straight-line basis over the service period of the undelivered element. We believe that our training and installation services are not essential to the functionality of our products, as third parties or customers themselves can provide these services.</w:t>
      </w:r>
    </w:p>
    <w:p>
      <w:pPr>
        <w:spacing w:after="0" w:line="170" w:lineRule="exact"/>
        <w:rPr>
          <w:sz w:val="20"/>
          <w:szCs w:val="20"/>
          <w:color w:val="auto"/>
        </w:rPr>
      </w:pPr>
    </w:p>
    <w:p>
      <w:pPr>
        <w:jc w:val="both"/>
        <w:ind w:firstLine="616"/>
        <w:spacing w:after="0" w:line="257" w:lineRule="auto"/>
        <w:rPr>
          <w:sz w:val="20"/>
          <w:szCs w:val="20"/>
          <w:color w:val="auto"/>
        </w:rPr>
      </w:pPr>
      <w:r>
        <w:rPr>
          <w:rFonts w:ascii="Arial" w:cs="Arial" w:eastAsia="Arial" w:hAnsi="Arial"/>
          <w:sz w:val="17"/>
          <w:szCs w:val="17"/>
          <w:color w:val="auto"/>
        </w:rPr>
        <w:t>We also sell software subscriptions and may at times sell related setup, implementation and professional services in the same arrangement. Setup and implementation services typically occur at start of the software subscription period, while certain professional services may not occur until several months later depending on the nature of the services and the customer requirements. We allocate the value of the arrangement to each separate unit of accounting based on VSOE of selling price, when it exists, third-party evidence of selling prices for like services or an estimated selling price. We recognize software subscription service revenues pro-rata over the life of the software subscription contract, while we recognize the related setup, implementation or professional services revenues upon service completion.</w:t>
      </w:r>
    </w:p>
    <w:p>
      <w:pPr>
        <w:spacing w:after="0" w:line="182" w:lineRule="exact"/>
        <w:rPr>
          <w:sz w:val="20"/>
          <w:szCs w:val="20"/>
          <w:color w:val="auto"/>
        </w:rPr>
      </w:pPr>
    </w:p>
    <w:p>
      <w:pPr>
        <w:jc w:val="both"/>
        <w:ind w:firstLine="616"/>
        <w:spacing w:after="0" w:line="277" w:lineRule="auto"/>
        <w:rPr>
          <w:sz w:val="20"/>
          <w:szCs w:val="20"/>
          <w:color w:val="auto"/>
        </w:rPr>
      </w:pPr>
      <w:r>
        <w:rPr>
          <w:rFonts w:ascii="Arial" w:cs="Arial" w:eastAsia="Arial" w:hAnsi="Arial"/>
          <w:sz w:val="17"/>
          <w:szCs w:val="17"/>
          <w:color w:val="auto"/>
        </w:rPr>
        <w:t>We do not recognize revenue for agreements with rights of return, refundable fees, cancellation rights or acceptance clauses until these return, refund or cancellation rights have expired or acceptance has occurred. Our arrangements with resellers do not allow for any rights of return.</w:t>
      </w:r>
    </w:p>
    <w:p>
      <w:pPr>
        <w:spacing w:after="0" w:line="165" w:lineRule="exact"/>
        <w:rPr>
          <w:sz w:val="20"/>
          <w:szCs w:val="20"/>
          <w:color w:val="auto"/>
        </w:rPr>
      </w:pPr>
    </w:p>
    <w:p>
      <w:pPr>
        <w:jc w:val="both"/>
        <w:ind w:firstLine="616"/>
        <w:spacing w:after="0" w:line="346" w:lineRule="auto"/>
        <w:rPr>
          <w:sz w:val="20"/>
          <w:szCs w:val="20"/>
          <w:color w:val="auto"/>
        </w:rPr>
      </w:pPr>
      <w:r>
        <w:rPr>
          <w:rFonts w:ascii="Arial" w:cs="Arial" w:eastAsia="Arial" w:hAnsi="Arial"/>
          <w:sz w:val="15"/>
          <w:szCs w:val="15"/>
          <w:color w:val="auto"/>
        </w:rPr>
        <w:t>Deferred revenue includes amounts received from customers in excess of revenue recognized, and is comprised of deferred maintenance, service and other revenue. We recognize deferred revenues when we complete the service and over the terms of the arrangements, primarily ranging from one to three years.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Intangible Assets and Goodwill</w:t>
      </w:r>
    </w:p>
    <w:p>
      <w:pPr>
        <w:spacing w:after="0" w:line="247" w:lineRule="exact"/>
        <w:rPr>
          <w:sz w:val="20"/>
          <w:szCs w:val="20"/>
          <w:color w:val="auto"/>
        </w:rPr>
      </w:pPr>
    </w:p>
    <w:p>
      <w:pPr>
        <w:jc w:val="both"/>
        <w:ind w:firstLine="616"/>
        <w:spacing w:after="0" w:line="297" w:lineRule="auto"/>
        <w:rPr>
          <w:sz w:val="20"/>
          <w:szCs w:val="20"/>
          <w:color w:val="auto"/>
        </w:rPr>
      </w:pPr>
      <w:r>
        <w:rPr>
          <w:rFonts w:ascii="Arial" w:cs="Arial" w:eastAsia="Arial" w:hAnsi="Arial"/>
          <w:sz w:val="15"/>
          <w:szCs w:val="15"/>
          <w:color w:val="auto"/>
        </w:rPr>
        <w:t>We record the assets acquired and liabilities assumed in business combinations at their respective fair values at the date of acquisition, with any excess purchase price recorded as goodwill. Valuation of intangible assets and in-process research and development entails significant estimates and assumptions including, but not limited to, estimating future cash flows from product sales, developing appropriate discount rates, estimating probability rates for the continuation of customer relationships and renewal of customer contracts and approximating the useful lives of the intangible assets acquired. U.S. generally accepted accounting principles (“GAAP”) require that we not amortize intangible assets other than goodwill with an indefinite life until we determine their life as finite. We must amortize all other intangible assets over their useful lives. We currently amortize our acquired intangible assets with definite lives over periods ranging from one to nine years.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Impairment of Intangible Assets and Long-Lived Assets</w:t>
      </w:r>
    </w:p>
    <w:p>
      <w:pPr>
        <w:spacing w:after="0" w:line="221" w:lineRule="exact"/>
        <w:rPr>
          <w:sz w:val="20"/>
          <w:szCs w:val="20"/>
          <w:color w:val="auto"/>
        </w:rPr>
      </w:pPr>
    </w:p>
    <w:p>
      <w:pPr>
        <w:jc w:val="both"/>
        <w:ind w:firstLine="616"/>
        <w:spacing w:after="0" w:line="258" w:lineRule="auto"/>
        <w:rPr>
          <w:sz w:val="20"/>
          <w:szCs w:val="20"/>
          <w:color w:val="auto"/>
        </w:rPr>
      </w:pPr>
      <w:r>
        <w:rPr>
          <w:rFonts w:ascii="Arial" w:cs="Arial" w:eastAsia="Arial" w:hAnsi="Arial"/>
          <w:sz w:val="17"/>
          <w:szCs w:val="17"/>
          <w:color w:val="auto"/>
        </w:rPr>
        <w:t>In accordance with FASB ASC 350, we review and evaluate our long-lived assets for impairment whenever events or changes in circumstances indicate that we may not recover their net book value. When such factors and circumstances exist, including those noted above, we compare the assets’ carrying amounts against the estimated undiscounted cash flows we expect to generate with those assets over their estimated useful lives. If the carrying amounts are greater than the undiscounted cash flows, we estimate the fair values of those assets by discounting the projected cash flows. We record any excess of the carrying amounts over the fair values as impairments in that fiscal period.</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91" w:lineRule="exact"/>
        <w:rPr>
          <w:sz w:val="20"/>
          <w:szCs w:val="20"/>
          <w:color w:val="auto"/>
        </w:rPr>
      </w:pPr>
    </w:p>
    <w:p>
      <w:pPr>
        <w:jc w:val="both"/>
        <w:ind w:firstLine="616"/>
        <w:spacing w:after="0" w:line="260" w:lineRule="auto"/>
        <w:rPr>
          <w:sz w:val="20"/>
          <w:szCs w:val="20"/>
          <w:color w:val="auto"/>
        </w:rPr>
      </w:pPr>
      <w:r>
        <w:rPr>
          <w:rFonts w:ascii="Arial" w:cs="Arial" w:eastAsia="Arial" w:hAnsi="Arial"/>
          <w:sz w:val="17"/>
          <w:szCs w:val="17"/>
          <w:color w:val="auto"/>
        </w:rPr>
        <w:t>Goodwill represents the excess of the purchase price in a business combination over the fair value of net tangible and intangible assets acquired in a business combination. We test goodwill for impairment on an annual basis in the fourth fiscal quarter of each year, and between annual tests if indicators of potential impairment exist, using a fair-value-based approach. There has been no impairment of goodwill for the periods presented. See Notes 4 and 6 in the accompanying financial statements for additional information regarding goodwill.</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247" w:lineRule="exact"/>
        <w:rPr>
          <w:sz w:val="20"/>
          <w:szCs w:val="20"/>
          <w:color w:val="auto"/>
        </w:rPr>
      </w:pPr>
    </w:p>
    <w:p>
      <w:pPr>
        <w:jc w:val="both"/>
        <w:ind w:firstLine="616"/>
        <w:spacing w:after="0" w:line="274" w:lineRule="auto"/>
        <w:rPr>
          <w:sz w:val="20"/>
          <w:szCs w:val="20"/>
          <w:color w:val="auto"/>
        </w:rPr>
      </w:pPr>
      <w:r>
        <w:rPr>
          <w:rFonts w:ascii="Arial" w:cs="Arial" w:eastAsia="Arial" w:hAnsi="Arial"/>
          <w:sz w:val="16"/>
          <w:szCs w:val="16"/>
          <w:color w:val="auto"/>
        </w:rPr>
        <w:t>In May 2011, the FASB issued ASU 2011-04 (Topic 220): Fair Value Measurement. The new guidance creates a uniform framework for applying fair value measurement principles. It eliminates differences between GAAP and International Financial Reporting Standards issued by the International Accounting Standards Board. New disclosures required by the guidance include: quantitative information about the significant unobservable inputs used for Level 3 measurements; a qualitative discussion about the sensitivity of recurring Level 3 measurements to changes in the unobservable inputs disclosed, including the interrelationship between inputs; and a description of the company’s valuation processes. This guidance is effective for interim and annual periods beginning after December 15, 2011, and companies apply all amendments prospectively with any changes in measurements recognized in income in the period of adoption. The adoption of these standards did not materially affect our financial position or results of operations.</w:t>
      </w:r>
    </w:p>
    <w:p>
      <w:pPr>
        <w:spacing w:after="0" w:line="198" w:lineRule="exact"/>
        <w:rPr>
          <w:sz w:val="20"/>
          <w:szCs w:val="20"/>
          <w:color w:val="auto"/>
        </w:rPr>
      </w:pPr>
    </w:p>
    <w:p>
      <w:pPr>
        <w:jc w:val="both"/>
        <w:ind w:firstLine="616"/>
        <w:spacing w:after="0" w:line="256" w:lineRule="auto"/>
        <w:rPr>
          <w:sz w:val="20"/>
          <w:szCs w:val="20"/>
          <w:color w:val="auto"/>
        </w:rPr>
      </w:pPr>
      <w:r>
        <w:rPr>
          <w:rFonts w:ascii="Arial" w:cs="Arial" w:eastAsia="Arial" w:hAnsi="Arial"/>
          <w:sz w:val="17"/>
          <w:szCs w:val="17"/>
          <w:color w:val="auto"/>
        </w:rPr>
        <w:t>In September 2011, the FASB issued ASU 2011-05 (Topic 820): Comprehensive Income. The new guidance amends disclosure requirements for the presentation of comprehensive income. The amended guidance eliminates the option to present components of other comprehensive income (“OCI”) as part of the statement of changes in shareholders’ equity. Companies must present all changes in OCI either in a single continuous statement of comprehensive income or in two separate but consecutive financial statements. The guidance does not change the items that companies must report in OCI. This guidance is effective for fiscal years and interim reporting periods within those years beginning after December 15, 2011 with early adoption permitted. The adoption of this guidance did not materially impact our consolidated financial position, results of operations or cash flows and only impacts the presentation of OCI in the consolidated financial statements. We adopted these standards in the first quarter of fiscal 2012.</w:t>
      </w:r>
    </w:p>
    <w:p>
      <w:pPr>
        <w:spacing w:after="0" w:line="209" w:lineRule="exact"/>
        <w:rPr>
          <w:sz w:val="20"/>
          <w:szCs w:val="20"/>
          <w:color w:val="auto"/>
        </w:rPr>
      </w:pPr>
    </w:p>
    <w:p>
      <w:pPr>
        <w:jc w:val="both"/>
        <w:ind w:firstLine="616"/>
        <w:spacing w:after="0" w:line="257" w:lineRule="auto"/>
        <w:rPr>
          <w:sz w:val="20"/>
          <w:szCs w:val="20"/>
          <w:color w:val="auto"/>
        </w:rPr>
      </w:pPr>
      <w:r>
        <w:rPr>
          <w:rFonts w:ascii="Arial" w:cs="Arial" w:eastAsia="Arial" w:hAnsi="Arial"/>
          <w:sz w:val="17"/>
          <w:szCs w:val="17"/>
          <w:color w:val="auto"/>
        </w:rPr>
        <w:t>In September 2011, the FASB issued ASU No. 2011-08 amending accounting related to goodwill impairment testing. ASU 2011-08 allows an entity to first assess qualitative factors to determine whether it is necessary to perform the two-step quantitative goodwill impairment test. Under these amendments, an entity is not required to calculate the fair value of a reporting unit unless the entity determines, based on a qualitative assessment, that it is more likely than not that its fair value is less than its carrying amount. The amendments include a number of events and circumstances for an entity to consider in conducting the qualitative assessment. ASU 2011-08 is effective for impairment tests performed for fiscal years beginning after December 15, 2011. We have not applied the optional requirements of ASU 2011-08 in our goodwill impairment testing.</w:t>
      </w:r>
    </w:p>
    <w:p>
      <w:pPr>
        <w:spacing w:after="0" w:line="182" w:lineRule="exact"/>
        <w:rPr>
          <w:sz w:val="20"/>
          <w:szCs w:val="20"/>
          <w:color w:val="auto"/>
        </w:rPr>
      </w:pPr>
    </w:p>
    <w:p>
      <w:pPr>
        <w:jc w:val="both"/>
        <w:ind w:firstLine="616"/>
        <w:spacing w:after="0" w:line="257" w:lineRule="auto"/>
        <w:rPr>
          <w:sz w:val="20"/>
          <w:szCs w:val="20"/>
          <w:color w:val="auto"/>
        </w:rPr>
      </w:pPr>
      <w:r>
        <w:rPr>
          <w:rFonts w:ascii="Arial" w:cs="Arial" w:eastAsia="Arial" w:hAnsi="Arial"/>
          <w:sz w:val="17"/>
          <w:szCs w:val="17"/>
          <w:color w:val="auto"/>
        </w:rPr>
        <w:t>In July 2012, the FASB issued ASU 2012-02 amending accounting standards related to impairment testing for indefinite-lived intangible assets other than goodwill. ASU 2012-02 allows an entity to first assess qualitative factors to determine whether it is necessary to perform the quantitative impairment test for indefinite-lived intangible assets. An entity that elects to perform a qualitative assessment no longer is required to perform the quantitative impairment test for an indefinite-lived intangible asset if it is more likely than not that the asset is impaired. ASU 2012-02 is effective for annual and interim impairment tests performed for fiscal years beginning after September 15, 2012, with early adoption permitted. We have not applied the optional requirements of ASU 2012-02 in our indefinite-lived intangible assets impairment testing.</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7A. QUANTITATIVE AND QUALITATIVE DISCLOSURES ABOUT MARKET RISK</w:t>
      </w:r>
    </w:p>
    <w:p>
      <w:pPr>
        <w:spacing w:after="0" w:line="221" w:lineRule="exact"/>
        <w:rPr>
          <w:sz w:val="20"/>
          <w:szCs w:val="20"/>
          <w:color w:val="auto"/>
        </w:rPr>
      </w:pPr>
    </w:p>
    <w:p>
      <w:pPr>
        <w:ind w:left="620"/>
        <w:spacing w:after="0"/>
        <w:rPr>
          <w:sz w:val="20"/>
          <w:szCs w:val="20"/>
          <w:color w:val="auto"/>
        </w:rPr>
      </w:pPr>
      <w:r>
        <w:rPr>
          <w:rFonts w:ascii="Arial" w:cs="Arial" w:eastAsia="Arial" w:hAnsi="Arial"/>
          <w:sz w:val="15"/>
          <w:szCs w:val="15"/>
          <w:color w:val="auto"/>
        </w:rPr>
        <w:t>We are a smaller reporting company as defined by Rule 12b-2 under the Exchange Act and are not required to provide the information required under this</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Item.</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8. FINANCIAL STATEMENTS AND SUPPLEMENTARY DATA</w:t>
      </w:r>
    </w:p>
    <w:p>
      <w:pPr>
        <w:spacing w:after="0" w:line="247" w:lineRule="exact"/>
        <w:rPr>
          <w:sz w:val="20"/>
          <w:szCs w:val="20"/>
          <w:color w:val="auto"/>
        </w:rPr>
      </w:pPr>
    </w:p>
    <w:p>
      <w:pPr>
        <w:ind w:right="300" w:firstLine="616"/>
        <w:spacing w:after="0" w:line="277" w:lineRule="auto"/>
        <w:rPr>
          <w:sz w:val="20"/>
          <w:szCs w:val="20"/>
          <w:color w:val="auto"/>
        </w:rPr>
      </w:pPr>
      <w:r>
        <w:rPr>
          <w:rFonts w:ascii="Arial" w:cs="Arial" w:eastAsia="Arial" w:hAnsi="Arial"/>
          <w:sz w:val="17"/>
          <w:szCs w:val="17"/>
          <w:color w:val="auto"/>
        </w:rPr>
        <w:t xml:space="preserve">The financial statements and supplementary data required by this Item 8 are listed in Items 15(a)(1) and (2) of Part III of this Report ( </w:t>
      </w:r>
      <w:r>
        <w:rPr>
          <w:rFonts w:ascii="Arial" w:cs="Arial" w:eastAsia="Arial" w:hAnsi="Arial"/>
          <w:sz w:val="17"/>
          <w:szCs w:val="17"/>
          <w:i w:val="1"/>
          <w:iCs w:val="1"/>
          <w:color w:val="auto"/>
        </w:rPr>
        <w:t>Exhibits,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Statement Schedules </w:t>
      </w:r>
      <w:r>
        <w:rPr>
          <w:rFonts w:ascii="Arial" w:cs="Arial" w:eastAsia="Arial" w:hAnsi="Arial"/>
          <w:sz w:val="17"/>
          <w:szCs w:val="17"/>
          <w:color w:val="auto"/>
        </w:rPr>
        <w:t>).</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 CHANGES IN AND DISAGREEMENTS WITH ACCOUNTANTS ON ACCOUNTING AND FINANCIAL DISCLOSURE</w:t>
      </w:r>
    </w:p>
    <w:p>
      <w:pPr>
        <w:spacing w:after="0" w:line="22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None.</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9A. CONTROLS AND PROCEDURES</w:t>
      </w: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Evaluation of Disclosure Control and Procedures</w:t>
      </w:r>
    </w:p>
    <w:p>
      <w:pPr>
        <w:spacing w:after="0" w:line="221" w:lineRule="exact"/>
        <w:rPr>
          <w:sz w:val="20"/>
          <w:szCs w:val="20"/>
          <w:color w:val="auto"/>
        </w:rPr>
      </w:pPr>
    </w:p>
    <w:p>
      <w:pPr>
        <w:jc w:val="both"/>
        <w:ind w:firstLine="616"/>
        <w:spacing w:after="0" w:line="257" w:lineRule="auto"/>
        <w:rPr>
          <w:sz w:val="20"/>
          <w:szCs w:val="20"/>
          <w:color w:val="auto"/>
        </w:rPr>
      </w:pPr>
      <w:r>
        <w:rPr>
          <w:rFonts w:ascii="Arial" w:cs="Arial" w:eastAsia="Arial" w:hAnsi="Arial"/>
          <w:sz w:val="17"/>
          <w:szCs w:val="17"/>
          <w:color w:val="auto"/>
        </w:rPr>
        <w:t>Based on an evaluation under the supervision and with the participation of our management, our principal executive officer and principal financial officer have concluded that our disclosure controls and procedures as defined in Rules 13a-15(e) and 15d-15(e) under the Exchange Act were effective as of December 31, 2012 to provide reasonable assurance that information required to be disclosed by us in reports that we file or submit under the Exchange Act is (i) recorded, processed, summarized and reported within the time periods specified in the Securities and Exchange Commission rules and forms and (ii) accumulated and communicated to our management, including our principal executive officer and principal financial officer, as appropriate to allow timely decisions regarding required disclosure.</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Management’s Report on Internal Control over Financial Reporting</w:t>
      </w:r>
    </w:p>
    <w:p>
      <w:pPr>
        <w:spacing w:after="0" w:line="221" w:lineRule="exact"/>
        <w:rPr>
          <w:sz w:val="20"/>
          <w:szCs w:val="20"/>
          <w:color w:val="auto"/>
        </w:rPr>
      </w:pPr>
    </w:p>
    <w:p>
      <w:pPr>
        <w:jc w:val="both"/>
        <w:ind w:firstLine="616"/>
        <w:spacing w:after="0" w:line="257"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defined in Rule 13a-15(f) under the Exchange Act. Management conducted an evaluation of the effectiveness of our internal control over financial reporting based on the criteria set forth in Internal Control – Integrated Framework issued by the Committee of Sponsoring Organizations of the Treadway Commission (“COSO”). Based on our assessment which excluded our current year acquisition of PeopleCube, management has concluded that our internal control over financial reporting was effective as of December 31, 2012 to provide reasonable assurance regarding the reliability of financial reporting and the preparation of financial statements in accordance with U.S. generally accepted accounting principles.</w:t>
      </w:r>
    </w:p>
    <w:p>
      <w:pPr>
        <w:spacing w:after="0" w:line="182" w:lineRule="exact"/>
        <w:rPr>
          <w:sz w:val="20"/>
          <w:szCs w:val="20"/>
          <w:color w:val="auto"/>
        </w:rPr>
      </w:pPr>
    </w:p>
    <w:p>
      <w:pPr>
        <w:jc w:val="both"/>
        <w:ind w:firstLine="616"/>
        <w:spacing w:after="0" w:line="264" w:lineRule="auto"/>
        <w:rPr>
          <w:sz w:val="20"/>
          <w:szCs w:val="20"/>
          <w:color w:val="auto"/>
        </w:rPr>
      </w:pPr>
      <w:r>
        <w:rPr>
          <w:rFonts w:ascii="Arial" w:cs="Arial" w:eastAsia="Arial" w:hAnsi="Arial"/>
          <w:sz w:val="17"/>
          <w:szCs w:val="17"/>
          <w:color w:val="auto"/>
        </w:rPr>
        <w:t>This annual report does not include an attestation report of our independent registered public accounting firm regarding our internal control over financial reporting. Management’s report was not subject to attestation by our independent registered public accounting firm pursuant to the rules of the Securities and Exchange Commission that permit us to provide only management’s reporting in this annual report.</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9B. OTHER INFORMATION</w:t>
      </w:r>
    </w:p>
    <w:p>
      <w:pPr>
        <w:spacing w:after="0" w:line="24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None.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1" w:lineRule="exact"/>
        <w:rPr>
          <w:sz w:val="20"/>
          <w:szCs w:val="20"/>
          <w:color w:val="auto"/>
        </w:rPr>
      </w:pPr>
    </w:p>
    <w:p>
      <w:pPr>
        <w:ind w:left="5400"/>
        <w:spacing w:after="0"/>
        <w:rPr>
          <w:sz w:val="20"/>
          <w:szCs w:val="20"/>
          <w:color w:val="auto"/>
        </w:rPr>
      </w:pPr>
      <w:r>
        <w:rPr>
          <w:rFonts w:ascii="Arial" w:cs="Arial" w:eastAsia="Arial" w:hAnsi="Arial"/>
          <w:sz w:val="17"/>
          <w:szCs w:val="17"/>
          <w:b w:val="1"/>
          <w:bCs w:val="1"/>
          <w:color w:val="auto"/>
        </w:rPr>
        <w:t>PART III</w:t>
      </w: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10. DIRECTORS AND EXECUTIVE OFFICERS OF THE REGISTRANT</w:t>
      </w:r>
    </w:p>
    <w:p>
      <w:pPr>
        <w:spacing w:after="0" w:line="247" w:lineRule="exact"/>
        <w:rPr>
          <w:sz w:val="20"/>
          <w:szCs w:val="20"/>
          <w:color w:val="auto"/>
        </w:rPr>
      </w:pPr>
    </w:p>
    <w:p>
      <w:pPr>
        <w:ind w:firstLine="616"/>
        <w:spacing w:after="0" w:line="277" w:lineRule="auto"/>
        <w:rPr>
          <w:sz w:val="20"/>
          <w:szCs w:val="20"/>
          <w:color w:val="auto"/>
        </w:rPr>
      </w:pPr>
      <w:r>
        <w:rPr>
          <w:rFonts w:ascii="Arial" w:cs="Arial" w:eastAsia="Arial" w:hAnsi="Arial"/>
          <w:sz w:val="17"/>
          <w:szCs w:val="17"/>
          <w:color w:val="auto"/>
        </w:rPr>
        <w:t>The information required under this Item is incorporated by reference from our definitive proxy statement to be filed relating to our 2013 annual meeting of shareholders.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11. EXECUTIVE COMPENSATION</w:t>
      </w:r>
    </w:p>
    <w:p>
      <w:pPr>
        <w:spacing w:after="0" w:line="247" w:lineRule="exact"/>
        <w:rPr>
          <w:sz w:val="20"/>
          <w:szCs w:val="20"/>
          <w:color w:val="auto"/>
        </w:rPr>
      </w:pPr>
    </w:p>
    <w:p>
      <w:pPr>
        <w:ind w:firstLine="616"/>
        <w:spacing w:after="0" w:line="277" w:lineRule="auto"/>
        <w:rPr>
          <w:sz w:val="20"/>
          <w:szCs w:val="20"/>
          <w:color w:val="auto"/>
        </w:rPr>
      </w:pPr>
      <w:r>
        <w:rPr>
          <w:rFonts w:ascii="Arial" w:cs="Arial" w:eastAsia="Arial" w:hAnsi="Arial"/>
          <w:sz w:val="17"/>
          <w:szCs w:val="17"/>
          <w:color w:val="auto"/>
        </w:rPr>
        <w:t>The information required under this Item is incorporated by reference from our definitive proxy statement to be filed relating to our 2013 annual meeting of shareholders.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12. SECURITY OWNERSHIP OF CERTAIN BENEFICIAL OWNERS AND MANAGEMENT AND RELATED STOCKHOLDER MATTERS</w:t>
      </w:r>
    </w:p>
    <w:p>
      <w:pPr>
        <w:spacing w:after="0" w:line="247" w:lineRule="exact"/>
        <w:rPr>
          <w:sz w:val="20"/>
          <w:szCs w:val="20"/>
          <w:color w:val="auto"/>
        </w:rPr>
      </w:pPr>
    </w:p>
    <w:p>
      <w:pPr>
        <w:ind w:firstLine="616"/>
        <w:spacing w:after="0" w:line="277" w:lineRule="auto"/>
        <w:rPr>
          <w:sz w:val="20"/>
          <w:szCs w:val="20"/>
          <w:color w:val="auto"/>
        </w:rPr>
      </w:pPr>
      <w:r>
        <w:rPr>
          <w:rFonts w:ascii="Arial" w:cs="Arial" w:eastAsia="Arial" w:hAnsi="Arial"/>
          <w:sz w:val="17"/>
          <w:szCs w:val="17"/>
          <w:color w:val="auto"/>
        </w:rPr>
        <w:t>The information required under this Item is incorporated by reference from our definitive proxy statement to be filed relating to our 2013 annual meeting of shareholders.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13. CERTAIN RELATIONSHIPS AND RELATED TRANSACTIONS, AND DIRECTOR INDEPENDENCE</w:t>
      </w:r>
    </w:p>
    <w:p>
      <w:pPr>
        <w:spacing w:after="0" w:line="247" w:lineRule="exact"/>
        <w:rPr>
          <w:sz w:val="20"/>
          <w:szCs w:val="20"/>
          <w:color w:val="auto"/>
        </w:rPr>
      </w:pPr>
    </w:p>
    <w:p>
      <w:pPr>
        <w:ind w:firstLine="616"/>
        <w:spacing w:after="0" w:line="277" w:lineRule="auto"/>
        <w:rPr>
          <w:sz w:val="20"/>
          <w:szCs w:val="20"/>
          <w:color w:val="auto"/>
        </w:rPr>
      </w:pPr>
      <w:r>
        <w:rPr>
          <w:rFonts w:ascii="Arial" w:cs="Arial" w:eastAsia="Arial" w:hAnsi="Arial"/>
          <w:sz w:val="17"/>
          <w:szCs w:val="17"/>
          <w:color w:val="auto"/>
        </w:rPr>
        <w:t>The information required under this Item is incorporated by reference from our definitive proxy statement to be filed relating to our 2013 annual meeting of shareholders.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14. PRINCIPAL ACCOUNTANT FEES AND SERVICES</w:t>
      </w:r>
    </w:p>
    <w:p>
      <w:pPr>
        <w:spacing w:after="0" w:line="247" w:lineRule="exact"/>
        <w:rPr>
          <w:sz w:val="20"/>
          <w:szCs w:val="20"/>
          <w:color w:val="auto"/>
        </w:rPr>
      </w:pPr>
    </w:p>
    <w:p>
      <w:pPr>
        <w:ind w:firstLine="616"/>
        <w:spacing w:after="0" w:line="277" w:lineRule="auto"/>
        <w:rPr>
          <w:sz w:val="20"/>
          <w:szCs w:val="20"/>
          <w:color w:val="auto"/>
        </w:rPr>
      </w:pPr>
      <w:r>
        <w:rPr>
          <w:rFonts w:ascii="Arial" w:cs="Arial" w:eastAsia="Arial" w:hAnsi="Arial"/>
          <w:sz w:val="17"/>
          <w:szCs w:val="17"/>
          <w:color w:val="auto"/>
        </w:rPr>
        <w:t>The information required under this Item is incorporated by reference from our definitive proxy statement to be filed relating to our 2013 annual meeting of shareholders.</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PART IV</w:t>
      </w: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15. EXHIBITS AND FINANCIAL STATEMENT SCHEDULES</w:t>
      </w:r>
    </w:p>
    <w:p>
      <w:pPr>
        <w:spacing w:after="0" w:line="241" w:lineRule="exact"/>
        <w:rPr>
          <w:sz w:val="20"/>
          <w:szCs w:val="20"/>
          <w:color w:val="auto"/>
        </w:rPr>
      </w:pPr>
    </w:p>
    <w:p>
      <w:pPr>
        <w:ind w:left="700" w:hanging="697"/>
        <w:spacing w:after="0"/>
        <w:tabs>
          <w:tab w:leader="none" w:pos="700" w:val="left"/>
        </w:tabs>
        <w:numPr>
          <w:ilvl w:val="0"/>
          <w:numId w:val="5"/>
        </w:numPr>
        <w:rPr>
          <w:rFonts w:ascii="Arial" w:cs="Arial" w:eastAsia="Arial" w:hAnsi="Arial"/>
          <w:sz w:val="17"/>
          <w:szCs w:val="17"/>
          <w:b w:val="1"/>
          <w:bCs w:val="1"/>
          <w:color w:val="auto"/>
        </w:rPr>
      </w:pPr>
      <w:r>
        <w:rPr>
          <w:rFonts w:ascii="Arial" w:cs="Arial" w:eastAsia="Arial" w:hAnsi="Arial"/>
          <w:sz w:val="17"/>
          <w:szCs w:val="17"/>
          <w:b w:val="1"/>
          <w:bCs w:val="1"/>
          <w:color w:val="auto"/>
        </w:rPr>
        <w:t>Financial Statements and Financial Statements Schedules</w:t>
      </w:r>
    </w:p>
    <w:p>
      <w:pPr>
        <w:spacing w:after="0" w:line="240" w:lineRule="exact"/>
        <w:rPr>
          <w:rFonts w:ascii="Arial" w:cs="Arial" w:eastAsia="Arial" w:hAnsi="Arial"/>
          <w:sz w:val="17"/>
          <w:szCs w:val="17"/>
          <w:b w:val="1"/>
          <w:bCs w:val="1"/>
          <w:color w:val="auto"/>
        </w:rPr>
      </w:pPr>
    </w:p>
    <w:p>
      <w:pPr>
        <w:ind w:left="1540" w:right="4260" w:hanging="767"/>
        <w:spacing w:after="0" w:line="535" w:lineRule="auto"/>
        <w:tabs>
          <w:tab w:leader="none" w:pos="1012" w:val="left"/>
        </w:tabs>
        <w:numPr>
          <w:ilvl w:val="1"/>
          <w:numId w:val="5"/>
        </w:numPr>
        <w:rPr>
          <w:rFonts w:ascii="Arial" w:cs="Arial" w:eastAsia="Arial" w:hAnsi="Arial"/>
          <w:sz w:val="17"/>
          <w:szCs w:val="17"/>
          <w:b w:val="1"/>
          <w:bCs w:val="1"/>
          <w:color w:val="auto"/>
        </w:rPr>
      </w:pPr>
      <w:r>
        <w:rPr>
          <w:rFonts w:ascii="Arial" w:cs="Arial" w:eastAsia="Arial" w:hAnsi="Arial"/>
          <w:sz w:val="17"/>
          <w:szCs w:val="17"/>
          <w:b w:val="1"/>
          <w:bCs w:val="1"/>
          <w:color w:val="auto"/>
        </w:rPr>
        <w:t>The following financial statements of the Company are filed as a part of this Report: Report of Independent Registered Public Accounting Firm</w:t>
      </w:r>
    </w:p>
    <w:p>
      <w:pPr>
        <w:spacing w:after="0" w:line="1" w:lineRule="exact"/>
        <w:rPr>
          <w:rFonts w:ascii="Arial" w:cs="Arial" w:eastAsia="Arial" w:hAnsi="Arial"/>
          <w:sz w:val="17"/>
          <w:szCs w:val="17"/>
          <w:b w:val="1"/>
          <w:bCs w:val="1"/>
          <w:color w:val="auto"/>
        </w:rPr>
      </w:pPr>
    </w:p>
    <w:p>
      <w:pPr>
        <w:ind w:left="1540"/>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Consolidated Financial Statements</w:t>
      </w:r>
    </w:p>
    <w:p>
      <w:pPr>
        <w:spacing w:after="0" w:line="221" w:lineRule="exact"/>
        <w:rPr>
          <w:rFonts w:ascii="Arial" w:cs="Arial" w:eastAsia="Arial" w:hAnsi="Arial"/>
          <w:sz w:val="17"/>
          <w:szCs w:val="17"/>
          <w:b w:val="1"/>
          <w:bCs w:val="1"/>
          <w:color w:val="auto"/>
        </w:rPr>
      </w:pPr>
    </w:p>
    <w:p>
      <w:pPr>
        <w:ind w:left="2000"/>
        <w:spacing w:after="0"/>
        <w:rPr>
          <w:rFonts w:ascii="Arial" w:cs="Arial" w:eastAsia="Arial" w:hAnsi="Arial"/>
          <w:sz w:val="17"/>
          <w:szCs w:val="17"/>
          <w:b w:val="1"/>
          <w:bCs w:val="1"/>
          <w:color w:val="auto"/>
        </w:rPr>
      </w:pPr>
      <w:r>
        <w:rPr>
          <w:rFonts w:ascii="Arial" w:cs="Arial" w:eastAsia="Arial" w:hAnsi="Arial"/>
          <w:sz w:val="17"/>
          <w:szCs w:val="17"/>
          <w:color w:val="auto"/>
        </w:rPr>
        <w:t>Consolidated Balance Sheets as of December 31, 2012 and 2011</w:t>
      </w:r>
    </w:p>
    <w:p>
      <w:pPr>
        <w:spacing w:after="0" w:line="240" w:lineRule="exact"/>
        <w:rPr>
          <w:rFonts w:ascii="Arial" w:cs="Arial" w:eastAsia="Arial" w:hAnsi="Arial"/>
          <w:sz w:val="17"/>
          <w:szCs w:val="17"/>
          <w:b w:val="1"/>
          <w:bCs w:val="1"/>
          <w:color w:val="auto"/>
        </w:rPr>
      </w:pPr>
    </w:p>
    <w:p>
      <w:pPr>
        <w:ind w:left="2000" w:right="180"/>
        <w:spacing w:after="0" w:line="592" w:lineRule="auto"/>
        <w:rPr>
          <w:rFonts w:ascii="Arial" w:cs="Arial" w:eastAsia="Arial" w:hAnsi="Arial"/>
          <w:sz w:val="17"/>
          <w:szCs w:val="17"/>
          <w:b w:val="1"/>
          <w:bCs w:val="1"/>
          <w:color w:val="auto"/>
        </w:rPr>
      </w:pPr>
      <w:r>
        <w:rPr>
          <w:rFonts w:ascii="Arial" w:cs="Arial" w:eastAsia="Arial" w:hAnsi="Arial"/>
          <w:sz w:val="15"/>
          <w:szCs w:val="15"/>
          <w:color w:val="auto"/>
        </w:rPr>
        <w:t>Consolidated Statements of Comprehensive Income (Loss) for the twelve months ended December 31, 2012 and December 31, 2011 Consolidated Statements of Changes in Stockholders’ Equity for the twelve months ended December 31, 2012 and December 31, 2011 Consolidated Statements of Cash Flows for the twelve months ended December 31, 2012 and December 31, 2011</w:t>
      </w:r>
    </w:p>
    <w:p>
      <w:pPr>
        <w:spacing w:after="0" w:line="1" w:lineRule="exact"/>
        <w:rPr>
          <w:rFonts w:ascii="Arial" w:cs="Arial" w:eastAsia="Arial" w:hAnsi="Arial"/>
          <w:sz w:val="17"/>
          <w:szCs w:val="17"/>
          <w:b w:val="1"/>
          <w:bCs w:val="1"/>
          <w:color w:val="auto"/>
        </w:rPr>
      </w:pPr>
    </w:p>
    <w:p>
      <w:pPr>
        <w:ind w:left="1540"/>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Notes to Consolidated Financial Statements</w:t>
      </w:r>
    </w:p>
    <w:p>
      <w:pPr>
        <w:spacing w:after="0" w:line="215" w:lineRule="exact"/>
        <w:rPr>
          <w:rFonts w:ascii="Arial" w:cs="Arial" w:eastAsia="Arial" w:hAnsi="Arial"/>
          <w:sz w:val="17"/>
          <w:szCs w:val="17"/>
          <w:b w:val="1"/>
          <w:bCs w:val="1"/>
          <w:color w:val="auto"/>
        </w:rPr>
      </w:pPr>
    </w:p>
    <w:p>
      <w:pPr>
        <w:ind w:left="1020" w:hanging="247"/>
        <w:spacing w:after="0"/>
        <w:tabs>
          <w:tab w:leader="none" w:pos="1020" w:val="left"/>
        </w:tabs>
        <w:numPr>
          <w:ilvl w:val="1"/>
          <w:numId w:val="5"/>
        </w:numPr>
        <w:rPr>
          <w:rFonts w:ascii="Arial" w:cs="Arial" w:eastAsia="Arial" w:hAnsi="Arial"/>
          <w:sz w:val="17"/>
          <w:szCs w:val="17"/>
          <w:b w:val="1"/>
          <w:bCs w:val="1"/>
          <w:color w:val="auto"/>
        </w:rPr>
      </w:pPr>
      <w:r>
        <w:rPr>
          <w:rFonts w:ascii="Arial" w:cs="Arial" w:eastAsia="Arial" w:hAnsi="Arial"/>
          <w:sz w:val="17"/>
          <w:szCs w:val="17"/>
          <w:b w:val="1"/>
          <w:bCs w:val="1"/>
          <w:color w:val="auto"/>
        </w:rPr>
        <w:t>Financial Statement Schedules:</w:t>
      </w:r>
    </w:p>
    <w:p>
      <w:pPr>
        <w:spacing w:after="0" w:line="221" w:lineRule="exact"/>
        <w:rPr>
          <w:sz w:val="20"/>
          <w:szCs w:val="20"/>
          <w:color w:val="auto"/>
        </w:rPr>
      </w:pPr>
    </w:p>
    <w:p>
      <w:pPr>
        <w:jc w:val="both"/>
        <w:ind w:firstLine="1540"/>
        <w:spacing w:after="0" w:line="264" w:lineRule="auto"/>
        <w:rPr>
          <w:sz w:val="20"/>
          <w:szCs w:val="20"/>
          <w:color w:val="auto"/>
        </w:rPr>
      </w:pPr>
      <w:r>
        <w:rPr>
          <w:rFonts w:ascii="Arial" w:cs="Arial" w:eastAsia="Arial" w:hAnsi="Arial"/>
          <w:sz w:val="17"/>
          <w:szCs w:val="17"/>
          <w:color w:val="auto"/>
        </w:rPr>
        <w:t>All schedules for which provision is made in the applicable account regulation of the Securities and Exchange Commission are either not required under the related instructions, are inapplicable or the required information is included elsewhere in the Consolidated Financial Statements and incorporated herein by reference.</w:t>
      </w:r>
    </w:p>
    <w:p>
      <w:pPr>
        <w:spacing w:after="0" w:line="196" w:lineRule="exact"/>
        <w:rPr>
          <w:sz w:val="20"/>
          <w:szCs w:val="20"/>
          <w:color w:val="auto"/>
        </w:rPr>
      </w:pPr>
    </w:p>
    <w:p>
      <w:pPr>
        <w:ind w:left="700" w:hanging="697"/>
        <w:spacing w:after="0"/>
        <w:tabs>
          <w:tab w:leader="none" w:pos="700" w:val="left"/>
        </w:tabs>
        <w:numPr>
          <w:ilvl w:val="0"/>
          <w:numId w:val="6"/>
        </w:numPr>
        <w:rPr>
          <w:rFonts w:ascii="Arial" w:cs="Arial" w:eastAsia="Arial" w:hAnsi="Arial"/>
          <w:sz w:val="17"/>
          <w:szCs w:val="17"/>
          <w:b w:val="1"/>
          <w:bCs w:val="1"/>
          <w:color w:val="auto"/>
        </w:rPr>
      </w:pPr>
      <w:r>
        <w:rPr>
          <w:rFonts w:ascii="Arial" w:cs="Arial" w:eastAsia="Arial" w:hAnsi="Arial"/>
          <w:sz w:val="17"/>
          <w:szCs w:val="17"/>
          <w:b w:val="1"/>
          <w:bCs w:val="1"/>
          <w:color w:val="auto"/>
        </w:rPr>
        <w:t>Exhibits</w:t>
      </w:r>
    </w:p>
    <w:p>
      <w:pPr>
        <w:spacing w:after="0" w:line="241" w:lineRule="exact"/>
        <w:rPr>
          <w:sz w:val="20"/>
          <w:szCs w:val="20"/>
          <w:color w:val="auto"/>
        </w:rPr>
      </w:pPr>
    </w:p>
    <w:p>
      <w:pPr>
        <w:ind w:left="780"/>
        <w:spacing w:after="0"/>
        <w:rPr>
          <w:sz w:val="20"/>
          <w:szCs w:val="20"/>
          <w:color w:val="auto"/>
        </w:rPr>
      </w:pPr>
      <w:r>
        <w:rPr>
          <w:rFonts w:ascii="Arial" w:cs="Arial" w:eastAsia="Arial" w:hAnsi="Arial"/>
          <w:sz w:val="17"/>
          <w:szCs w:val="17"/>
          <w:b w:val="1"/>
          <w:bCs w:val="1"/>
          <w:color w:val="auto"/>
        </w:rPr>
        <w:t>The exhibits filed in response to Item 601 of Regulations S-K are listed in the Index to the Exhibits.</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61"/>
        </w:trPr>
        <w:tc>
          <w:tcPr>
            <w:tcW w:w="10240" w:type="dxa"/>
            <w:vAlign w:val="bottom"/>
            <w:gridSpan w:val="9"/>
          </w:tcPr>
          <w:p>
            <w:pPr>
              <w:spacing w:after="0"/>
              <w:rPr>
                <w:rFonts w:ascii="Arial" w:cs="Arial" w:eastAsia="Arial" w:hAnsi="Arial"/>
                <w:sz w:val="14"/>
                <w:szCs w:val="14"/>
                <w:color w:val="0000EE"/>
              </w:rPr>
            </w:pPr>
            <w:hyperlink w:anchor="page3">
              <w:r>
                <w:rPr>
                  <w:rFonts w:ascii="Arial" w:cs="Arial" w:eastAsia="Arial" w:hAnsi="Arial"/>
                  <w:sz w:val="14"/>
                  <w:szCs w:val="14"/>
                  <w:color w:val="0000EE"/>
                </w:rPr>
                <w:t>Table of Contents</w:t>
              </w:r>
            </w:hyperlink>
          </w:p>
        </w:tc>
        <w:tc>
          <w:tcPr>
            <w:tcW w:w="1180" w:type="dxa"/>
            <w:vAlign w:val="bottom"/>
          </w:tcPr>
          <w:p>
            <w:pPr>
              <w:spacing w:after="0"/>
              <w:rPr>
                <w:sz w:val="14"/>
                <w:szCs w:val="14"/>
                <w:color w:val="auto"/>
              </w:rPr>
            </w:pPr>
          </w:p>
        </w:tc>
      </w:tr>
      <w:tr>
        <w:trPr>
          <w:trHeight w:val="402"/>
        </w:trPr>
        <w:tc>
          <w:tcPr>
            <w:tcW w:w="80" w:type="dxa"/>
            <w:vAlign w:val="bottom"/>
            <w:tcBorders>
              <w:top w:val="single" w:sz="8" w:color="0000EE"/>
            </w:tcBorders>
          </w:tcPr>
          <w:p>
            <w:pPr>
              <w:spacing w:after="0"/>
              <w:rPr>
                <w:sz w:val="24"/>
                <w:szCs w:val="24"/>
                <w:color w:val="auto"/>
              </w:rPr>
            </w:pPr>
          </w:p>
        </w:tc>
        <w:tc>
          <w:tcPr>
            <w:tcW w:w="900" w:type="dxa"/>
            <w:vAlign w:val="bottom"/>
            <w:tcBorders>
              <w:top w:val="single" w:sz="8" w:color="0000EE"/>
            </w:tcBorders>
          </w:tcPr>
          <w:p>
            <w:pPr>
              <w:spacing w:after="0"/>
              <w:rPr>
                <w:sz w:val="24"/>
                <w:szCs w:val="24"/>
                <w:color w:val="auto"/>
              </w:rPr>
            </w:pPr>
          </w:p>
        </w:tc>
        <w:tc>
          <w:tcPr>
            <w:tcW w:w="9260" w:type="dxa"/>
            <w:vAlign w:val="bottom"/>
            <w:gridSpan w:val="7"/>
          </w:tcPr>
          <w:p>
            <w:pPr>
              <w:jc w:val="center"/>
              <w:ind w:left="134"/>
              <w:spacing w:after="0"/>
              <w:rPr>
                <w:sz w:val="20"/>
                <w:szCs w:val="20"/>
                <w:color w:val="auto"/>
              </w:rPr>
            </w:pPr>
            <w:r>
              <w:rPr>
                <w:rFonts w:ascii="Arial" w:cs="Arial" w:eastAsia="Arial" w:hAnsi="Arial"/>
                <w:sz w:val="17"/>
                <w:szCs w:val="17"/>
                <w:b w:val="1"/>
                <w:bCs w:val="1"/>
                <w:color w:val="auto"/>
                <w:w w:val="92"/>
              </w:rPr>
              <w:t>Index To Financial Statements and Financial Statement Schedules (Item 15(a)(1) of Part IV)</w:t>
            </w:r>
          </w:p>
        </w:tc>
        <w:tc>
          <w:tcPr>
            <w:tcW w:w="1180" w:type="dxa"/>
            <w:vAlign w:val="bottom"/>
          </w:tcPr>
          <w:p>
            <w:pPr>
              <w:spacing w:after="0"/>
              <w:rPr>
                <w:sz w:val="24"/>
                <w:szCs w:val="24"/>
                <w:color w:val="auto"/>
              </w:rPr>
            </w:pPr>
          </w:p>
        </w:tc>
      </w:tr>
      <w:tr>
        <w:trPr>
          <w:trHeight w:val="418"/>
        </w:trPr>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180" w:type="dxa"/>
            <w:vAlign w:val="bottom"/>
            <w:tcBorders>
              <w:bottom w:val="single" w:sz="8" w:color="auto"/>
            </w:tcBorders>
          </w:tcPr>
          <w:p>
            <w:pPr>
              <w:ind w:left="360"/>
              <w:spacing w:after="0"/>
              <w:rPr>
                <w:sz w:val="20"/>
                <w:szCs w:val="20"/>
                <w:color w:val="auto"/>
              </w:rPr>
            </w:pPr>
            <w:r>
              <w:rPr>
                <w:rFonts w:ascii="Arial" w:cs="Arial" w:eastAsia="Arial" w:hAnsi="Arial"/>
                <w:sz w:val="17"/>
                <w:szCs w:val="17"/>
                <w:b w:val="1"/>
                <w:bCs w:val="1"/>
                <w:color w:val="auto"/>
              </w:rPr>
              <w:t>PAGE</w:t>
            </w:r>
          </w:p>
        </w:tc>
      </w:tr>
      <w:tr>
        <w:trPr>
          <w:trHeight w:val="372"/>
        </w:trPr>
        <w:tc>
          <w:tcPr>
            <w:tcW w:w="4020" w:type="dxa"/>
            <w:vAlign w:val="bottom"/>
            <w:tcBorders>
              <w:bottom w:val="single" w:sz="8" w:color="0000EE"/>
            </w:tcBorders>
            <w:gridSpan w:val="4"/>
          </w:tcPr>
          <w:p>
            <w:pPr>
              <w:spacing w:after="0"/>
              <w:rPr>
                <w:rFonts w:ascii="Arial" w:cs="Arial" w:eastAsia="Arial" w:hAnsi="Arial"/>
                <w:sz w:val="17"/>
                <w:szCs w:val="17"/>
                <w:color w:val="0000EE"/>
                <w:w w:val="92"/>
              </w:rPr>
            </w:pPr>
            <w:hyperlink w:anchor="page23">
              <w:r>
                <w:rPr>
                  <w:rFonts w:ascii="Arial" w:cs="Arial" w:eastAsia="Arial" w:hAnsi="Arial"/>
                  <w:sz w:val="17"/>
                  <w:szCs w:val="17"/>
                  <w:color w:val="0000EE"/>
                  <w:w w:val="92"/>
                </w:rPr>
                <w:t>Report of Independent Registered Public Accounting Firm</w:t>
              </w:r>
            </w:hyperlink>
          </w:p>
        </w:tc>
        <w:tc>
          <w:tcPr>
            <w:tcW w:w="6220" w:type="dxa"/>
            <w:vAlign w:val="bottom"/>
            <w:gridSpan w:val="5"/>
          </w:tcPr>
          <w:p>
            <w:pPr>
              <w:spacing w:after="0"/>
              <w:rPr>
                <w:sz w:val="24"/>
                <w:szCs w:val="24"/>
                <w:color w:val="auto"/>
              </w:rPr>
            </w:pPr>
          </w:p>
        </w:tc>
        <w:tc>
          <w:tcPr>
            <w:tcW w:w="1180" w:type="dxa"/>
            <w:vAlign w:val="bottom"/>
          </w:tcPr>
          <w:p>
            <w:pPr>
              <w:ind w:left="840"/>
              <w:spacing w:after="0"/>
              <w:rPr>
                <w:sz w:val="20"/>
                <w:szCs w:val="20"/>
                <w:color w:val="auto"/>
              </w:rPr>
            </w:pPr>
            <w:r>
              <w:rPr>
                <w:rFonts w:ascii="Arial" w:cs="Arial" w:eastAsia="Arial" w:hAnsi="Arial"/>
                <w:sz w:val="17"/>
                <w:szCs w:val="17"/>
                <w:color w:val="auto"/>
                <w:w w:val="91"/>
              </w:rPr>
              <w:t>F - 1</w:t>
            </w:r>
          </w:p>
        </w:tc>
      </w:tr>
      <w:tr>
        <w:trPr>
          <w:trHeight w:val="211"/>
        </w:trPr>
        <w:tc>
          <w:tcPr>
            <w:tcW w:w="10240" w:type="dxa"/>
            <w:vAlign w:val="bottom"/>
            <w:gridSpan w:val="9"/>
          </w:tcPr>
          <w:p>
            <w:pPr>
              <w:spacing w:after="0"/>
              <w:rPr>
                <w:sz w:val="20"/>
                <w:szCs w:val="20"/>
                <w:color w:val="auto"/>
              </w:rPr>
            </w:pPr>
            <w:r>
              <w:rPr>
                <w:rFonts w:ascii="Arial" w:cs="Arial" w:eastAsia="Arial" w:hAnsi="Arial"/>
                <w:sz w:val="17"/>
                <w:szCs w:val="17"/>
                <w:color w:val="auto"/>
              </w:rPr>
              <w:t>Financial Statements:</w:t>
            </w:r>
          </w:p>
        </w:tc>
        <w:tc>
          <w:tcPr>
            <w:tcW w:w="1180" w:type="dxa"/>
            <w:vAlign w:val="bottom"/>
          </w:tcPr>
          <w:p>
            <w:pPr>
              <w:spacing w:after="0"/>
              <w:rPr>
                <w:sz w:val="18"/>
                <w:szCs w:val="18"/>
                <w:color w:val="auto"/>
              </w:rPr>
            </w:pPr>
          </w:p>
        </w:tc>
      </w:tr>
      <w:tr>
        <w:trPr>
          <w:trHeight w:val="179"/>
        </w:trPr>
        <w:tc>
          <w:tcPr>
            <w:tcW w:w="80" w:type="dxa"/>
            <w:vAlign w:val="bottom"/>
          </w:tcPr>
          <w:p>
            <w:pPr>
              <w:spacing w:after="0"/>
              <w:rPr>
                <w:sz w:val="15"/>
                <w:szCs w:val="15"/>
                <w:color w:val="auto"/>
              </w:rPr>
            </w:pPr>
          </w:p>
        </w:tc>
        <w:tc>
          <w:tcPr>
            <w:tcW w:w="4420" w:type="dxa"/>
            <w:vAlign w:val="bottom"/>
            <w:tcBorders>
              <w:bottom w:val="single" w:sz="8" w:color="0000EE"/>
            </w:tcBorders>
            <w:gridSpan w:val="4"/>
          </w:tcPr>
          <w:p>
            <w:pPr>
              <w:spacing w:after="0" w:line="180" w:lineRule="exact"/>
              <w:rPr>
                <w:rFonts w:ascii="Arial" w:cs="Arial" w:eastAsia="Arial" w:hAnsi="Arial"/>
                <w:sz w:val="17"/>
                <w:szCs w:val="17"/>
                <w:color w:val="0000EE"/>
                <w:w w:val="89"/>
              </w:rPr>
            </w:pPr>
            <w:hyperlink w:anchor="page24">
              <w:r>
                <w:rPr>
                  <w:rFonts w:ascii="Arial" w:cs="Arial" w:eastAsia="Arial" w:hAnsi="Arial"/>
                  <w:sz w:val="17"/>
                  <w:szCs w:val="17"/>
                  <w:color w:val="0000EE"/>
                  <w:w w:val="89"/>
                </w:rPr>
                <w:t>Consolidated Balance Sheets as of December 31, 2012 and 2011</w:t>
              </w:r>
            </w:hyperlink>
          </w:p>
        </w:tc>
        <w:tc>
          <w:tcPr>
            <w:tcW w:w="5740" w:type="dxa"/>
            <w:vAlign w:val="bottom"/>
            <w:gridSpan w:val="4"/>
          </w:tcPr>
          <w:p>
            <w:pPr>
              <w:spacing w:after="0"/>
              <w:rPr>
                <w:sz w:val="15"/>
                <w:szCs w:val="15"/>
                <w:color w:val="auto"/>
              </w:rPr>
            </w:pPr>
          </w:p>
        </w:tc>
        <w:tc>
          <w:tcPr>
            <w:tcW w:w="1180" w:type="dxa"/>
            <w:vAlign w:val="bottom"/>
          </w:tcPr>
          <w:p>
            <w:pPr>
              <w:ind w:left="840"/>
              <w:spacing w:after="0" w:line="180" w:lineRule="exact"/>
              <w:rPr>
                <w:sz w:val="20"/>
                <w:szCs w:val="20"/>
                <w:color w:val="auto"/>
              </w:rPr>
            </w:pPr>
            <w:r>
              <w:rPr>
                <w:rFonts w:ascii="Arial" w:cs="Arial" w:eastAsia="Arial" w:hAnsi="Arial"/>
                <w:sz w:val="17"/>
                <w:szCs w:val="17"/>
                <w:color w:val="auto"/>
                <w:w w:val="91"/>
              </w:rPr>
              <w:t>F - 2</w:t>
            </w:r>
          </w:p>
        </w:tc>
      </w:tr>
      <w:tr>
        <w:trPr>
          <w:trHeight w:val="185"/>
        </w:trPr>
        <w:tc>
          <w:tcPr>
            <w:tcW w:w="80" w:type="dxa"/>
            <w:vAlign w:val="bottom"/>
          </w:tcPr>
          <w:p>
            <w:pPr>
              <w:spacing w:after="0"/>
              <w:rPr>
                <w:sz w:val="16"/>
                <w:szCs w:val="16"/>
                <w:color w:val="auto"/>
              </w:rPr>
            </w:pPr>
          </w:p>
        </w:tc>
        <w:tc>
          <w:tcPr>
            <w:tcW w:w="7380" w:type="dxa"/>
            <w:vAlign w:val="bottom"/>
            <w:tcBorders>
              <w:bottom w:val="single" w:sz="8" w:color="0000EE"/>
            </w:tcBorders>
            <w:gridSpan w:val="6"/>
          </w:tcPr>
          <w:p>
            <w:pPr>
              <w:spacing w:after="0" w:line="185" w:lineRule="exact"/>
              <w:rPr>
                <w:rFonts w:ascii="Arial" w:cs="Arial" w:eastAsia="Arial" w:hAnsi="Arial"/>
                <w:sz w:val="17"/>
                <w:szCs w:val="17"/>
                <w:color w:val="0000EE"/>
                <w:w w:val="90"/>
              </w:rPr>
            </w:pPr>
            <w:hyperlink w:anchor="page25">
              <w:r>
                <w:rPr>
                  <w:rFonts w:ascii="Arial" w:cs="Arial" w:eastAsia="Arial" w:hAnsi="Arial"/>
                  <w:sz w:val="17"/>
                  <w:szCs w:val="17"/>
                  <w:color w:val="0000EE"/>
                  <w:w w:val="90"/>
                </w:rPr>
                <w:t>Consolidated Statements of Comprehensive Income (Loss) for the year ended December 31, 2012 and 2011</w:t>
              </w:r>
            </w:hyperlink>
          </w:p>
        </w:tc>
        <w:tc>
          <w:tcPr>
            <w:tcW w:w="2780" w:type="dxa"/>
            <w:vAlign w:val="bottom"/>
            <w:gridSpan w:val="2"/>
          </w:tcPr>
          <w:p>
            <w:pPr>
              <w:spacing w:after="0"/>
              <w:rPr>
                <w:sz w:val="16"/>
                <w:szCs w:val="16"/>
                <w:color w:val="auto"/>
              </w:rPr>
            </w:pPr>
          </w:p>
        </w:tc>
        <w:tc>
          <w:tcPr>
            <w:tcW w:w="1180" w:type="dxa"/>
            <w:vAlign w:val="bottom"/>
          </w:tcPr>
          <w:p>
            <w:pPr>
              <w:ind w:left="840"/>
              <w:spacing w:after="0" w:line="185" w:lineRule="exact"/>
              <w:rPr>
                <w:sz w:val="20"/>
                <w:szCs w:val="20"/>
                <w:color w:val="auto"/>
              </w:rPr>
            </w:pPr>
            <w:r>
              <w:rPr>
                <w:rFonts w:ascii="Arial" w:cs="Arial" w:eastAsia="Arial" w:hAnsi="Arial"/>
                <w:sz w:val="17"/>
                <w:szCs w:val="17"/>
                <w:color w:val="auto"/>
                <w:w w:val="91"/>
              </w:rPr>
              <w:t>F - 3</w:t>
            </w:r>
          </w:p>
        </w:tc>
      </w:tr>
      <w:tr>
        <w:trPr>
          <w:trHeight w:val="185"/>
        </w:trPr>
        <w:tc>
          <w:tcPr>
            <w:tcW w:w="80" w:type="dxa"/>
            <w:vAlign w:val="bottom"/>
          </w:tcPr>
          <w:p>
            <w:pPr>
              <w:spacing w:after="0"/>
              <w:rPr>
                <w:sz w:val="16"/>
                <w:szCs w:val="16"/>
                <w:color w:val="auto"/>
              </w:rPr>
            </w:pPr>
          </w:p>
        </w:tc>
        <w:tc>
          <w:tcPr>
            <w:tcW w:w="7560" w:type="dxa"/>
            <w:vAlign w:val="bottom"/>
            <w:tcBorders>
              <w:bottom w:val="single" w:sz="8" w:color="0000EE"/>
            </w:tcBorders>
            <w:gridSpan w:val="7"/>
          </w:tcPr>
          <w:p>
            <w:pPr>
              <w:spacing w:after="0" w:line="185" w:lineRule="exact"/>
              <w:rPr>
                <w:rFonts w:ascii="Arial" w:cs="Arial" w:eastAsia="Arial" w:hAnsi="Arial"/>
                <w:sz w:val="17"/>
                <w:szCs w:val="17"/>
                <w:color w:val="0000EE"/>
                <w:w w:val="90"/>
              </w:rPr>
            </w:pPr>
            <w:hyperlink w:anchor="page26">
              <w:r>
                <w:rPr>
                  <w:rFonts w:ascii="Arial" w:cs="Arial" w:eastAsia="Arial" w:hAnsi="Arial"/>
                  <w:sz w:val="17"/>
                  <w:szCs w:val="17"/>
                  <w:color w:val="0000EE"/>
                  <w:w w:val="90"/>
                </w:rPr>
                <w:t>Consolidated Statements of Changes in Stockholders’ Equity for the year ended December 31, 2012 and 2011</w:t>
              </w:r>
            </w:hyperlink>
          </w:p>
        </w:tc>
        <w:tc>
          <w:tcPr>
            <w:tcW w:w="2600" w:type="dxa"/>
            <w:vAlign w:val="bottom"/>
          </w:tcPr>
          <w:p>
            <w:pPr>
              <w:spacing w:after="0"/>
              <w:rPr>
                <w:sz w:val="16"/>
                <w:szCs w:val="16"/>
                <w:color w:val="auto"/>
              </w:rPr>
            </w:pPr>
          </w:p>
        </w:tc>
        <w:tc>
          <w:tcPr>
            <w:tcW w:w="1180" w:type="dxa"/>
            <w:vAlign w:val="bottom"/>
          </w:tcPr>
          <w:p>
            <w:pPr>
              <w:ind w:left="840"/>
              <w:spacing w:after="0" w:line="185" w:lineRule="exact"/>
              <w:rPr>
                <w:sz w:val="20"/>
                <w:szCs w:val="20"/>
                <w:color w:val="auto"/>
              </w:rPr>
            </w:pPr>
            <w:r>
              <w:rPr>
                <w:rFonts w:ascii="Arial" w:cs="Arial" w:eastAsia="Arial" w:hAnsi="Arial"/>
                <w:sz w:val="17"/>
                <w:szCs w:val="17"/>
                <w:color w:val="auto"/>
                <w:w w:val="91"/>
              </w:rPr>
              <w:t>F - 4</w:t>
            </w:r>
          </w:p>
        </w:tc>
      </w:tr>
      <w:tr>
        <w:trPr>
          <w:trHeight w:val="185"/>
        </w:trPr>
        <w:tc>
          <w:tcPr>
            <w:tcW w:w="80" w:type="dxa"/>
            <w:vAlign w:val="bottom"/>
          </w:tcPr>
          <w:p>
            <w:pPr>
              <w:spacing w:after="0"/>
              <w:rPr>
                <w:sz w:val="16"/>
                <w:szCs w:val="16"/>
                <w:color w:val="auto"/>
              </w:rPr>
            </w:pPr>
          </w:p>
        </w:tc>
        <w:tc>
          <w:tcPr>
            <w:tcW w:w="6080" w:type="dxa"/>
            <w:vAlign w:val="bottom"/>
            <w:tcBorders>
              <w:bottom w:val="single" w:sz="8" w:color="0000EE"/>
            </w:tcBorders>
            <w:gridSpan w:val="5"/>
          </w:tcPr>
          <w:p>
            <w:pPr>
              <w:spacing w:after="0" w:line="185" w:lineRule="exact"/>
              <w:rPr>
                <w:rFonts w:ascii="Arial" w:cs="Arial" w:eastAsia="Arial" w:hAnsi="Arial"/>
                <w:sz w:val="17"/>
                <w:szCs w:val="17"/>
                <w:color w:val="0000EE"/>
                <w:w w:val="89"/>
              </w:rPr>
            </w:pPr>
            <w:hyperlink w:anchor="page27">
              <w:r>
                <w:rPr>
                  <w:rFonts w:ascii="Arial" w:cs="Arial" w:eastAsia="Arial" w:hAnsi="Arial"/>
                  <w:sz w:val="17"/>
                  <w:szCs w:val="17"/>
                  <w:color w:val="0000EE"/>
                  <w:w w:val="89"/>
                </w:rPr>
                <w:t>Consolidated Statements of Cash Flows for the year ended December 31, 2012 and 2011</w:t>
              </w:r>
            </w:hyperlink>
          </w:p>
        </w:tc>
        <w:tc>
          <w:tcPr>
            <w:tcW w:w="4080" w:type="dxa"/>
            <w:vAlign w:val="bottom"/>
            <w:gridSpan w:val="3"/>
          </w:tcPr>
          <w:p>
            <w:pPr>
              <w:spacing w:after="0"/>
              <w:rPr>
                <w:sz w:val="16"/>
                <w:szCs w:val="16"/>
                <w:color w:val="auto"/>
              </w:rPr>
            </w:pPr>
          </w:p>
        </w:tc>
        <w:tc>
          <w:tcPr>
            <w:tcW w:w="1180" w:type="dxa"/>
            <w:vAlign w:val="bottom"/>
          </w:tcPr>
          <w:p>
            <w:pPr>
              <w:ind w:left="840"/>
              <w:spacing w:after="0" w:line="185" w:lineRule="exact"/>
              <w:rPr>
                <w:sz w:val="20"/>
                <w:szCs w:val="20"/>
                <w:color w:val="auto"/>
              </w:rPr>
            </w:pPr>
            <w:r>
              <w:rPr>
                <w:rFonts w:ascii="Arial" w:cs="Arial" w:eastAsia="Arial" w:hAnsi="Arial"/>
                <w:sz w:val="17"/>
                <w:szCs w:val="17"/>
                <w:color w:val="auto"/>
                <w:w w:val="91"/>
              </w:rPr>
              <w:t>F - 5</w:t>
            </w:r>
          </w:p>
        </w:tc>
      </w:tr>
      <w:tr>
        <w:trPr>
          <w:trHeight w:val="185"/>
        </w:trPr>
        <w:tc>
          <w:tcPr>
            <w:tcW w:w="80" w:type="dxa"/>
            <w:vAlign w:val="bottom"/>
          </w:tcPr>
          <w:p>
            <w:pPr>
              <w:spacing w:after="0"/>
              <w:rPr>
                <w:sz w:val="16"/>
                <w:szCs w:val="16"/>
                <w:color w:val="auto"/>
              </w:rPr>
            </w:pPr>
          </w:p>
        </w:tc>
        <w:tc>
          <w:tcPr>
            <w:tcW w:w="3260" w:type="dxa"/>
            <w:vAlign w:val="bottom"/>
            <w:tcBorders>
              <w:bottom w:val="single" w:sz="8" w:color="0000EE"/>
            </w:tcBorders>
            <w:gridSpan w:val="2"/>
          </w:tcPr>
          <w:p>
            <w:pPr>
              <w:spacing w:after="0" w:line="185" w:lineRule="exact"/>
              <w:rPr>
                <w:rFonts w:ascii="Arial" w:cs="Arial" w:eastAsia="Arial" w:hAnsi="Arial"/>
                <w:sz w:val="17"/>
                <w:szCs w:val="17"/>
                <w:color w:val="0000EE"/>
                <w:w w:val="90"/>
              </w:rPr>
            </w:pPr>
            <w:hyperlink w:anchor="page28">
              <w:r>
                <w:rPr>
                  <w:rFonts w:ascii="Arial" w:cs="Arial" w:eastAsia="Arial" w:hAnsi="Arial"/>
                  <w:sz w:val="17"/>
                  <w:szCs w:val="17"/>
                  <w:color w:val="0000EE"/>
                  <w:w w:val="90"/>
                </w:rPr>
                <w:t>Notes to the Consolidated Financial Statements</w:t>
              </w:r>
            </w:hyperlink>
          </w:p>
        </w:tc>
        <w:tc>
          <w:tcPr>
            <w:tcW w:w="6900" w:type="dxa"/>
            <w:vAlign w:val="bottom"/>
            <w:gridSpan w:val="6"/>
          </w:tcPr>
          <w:p>
            <w:pPr>
              <w:spacing w:after="0"/>
              <w:rPr>
                <w:sz w:val="16"/>
                <w:szCs w:val="16"/>
                <w:color w:val="auto"/>
              </w:rPr>
            </w:pPr>
          </w:p>
        </w:tc>
        <w:tc>
          <w:tcPr>
            <w:tcW w:w="1180" w:type="dxa"/>
            <w:vAlign w:val="bottom"/>
          </w:tcPr>
          <w:p>
            <w:pPr>
              <w:ind w:left="840"/>
              <w:spacing w:after="0" w:line="185" w:lineRule="exact"/>
              <w:rPr>
                <w:sz w:val="20"/>
                <w:szCs w:val="20"/>
                <w:color w:val="auto"/>
              </w:rPr>
            </w:pPr>
            <w:r>
              <w:rPr>
                <w:rFonts w:ascii="Arial" w:cs="Arial" w:eastAsia="Arial" w:hAnsi="Arial"/>
                <w:sz w:val="17"/>
                <w:szCs w:val="17"/>
                <w:color w:val="auto"/>
                <w:w w:val="91"/>
              </w:rPr>
              <w:t>F - 6</w:t>
            </w:r>
          </w:p>
        </w:tc>
      </w:tr>
      <w:tr>
        <w:trPr>
          <w:trHeight w:val="595"/>
        </w:trPr>
        <w:tc>
          <w:tcPr>
            <w:tcW w:w="6160" w:type="dxa"/>
            <w:vAlign w:val="bottom"/>
            <w:gridSpan w:val="6"/>
          </w:tcPr>
          <w:p>
            <w:pPr>
              <w:jc w:val="right"/>
              <w:ind w:right="360"/>
              <w:spacing w:after="0"/>
              <w:rPr>
                <w:sz w:val="20"/>
                <w:szCs w:val="20"/>
                <w:color w:val="auto"/>
              </w:rPr>
            </w:pPr>
            <w:r>
              <w:rPr>
                <w:rFonts w:ascii="Arial" w:cs="Arial" w:eastAsia="Arial" w:hAnsi="Arial"/>
                <w:sz w:val="17"/>
                <w:szCs w:val="17"/>
                <w:color w:val="auto"/>
              </w:rPr>
              <w:t>21</w:t>
            </w: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13"/>
        </w:trPr>
        <w:tc>
          <w:tcPr>
            <w:tcW w:w="8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36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66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60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07" w:right="23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5" w:lineRule="exact"/>
        <w:rPr>
          <w:sz w:val="20"/>
          <w:szCs w:val="20"/>
          <w:color w:val="auto"/>
        </w:rPr>
      </w:pPr>
    </w:p>
    <w:p>
      <w:pPr>
        <w:ind w:left="2780"/>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color w:val="auto"/>
        </w:rPr>
        <w:t>The Board of Directors and Shareholders of Asure Software, Inc.</w:t>
      </w:r>
    </w:p>
    <w:p>
      <w:pPr>
        <w:spacing w:after="0" w:line="215" w:lineRule="exact"/>
        <w:rPr>
          <w:sz w:val="20"/>
          <w:szCs w:val="20"/>
          <w:color w:val="auto"/>
        </w:rPr>
      </w:pPr>
    </w:p>
    <w:p>
      <w:pPr>
        <w:jc w:val="both"/>
        <w:spacing w:after="0" w:line="316" w:lineRule="auto"/>
        <w:rPr>
          <w:sz w:val="20"/>
          <w:szCs w:val="20"/>
          <w:color w:val="auto"/>
        </w:rPr>
      </w:pPr>
      <w:r>
        <w:rPr>
          <w:rFonts w:ascii="Arial" w:cs="Arial" w:eastAsia="Arial" w:hAnsi="Arial"/>
          <w:sz w:val="15"/>
          <w:szCs w:val="15"/>
          <w:color w:val="auto"/>
        </w:rPr>
        <w:t>We have audited the accompanying consolidated balance sheets of Asure Software, Inc. as of December 31, 2012 and 2011, and the related consolidated statements of comprehensive income (loss), changes in stockholders’ equity, and cash flows for each of the two years in the period ended December 31, 2012. These financial statements are the responsibility of the Company’s management. Our responsibility is to express an opinion on these financial statements based on our audits.</w:t>
      </w:r>
    </w:p>
    <w:p>
      <w:pPr>
        <w:spacing w:after="0" w:line="140"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72"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In our opinion, the financial statements referred to above present fairly, in all material respects, the consolidated financial position of Asure Software, Inc. at December 31, 2012 and 2011, and the consolidated results of its operations and its cash flows for each of the two years in the period ended December 31, 2012, in conformity with U.S. generally accepted accounting principles.</w:t>
      </w:r>
    </w:p>
    <w:p>
      <w:pPr>
        <w:spacing w:after="0" w:line="382"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/s/ Ernst &amp; Young LLP</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Austin, Texas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April 1, 2013</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61"/>
        </w:trPr>
        <w:tc>
          <w:tcPr>
            <w:tcW w:w="8020" w:type="dxa"/>
            <w:vAlign w:val="bottom"/>
            <w:gridSpan w:val="2"/>
          </w:tcPr>
          <w:p>
            <w:pPr>
              <w:spacing w:after="0"/>
              <w:rPr>
                <w:rFonts w:ascii="Arial" w:cs="Arial" w:eastAsia="Arial" w:hAnsi="Arial"/>
                <w:sz w:val="14"/>
                <w:szCs w:val="14"/>
                <w:color w:val="0000EE"/>
              </w:rPr>
            </w:pPr>
            <w:hyperlink w:anchor="page3">
              <w:r>
                <w:rPr>
                  <w:rFonts w:ascii="Arial" w:cs="Arial" w:eastAsia="Arial" w:hAnsi="Arial"/>
                  <w:sz w:val="14"/>
                  <w:szCs w:val="14"/>
                  <w:color w:val="0000EE"/>
                </w:rPr>
                <w:t>Table of Contents</w:t>
              </w:r>
            </w:hyperlink>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411"/>
        </w:trPr>
        <w:tc>
          <w:tcPr>
            <w:tcW w:w="980" w:type="dxa"/>
            <w:vAlign w:val="bottom"/>
            <w:tcBorders>
              <w:top w:val="single" w:sz="8" w:color="0000EE"/>
            </w:tcBorders>
          </w:tcPr>
          <w:p>
            <w:pPr>
              <w:spacing w:after="0"/>
              <w:rPr>
                <w:sz w:val="24"/>
                <w:szCs w:val="24"/>
                <w:color w:val="auto"/>
              </w:rPr>
            </w:pPr>
          </w:p>
        </w:tc>
        <w:tc>
          <w:tcPr>
            <w:tcW w:w="7040" w:type="dxa"/>
            <w:vAlign w:val="bottom"/>
          </w:tcPr>
          <w:p>
            <w:pPr>
              <w:jc w:val="center"/>
              <w:ind w:left="2334"/>
              <w:spacing w:after="0"/>
              <w:rPr>
                <w:sz w:val="20"/>
                <w:szCs w:val="20"/>
                <w:color w:val="auto"/>
              </w:rPr>
            </w:pPr>
            <w:r>
              <w:rPr>
                <w:rFonts w:ascii="Arial" w:cs="Arial" w:eastAsia="Arial" w:hAnsi="Arial"/>
                <w:sz w:val="17"/>
                <w:szCs w:val="17"/>
                <w:b w:val="1"/>
                <w:bCs w:val="1"/>
                <w:color w:val="auto"/>
                <w:w w:val="98"/>
              </w:rPr>
              <w:t>ASURE SOFTWARE, INC.</w:t>
            </w: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1"/>
        </w:trPr>
        <w:tc>
          <w:tcPr>
            <w:tcW w:w="980" w:type="dxa"/>
            <w:vAlign w:val="bottom"/>
          </w:tcPr>
          <w:p>
            <w:pPr>
              <w:spacing w:after="0"/>
              <w:rPr>
                <w:sz w:val="18"/>
                <w:szCs w:val="18"/>
                <w:color w:val="auto"/>
              </w:rPr>
            </w:pPr>
          </w:p>
        </w:tc>
        <w:tc>
          <w:tcPr>
            <w:tcW w:w="7040" w:type="dxa"/>
            <w:vAlign w:val="bottom"/>
          </w:tcPr>
          <w:p>
            <w:pPr>
              <w:jc w:val="center"/>
              <w:ind w:left="2354"/>
              <w:spacing w:after="0"/>
              <w:rPr>
                <w:sz w:val="20"/>
                <w:szCs w:val="20"/>
                <w:color w:val="auto"/>
              </w:rPr>
            </w:pPr>
            <w:r>
              <w:rPr>
                <w:rFonts w:ascii="Arial" w:cs="Arial" w:eastAsia="Arial" w:hAnsi="Arial"/>
                <w:sz w:val="17"/>
                <w:szCs w:val="17"/>
                <w:b w:val="1"/>
                <w:bCs w:val="1"/>
                <w:color w:val="auto"/>
                <w:w w:val="99"/>
              </w:rPr>
              <w:t>CONSOLIDATED BALANCE SHEETS</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7040" w:type="dxa"/>
            <w:vAlign w:val="bottom"/>
          </w:tcPr>
          <w:p>
            <w:pPr>
              <w:jc w:val="center"/>
              <w:ind w:left="2354"/>
              <w:spacing w:after="0"/>
              <w:rPr>
                <w:sz w:val="20"/>
                <w:szCs w:val="20"/>
                <w:color w:val="auto"/>
              </w:rPr>
            </w:pPr>
            <w:r>
              <w:rPr>
                <w:rFonts w:ascii="Arial" w:cs="Arial" w:eastAsia="Arial" w:hAnsi="Arial"/>
                <w:sz w:val="17"/>
                <w:szCs w:val="17"/>
                <w:color w:val="auto"/>
                <w:w w:val="91"/>
              </w:rPr>
              <w:t>(Amounts in thousands)</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18"/>
        </w:trPr>
        <w:tc>
          <w:tcPr>
            <w:tcW w:w="980" w:type="dxa"/>
            <w:vAlign w:val="bottom"/>
          </w:tcPr>
          <w:p>
            <w:pPr>
              <w:spacing w:after="0"/>
              <w:rPr>
                <w:sz w:val="24"/>
                <w:szCs w:val="24"/>
                <w:color w:val="auto"/>
              </w:rPr>
            </w:pPr>
          </w:p>
        </w:tc>
        <w:tc>
          <w:tcPr>
            <w:tcW w:w="7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December, 31</w:t>
            </w: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1"/>
        </w:trPr>
        <w:tc>
          <w:tcPr>
            <w:tcW w:w="980" w:type="dxa"/>
            <w:vAlign w:val="bottom"/>
          </w:tcPr>
          <w:p>
            <w:pPr>
              <w:spacing w:after="0"/>
              <w:rPr>
                <w:sz w:val="18"/>
                <w:szCs w:val="18"/>
                <w:color w:val="auto"/>
              </w:rPr>
            </w:pPr>
          </w:p>
        </w:tc>
        <w:tc>
          <w:tcPr>
            <w:tcW w:w="7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74"/>
              <w:spacing w:after="0"/>
              <w:rPr>
                <w:sz w:val="20"/>
                <w:szCs w:val="20"/>
                <w:color w:val="auto"/>
              </w:rPr>
            </w:pPr>
            <w:r>
              <w:rPr>
                <w:rFonts w:ascii="Arial" w:cs="Arial" w:eastAsia="Arial" w:hAnsi="Arial"/>
                <w:sz w:val="17"/>
                <w:szCs w:val="17"/>
                <w:b w:val="1"/>
                <w:bCs w:val="1"/>
                <w:color w:val="auto"/>
              </w:rPr>
              <w:t>2012</w:t>
            </w:r>
          </w:p>
        </w:tc>
        <w:tc>
          <w:tcPr>
            <w:tcW w:w="2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34"/>
              <w:spacing w:after="0"/>
              <w:rPr>
                <w:sz w:val="20"/>
                <w:szCs w:val="20"/>
                <w:color w:val="auto"/>
              </w:rPr>
            </w:pPr>
            <w:r>
              <w:rPr>
                <w:rFonts w:ascii="Arial" w:cs="Arial" w:eastAsia="Arial" w:hAnsi="Arial"/>
                <w:sz w:val="17"/>
                <w:szCs w:val="17"/>
                <w:b w:val="1"/>
                <w:bCs w:val="1"/>
                <w:color w:val="auto"/>
              </w:rPr>
              <w:t>2011</w:t>
            </w:r>
          </w:p>
        </w:tc>
        <w:tc>
          <w:tcPr>
            <w:tcW w:w="100" w:type="dxa"/>
            <w:vAlign w:val="bottom"/>
          </w:tcPr>
          <w:p>
            <w:pPr>
              <w:spacing w:after="0"/>
              <w:rPr>
                <w:sz w:val="18"/>
                <w:szCs w:val="18"/>
                <w:color w:val="auto"/>
              </w:rPr>
            </w:pPr>
          </w:p>
        </w:tc>
      </w:tr>
      <w:tr>
        <w:trPr>
          <w:trHeight w:val="193"/>
        </w:trPr>
        <w:tc>
          <w:tcPr>
            <w:tcW w:w="8020" w:type="dxa"/>
            <w:vAlign w:val="bottom"/>
            <w:gridSpan w:val="2"/>
          </w:tcPr>
          <w:p>
            <w:pPr>
              <w:spacing w:after="0" w:line="193" w:lineRule="exact"/>
              <w:rPr>
                <w:sz w:val="20"/>
                <w:szCs w:val="20"/>
                <w:color w:val="auto"/>
              </w:rPr>
            </w:pPr>
            <w:r>
              <w:rPr>
                <w:rFonts w:ascii="Arial" w:cs="Arial" w:eastAsia="Arial" w:hAnsi="Arial"/>
                <w:sz w:val="17"/>
                <w:szCs w:val="17"/>
                <w:color w:val="auto"/>
              </w:rPr>
              <w:t>Assets</w:t>
            </w: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7"/>
        </w:trPr>
        <w:tc>
          <w:tcPr>
            <w:tcW w:w="8020" w:type="dxa"/>
            <w:vAlign w:val="bottom"/>
            <w:gridSpan w:val="2"/>
          </w:tcPr>
          <w:p>
            <w:pPr>
              <w:spacing w:after="0"/>
              <w:rPr>
                <w:sz w:val="20"/>
                <w:szCs w:val="20"/>
                <w:color w:val="auto"/>
              </w:rPr>
            </w:pPr>
            <w:r>
              <w:rPr>
                <w:rFonts w:ascii="Arial" w:cs="Arial" w:eastAsia="Arial" w:hAnsi="Arial"/>
                <w:sz w:val="17"/>
                <w:szCs w:val="17"/>
                <w:color w:val="auto"/>
              </w:rPr>
              <w:t>Current assets:</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6"/>
        </w:trPr>
        <w:tc>
          <w:tcPr>
            <w:tcW w:w="802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Cash and cash equivalents</w:t>
            </w:r>
          </w:p>
        </w:tc>
        <w:tc>
          <w:tcPr>
            <w:tcW w:w="660" w:type="dxa"/>
            <w:vAlign w:val="bottom"/>
            <w:gridSpan w:val="2"/>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2,177</w:t>
            </w:r>
          </w:p>
        </w:tc>
        <w:tc>
          <w:tcPr>
            <w:tcW w:w="460" w:type="dxa"/>
            <w:vAlign w:val="bottom"/>
            <w:shd w:val="clear" w:color="auto" w:fill="CCEEFF"/>
          </w:tcPr>
          <w:p>
            <w:pPr>
              <w:jc w:val="right"/>
              <w:ind w:right="274"/>
              <w:spacing w:after="0"/>
              <w:rPr>
                <w:sz w:val="20"/>
                <w:szCs w:val="20"/>
                <w:color w:val="auto"/>
              </w:rPr>
            </w:pPr>
            <w:r>
              <w:rPr>
                <w:rFonts w:ascii="Arial" w:cs="Arial" w:eastAsia="Arial" w:hAnsi="Arial"/>
                <w:sz w:val="17"/>
                <w:szCs w:val="17"/>
                <w:color w:val="auto"/>
                <w:w w:val="84"/>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1,067</w:t>
            </w:r>
          </w:p>
        </w:tc>
      </w:tr>
      <w:tr>
        <w:trPr>
          <w:trHeight w:val="205"/>
        </w:trPr>
        <w:tc>
          <w:tcPr>
            <w:tcW w:w="8020" w:type="dxa"/>
            <w:vAlign w:val="bottom"/>
            <w:gridSpan w:val="2"/>
          </w:tcPr>
          <w:p>
            <w:pPr>
              <w:ind w:left="160"/>
              <w:spacing w:after="0"/>
              <w:rPr>
                <w:sz w:val="20"/>
                <w:szCs w:val="20"/>
                <w:color w:val="auto"/>
              </w:rPr>
            </w:pPr>
            <w:r>
              <w:rPr>
                <w:rFonts w:ascii="Arial" w:cs="Arial" w:eastAsia="Arial" w:hAnsi="Arial"/>
                <w:sz w:val="17"/>
                <w:szCs w:val="17"/>
                <w:color w:val="auto"/>
              </w:rPr>
              <w:t>Restricted cash</w:t>
            </w: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7"/>
                <w:szCs w:val="17"/>
                <w:color w:val="auto"/>
              </w:rPr>
              <w:t>250</w:t>
            </w:r>
          </w:p>
        </w:tc>
        <w:tc>
          <w:tcPr>
            <w:tcW w:w="4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r>
      <w:tr>
        <w:trPr>
          <w:trHeight w:val="193"/>
        </w:trPr>
        <w:tc>
          <w:tcPr>
            <w:tcW w:w="8020" w:type="dxa"/>
            <w:vAlign w:val="bottom"/>
            <w:gridSpan w:val="2"/>
            <w:shd w:val="clear" w:color="auto" w:fill="CCEEFF"/>
          </w:tcPr>
          <w:p>
            <w:pPr>
              <w:ind w:left="160"/>
              <w:spacing w:after="0" w:line="193" w:lineRule="exact"/>
              <w:rPr>
                <w:sz w:val="20"/>
                <w:szCs w:val="20"/>
                <w:color w:val="auto"/>
              </w:rPr>
            </w:pPr>
            <w:r>
              <w:rPr>
                <w:rFonts w:ascii="Arial" w:cs="Arial" w:eastAsia="Arial" w:hAnsi="Arial"/>
                <w:sz w:val="17"/>
                <w:szCs w:val="17"/>
                <w:color w:val="auto"/>
                <w:w w:val="94"/>
              </w:rPr>
              <w:t>Accounts receivable, net of allowance for doubtful accounts of $182 and $19 at December 31, 2012 and 2011,</w:t>
            </w:r>
          </w:p>
        </w:tc>
        <w:tc>
          <w:tcPr>
            <w:tcW w:w="3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8"/>
        </w:trPr>
        <w:tc>
          <w:tcPr>
            <w:tcW w:w="802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respectively</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3,040</w:t>
            </w:r>
          </w:p>
        </w:tc>
        <w:tc>
          <w:tcPr>
            <w:tcW w:w="4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1,483</w:t>
            </w:r>
          </w:p>
        </w:tc>
      </w:tr>
      <w:tr>
        <w:trPr>
          <w:trHeight w:val="205"/>
        </w:trPr>
        <w:tc>
          <w:tcPr>
            <w:tcW w:w="8020" w:type="dxa"/>
            <w:vAlign w:val="bottom"/>
            <w:gridSpan w:val="2"/>
          </w:tcPr>
          <w:p>
            <w:pPr>
              <w:ind w:left="160"/>
              <w:spacing w:after="0"/>
              <w:rPr>
                <w:sz w:val="20"/>
                <w:szCs w:val="20"/>
                <w:color w:val="auto"/>
              </w:rPr>
            </w:pPr>
            <w:r>
              <w:rPr>
                <w:rFonts w:ascii="Arial" w:cs="Arial" w:eastAsia="Arial" w:hAnsi="Arial"/>
                <w:sz w:val="17"/>
                <w:szCs w:val="17"/>
                <w:color w:val="auto"/>
              </w:rPr>
              <w:t>Inventory</w:t>
            </w: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7"/>
                <w:szCs w:val="17"/>
                <w:color w:val="auto"/>
              </w:rPr>
              <w:t>266</w:t>
            </w:r>
          </w:p>
        </w:tc>
        <w:tc>
          <w:tcPr>
            <w:tcW w:w="46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116</w:t>
            </w:r>
          </w:p>
        </w:tc>
      </w:tr>
      <w:tr>
        <w:trPr>
          <w:trHeight w:val="205"/>
        </w:trPr>
        <w:tc>
          <w:tcPr>
            <w:tcW w:w="802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Notes receivable</w:t>
            </w:r>
          </w:p>
        </w:tc>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19</w:t>
            </w:r>
          </w:p>
        </w:tc>
        <w:tc>
          <w:tcPr>
            <w:tcW w:w="4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w:t>
            </w:r>
          </w:p>
        </w:tc>
        <w:tc>
          <w:tcPr>
            <w:tcW w:w="100" w:type="dxa"/>
            <w:vAlign w:val="bottom"/>
            <w:shd w:val="clear" w:color="auto" w:fill="CCEEFF"/>
          </w:tcPr>
          <w:p>
            <w:pPr>
              <w:spacing w:after="0"/>
              <w:rPr>
                <w:sz w:val="17"/>
                <w:szCs w:val="17"/>
                <w:color w:val="auto"/>
              </w:rPr>
            </w:pPr>
          </w:p>
        </w:tc>
      </w:tr>
      <w:tr>
        <w:trPr>
          <w:trHeight w:val="205"/>
        </w:trPr>
        <w:tc>
          <w:tcPr>
            <w:tcW w:w="8020" w:type="dxa"/>
            <w:vAlign w:val="bottom"/>
            <w:gridSpan w:val="2"/>
          </w:tcPr>
          <w:p>
            <w:pPr>
              <w:ind w:left="160"/>
              <w:spacing w:after="0"/>
              <w:rPr>
                <w:sz w:val="20"/>
                <w:szCs w:val="20"/>
                <w:color w:val="auto"/>
              </w:rPr>
            </w:pPr>
            <w:r>
              <w:rPr>
                <w:rFonts w:ascii="Arial" w:cs="Arial" w:eastAsia="Arial" w:hAnsi="Arial"/>
                <w:sz w:val="17"/>
                <w:szCs w:val="17"/>
                <w:color w:val="auto"/>
              </w:rPr>
              <w:t>Prepaid expenses and other current assets</w:t>
            </w: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1,497</w:t>
            </w: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338</w:t>
            </w:r>
          </w:p>
        </w:tc>
      </w:tr>
      <w:tr>
        <w:trPr>
          <w:trHeight w:val="26"/>
        </w:trPr>
        <w:tc>
          <w:tcPr>
            <w:tcW w:w="980" w:type="dxa"/>
            <w:vAlign w:val="bottom"/>
          </w:tcPr>
          <w:p>
            <w:pPr>
              <w:spacing w:after="0"/>
              <w:rPr>
                <w:sz w:val="2"/>
                <w:szCs w:val="2"/>
                <w:color w:val="auto"/>
              </w:rPr>
            </w:pPr>
          </w:p>
        </w:tc>
        <w:tc>
          <w:tcPr>
            <w:tcW w:w="7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5"/>
        </w:trPr>
        <w:tc>
          <w:tcPr>
            <w:tcW w:w="8020" w:type="dxa"/>
            <w:vAlign w:val="bottom"/>
            <w:gridSpan w:val="2"/>
            <w:shd w:val="clear" w:color="auto" w:fill="CCEEFF"/>
          </w:tcPr>
          <w:p>
            <w:pPr>
              <w:ind w:left="320"/>
              <w:spacing w:after="0"/>
              <w:rPr>
                <w:sz w:val="20"/>
                <w:szCs w:val="20"/>
                <w:color w:val="auto"/>
              </w:rPr>
            </w:pPr>
            <w:r>
              <w:rPr>
                <w:rFonts w:ascii="Arial" w:cs="Arial" w:eastAsia="Arial" w:hAnsi="Arial"/>
                <w:sz w:val="17"/>
                <w:szCs w:val="17"/>
                <w:b w:val="1"/>
                <w:bCs w:val="1"/>
                <w:color w:val="auto"/>
              </w:rPr>
              <w:t>Total current assets</w:t>
            </w:r>
          </w:p>
        </w:tc>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7,249</w:t>
            </w: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3,100</w:t>
            </w:r>
          </w:p>
        </w:tc>
      </w:tr>
      <w:tr>
        <w:trPr>
          <w:trHeight w:val="205"/>
        </w:trPr>
        <w:tc>
          <w:tcPr>
            <w:tcW w:w="8020" w:type="dxa"/>
            <w:vAlign w:val="bottom"/>
            <w:gridSpan w:val="2"/>
          </w:tcPr>
          <w:p>
            <w:pPr>
              <w:spacing w:after="0"/>
              <w:rPr>
                <w:sz w:val="20"/>
                <w:szCs w:val="20"/>
                <w:color w:val="auto"/>
              </w:rPr>
            </w:pPr>
            <w:r>
              <w:rPr>
                <w:rFonts w:ascii="Arial" w:cs="Arial" w:eastAsia="Arial" w:hAnsi="Arial"/>
                <w:sz w:val="17"/>
                <w:szCs w:val="17"/>
                <w:color w:val="auto"/>
              </w:rPr>
              <w:t>Property and equipment, net</w:t>
            </w: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7"/>
                <w:szCs w:val="17"/>
                <w:color w:val="auto"/>
              </w:rPr>
              <w:t>1,154</w:t>
            </w:r>
          </w:p>
        </w:tc>
        <w:tc>
          <w:tcPr>
            <w:tcW w:w="46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414</w:t>
            </w:r>
          </w:p>
        </w:tc>
      </w:tr>
      <w:tr>
        <w:trPr>
          <w:trHeight w:val="205"/>
        </w:trPr>
        <w:tc>
          <w:tcPr>
            <w:tcW w:w="80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Goodwill</w:t>
            </w:r>
          </w:p>
        </w:tc>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15,525</w:t>
            </w:r>
          </w:p>
        </w:tc>
        <w:tc>
          <w:tcPr>
            <w:tcW w:w="4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6,264</w:t>
            </w:r>
          </w:p>
        </w:tc>
      </w:tr>
      <w:tr>
        <w:trPr>
          <w:trHeight w:val="205"/>
        </w:trPr>
        <w:tc>
          <w:tcPr>
            <w:tcW w:w="8020" w:type="dxa"/>
            <w:vAlign w:val="bottom"/>
            <w:gridSpan w:val="2"/>
          </w:tcPr>
          <w:p>
            <w:pPr>
              <w:spacing w:after="0"/>
              <w:rPr>
                <w:sz w:val="20"/>
                <w:szCs w:val="20"/>
                <w:color w:val="auto"/>
              </w:rPr>
            </w:pPr>
            <w:r>
              <w:rPr>
                <w:rFonts w:ascii="Arial" w:cs="Arial" w:eastAsia="Arial" w:hAnsi="Arial"/>
                <w:sz w:val="17"/>
                <w:szCs w:val="17"/>
                <w:color w:val="auto"/>
              </w:rPr>
              <w:t>Intangible assets, net</w:t>
            </w: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7"/>
                <w:szCs w:val="17"/>
                <w:color w:val="auto"/>
              </w:rPr>
              <w:t>12,179</w:t>
            </w:r>
          </w:p>
        </w:tc>
        <w:tc>
          <w:tcPr>
            <w:tcW w:w="46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6,307</w:t>
            </w:r>
          </w:p>
        </w:tc>
      </w:tr>
      <w:tr>
        <w:trPr>
          <w:trHeight w:val="211"/>
        </w:trPr>
        <w:tc>
          <w:tcPr>
            <w:tcW w:w="8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Other assets</w:t>
            </w:r>
          </w:p>
        </w:tc>
        <w:tc>
          <w:tcPr>
            <w:tcW w:w="3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w:t>
            </w:r>
          </w:p>
        </w:tc>
        <w:tc>
          <w:tcPr>
            <w:tcW w:w="2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5"/>
        </w:trPr>
        <w:tc>
          <w:tcPr>
            <w:tcW w:w="8020" w:type="dxa"/>
            <w:vAlign w:val="bottom"/>
            <w:gridSpan w:val="2"/>
          </w:tcPr>
          <w:p>
            <w:pPr>
              <w:ind w:left="320"/>
              <w:spacing w:after="0"/>
              <w:rPr>
                <w:sz w:val="20"/>
                <w:szCs w:val="20"/>
                <w:color w:val="auto"/>
              </w:rPr>
            </w:pPr>
            <w:r>
              <w:rPr>
                <w:rFonts w:ascii="Arial" w:cs="Arial" w:eastAsia="Arial" w:hAnsi="Arial"/>
                <w:sz w:val="17"/>
                <w:szCs w:val="17"/>
                <w:b w:val="1"/>
                <w:bCs w:val="1"/>
                <w:color w:val="auto"/>
              </w:rPr>
              <w:t>Total assets</w:t>
            </w:r>
          </w:p>
        </w:tc>
        <w:tc>
          <w:tcPr>
            <w:tcW w:w="660" w:type="dxa"/>
            <w:vAlign w:val="bottom"/>
            <w:gridSpan w:val="2"/>
          </w:tcPr>
          <w:p>
            <w:pPr>
              <w:jc w:val="right"/>
              <w:ind w:right="154"/>
              <w:spacing w:after="0"/>
              <w:rPr>
                <w:sz w:val="20"/>
                <w:szCs w:val="20"/>
                <w:color w:val="auto"/>
              </w:rPr>
            </w:pPr>
            <w:r>
              <w:rPr>
                <w:rFonts w:ascii="Arial" w:cs="Arial" w:eastAsia="Arial" w:hAnsi="Arial"/>
                <w:sz w:val="17"/>
                <w:szCs w:val="17"/>
                <w:b w:val="1"/>
                <w:bCs w:val="1"/>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36,148</w:t>
            </w:r>
          </w:p>
        </w:tc>
        <w:tc>
          <w:tcPr>
            <w:tcW w:w="460" w:type="dxa"/>
            <w:vAlign w:val="bottom"/>
          </w:tcPr>
          <w:p>
            <w:pPr>
              <w:jc w:val="right"/>
              <w:ind w:right="274"/>
              <w:spacing w:after="0"/>
              <w:rPr>
                <w:sz w:val="20"/>
                <w:szCs w:val="20"/>
                <w:color w:val="auto"/>
              </w:rPr>
            </w:pPr>
            <w:r>
              <w:rPr>
                <w:rFonts w:ascii="Arial" w:cs="Arial" w:eastAsia="Arial" w:hAnsi="Arial"/>
                <w:sz w:val="17"/>
                <w:szCs w:val="17"/>
                <w:b w:val="1"/>
                <w:bCs w:val="1"/>
                <w:color w:val="auto"/>
                <w:w w:val="84"/>
              </w:rPr>
              <w:t>$</w:t>
            </w:r>
          </w:p>
        </w:tc>
        <w:tc>
          <w:tcPr>
            <w:tcW w:w="102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16,085</w:t>
            </w:r>
          </w:p>
        </w:tc>
      </w:tr>
      <w:tr>
        <w:trPr>
          <w:trHeight w:val="20"/>
        </w:trPr>
        <w:tc>
          <w:tcPr>
            <w:tcW w:w="98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80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Liabilities and Stockholders’ Equity</w:t>
            </w:r>
          </w:p>
        </w:tc>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8020" w:type="dxa"/>
            <w:vAlign w:val="bottom"/>
            <w:gridSpan w:val="2"/>
          </w:tcPr>
          <w:p>
            <w:pPr>
              <w:spacing w:after="0"/>
              <w:rPr>
                <w:sz w:val="20"/>
                <w:szCs w:val="20"/>
                <w:color w:val="auto"/>
              </w:rPr>
            </w:pPr>
            <w:r>
              <w:rPr>
                <w:rFonts w:ascii="Arial" w:cs="Arial" w:eastAsia="Arial" w:hAnsi="Arial"/>
                <w:sz w:val="17"/>
                <w:szCs w:val="17"/>
                <w:color w:val="auto"/>
              </w:rPr>
              <w:t>Current liabilities:</w:t>
            </w: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802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Line of credit</w:t>
            </w:r>
          </w:p>
        </w:tc>
        <w:tc>
          <w:tcPr>
            <w:tcW w:w="660" w:type="dxa"/>
            <w:vAlign w:val="bottom"/>
            <w:gridSpan w:val="2"/>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jc w:val="right"/>
              <w:ind w:right="274"/>
              <w:spacing w:after="0"/>
              <w:rPr>
                <w:sz w:val="20"/>
                <w:szCs w:val="20"/>
                <w:color w:val="auto"/>
              </w:rPr>
            </w:pPr>
            <w:r>
              <w:rPr>
                <w:rFonts w:ascii="Arial" w:cs="Arial" w:eastAsia="Arial" w:hAnsi="Arial"/>
                <w:sz w:val="17"/>
                <w:szCs w:val="17"/>
                <w:color w:val="auto"/>
                <w:w w:val="84"/>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500</w:t>
            </w:r>
          </w:p>
        </w:tc>
      </w:tr>
      <w:tr>
        <w:trPr>
          <w:trHeight w:val="205"/>
        </w:trPr>
        <w:tc>
          <w:tcPr>
            <w:tcW w:w="8020" w:type="dxa"/>
            <w:vAlign w:val="bottom"/>
            <w:gridSpan w:val="2"/>
          </w:tcPr>
          <w:p>
            <w:pPr>
              <w:ind w:left="160"/>
              <w:spacing w:after="0"/>
              <w:rPr>
                <w:sz w:val="20"/>
                <w:szCs w:val="20"/>
                <w:color w:val="auto"/>
              </w:rPr>
            </w:pPr>
            <w:r>
              <w:rPr>
                <w:rFonts w:ascii="Arial" w:cs="Arial" w:eastAsia="Arial" w:hAnsi="Arial"/>
                <w:sz w:val="17"/>
                <w:szCs w:val="17"/>
                <w:color w:val="auto"/>
              </w:rPr>
              <w:t>Current portion of notes payable</w:t>
            </w: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7"/>
                <w:szCs w:val="17"/>
                <w:color w:val="auto"/>
              </w:rPr>
              <w:t>3,450</w:t>
            </w:r>
          </w:p>
        </w:tc>
        <w:tc>
          <w:tcPr>
            <w:tcW w:w="46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349</w:t>
            </w:r>
          </w:p>
        </w:tc>
      </w:tr>
      <w:tr>
        <w:trPr>
          <w:trHeight w:val="205"/>
        </w:trPr>
        <w:tc>
          <w:tcPr>
            <w:tcW w:w="802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Accounts payable</w:t>
            </w:r>
          </w:p>
        </w:tc>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2,713</w:t>
            </w:r>
          </w:p>
        </w:tc>
        <w:tc>
          <w:tcPr>
            <w:tcW w:w="4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1,097</w:t>
            </w:r>
          </w:p>
        </w:tc>
      </w:tr>
      <w:tr>
        <w:trPr>
          <w:trHeight w:val="205"/>
        </w:trPr>
        <w:tc>
          <w:tcPr>
            <w:tcW w:w="8020" w:type="dxa"/>
            <w:vAlign w:val="bottom"/>
            <w:gridSpan w:val="2"/>
          </w:tcPr>
          <w:p>
            <w:pPr>
              <w:ind w:left="160"/>
              <w:spacing w:after="0"/>
              <w:rPr>
                <w:sz w:val="20"/>
                <w:szCs w:val="20"/>
                <w:color w:val="auto"/>
              </w:rPr>
            </w:pPr>
            <w:r>
              <w:rPr>
                <w:rFonts w:ascii="Arial" w:cs="Arial" w:eastAsia="Arial" w:hAnsi="Arial"/>
                <w:sz w:val="17"/>
                <w:szCs w:val="17"/>
                <w:color w:val="auto"/>
              </w:rPr>
              <w:t>Accrued compensation and benefits</w:t>
            </w: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7"/>
                <w:szCs w:val="17"/>
                <w:color w:val="auto"/>
              </w:rPr>
              <w:t>78</w:t>
            </w:r>
          </w:p>
        </w:tc>
        <w:tc>
          <w:tcPr>
            <w:tcW w:w="46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141</w:t>
            </w:r>
          </w:p>
        </w:tc>
      </w:tr>
      <w:tr>
        <w:trPr>
          <w:trHeight w:val="205"/>
        </w:trPr>
        <w:tc>
          <w:tcPr>
            <w:tcW w:w="802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Other accrued liabilities</w:t>
            </w:r>
          </w:p>
        </w:tc>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1,013</w:t>
            </w:r>
          </w:p>
        </w:tc>
        <w:tc>
          <w:tcPr>
            <w:tcW w:w="4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536</w:t>
            </w:r>
          </w:p>
        </w:tc>
      </w:tr>
      <w:tr>
        <w:trPr>
          <w:trHeight w:val="205"/>
        </w:trPr>
        <w:tc>
          <w:tcPr>
            <w:tcW w:w="8020" w:type="dxa"/>
            <w:vAlign w:val="bottom"/>
            <w:gridSpan w:val="2"/>
          </w:tcPr>
          <w:p>
            <w:pPr>
              <w:ind w:left="160"/>
              <w:spacing w:after="0"/>
              <w:rPr>
                <w:sz w:val="20"/>
                <w:szCs w:val="20"/>
                <w:color w:val="auto"/>
              </w:rPr>
            </w:pPr>
            <w:r>
              <w:rPr>
                <w:rFonts w:ascii="Arial" w:cs="Arial" w:eastAsia="Arial" w:hAnsi="Arial"/>
                <w:sz w:val="17"/>
                <w:szCs w:val="17"/>
                <w:color w:val="auto"/>
              </w:rPr>
              <w:t>Deferred revenue</w:t>
            </w: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9,684</w:t>
            </w: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4,792</w:t>
            </w:r>
          </w:p>
        </w:tc>
      </w:tr>
      <w:tr>
        <w:trPr>
          <w:trHeight w:val="26"/>
        </w:trPr>
        <w:tc>
          <w:tcPr>
            <w:tcW w:w="980" w:type="dxa"/>
            <w:vAlign w:val="bottom"/>
          </w:tcPr>
          <w:p>
            <w:pPr>
              <w:spacing w:after="0"/>
              <w:rPr>
                <w:sz w:val="2"/>
                <w:szCs w:val="2"/>
                <w:color w:val="auto"/>
              </w:rPr>
            </w:pPr>
          </w:p>
        </w:tc>
        <w:tc>
          <w:tcPr>
            <w:tcW w:w="7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5"/>
        </w:trPr>
        <w:tc>
          <w:tcPr>
            <w:tcW w:w="8020" w:type="dxa"/>
            <w:vAlign w:val="bottom"/>
            <w:gridSpan w:val="2"/>
            <w:shd w:val="clear" w:color="auto" w:fill="CCEEFF"/>
          </w:tcPr>
          <w:p>
            <w:pPr>
              <w:ind w:left="320"/>
              <w:spacing w:after="0"/>
              <w:rPr>
                <w:sz w:val="20"/>
                <w:szCs w:val="20"/>
                <w:color w:val="auto"/>
              </w:rPr>
            </w:pPr>
            <w:r>
              <w:rPr>
                <w:rFonts w:ascii="Arial" w:cs="Arial" w:eastAsia="Arial" w:hAnsi="Arial"/>
                <w:sz w:val="17"/>
                <w:szCs w:val="17"/>
                <w:b w:val="1"/>
                <w:bCs w:val="1"/>
                <w:color w:val="auto"/>
              </w:rPr>
              <w:t>Total current liabilities</w:t>
            </w:r>
          </w:p>
        </w:tc>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16,938</w:t>
            </w: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7,415</w:t>
            </w:r>
          </w:p>
        </w:tc>
      </w:tr>
      <w:tr>
        <w:trPr>
          <w:trHeight w:val="205"/>
        </w:trPr>
        <w:tc>
          <w:tcPr>
            <w:tcW w:w="8020" w:type="dxa"/>
            <w:vAlign w:val="bottom"/>
            <w:gridSpan w:val="2"/>
          </w:tcPr>
          <w:p>
            <w:pPr>
              <w:spacing w:after="0"/>
              <w:rPr>
                <w:sz w:val="20"/>
                <w:szCs w:val="20"/>
                <w:color w:val="auto"/>
              </w:rPr>
            </w:pPr>
            <w:r>
              <w:rPr>
                <w:rFonts w:ascii="Arial" w:cs="Arial" w:eastAsia="Arial" w:hAnsi="Arial"/>
                <w:sz w:val="17"/>
                <w:szCs w:val="17"/>
                <w:color w:val="auto"/>
              </w:rPr>
              <w:t>Long-term liabilities:</w:t>
            </w: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802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Deferred revenue</w:t>
            </w:r>
          </w:p>
        </w:tc>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199</w:t>
            </w:r>
          </w:p>
        </w:tc>
        <w:tc>
          <w:tcPr>
            <w:tcW w:w="4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169</w:t>
            </w:r>
          </w:p>
        </w:tc>
      </w:tr>
      <w:tr>
        <w:trPr>
          <w:trHeight w:val="205"/>
        </w:trPr>
        <w:tc>
          <w:tcPr>
            <w:tcW w:w="8020" w:type="dxa"/>
            <w:vAlign w:val="bottom"/>
            <w:gridSpan w:val="2"/>
          </w:tcPr>
          <w:p>
            <w:pPr>
              <w:ind w:left="160"/>
              <w:spacing w:after="0"/>
              <w:rPr>
                <w:sz w:val="20"/>
                <w:szCs w:val="20"/>
                <w:color w:val="auto"/>
              </w:rPr>
            </w:pPr>
            <w:r>
              <w:rPr>
                <w:rFonts w:ascii="Arial" w:cs="Arial" w:eastAsia="Arial" w:hAnsi="Arial"/>
                <w:sz w:val="17"/>
                <w:szCs w:val="17"/>
                <w:color w:val="auto"/>
              </w:rPr>
              <w:t>Notes payable- related party</w:t>
            </w: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7"/>
                <w:szCs w:val="17"/>
                <w:color w:val="auto"/>
              </w:rPr>
              <w:t>800</w:t>
            </w:r>
          </w:p>
        </w:tc>
        <w:tc>
          <w:tcPr>
            <w:tcW w:w="46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1,600</w:t>
            </w:r>
          </w:p>
        </w:tc>
      </w:tr>
      <w:tr>
        <w:trPr>
          <w:trHeight w:val="205"/>
        </w:trPr>
        <w:tc>
          <w:tcPr>
            <w:tcW w:w="802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Notes payable</w:t>
            </w:r>
          </w:p>
        </w:tc>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15,887</w:t>
            </w:r>
          </w:p>
        </w:tc>
        <w:tc>
          <w:tcPr>
            <w:tcW w:w="4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3,970</w:t>
            </w:r>
          </w:p>
        </w:tc>
      </w:tr>
      <w:tr>
        <w:trPr>
          <w:trHeight w:val="205"/>
        </w:trPr>
        <w:tc>
          <w:tcPr>
            <w:tcW w:w="8020" w:type="dxa"/>
            <w:vAlign w:val="bottom"/>
            <w:gridSpan w:val="2"/>
          </w:tcPr>
          <w:p>
            <w:pPr>
              <w:ind w:left="160"/>
              <w:spacing w:after="0"/>
              <w:rPr>
                <w:sz w:val="20"/>
                <w:szCs w:val="20"/>
                <w:color w:val="auto"/>
              </w:rPr>
            </w:pPr>
            <w:r>
              <w:rPr>
                <w:rFonts w:ascii="Arial" w:cs="Arial" w:eastAsia="Arial" w:hAnsi="Arial"/>
                <w:sz w:val="17"/>
                <w:szCs w:val="17"/>
                <w:color w:val="auto"/>
              </w:rPr>
              <w:t>Derivative liability</w:t>
            </w: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835</w:t>
            </w:r>
          </w:p>
        </w:tc>
      </w:tr>
      <w:tr>
        <w:trPr>
          <w:trHeight w:val="211"/>
        </w:trPr>
        <w:tc>
          <w:tcPr>
            <w:tcW w:w="80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7"/>
                <w:szCs w:val="17"/>
                <w:color w:val="auto"/>
              </w:rPr>
              <w:t>Other liabilities</w:t>
            </w:r>
          </w:p>
        </w:tc>
        <w:tc>
          <w:tcPr>
            <w:tcW w:w="3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164</w:t>
            </w:r>
          </w:p>
        </w:tc>
        <w:tc>
          <w:tcPr>
            <w:tcW w:w="2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5"/>
        </w:trPr>
        <w:tc>
          <w:tcPr>
            <w:tcW w:w="8020" w:type="dxa"/>
            <w:vAlign w:val="bottom"/>
            <w:gridSpan w:val="2"/>
          </w:tcPr>
          <w:p>
            <w:pPr>
              <w:ind w:left="320"/>
              <w:spacing w:after="0"/>
              <w:rPr>
                <w:sz w:val="20"/>
                <w:szCs w:val="20"/>
                <w:color w:val="auto"/>
              </w:rPr>
            </w:pPr>
            <w:r>
              <w:rPr>
                <w:rFonts w:ascii="Arial" w:cs="Arial" w:eastAsia="Arial" w:hAnsi="Arial"/>
                <w:sz w:val="17"/>
                <w:szCs w:val="17"/>
                <w:b w:val="1"/>
                <w:bCs w:val="1"/>
                <w:color w:val="auto"/>
              </w:rPr>
              <w:t>Total long-term liabilities</w:t>
            </w: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17,050</w:t>
            </w:r>
          </w:p>
        </w:tc>
        <w:tc>
          <w:tcPr>
            <w:tcW w:w="46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6,606</w:t>
            </w:r>
          </w:p>
        </w:tc>
      </w:tr>
      <w:tr>
        <w:trPr>
          <w:trHeight w:val="205"/>
        </w:trPr>
        <w:tc>
          <w:tcPr>
            <w:tcW w:w="80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Stockholders’ equity:</w:t>
            </w:r>
          </w:p>
        </w:tc>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8020" w:type="dxa"/>
            <w:vAlign w:val="bottom"/>
            <w:gridSpan w:val="2"/>
          </w:tcPr>
          <w:p>
            <w:pPr>
              <w:ind w:left="160"/>
              <w:spacing w:after="0"/>
              <w:rPr>
                <w:sz w:val="20"/>
                <w:szCs w:val="20"/>
                <w:color w:val="auto"/>
              </w:rPr>
            </w:pPr>
            <w:r>
              <w:rPr>
                <w:rFonts w:ascii="Arial" w:cs="Arial" w:eastAsia="Arial" w:hAnsi="Arial"/>
                <w:sz w:val="17"/>
                <w:szCs w:val="17"/>
                <w:color w:val="auto"/>
              </w:rPr>
              <w:t>Preferred stock, $.01 par value; 1,500 shares authorized; none issued or outstanding</w:t>
            </w: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r>
      <w:tr>
        <w:trPr>
          <w:trHeight w:val="193"/>
        </w:trPr>
        <w:tc>
          <w:tcPr>
            <w:tcW w:w="8020" w:type="dxa"/>
            <w:vAlign w:val="bottom"/>
            <w:gridSpan w:val="2"/>
            <w:shd w:val="clear" w:color="auto" w:fill="CCEEFF"/>
          </w:tcPr>
          <w:p>
            <w:pPr>
              <w:ind w:left="160"/>
              <w:spacing w:after="0" w:line="193" w:lineRule="exact"/>
              <w:rPr>
                <w:sz w:val="20"/>
                <w:szCs w:val="20"/>
                <w:color w:val="auto"/>
              </w:rPr>
            </w:pPr>
            <w:r>
              <w:rPr>
                <w:rFonts w:ascii="Arial" w:cs="Arial" w:eastAsia="Arial" w:hAnsi="Arial"/>
                <w:sz w:val="17"/>
                <w:szCs w:val="17"/>
                <w:color w:val="auto"/>
              </w:rPr>
              <w:t>Common stock, $.01 par value; 11,000 shares authorized; 5,644 and 5,014 shares issued,</w:t>
            </w:r>
          </w:p>
        </w:tc>
        <w:tc>
          <w:tcPr>
            <w:tcW w:w="3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8"/>
        </w:trPr>
        <w:tc>
          <w:tcPr>
            <w:tcW w:w="802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5,260 and 4,630 shares outstanding at December 31, 2012 and 2011, respectively</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56</w:t>
            </w: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w:t>
            </w:r>
          </w:p>
        </w:tc>
        <w:tc>
          <w:tcPr>
            <w:tcW w:w="100" w:type="dxa"/>
            <w:vAlign w:val="bottom"/>
            <w:shd w:val="clear" w:color="auto" w:fill="CCEEFF"/>
          </w:tcPr>
          <w:p>
            <w:pPr>
              <w:spacing w:after="0"/>
              <w:rPr>
                <w:sz w:val="18"/>
                <w:szCs w:val="18"/>
                <w:color w:val="auto"/>
              </w:rPr>
            </w:pPr>
          </w:p>
        </w:tc>
      </w:tr>
      <w:tr>
        <w:trPr>
          <w:trHeight w:val="205"/>
        </w:trPr>
        <w:tc>
          <w:tcPr>
            <w:tcW w:w="8020" w:type="dxa"/>
            <w:vAlign w:val="bottom"/>
            <w:gridSpan w:val="2"/>
          </w:tcPr>
          <w:p>
            <w:pPr>
              <w:ind w:left="160"/>
              <w:spacing w:after="0"/>
              <w:rPr>
                <w:sz w:val="20"/>
                <w:szCs w:val="20"/>
                <w:color w:val="auto"/>
              </w:rPr>
            </w:pPr>
            <w:r>
              <w:rPr>
                <w:rFonts w:ascii="Arial" w:cs="Arial" w:eastAsia="Arial" w:hAnsi="Arial"/>
                <w:sz w:val="17"/>
                <w:szCs w:val="17"/>
                <w:color w:val="auto"/>
              </w:rPr>
              <w:t>Treasury stock at cost, 384 shares at December 31, 2012 and 2011</w:t>
            </w: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7"/>
                <w:szCs w:val="17"/>
                <w:color w:val="auto"/>
              </w:rPr>
              <w:t>(5,017)</w:t>
            </w:r>
          </w:p>
        </w:tc>
        <w:tc>
          <w:tcPr>
            <w:tcW w:w="460" w:type="dxa"/>
            <w:vAlign w:val="bottom"/>
          </w:tcPr>
          <w:p>
            <w:pPr>
              <w:spacing w:after="0"/>
              <w:rPr>
                <w:sz w:val="17"/>
                <w:szCs w:val="17"/>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7"/>
                <w:szCs w:val="17"/>
                <w:color w:val="auto"/>
              </w:rPr>
              <w:t>(5,017)</w:t>
            </w:r>
          </w:p>
        </w:tc>
      </w:tr>
      <w:tr>
        <w:trPr>
          <w:trHeight w:val="205"/>
        </w:trPr>
        <w:tc>
          <w:tcPr>
            <w:tcW w:w="802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Additional paid-in capital</w:t>
            </w:r>
          </w:p>
        </w:tc>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274,445</w:t>
            </w:r>
          </w:p>
        </w:tc>
        <w:tc>
          <w:tcPr>
            <w:tcW w:w="4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271,349</w:t>
            </w:r>
          </w:p>
        </w:tc>
      </w:tr>
      <w:tr>
        <w:trPr>
          <w:trHeight w:val="205"/>
        </w:trPr>
        <w:tc>
          <w:tcPr>
            <w:tcW w:w="8020" w:type="dxa"/>
            <w:vAlign w:val="bottom"/>
            <w:gridSpan w:val="2"/>
          </w:tcPr>
          <w:p>
            <w:pPr>
              <w:ind w:left="160"/>
              <w:spacing w:after="0"/>
              <w:rPr>
                <w:sz w:val="20"/>
                <w:szCs w:val="20"/>
                <w:color w:val="auto"/>
              </w:rPr>
            </w:pPr>
            <w:r>
              <w:rPr>
                <w:rFonts w:ascii="Arial" w:cs="Arial" w:eastAsia="Arial" w:hAnsi="Arial"/>
                <w:sz w:val="17"/>
                <w:szCs w:val="17"/>
                <w:color w:val="auto"/>
              </w:rPr>
              <w:t>Accumulated deficit</w:t>
            </w: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7"/>
                <w:szCs w:val="17"/>
                <w:color w:val="auto"/>
              </w:rPr>
              <w:t>(267,222)</w:t>
            </w:r>
          </w:p>
        </w:tc>
        <w:tc>
          <w:tcPr>
            <w:tcW w:w="460" w:type="dxa"/>
            <w:vAlign w:val="bottom"/>
          </w:tcPr>
          <w:p>
            <w:pPr>
              <w:spacing w:after="0"/>
              <w:rPr>
                <w:sz w:val="17"/>
                <w:szCs w:val="17"/>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7"/>
                <w:szCs w:val="17"/>
                <w:color w:val="auto"/>
              </w:rPr>
              <w:t>(264,190)</w:t>
            </w:r>
          </w:p>
        </w:tc>
      </w:tr>
      <w:tr>
        <w:trPr>
          <w:trHeight w:val="205"/>
        </w:trPr>
        <w:tc>
          <w:tcPr>
            <w:tcW w:w="802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Accumulated other comprehensive loss</w:t>
            </w:r>
          </w:p>
        </w:tc>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(102)</w:t>
            </w:r>
          </w:p>
        </w:tc>
        <w:tc>
          <w:tcPr>
            <w:tcW w:w="4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(128)</w:t>
            </w:r>
          </w:p>
        </w:tc>
      </w:tr>
      <w:tr>
        <w:trPr>
          <w:trHeight w:val="26"/>
        </w:trPr>
        <w:tc>
          <w:tcPr>
            <w:tcW w:w="980" w:type="dxa"/>
            <w:vAlign w:val="bottom"/>
            <w:shd w:val="clear" w:color="auto" w:fill="CCEEFF"/>
          </w:tcPr>
          <w:p>
            <w:pPr>
              <w:spacing w:after="0"/>
              <w:rPr>
                <w:sz w:val="2"/>
                <w:szCs w:val="2"/>
                <w:color w:val="auto"/>
              </w:rPr>
            </w:pPr>
          </w:p>
        </w:tc>
        <w:tc>
          <w:tcPr>
            <w:tcW w:w="70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5"/>
        </w:trPr>
        <w:tc>
          <w:tcPr>
            <w:tcW w:w="8020" w:type="dxa"/>
            <w:vAlign w:val="bottom"/>
            <w:gridSpan w:val="2"/>
          </w:tcPr>
          <w:p>
            <w:pPr>
              <w:ind w:left="320"/>
              <w:spacing w:after="0"/>
              <w:rPr>
                <w:sz w:val="20"/>
                <w:szCs w:val="20"/>
                <w:color w:val="auto"/>
              </w:rPr>
            </w:pPr>
            <w:r>
              <w:rPr>
                <w:rFonts w:ascii="Arial" w:cs="Arial" w:eastAsia="Arial" w:hAnsi="Arial"/>
                <w:sz w:val="17"/>
                <w:szCs w:val="17"/>
                <w:b w:val="1"/>
                <w:bCs w:val="1"/>
                <w:color w:val="auto"/>
              </w:rPr>
              <w:t>Total stockholders’ equity</w:t>
            </w: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2,160</w:t>
            </w: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2,064</w:t>
            </w:r>
          </w:p>
        </w:tc>
      </w:tr>
      <w:tr>
        <w:trPr>
          <w:trHeight w:val="26"/>
        </w:trPr>
        <w:tc>
          <w:tcPr>
            <w:tcW w:w="980" w:type="dxa"/>
            <w:vAlign w:val="bottom"/>
          </w:tcPr>
          <w:p>
            <w:pPr>
              <w:spacing w:after="0"/>
              <w:rPr>
                <w:sz w:val="2"/>
                <w:szCs w:val="2"/>
                <w:color w:val="auto"/>
              </w:rPr>
            </w:pPr>
          </w:p>
        </w:tc>
        <w:tc>
          <w:tcPr>
            <w:tcW w:w="7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5"/>
        </w:trPr>
        <w:tc>
          <w:tcPr>
            <w:tcW w:w="980" w:type="dxa"/>
            <w:vAlign w:val="bottom"/>
            <w:shd w:val="clear" w:color="auto" w:fill="CCEEFF"/>
          </w:tcPr>
          <w:p>
            <w:pPr>
              <w:spacing w:after="0"/>
              <w:rPr>
                <w:sz w:val="19"/>
                <w:szCs w:val="19"/>
                <w:color w:val="auto"/>
              </w:rPr>
            </w:pPr>
          </w:p>
        </w:tc>
        <w:tc>
          <w:tcPr>
            <w:tcW w:w="70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b w:val="1"/>
                <w:bCs w:val="1"/>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36,148</w:t>
            </w:r>
          </w:p>
        </w:tc>
        <w:tc>
          <w:tcPr>
            <w:tcW w:w="2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4"/>
              <w:spacing w:after="0"/>
              <w:rPr>
                <w:sz w:val="20"/>
                <w:szCs w:val="20"/>
                <w:color w:val="auto"/>
              </w:rPr>
            </w:pPr>
            <w:r>
              <w:rPr>
                <w:rFonts w:ascii="Arial" w:cs="Arial" w:eastAsia="Arial" w:hAnsi="Arial"/>
                <w:sz w:val="17"/>
                <w:szCs w:val="17"/>
                <w:b w:val="1"/>
                <w:bCs w:val="1"/>
                <w:color w:val="auto"/>
                <w:w w:val="84"/>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16,085</w:t>
            </w:r>
          </w:p>
        </w:tc>
      </w:tr>
      <w:tr>
        <w:trPr>
          <w:trHeight w:val="20"/>
        </w:trPr>
        <w:tc>
          <w:tcPr>
            <w:tcW w:w="980" w:type="dxa"/>
            <w:vAlign w:val="bottom"/>
            <w:tcBorders>
              <w:top w:val="single" w:sz="8" w:color="CCEEFF"/>
            </w:tcBorders>
            <w:shd w:val="clear" w:color="auto" w:fill="CCEEFF"/>
          </w:tcPr>
          <w:p>
            <w:pPr>
              <w:spacing w:after="0" w:line="20" w:lineRule="exact"/>
              <w:rPr>
                <w:sz w:val="1"/>
                <w:szCs w:val="1"/>
                <w:color w:val="auto"/>
              </w:rPr>
            </w:pPr>
          </w:p>
        </w:tc>
        <w:tc>
          <w:tcPr>
            <w:tcW w:w="70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07" w:right="23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ASURE SOFTWARE,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COMPREHENSIVE INCOME (LOSS)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(Amounts in thousands, except share and per share data)</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66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91"/>
              </w:rPr>
              <w:t>Twelve Months</w:t>
            </w:r>
          </w:p>
        </w:tc>
        <w:tc>
          <w:tcPr>
            <w:tcW w:w="100" w:type="dxa"/>
            <w:vAlign w:val="bottom"/>
          </w:tcPr>
          <w:p>
            <w:pPr>
              <w:spacing w:after="0"/>
              <w:rPr>
                <w:sz w:val="17"/>
                <w:szCs w:val="17"/>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1"/>
              </w:rPr>
              <w:t>Twelve Months</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6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90"/>
              </w:rPr>
              <w:t>December 31,</w:t>
            </w:r>
          </w:p>
        </w:tc>
        <w:tc>
          <w:tcPr>
            <w:tcW w:w="100" w:type="dxa"/>
            <w:vAlign w:val="bottom"/>
          </w:tcPr>
          <w:p>
            <w:pPr>
              <w:spacing w:after="0"/>
              <w:rPr>
                <w:sz w:val="17"/>
                <w:szCs w:val="17"/>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0"/>
              </w:rPr>
              <w:t>December 31,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6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54"/>
              <w:spacing w:after="0"/>
              <w:rPr>
                <w:sz w:val="20"/>
                <w:szCs w:val="20"/>
                <w:color w:val="auto"/>
              </w:rPr>
            </w:pPr>
            <w:r>
              <w:rPr>
                <w:rFonts w:ascii="Arial" w:cs="Arial" w:eastAsia="Arial" w:hAnsi="Arial"/>
                <w:sz w:val="17"/>
                <w:szCs w:val="17"/>
                <w:b w:val="1"/>
                <w:bCs w:val="1"/>
                <w:color w:val="auto"/>
                <w:w w:val="89"/>
              </w:rPr>
              <w:t>2012</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34"/>
              <w:spacing w:after="0"/>
              <w:rPr>
                <w:sz w:val="20"/>
                <w:szCs w:val="20"/>
                <w:color w:val="auto"/>
              </w:rPr>
            </w:pPr>
            <w:r>
              <w:rPr>
                <w:rFonts w:ascii="Arial" w:cs="Arial" w:eastAsia="Arial" w:hAnsi="Arial"/>
                <w:sz w:val="17"/>
                <w:szCs w:val="17"/>
                <w:b w:val="1"/>
                <w:bCs w:val="1"/>
                <w:color w:val="auto"/>
                <w:w w:val="84"/>
              </w:rPr>
              <w:t>2011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7"/>
                <w:szCs w:val="17"/>
                <w:color w:val="auto"/>
              </w:rPr>
              <w:t>Revenues</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19,965</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10,941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620" w:type="dxa"/>
            <w:vAlign w:val="bottom"/>
          </w:tcPr>
          <w:p>
            <w:pPr>
              <w:spacing w:after="0"/>
              <w:rPr>
                <w:sz w:val="20"/>
                <w:szCs w:val="20"/>
                <w:color w:val="auto"/>
              </w:rPr>
            </w:pPr>
            <w:r>
              <w:rPr>
                <w:rFonts w:ascii="Arial" w:cs="Arial" w:eastAsia="Arial" w:hAnsi="Arial"/>
                <w:sz w:val="17"/>
                <w:szCs w:val="17"/>
                <w:color w:val="auto"/>
              </w:rPr>
              <w:t>Cost of sales</w:t>
            </w: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4,573</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7"/>
                <w:szCs w:val="17"/>
                <w:color w:val="auto"/>
              </w:rPr>
              <w:t>2,289</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66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6620" w:type="dxa"/>
            <w:vAlign w:val="bottom"/>
            <w:shd w:val="clear" w:color="auto" w:fill="CCEEFF"/>
          </w:tcPr>
          <w:p>
            <w:pPr>
              <w:ind w:left="280"/>
              <w:spacing w:after="0"/>
              <w:rPr>
                <w:sz w:val="20"/>
                <w:szCs w:val="20"/>
                <w:color w:val="auto"/>
              </w:rPr>
            </w:pPr>
            <w:r>
              <w:rPr>
                <w:rFonts w:ascii="Arial" w:cs="Arial" w:eastAsia="Arial" w:hAnsi="Arial"/>
                <w:sz w:val="17"/>
                <w:szCs w:val="17"/>
                <w:b w:val="1"/>
                <w:bCs w:val="1"/>
                <w:color w:val="auto"/>
              </w:rPr>
              <w:t>Gross Margin</w:t>
            </w:r>
          </w:p>
        </w:tc>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15,392</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8,652</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66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Operating Expenses</w:t>
            </w:r>
          </w:p>
        </w:tc>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620" w:type="dxa"/>
            <w:vAlign w:val="bottom"/>
          </w:tcPr>
          <w:p>
            <w:pPr>
              <w:ind w:left="120"/>
              <w:spacing w:after="0"/>
              <w:rPr>
                <w:sz w:val="20"/>
                <w:szCs w:val="20"/>
                <w:color w:val="auto"/>
              </w:rPr>
            </w:pPr>
            <w:r>
              <w:rPr>
                <w:rFonts w:ascii="Arial" w:cs="Arial" w:eastAsia="Arial" w:hAnsi="Arial"/>
                <w:sz w:val="17"/>
                <w:szCs w:val="17"/>
                <w:color w:val="auto"/>
              </w:rPr>
              <w:t>Selling, general and administrative</w:t>
            </w: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7"/>
                <w:szCs w:val="17"/>
                <w:color w:val="auto"/>
              </w:rPr>
              <w:t>11,803</w:t>
            </w:r>
          </w:p>
        </w:tc>
        <w:tc>
          <w:tcPr>
            <w:tcW w:w="10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7"/>
                <w:szCs w:val="17"/>
                <w:color w:val="auto"/>
              </w:rPr>
              <w:t>6,203</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6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Research and development</w:t>
            </w:r>
          </w:p>
        </w:tc>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2,376</w:t>
            </w:r>
          </w:p>
        </w:tc>
        <w:tc>
          <w:tcPr>
            <w:tcW w:w="1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1,678</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620" w:type="dxa"/>
            <w:vAlign w:val="bottom"/>
          </w:tcPr>
          <w:p>
            <w:pPr>
              <w:ind w:left="120"/>
              <w:spacing w:after="0"/>
              <w:rPr>
                <w:sz w:val="20"/>
                <w:szCs w:val="20"/>
                <w:color w:val="auto"/>
              </w:rPr>
            </w:pPr>
            <w:r>
              <w:rPr>
                <w:rFonts w:ascii="Arial" w:cs="Arial" w:eastAsia="Arial" w:hAnsi="Arial"/>
                <w:sz w:val="17"/>
                <w:szCs w:val="17"/>
                <w:color w:val="auto"/>
              </w:rPr>
              <w:t>Amortization of intangible assets</w:t>
            </w: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1,726</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7"/>
                <w:szCs w:val="17"/>
                <w:color w:val="auto"/>
              </w:rPr>
              <w:t>680</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66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6620" w:type="dxa"/>
            <w:vAlign w:val="bottom"/>
            <w:shd w:val="clear" w:color="auto" w:fill="CCEEFF"/>
          </w:tcPr>
          <w:p>
            <w:pPr>
              <w:ind w:left="280"/>
              <w:spacing w:after="0"/>
              <w:rPr>
                <w:sz w:val="20"/>
                <w:szCs w:val="20"/>
                <w:color w:val="auto"/>
              </w:rPr>
            </w:pPr>
            <w:r>
              <w:rPr>
                <w:rFonts w:ascii="Arial" w:cs="Arial" w:eastAsia="Arial" w:hAnsi="Arial"/>
                <w:sz w:val="17"/>
                <w:szCs w:val="17"/>
                <w:b w:val="1"/>
                <w:bCs w:val="1"/>
                <w:color w:val="auto"/>
              </w:rPr>
              <w:t>Total Operating Expenses</w:t>
            </w:r>
          </w:p>
        </w:tc>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15,905</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8,561</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66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Income (Loss) From Operations</w:t>
            </w:r>
          </w:p>
        </w:tc>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(513</w:t>
            </w: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91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66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Other Income (Loss)</w:t>
            </w:r>
          </w:p>
        </w:tc>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620" w:type="dxa"/>
            <w:vAlign w:val="bottom"/>
          </w:tcPr>
          <w:p>
            <w:pPr>
              <w:ind w:left="120"/>
              <w:spacing w:after="0"/>
              <w:rPr>
                <w:sz w:val="20"/>
                <w:szCs w:val="20"/>
                <w:color w:val="auto"/>
              </w:rPr>
            </w:pPr>
            <w:r>
              <w:rPr>
                <w:rFonts w:ascii="Arial" w:cs="Arial" w:eastAsia="Arial" w:hAnsi="Arial"/>
                <w:sz w:val="17"/>
                <w:szCs w:val="17"/>
                <w:color w:val="auto"/>
              </w:rPr>
              <w:t>Interest income</w:t>
            </w: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6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Loss on disposal of assets</w:t>
            </w:r>
          </w:p>
        </w:tc>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(28)</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620" w:type="dxa"/>
            <w:vAlign w:val="bottom"/>
          </w:tcPr>
          <w:p>
            <w:pPr>
              <w:ind w:left="120"/>
              <w:spacing w:after="0"/>
              <w:rPr>
                <w:sz w:val="20"/>
                <w:szCs w:val="20"/>
                <w:color w:val="auto"/>
              </w:rPr>
            </w:pPr>
            <w:r>
              <w:rPr>
                <w:rFonts w:ascii="Arial" w:cs="Arial" w:eastAsia="Arial" w:hAnsi="Arial"/>
                <w:sz w:val="17"/>
                <w:szCs w:val="17"/>
                <w:color w:val="auto"/>
              </w:rPr>
              <w:t>Loss on debt conversion</w:t>
            </w: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7"/>
                <w:szCs w:val="17"/>
                <w:color w:val="auto"/>
              </w:rPr>
              <w:t>(198)</w:t>
            </w:r>
          </w:p>
        </w:tc>
        <w:tc>
          <w:tcPr>
            <w:tcW w:w="1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6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Foreign currency translation (loss) gain</w:t>
            </w:r>
          </w:p>
        </w:tc>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(27)</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620" w:type="dxa"/>
            <w:vAlign w:val="bottom"/>
          </w:tcPr>
          <w:p>
            <w:pPr>
              <w:ind w:left="120"/>
              <w:spacing w:after="0"/>
              <w:rPr>
                <w:sz w:val="20"/>
                <w:szCs w:val="20"/>
                <w:color w:val="auto"/>
              </w:rPr>
            </w:pPr>
            <w:r>
              <w:rPr>
                <w:rFonts w:ascii="Arial" w:cs="Arial" w:eastAsia="Arial" w:hAnsi="Arial"/>
                <w:sz w:val="17"/>
                <w:szCs w:val="17"/>
                <w:color w:val="auto"/>
              </w:rPr>
              <w:t>Interest expense and other</w:t>
            </w: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7"/>
                <w:szCs w:val="17"/>
                <w:color w:val="auto"/>
              </w:rPr>
              <w:t>(1,169)</w:t>
            </w:r>
          </w:p>
        </w:tc>
        <w:tc>
          <w:tcPr>
            <w:tcW w:w="100" w:type="dxa"/>
            <w:vAlign w:val="bottom"/>
          </w:tcPr>
          <w:p>
            <w:pPr>
              <w:spacing w:after="0"/>
              <w:rPr>
                <w:sz w:val="17"/>
                <w:szCs w:val="17"/>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7"/>
                <w:szCs w:val="17"/>
                <w:color w:val="auto"/>
              </w:rPr>
              <w:t>(148)</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6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Interest expense – amortization of OID and derivative mark-to-market</w:t>
            </w:r>
          </w:p>
        </w:tc>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(815)</w:t>
            </w:r>
          </w:p>
        </w:tc>
        <w:tc>
          <w:tcPr>
            <w:tcW w:w="1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(604)</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662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6620" w:type="dxa"/>
            <w:vAlign w:val="bottom"/>
          </w:tcPr>
          <w:p>
            <w:pPr>
              <w:ind w:left="280"/>
              <w:spacing w:after="0"/>
              <w:rPr>
                <w:sz w:val="20"/>
                <w:szCs w:val="20"/>
                <w:color w:val="auto"/>
              </w:rPr>
            </w:pPr>
            <w:r>
              <w:rPr>
                <w:rFonts w:ascii="Arial" w:cs="Arial" w:eastAsia="Arial" w:hAnsi="Arial"/>
                <w:sz w:val="17"/>
                <w:szCs w:val="17"/>
                <w:b w:val="1"/>
                <w:bCs w:val="1"/>
                <w:color w:val="auto"/>
              </w:rPr>
              <w:t>Total other income (loss)</w:t>
            </w: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(2,234)</w:t>
            </w:r>
          </w:p>
        </w:tc>
        <w:tc>
          <w:tcPr>
            <w:tcW w:w="100" w:type="dxa"/>
            <w:vAlign w:val="bottom"/>
          </w:tcPr>
          <w:p>
            <w:pPr>
              <w:spacing w:after="0"/>
              <w:rPr>
                <w:sz w:val="17"/>
                <w:szCs w:val="17"/>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7"/>
                <w:szCs w:val="17"/>
                <w:b w:val="1"/>
                <w:bCs w:val="1"/>
                <w:color w:val="auto"/>
              </w:rPr>
              <w:t>(668</w:t>
            </w: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662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6620" w:type="dxa"/>
            <w:vAlign w:val="bottom"/>
          </w:tcPr>
          <w:p>
            <w:pPr>
              <w:spacing w:after="0"/>
              <w:rPr>
                <w:sz w:val="20"/>
                <w:szCs w:val="20"/>
                <w:color w:val="auto"/>
              </w:rPr>
            </w:pPr>
            <w:r>
              <w:rPr>
                <w:rFonts w:ascii="Arial" w:cs="Arial" w:eastAsia="Arial" w:hAnsi="Arial"/>
                <w:sz w:val="17"/>
                <w:szCs w:val="17"/>
                <w:b w:val="1"/>
                <w:bCs w:val="1"/>
                <w:color w:val="auto"/>
              </w:rPr>
              <w:t>Loss From Operations before Income Taxes</w:t>
            </w: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(2,747)</w:t>
            </w:r>
          </w:p>
        </w:tc>
        <w:tc>
          <w:tcPr>
            <w:tcW w:w="100" w:type="dxa"/>
            <w:vAlign w:val="bottom"/>
          </w:tcPr>
          <w:p>
            <w:pPr>
              <w:spacing w:after="0"/>
              <w:rPr>
                <w:sz w:val="17"/>
                <w:szCs w:val="17"/>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7"/>
                <w:szCs w:val="17"/>
                <w:b w:val="1"/>
                <w:bCs w:val="1"/>
                <w:color w:val="auto"/>
              </w:rPr>
              <w:t>(577)</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6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Provision for income taxes</w:t>
            </w:r>
          </w:p>
        </w:tc>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(285)</w:t>
            </w:r>
          </w:p>
        </w:tc>
        <w:tc>
          <w:tcPr>
            <w:tcW w:w="1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(72)</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62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vMerge w:val="continue"/>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7"/>
                <w:szCs w:val="17"/>
                <w:b w:val="1"/>
                <w:bCs w:val="1"/>
                <w:color w:val="auto"/>
              </w:rPr>
              <w:t>Net Loss</w:t>
            </w:r>
          </w:p>
        </w:tc>
        <w:tc>
          <w:tcPr>
            <w:tcW w:w="17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150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(3,032)</w:t>
            </w:r>
          </w:p>
        </w:tc>
        <w:tc>
          <w:tcPr>
            <w:tcW w:w="10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1380" w:type="dxa"/>
            <w:vAlign w:val="bottom"/>
            <w:gridSpan w:val="2"/>
          </w:tcPr>
          <w:p>
            <w:pPr>
              <w:jc w:val="right"/>
              <w:ind w:right="40"/>
              <w:spacing w:after="0"/>
              <w:rPr>
                <w:sz w:val="20"/>
                <w:szCs w:val="20"/>
                <w:color w:val="auto"/>
              </w:rPr>
            </w:pPr>
            <w:r>
              <w:rPr>
                <w:rFonts w:ascii="Arial" w:cs="Arial" w:eastAsia="Arial" w:hAnsi="Arial"/>
                <w:sz w:val="17"/>
                <w:szCs w:val="17"/>
                <w:b w:val="1"/>
                <w:bCs w:val="1"/>
                <w:color w:val="auto"/>
              </w:rPr>
              <w:t>(649)</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Comprehensive Loss:</w:t>
            </w:r>
          </w:p>
        </w:tc>
        <w:tc>
          <w:tcPr>
            <w:tcW w:w="17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620" w:type="dxa"/>
            <w:vAlign w:val="bottom"/>
          </w:tcPr>
          <w:p>
            <w:pPr>
              <w:ind w:left="120"/>
              <w:spacing w:after="0"/>
              <w:rPr>
                <w:sz w:val="20"/>
                <w:szCs w:val="20"/>
                <w:color w:val="auto"/>
              </w:rPr>
            </w:pPr>
            <w:r>
              <w:rPr>
                <w:rFonts w:ascii="Arial" w:cs="Arial" w:eastAsia="Arial" w:hAnsi="Arial"/>
                <w:sz w:val="17"/>
                <w:szCs w:val="17"/>
                <w:color w:val="auto"/>
              </w:rPr>
              <w:t>Foreign currency (loss) gain</w:t>
            </w: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26</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7"/>
                <w:szCs w:val="17"/>
                <w:color w:val="auto"/>
              </w:rPr>
              <w:t>(98)</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6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vMerge w:val="continue"/>
          </w:tcPr>
          <w:p>
            <w:pPr>
              <w:spacing w:after="0"/>
              <w:rPr>
                <w:sz w:val="17"/>
                <w:szCs w:val="17"/>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Comprehensive loss</w:t>
            </w:r>
          </w:p>
        </w:tc>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(3,006)</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b w:val="1"/>
                <w:bCs w:val="1"/>
                <w:color w:val="auto"/>
              </w:rPr>
              <w:t>(747)</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66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Basic and Diluted Net Loss Per Share</w:t>
            </w:r>
          </w:p>
        </w:tc>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620" w:type="dxa"/>
            <w:vAlign w:val="bottom"/>
          </w:tcPr>
          <w:p>
            <w:pPr>
              <w:ind w:left="60"/>
              <w:spacing w:after="0"/>
              <w:rPr>
                <w:sz w:val="20"/>
                <w:szCs w:val="20"/>
                <w:color w:val="auto"/>
              </w:rPr>
            </w:pPr>
            <w:r>
              <w:rPr>
                <w:rFonts w:ascii="Arial" w:cs="Arial" w:eastAsia="Arial" w:hAnsi="Arial"/>
                <w:sz w:val="17"/>
                <w:szCs w:val="17"/>
                <w:color w:val="auto"/>
              </w:rPr>
              <w:t>Basic</w:t>
            </w:r>
          </w:p>
        </w:tc>
        <w:tc>
          <w:tcPr>
            <w:tcW w:w="18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500" w:type="dxa"/>
            <w:vAlign w:val="bottom"/>
            <w:gridSpan w:val="2"/>
          </w:tcPr>
          <w:p>
            <w:pPr>
              <w:jc w:val="right"/>
              <w:ind w:right="160"/>
              <w:spacing w:after="0"/>
              <w:rPr>
                <w:sz w:val="20"/>
                <w:szCs w:val="20"/>
                <w:color w:val="auto"/>
              </w:rPr>
            </w:pPr>
            <w:r>
              <w:rPr>
                <w:rFonts w:ascii="Arial" w:cs="Arial" w:eastAsia="Arial" w:hAnsi="Arial"/>
                <w:sz w:val="17"/>
                <w:szCs w:val="17"/>
                <w:color w:val="auto"/>
              </w:rPr>
              <w:t>(0.60)</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gridSpan w:val="2"/>
          </w:tcPr>
          <w:p>
            <w:pPr>
              <w:jc w:val="right"/>
              <w:ind w:right="40"/>
              <w:spacing w:after="0"/>
              <w:rPr>
                <w:sz w:val="20"/>
                <w:szCs w:val="20"/>
                <w:color w:val="auto"/>
              </w:rPr>
            </w:pPr>
            <w:r>
              <w:rPr>
                <w:rFonts w:ascii="Arial" w:cs="Arial" w:eastAsia="Arial" w:hAnsi="Arial"/>
                <w:sz w:val="17"/>
                <w:szCs w:val="17"/>
                <w:color w:val="auto"/>
              </w:rPr>
              <w:t>(0.14)</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620" w:type="dxa"/>
            <w:vAlign w:val="bottom"/>
            <w:shd w:val="clear" w:color="auto" w:fill="CCEEFF"/>
          </w:tcPr>
          <w:p>
            <w:pPr>
              <w:ind w:left="60"/>
              <w:spacing w:after="0"/>
              <w:rPr>
                <w:sz w:val="20"/>
                <w:szCs w:val="20"/>
                <w:color w:val="auto"/>
              </w:rPr>
            </w:pPr>
            <w:r>
              <w:rPr>
                <w:rFonts w:ascii="Arial" w:cs="Arial" w:eastAsia="Arial" w:hAnsi="Arial"/>
                <w:sz w:val="17"/>
                <w:szCs w:val="17"/>
                <w:color w:val="auto"/>
              </w:rPr>
              <w:t>Diluted</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(0.60)</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(0.14)</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620" w:type="dxa"/>
            <w:vAlign w:val="bottom"/>
          </w:tcPr>
          <w:p>
            <w:pPr>
              <w:spacing w:after="0"/>
              <w:rPr>
                <w:sz w:val="20"/>
                <w:szCs w:val="20"/>
                <w:color w:val="auto"/>
              </w:rPr>
            </w:pPr>
            <w:r>
              <w:rPr>
                <w:rFonts w:ascii="Arial" w:cs="Arial" w:eastAsia="Arial" w:hAnsi="Arial"/>
                <w:sz w:val="17"/>
                <w:szCs w:val="17"/>
                <w:b w:val="1"/>
                <w:bCs w:val="1"/>
                <w:color w:val="auto"/>
              </w:rPr>
              <w:t>Weighted Average Basic and Diluted Shares</w:t>
            </w: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620" w:type="dxa"/>
            <w:vAlign w:val="bottom"/>
            <w:shd w:val="clear" w:color="auto" w:fill="CCEEFF"/>
          </w:tcPr>
          <w:p>
            <w:pPr>
              <w:ind w:left="60"/>
              <w:spacing w:after="0"/>
              <w:rPr>
                <w:sz w:val="20"/>
                <w:szCs w:val="20"/>
                <w:color w:val="auto"/>
              </w:rPr>
            </w:pPr>
            <w:r>
              <w:rPr>
                <w:rFonts w:ascii="Arial" w:cs="Arial" w:eastAsia="Arial" w:hAnsi="Arial"/>
                <w:sz w:val="17"/>
                <w:szCs w:val="17"/>
                <w:color w:val="auto"/>
              </w:rPr>
              <w:t>Basic</w:t>
            </w:r>
          </w:p>
        </w:tc>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5,048,000</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4,628,000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60"/>
              <w:spacing w:after="0"/>
              <w:rPr>
                <w:sz w:val="20"/>
                <w:szCs w:val="20"/>
                <w:color w:val="auto"/>
              </w:rPr>
            </w:pPr>
            <w:r>
              <w:rPr>
                <w:rFonts w:ascii="Arial" w:cs="Arial" w:eastAsia="Arial" w:hAnsi="Arial"/>
                <w:sz w:val="17"/>
                <w:szCs w:val="17"/>
                <w:color w:val="auto"/>
              </w:rPr>
              <w:t>Diluted</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7"/>
                <w:szCs w:val="17"/>
                <w:color w:val="auto"/>
              </w:rPr>
              <w:t>5,048,000</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4,628,000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ASURE SOFTWARE,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CHANGES IN STOCKHOLDERS’ EQUITY</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(Amounts in thousands)</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80"/>
              <w:spacing w:after="0"/>
              <w:rPr>
                <w:sz w:val="20"/>
                <w:szCs w:val="20"/>
                <w:color w:val="auto"/>
              </w:rPr>
            </w:pPr>
            <w:r>
              <w:rPr>
                <w:rFonts w:ascii="Arial" w:cs="Arial" w:eastAsia="Arial" w:hAnsi="Arial"/>
                <w:sz w:val="17"/>
                <w:szCs w:val="17"/>
                <w:b w:val="1"/>
                <w:bCs w:val="1"/>
                <w:color w:val="auto"/>
                <w:w w:val="96"/>
              </w:rPr>
              <w:t>Other</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100" w:type="dxa"/>
            <w:vAlign w:val="bottom"/>
            <w:gridSpan w:val="2"/>
          </w:tcPr>
          <w:p>
            <w:pPr>
              <w:jc w:val="center"/>
              <w:spacing w:after="0"/>
              <w:rPr>
                <w:sz w:val="20"/>
                <w:szCs w:val="20"/>
                <w:color w:val="auto"/>
              </w:rPr>
            </w:pPr>
            <w:r>
              <w:rPr>
                <w:rFonts w:ascii="Arial" w:cs="Arial" w:eastAsia="Arial" w:hAnsi="Arial"/>
                <w:sz w:val="17"/>
                <w:szCs w:val="17"/>
                <w:b w:val="1"/>
                <w:bCs w:val="1"/>
                <w:color w:val="auto"/>
                <w:w w:val="89"/>
              </w:rPr>
              <w:t>Common</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jc w:val="center"/>
              <w:ind w:right="134"/>
              <w:spacing w:after="0"/>
              <w:rPr>
                <w:sz w:val="20"/>
                <w:szCs w:val="20"/>
                <w:color w:val="auto"/>
              </w:rPr>
            </w:pPr>
            <w:r>
              <w:rPr>
                <w:rFonts w:ascii="Arial" w:cs="Arial" w:eastAsia="Arial" w:hAnsi="Arial"/>
                <w:sz w:val="17"/>
                <w:szCs w:val="17"/>
                <w:b w:val="1"/>
                <w:bCs w:val="1"/>
                <w:color w:val="auto"/>
                <w:w w:val="89"/>
              </w:rPr>
              <w:t>Common</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b w:val="1"/>
                <w:bCs w:val="1"/>
                <w:color w:val="auto"/>
                <w:w w:val="93"/>
              </w:rPr>
              <w:t>Additional</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89"/>
              </w:rPr>
              <w:t>Comprehensive</w:t>
            </w:r>
          </w:p>
        </w:tc>
        <w:tc>
          <w:tcPr>
            <w:tcW w:w="100" w:type="dxa"/>
            <w:vAlign w:val="bottom"/>
          </w:tcPr>
          <w:p>
            <w:pPr>
              <w:spacing w:after="0"/>
              <w:rPr>
                <w:sz w:val="17"/>
                <w:szCs w:val="17"/>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93"/>
              </w:rPr>
              <w:t>Total</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100" w:type="dxa"/>
            <w:vAlign w:val="bottom"/>
            <w:gridSpan w:val="2"/>
          </w:tcPr>
          <w:p>
            <w:pPr>
              <w:jc w:val="center"/>
              <w:spacing w:after="0"/>
              <w:rPr>
                <w:sz w:val="20"/>
                <w:szCs w:val="20"/>
                <w:color w:val="auto"/>
              </w:rPr>
            </w:pPr>
            <w:r>
              <w:rPr>
                <w:rFonts w:ascii="Arial" w:cs="Arial" w:eastAsia="Arial" w:hAnsi="Arial"/>
                <w:sz w:val="17"/>
                <w:szCs w:val="17"/>
                <w:b w:val="1"/>
                <w:bCs w:val="1"/>
                <w:color w:val="auto"/>
                <w:w w:val="90"/>
              </w:rPr>
              <w:t>Stock</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jc w:val="center"/>
              <w:ind w:right="134"/>
              <w:spacing w:after="0"/>
              <w:rPr>
                <w:sz w:val="20"/>
                <w:szCs w:val="20"/>
                <w:color w:val="auto"/>
              </w:rPr>
            </w:pPr>
            <w:r>
              <w:rPr>
                <w:rFonts w:ascii="Arial" w:cs="Arial" w:eastAsia="Arial" w:hAnsi="Arial"/>
                <w:sz w:val="17"/>
                <w:szCs w:val="17"/>
                <w:b w:val="1"/>
                <w:bCs w:val="1"/>
                <w:color w:val="auto"/>
                <w:w w:val="90"/>
              </w:rPr>
              <w:t>Stock</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7"/>
                <w:szCs w:val="17"/>
                <w:b w:val="1"/>
                <w:bCs w:val="1"/>
                <w:color w:val="auto"/>
                <w:w w:val="97"/>
              </w:rPr>
              <w:t>Treasury</w:t>
            </w:r>
          </w:p>
        </w:tc>
        <w:tc>
          <w:tcPr>
            <w:tcW w:w="120" w:type="dxa"/>
            <w:vAlign w:val="bottom"/>
          </w:tcPr>
          <w:p>
            <w:pPr>
              <w:spacing w:after="0"/>
              <w:rPr>
                <w:sz w:val="17"/>
                <w:szCs w:val="17"/>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7"/>
                <w:szCs w:val="17"/>
                <w:b w:val="1"/>
                <w:bCs w:val="1"/>
                <w:color w:val="auto"/>
              </w:rPr>
              <w:t>Paid-in</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auto"/>
                <w:w w:val="89"/>
              </w:rPr>
              <w:t>Accumulated</w:t>
            </w:r>
          </w:p>
        </w:tc>
        <w:tc>
          <w:tcPr>
            <w:tcW w:w="100" w:type="dxa"/>
            <w:vAlign w:val="bottom"/>
          </w:tcPr>
          <w:p>
            <w:pPr>
              <w:spacing w:after="0"/>
              <w:rPr>
                <w:sz w:val="17"/>
                <w:szCs w:val="17"/>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90"/>
              </w:rPr>
              <w:t>Income</w:t>
            </w:r>
          </w:p>
        </w:tc>
        <w:tc>
          <w:tcPr>
            <w:tcW w:w="100" w:type="dxa"/>
            <w:vAlign w:val="bottom"/>
          </w:tcPr>
          <w:p>
            <w:pPr>
              <w:spacing w:after="0"/>
              <w:rPr>
                <w:sz w:val="17"/>
                <w:szCs w:val="17"/>
                <w:color w:val="auto"/>
              </w:rPr>
            </w:pPr>
          </w:p>
        </w:tc>
        <w:tc>
          <w:tcPr>
            <w:tcW w:w="1120" w:type="dxa"/>
            <w:vAlign w:val="bottom"/>
            <w:gridSpan w:val="2"/>
          </w:tcPr>
          <w:p>
            <w:pPr>
              <w:jc w:val="center"/>
              <w:ind w:right="80"/>
              <w:spacing w:after="0"/>
              <w:rPr>
                <w:sz w:val="20"/>
                <w:szCs w:val="20"/>
                <w:color w:val="auto"/>
              </w:rPr>
            </w:pPr>
            <w:r>
              <w:rPr>
                <w:rFonts w:ascii="Arial" w:cs="Arial" w:eastAsia="Arial" w:hAnsi="Arial"/>
                <w:sz w:val="17"/>
                <w:szCs w:val="17"/>
                <w:b w:val="1"/>
                <w:bCs w:val="1"/>
                <w:color w:val="auto"/>
                <w:w w:val="88"/>
              </w:rPr>
              <w:t>Stockholders’</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100" w:type="dxa"/>
            <w:vAlign w:val="bottom"/>
            <w:gridSpan w:val="2"/>
          </w:tcPr>
          <w:p>
            <w:pPr>
              <w:jc w:val="center"/>
              <w:spacing w:after="0"/>
              <w:rPr>
                <w:sz w:val="20"/>
                <w:szCs w:val="20"/>
                <w:color w:val="auto"/>
              </w:rPr>
            </w:pPr>
            <w:r>
              <w:rPr>
                <w:rFonts w:ascii="Arial" w:cs="Arial" w:eastAsia="Arial" w:hAnsi="Arial"/>
                <w:sz w:val="17"/>
                <w:szCs w:val="17"/>
                <w:b w:val="1"/>
                <w:bCs w:val="1"/>
                <w:color w:val="auto"/>
                <w:w w:val="89"/>
              </w:rPr>
              <w:t>Outstanding</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tcPr>
          <w:p>
            <w:pPr>
              <w:jc w:val="center"/>
              <w:ind w:right="154"/>
              <w:spacing w:after="0"/>
              <w:rPr>
                <w:sz w:val="20"/>
                <w:szCs w:val="20"/>
                <w:color w:val="auto"/>
              </w:rPr>
            </w:pPr>
            <w:r>
              <w:rPr>
                <w:rFonts w:ascii="Arial" w:cs="Arial" w:eastAsia="Arial" w:hAnsi="Arial"/>
                <w:sz w:val="17"/>
                <w:szCs w:val="17"/>
                <w:b w:val="1"/>
                <w:bCs w:val="1"/>
                <w:color w:val="auto"/>
                <w:w w:val="93"/>
              </w:rPr>
              <w:t>Amount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7"/>
                <w:szCs w:val="17"/>
                <w:b w:val="1"/>
                <w:bCs w:val="1"/>
                <w:color w:val="auto"/>
              </w:rPr>
              <w:t>Stock</w:t>
            </w:r>
          </w:p>
        </w:tc>
        <w:tc>
          <w:tcPr>
            <w:tcW w:w="120" w:type="dxa"/>
            <w:vAlign w:val="bottom"/>
          </w:tcPr>
          <w:p>
            <w:pPr>
              <w:spacing w:after="0"/>
              <w:rPr>
                <w:sz w:val="19"/>
                <w:szCs w:val="19"/>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7"/>
                <w:szCs w:val="17"/>
                <w:b w:val="1"/>
                <w:bCs w:val="1"/>
                <w:color w:val="auto"/>
              </w:rPr>
              <w:t>Capital</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7"/>
                <w:szCs w:val="17"/>
                <w:b w:val="1"/>
                <w:bCs w:val="1"/>
                <w:color w:val="auto"/>
              </w:rPr>
              <w:t>Deficit</w:t>
            </w:r>
          </w:p>
        </w:tc>
        <w:tc>
          <w:tcPr>
            <w:tcW w:w="100" w:type="dxa"/>
            <w:vAlign w:val="bottom"/>
          </w:tcPr>
          <w:p>
            <w:pPr>
              <w:spacing w:after="0"/>
              <w:rPr>
                <w:sz w:val="19"/>
                <w:szCs w:val="19"/>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90"/>
              </w:rPr>
              <w:t>(Loss)</w:t>
            </w:r>
          </w:p>
        </w:tc>
        <w:tc>
          <w:tcPr>
            <w:tcW w:w="100" w:type="dxa"/>
            <w:vAlign w:val="bottom"/>
          </w:tcPr>
          <w:p>
            <w:pPr>
              <w:spacing w:after="0"/>
              <w:rPr>
                <w:sz w:val="19"/>
                <w:szCs w:val="19"/>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96"/>
              </w:rPr>
              <w:t>Equity</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220" w:type="dxa"/>
            <w:vAlign w:val="bottom"/>
            <w:shd w:val="clear" w:color="auto" w:fill="CCEEFF"/>
          </w:tcPr>
          <w:p>
            <w:pPr>
              <w:spacing w:after="0" w:line="187" w:lineRule="exact"/>
              <w:rPr>
                <w:sz w:val="20"/>
                <w:szCs w:val="20"/>
                <w:color w:val="auto"/>
              </w:rPr>
            </w:pPr>
            <w:r>
              <w:rPr>
                <w:rFonts w:ascii="Arial" w:cs="Arial" w:eastAsia="Arial" w:hAnsi="Arial"/>
                <w:sz w:val="17"/>
                <w:szCs w:val="17"/>
                <w:b w:val="1"/>
                <w:bCs w:val="1"/>
                <w:color w:val="auto"/>
              </w:rPr>
              <w:t>BALANCE AT DECEMBER</w:t>
            </w:r>
          </w:p>
        </w:tc>
        <w:tc>
          <w:tcPr>
            <w:tcW w:w="10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31, 2010</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4,627</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b w:val="1"/>
                <w:bCs w:val="1"/>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50</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b w:val="1"/>
                <w:bCs w:val="1"/>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b w:val="1"/>
                <w:bCs w:val="1"/>
                <w:color w:val="auto"/>
              </w:rPr>
              <w:t>(5,017)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271,262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1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b w:val="1"/>
                <w:bCs w:val="1"/>
                <w:color w:val="auto"/>
              </w:rPr>
              <w:t>(263,541)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4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7"/>
                <w:szCs w:val="17"/>
                <w:b w:val="1"/>
                <w:bCs w:val="1"/>
                <w:color w:val="auto"/>
              </w:rPr>
              <w:t>(30)</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2,724</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220" w:type="dxa"/>
            <w:vAlign w:val="bottom"/>
          </w:tcPr>
          <w:p>
            <w:pPr>
              <w:spacing w:after="0"/>
              <w:rPr>
                <w:sz w:val="20"/>
                <w:szCs w:val="20"/>
                <w:color w:val="auto"/>
              </w:rPr>
            </w:pPr>
            <w:r>
              <w:rPr>
                <w:rFonts w:ascii="Arial" w:cs="Arial" w:eastAsia="Arial" w:hAnsi="Arial"/>
                <w:sz w:val="17"/>
                <w:szCs w:val="17"/>
                <w:color w:val="auto"/>
              </w:rPr>
              <w:t>Share based compensation</w:t>
            </w: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81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81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7"/>
                <w:szCs w:val="17"/>
                <w:color w:val="auto"/>
              </w:rPr>
              <w:t>Net loss</w:t>
            </w: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(649)</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(649)</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220" w:type="dxa"/>
            <w:vAlign w:val="bottom"/>
          </w:tcPr>
          <w:p>
            <w:pPr>
              <w:spacing w:after="0" w:line="193" w:lineRule="exact"/>
              <w:rPr>
                <w:sz w:val="20"/>
                <w:szCs w:val="20"/>
                <w:color w:val="auto"/>
              </w:rPr>
            </w:pPr>
            <w:r>
              <w:rPr>
                <w:rFonts w:ascii="Arial" w:cs="Arial" w:eastAsia="Arial" w:hAnsi="Arial"/>
                <w:sz w:val="17"/>
                <w:szCs w:val="17"/>
                <w:color w:val="auto"/>
              </w:rPr>
              <w:t>Stock issued upon option</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240" w:type="dxa"/>
            <w:vAlign w:val="bottom"/>
            <w:gridSpan w:val="2"/>
          </w:tcPr>
          <w:p>
            <w:pPr>
              <w:spacing w:after="0"/>
              <w:rPr>
                <w:sz w:val="20"/>
                <w:szCs w:val="20"/>
                <w:color w:val="auto"/>
              </w:rPr>
            </w:pPr>
            <w:r>
              <w:rPr>
                <w:rFonts w:ascii="Arial" w:cs="Arial" w:eastAsia="Arial" w:hAnsi="Arial"/>
                <w:sz w:val="17"/>
                <w:szCs w:val="17"/>
                <w:color w:val="auto"/>
              </w:rPr>
              <w:t>exercise</w:t>
            </w:r>
          </w:p>
        </w:tc>
        <w:tc>
          <w:tcPr>
            <w:tcW w:w="1100" w:type="dxa"/>
            <w:vAlign w:val="bottom"/>
            <w:gridSpan w:val="2"/>
          </w:tcPr>
          <w:p>
            <w:pPr>
              <w:jc w:val="right"/>
              <w:ind w:right="80"/>
              <w:spacing w:after="0"/>
              <w:rPr>
                <w:sz w:val="20"/>
                <w:szCs w:val="20"/>
                <w:color w:val="auto"/>
              </w:rPr>
            </w:pPr>
            <w:r>
              <w:rPr>
                <w:rFonts w:ascii="Arial" w:cs="Arial" w:eastAsia="Arial" w:hAnsi="Arial"/>
                <w:sz w:val="17"/>
                <w:szCs w:val="17"/>
                <w:color w:val="auto"/>
              </w:rPr>
              <w:t>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7"/>
                <w:szCs w:val="17"/>
                <w:color w:val="auto"/>
                <w:w w:val="99"/>
              </w:rPr>
              <w:t>Other comprehensive income</w:t>
            </w: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(98)</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(98)</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220" w:type="dxa"/>
            <w:vAlign w:val="bottom"/>
          </w:tcPr>
          <w:p>
            <w:pPr>
              <w:spacing w:after="0" w:line="187" w:lineRule="exact"/>
              <w:rPr>
                <w:sz w:val="20"/>
                <w:szCs w:val="20"/>
                <w:color w:val="auto"/>
              </w:rPr>
            </w:pPr>
            <w:r>
              <w:rPr>
                <w:rFonts w:ascii="Arial" w:cs="Arial" w:eastAsia="Arial" w:hAnsi="Arial"/>
                <w:sz w:val="17"/>
                <w:szCs w:val="17"/>
                <w:b w:val="1"/>
                <w:bCs w:val="1"/>
                <w:color w:val="auto"/>
              </w:rPr>
              <w:t>BALANCE AT DECEMBER</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240" w:type="dxa"/>
            <w:vAlign w:val="bottom"/>
            <w:gridSpan w:val="2"/>
          </w:tcPr>
          <w:p>
            <w:pPr>
              <w:spacing w:after="0"/>
              <w:rPr>
                <w:sz w:val="20"/>
                <w:szCs w:val="20"/>
                <w:color w:val="auto"/>
              </w:rPr>
            </w:pPr>
            <w:r>
              <w:rPr>
                <w:rFonts w:ascii="Arial" w:cs="Arial" w:eastAsia="Arial" w:hAnsi="Arial"/>
                <w:sz w:val="17"/>
                <w:szCs w:val="17"/>
                <w:b w:val="1"/>
                <w:bCs w:val="1"/>
                <w:color w:val="auto"/>
              </w:rPr>
              <w:t>31, 2011</w:t>
            </w:r>
          </w:p>
        </w:tc>
        <w:tc>
          <w:tcPr>
            <w:tcW w:w="110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4,630</w:t>
            </w:r>
          </w:p>
        </w:tc>
        <w:tc>
          <w:tcPr>
            <w:tcW w:w="420" w:type="dxa"/>
            <w:vAlign w:val="bottom"/>
            <w:gridSpan w:val="2"/>
          </w:tcPr>
          <w:p>
            <w:pPr>
              <w:jc w:val="right"/>
              <w:ind w:right="240"/>
              <w:spacing w:after="0"/>
              <w:rPr>
                <w:sz w:val="20"/>
                <w:szCs w:val="20"/>
                <w:color w:val="auto"/>
              </w:rPr>
            </w:pPr>
            <w:r>
              <w:rPr>
                <w:rFonts w:ascii="Arial" w:cs="Arial" w:eastAsia="Arial" w:hAnsi="Arial"/>
                <w:sz w:val="17"/>
                <w:szCs w:val="17"/>
                <w:b w:val="1"/>
                <w:bCs w:val="1"/>
                <w:color w:val="auto"/>
              </w:rPr>
              <w:t>$</w:t>
            </w:r>
          </w:p>
        </w:tc>
        <w:tc>
          <w:tcPr>
            <w:tcW w:w="1360" w:type="dxa"/>
            <w:vAlign w:val="bottom"/>
          </w:tcPr>
          <w:p>
            <w:pPr>
              <w:jc w:val="right"/>
              <w:spacing w:after="0"/>
              <w:rPr>
                <w:sz w:val="20"/>
                <w:szCs w:val="20"/>
                <w:color w:val="auto"/>
              </w:rPr>
            </w:pPr>
            <w:r>
              <w:rPr>
                <w:rFonts w:ascii="Arial" w:cs="Arial" w:eastAsia="Arial" w:hAnsi="Arial"/>
                <w:sz w:val="17"/>
                <w:szCs w:val="17"/>
                <w:b w:val="1"/>
                <w:bCs w:val="1"/>
                <w:color w:val="auto"/>
              </w:rPr>
              <w:t>50</w:t>
            </w:r>
          </w:p>
        </w:tc>
        <w:tc>
          <w:tcPr>
            <w:tcW w:w="32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7"/>
                <w:szCs w:val="17"/>
                <w:b w:val="1"/>
                <w:bCs w:val="1"/>
                <w:color w:val="auto"/>
              </w:rPr>
              <w:t>(5,017)</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271,349</w:t>
            </w:r>
          </w:p>
        </w:tc>
        <w:tc>
          <w:tcPr>
            <w:tcW w:w="180" w:type="dxa"/>
            <w:vAlign w:val="bottom"/>
            <w:gridSpan w:val="2"/>
          </w:tcPr>
          <w:p>
            <w:pPr>
              <w:jc w:val="right"/>
              <w:spacing w:after="0"/>
              <w:rPr>
                <w:sz w:val="20"/>
                <w:szCs w:val="20"/>
                <w:color w:val="auto"/>
              </w:rPr>
            </w:pPr>
            <w:r>
              <w:rPr>
                <w:rFonts w:ascii="Arial" w:cs="Arial" w:eastAsia="Arial" w:hAnsi="Arial"/>
                <w:sz w:val="17"/>
                <w:szCs w:val="17"/>
                <w:b w:val="1"/>
                <w:bCs w:val="1"/>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7"/>
                <w:szCs w:val="17"/>
                <w:b w:val="1"/>
                <w:bCs w:val="1"/>
                <w:color w:val="auto"/>
              </w:rPr>
              <w:t>(264,190)</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240" w:type="dxa"/>
            <w:vAlign w:val="bottom"/>
            <w:gridSpan w:val="2"/>
          </w:tcPr>
          <w:p>
            <w:pPr>
              <w:jc w:val="right"/>
              <w:ind w:right="40"/>
              <w:spacing w:after="0"/>
              <w:rPr>
                <w:sz w:val="20"/>
                <w:szCs w:val="20"/>
                <w:color w:val="auto"/>
              </w:rPr>
            </w:pPr>
            <w:r>
              <w:rPr>
                <w:rFonts w:ascii="Arial" w:cs="Arial" w:eastAsia="Arial" w:hAnsi="Arial"/>
                <w:sz w:val="17"/>
                <w:szCs w:val="17"/>
                <w:b w:val="1"/>
                <w:bCs w:val="1"/>
                <w:color w:val="auto"/>
              </w:rPr>
              <w:t>(128)</w:t>
            </w:r>
          </w:p>
        </w:tc>
        <w:tc>
          <w:tcPr>
            <w:tcW w:w="10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112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2,064</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22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vMerge w:val="continue"/>
          </w:tcPr>
          <w:p>
            <w:pPr>
              <w:spacing w:after="0"/>
              <w:rPr>
                <w:sz w:val="17"/>
                <w:szCs w:val="17"/>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7"/>
                <w:szCs w:val="17"/>
                <w:color w:val="auto"/>
              </w:rPr>
              <w:t>Share based compensation</w:t>
            </w: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220" w:type="dxa"/>
            <w:vAlign w:val="bottom"/>
          </w:tcPr>
          <w:p>
            <w:pPr>
              <w:spacing w:after="0" w:line="193" w:lineRule="exact"/>
              <w:rPr>
                <w:sz w:val="20"/>
                <w:szCs w:val="20"/>
                <w:color w:val="auto"/>
              </w:rPr>
            </w:pPr>
            <w:r>
              <w:rPr>
                <w:rFonts w:ascii="Arial" w:cs="Arial" w:eastAsia="Arial" w:hAnsi="Arial"/>
                <w:sz w:val="17"/>
                <w:szCs w:val="17"/>
                <w:color w:val="auto"/>
              </w:rPr>
              <w:t>Stock issued upon option</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240" w:type="dxa"/>
            <w:vAlign w:val="bottom"/>
            <w:gridSpan w:val="2"/>
          </w:tcPr>
          <w:p>
            <w:pPr>
              <w:spacing w:after="0"/>
              <w:rPr>
                <w:sz w:val="20"/>
                <w:szCs w:val="20"/>
                <w:color w:val="auto"/>
              </w:rPr>
            </w:pPr>
            <w:r>
              <w:rPr>
                <w:rFonts w:ascii="Arial" w:cs="Arial" w:eastAsia="Arial" w:hAnsi="Arial"/>
                <w:sz w:val="17"/>
                <w:szCs w:val="17"/>
                <w:color w:val="auto"/>
              </w:rPr>
              <w:t>exercise</w:t>
            </w: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30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20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22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Issuance of stock upon debt</w:t>
            </w: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7"/>
                <w:szCs w:val="17"/>
                <w:color w:val="auto"/>
              </w:rPr>
              <w:t>conversion</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345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2,244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2,247</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220" w:type="dxa"/>
            <w:vAlign w:val="bottom"/>
          </w:tcPr>
          <w:p>
            <w:pPr>
              <w:spacing w:after="0" w:line="193" w:lineRule="exact"/>
              <w:rPr>
                <w:sz w:val="20"/>
                <w:szCs w:val="20"/>
                <w:color w:val="auto"/>
              </w:rPr>
            </w:pPr>
            <w:r>
              <w:rPr>
                <w:rFonts w:ascii="Arial" w:cs="Arial" w:eastAsia="Arial" w:hAnsi="Arial"/>
                <w:sz w:val="17"/>
                <w:szCs w:val="17"/>
                <w:color w:val="auto"/>
              </w:rPr>
              <w:t>Issuance of stock upon</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240" w:type="dxa"/>
            <w:vAlign w:val="bottom"/>
            <w:gridSpan w:val="2"/>
          </w:tcPr>
          <w:p>
            <w:pPr>
              <w:spacing w:after="0"/>
              <w:rPr>
                <w:sz w:val="20"/>
                <w:szCs w:val="20"/>
                <w:color w:val="auto"/>
              </w:rPr>
            </w:pPr>
            <w:r>
              <w:rPr>
                <w:rFonts w:ascii="Arial" w:cs="Arial" w:eastAsia="Arial" w:hAnsi="Arial"/>
                <w:sz w:val="17"/>
                <w:szCs w:val="17"/>
                <w:color w:val="auto"/>
              </w:rPr>
              <w:t>acquisition</w:t>
            </w:r>
          </w:p>
        </w:tc>
        <w:tc>
          <w:tcPr>
            <w:tcW w:w="1100" w:type="dxa"/>
            <w:vAlign w:val="bottom"/>
            <w:gridSpan w:val="2"/>
          </w:tcPr>
          <w:p>
            <w:pPr>
              <w:jc w:val="right"/>
              <w:ind w:right="80"/>
              <w:spacing w:after="0"/>
              <w:rPr>
                <w:sz w:val="20"/>
                <w:szCs w:val="20"/>
                <w:color w:val="auto"/>
              </w:rPr>
            </w:pPr>
            <w:r>
              <w:rPr>
                <w:rFonts w:ascii="Arial" w:cs="Arial" w:eastAsia="Arial" w:hAnsi="Arial"/>
                <w:sz w:val="17"/>
                <w:szCs w:val="17"/>
                <w:color w:val="auto"/>
              </w:rPr>
              <w:t>255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744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747</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7"/>
                <w:szCs w:val="17"/>
                <w:color w:val="auto"/>
              </w:rPr>
              <w:t>Net loss</w:t>
            </w: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(3,032)</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(3,032)</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7"/>
                <w:szCs w:val="17"/>
                <w:color w:val="auto"/>
                <w:w w:val="99"/>
              </w:rPr>
              <w:t>Other comprehensive income</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7"/>
                <w:szCs w:val="17"/>
                <w:color w:val="auto"/>
              </w:rPr>
              <w:t>26</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220" w:type="dxa"/>
            <w:vAlign w:val="bottom"/>
            <w:shd w:val="clear" w:color="auto" w:fill="CCEEFF"/>
          </w:tcPr>
          <w:p>
            <w:pPr>
              <w:spacing w:after="0" w:line="187" w:lineRule="exact"/>
              <w:rPr>
                <w:sz w:val="20"/>
                <w:szCs w:val="20"/>
                <w:color w:val="auto"/>
              </w:rPr>
            </w:pPr>
            <w:r>
              <w:rPr>
                <w:rFonts w:ascii="Arial" w:cs="Arial" w:eastAsia="Arial" w:hAnsi="Arial"/>
                <w:sz w:val="17"/>
                <w:szCs w:val="17"/>
                <w:b w:val="1"/>
                <w:bCs w:val="1"/>
                <w:color w:val="auto"/>
              </w:rPr>
              <w:t>BALANCE AT DECEMBER</w:t>
            </w:r>
          </w:p>
        </w:tc>
        <w:tc>
          <w:tcPr>
            <w:tcW w:w="10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31, 2012</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5,260</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b w:val="1"/>
                <w:bCs w:val="1"/>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56</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b w:val="1"/>
                <w:bCs w:val="1"/>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b w:val="1"/>
                <w:bCs w:val="1"/>
                <w:color w:val="auto"/>
              </w:rPr>
              <w:t>(5,017)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274,445</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1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b w:val="1"/>
                <w:bCs w:val="1"/>
                <w:color w:val="auto"/>
              </w:rPr>
              <w:t>(267,222)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4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7"/>
                <w:szCs w:val="17"/>
                <w:b w:val="1"/>
                <w:bCs w:val="1"/>
                <w:color w:val="auto"/>
              </w:rPr>
              <w:t>(102)</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2,160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61"/>
        </w:trPr>
        <w:tc>
          <w:tcPr>
            <w:tcW w:w="8040" w:type="dxa"/>
            <w:vAlign w:val="bottom"/>
            <w:gridSpan w:val="3"/>
          </w:tcPr>
          <w:p>
            <w:pPr>
              <w:spacing w:after="0"/>
              <w:rPr>
                <w:rFonts w:ascii="Arial" w:cs="Arial" w:eastAsia="Arial" w:hAnsi="Arial"/>
                <w:sz w:val="14"/>
                <w:szCs w:val="14"/>
                <w:color w:val="0000EE"/>
              </w:rPr>
            </w:pPr>
            <w:hyperlink w:anchor="page3">
              <w:r>
                <w:rPr>
                  <w:rFonts w:ascii="Arial" w:cs="Arial" w:eastAsia="Arial" w:hAnsi="Arial"/>
                  <w:sz w:val="14"/>
                  <w:szCs w:val="14"/>
                  <w:color w:val="0000EE"/>
                </w:rPr>
                <w:t>Table of Contents</w:t>
              </w:r>
            </w:hyperlink>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1"/>
        </w:trPr>
        <w:tc>
          <w:tcPr>
            <w:tcW w:w="20" w:type="dxa"/>
            <w:vAlign w:val="bottom"/>
          </w:tcPr>
          <w:p>
            <w:pPr>
              <w:spacing w:after="0"/>
              <w:rPr>
                <w:sz w:val="24"/>
                <w:szCs w:val="24"/>
                <w:color w:val="auto"/>
              </w:rPr>
            </w:pPr>
          </w:p>
        </w:tc>
        <w:tc>
          <w:tcPr>
            <w:tcW w:w="960" w:type="dxa"/>
            <w:vAlign w:val="bottom"/>
            <w:tcBorders>
              <w:top w:val="single" w:sz="8" w:color="0000EE"/>
            </w:tcBorders>
          </w:tcPr>
          <w:p>
            <w:pPr>
              <w:spacing w:after="0"/>
              <w:rPr>
                <w:sz w:val="24"/>
                <w:szCs w:val="24"/>
                <w:color w:val="auto"/>
              </w:rPr>
            </w:pPr>
          </w:p>
        </w:tc>
        <w:tc>
          <w:tcPr>
            <w:tcW w:w="7060" w:type="dxa"/>
            <w:vAlign w:val="bottom"/>
          </w:tcPr>
          <w:p>
            <w:pPr>
              <w:jc w:val="center"/>
              <w:ind w:left="2314"/>
              <w:spacing w:after="0"/>
              <w:rPr>
                <w:sz w:val="20"/>
                <w:szCs w:val="20"/>
                <w:color w:val="auto"/>
              </w:rPr>
            </w:pPr>
            <w:r>
              <w:rPr>
                <w:rFonts w:ascii="Arial" w:cs="Arial" w:eastAsia="Arial" w:hAnsi="Arial"/>
                <w:sz w:val="17"/>
                <w:szCs w:val="17"/>
                <w:b w:val="1"/>
                <w:bCs w:val="1"/>
                <w:color w:val="auto"/>
                <w:w w:val="98"/>
              </w:rPr>
              <w:t>ASURE SOFTWARE, INC.</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60" w:type="dxa"/>
            <w:vAlign w:val="bottom"/>
          </w:tcPr>
          <w:p>
            <w:pPr>
              <w:jc w:val="center"/>
              <w:ind w:left="2314"/>
              <w:spacing w:after="0"/>
              <w:rPr>
                <w:sz w:val="20"/>
                <w:szCs w:val="20"/>
                <w:color w:val="auto"/>
              </w:rPr>
            </w:pPr>
            <w:r>
              <w:rPr>
                <w:rFonts w:ascii="Arial" w:cs="Arial" w:eastAsia="Arial" w:hAnsi="Arial"/>
                <w:sz w:val="17"/>
                <w:szCs w:val="17"/>
                <w:b w:val="1"/>
                <w:bCs w:val="1"/>
                <w:color w:val="auto"/>
                <w:w w:val="99"/>
              </w:rPr>
              <w:t>CONSOLIDATED STATEMENTS OF CASH FLOWS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60" w:type="dxa"/>
            <w:vAlign w:val="bottom"/>
          </w:tcPr>
          <w:p>
            <w:pPr>
              <w:jc w:val="center"/>
              <w:ind w:left="2334"/>
              <w:spacing w:after="0"/>
              <w:rPr>
                <w:sz w:val="20"/>
                <w:szCs w:val="20"/>
                <w:color w:val="auto"/>
              </w:rPr>
            </w:pPr>
            <w:r>
              <w:rPr>
                <w:rFonts w:ascii="Arial" w:cs="Arial" w:eastAsia="Arial" w:hAnsi="Arial"/>
                <w:sz w:val="17"/>
                <w:szCs w:val="17"/>
                <w:color w:val="auto"/>
                <w:w w:val="91"/>
              </w:rPr>
              <w:t>(Amounts in thousands)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91"/>
              </w:rPr>
              <w:t>Twelve Months</w:t>
            </w:r>
          </w:p>
        </w:tc>
        <w:tc>
          <w:tcPr>
            <w:tcW w:w="100" w:type="dxa"/>
            <w:vAlign w:val="bottom"/>
          </w:tcPr>
          <w:p>
            <w:pPr>
              <w:spacing w:after="0"/>
              <w:rPr>
                <w:sz w:val="24"/>
                <w:szCs w:val="24"/>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1"/>
              </w:rPr>
              <w:t>Twelve Months</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90"/>
              </w:rPr>
              <w:t>December 31,</w:t>
            </w:r>
          </w:p>
        </w:tc>
        <w:tc>
          <w:tcPr>
            <w:tcW w:w="100" w:type="dxa"/>
            <w:vAlign w:val="bottom"/>
          </w:tcPr>
          <w:p>
            <w:pPr>
              <w:spacing w:after="0"/>
              <w:rPr>
                <w:sz w:val="17"/>
                <w:szCs w:val="17"/>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0"/>
              </w:rPr>
              <w:t>December 31,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54"/>
              <w:spacing w:after="0"/>
              <w:rPr>
                <w:sz w:val="20"/>
                <w:szCs w:val="20"/>
                <w:color w:val="auto"/>
              </w:rPr>
            </w:pPr>
            <w:r>
              <w:rPr>
                <w:rFonts w:ascii="Arial" w:cs="Arial" w:eastAsia="Arial" w:hAnsi="Arial"/>
                <w:sz w:val="17"/>
                <w:szCs w:val="17"/>
                <w:b w:val="1"/>
                <w:bCs w:val="1"/>
                <w:color w:val="auto"/>
                <w:w w:val="89"/>
              </w:rPr>
              <w:t>2012</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34"/>
              <w:spacing w:after="0"/>
              <w:rPr>
                <w:sz w:val="20"/>
                <w:szCs w:val="20"/>
                <w:color w:val="auto"/>
              </w:rPr>
            </w:pPr>
            <w:r>
              <w:rPr>
                <w:rFonts w:ascii="Arial" w:cs="Arial" w:eastAsia="Arial" w:hAnsi="Arial"/>
                <w:sz w:val="17"/>
                <w:szCs w:val="17"/>
                <w:b w:val="1"/>
                <w:bCs w:val="1"/>
                <w:color w:val="auto"/>
                <w:w w:val="84"/>
              </w:rPr>
              <w:t>2011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8040" w:type="dxa"/>
            <w:vAlign w:val="bottom"/>
            <w:gridSpan w:val="3"/>
          </w:tcPr>
          <w:p>
            <w:pPr>
              <w:spacing w:after="0"/>
              <w:rPr>
                <w:sz w:val="20"/>
                <w:szCs w:val="20"/>
                <w:color w:val="auto"/>
              </w:rPr>
            </w:pPr>
            <w:r>
              <w:rPr>
                <w:rFonts w:ascii="Arial" w:cs="Arial" w:eastAsia="Arial" w:hAnsi="Arial"/>
                <w:sz w:val="17"/>
                <w:szCs w:val="17"/>
                <w:b w:val="1"/>
                <w:bCs w:val="1"/>
                <w:color w:val="auto"/>
              </w:rPr>
              <w:t>CASH FLOWS FROM OPERATING ACTIVITIES:</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loss</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(3,032)</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(649)</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020" w:type="dxa"/>
            <w:vAlign w:val="bottom"/>
            <w:gridSpan w:val="2"/>
          </w:tcPr>
          <w:p>
            <w:pPr>
              <w:spacing w:after="0"/>
              <w:rPr>
                <w:sz w:val="20"/>
                <w:szCs w:val="20"/>
                <w:color w:val="auto"/>
              </w:rPr>
            </w:pPr>
            <w:r>
              <w:rPr>
                <w:rFonts w:ascii="Arial" w:cs="Arial" w:eastAsia="Arial" w:hAnsi="Arial"/>
                <w:sz w:val="17"/>
                <w:szCs w:val="17"/>
                <w:color w:val="auto"/>
              </w:rPr>
              <w:t>Adjustments to reconcile net loss to net cash used in operations:</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Depreciation and amortization</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2,295</w:t>
            </w:r>
          </w:p>
        </w:tc>
        <w:tc>
          <w:tcPr>
            <w:tcW w:w="1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1,050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020" w:type="dxa"/>
            <w:vAlign w:val="bottom"/>
            <w:gridSpan w:val="2"/>
          </w:tcPr>
          <w:p>
            <w:pPr>
              <w:spacing w:after="0"/>
              <w:rPr>
                <w:sz w:val="20"/>
                <w:szCs w:val="20"/>
                <w:color w:val="auto"/>
              </w:rPr>
            </w:pPr>
            <w:r>
              <w:rPr>
                <w:rFonts w:ascii="Arial" w:cs="Arial" w:eastAsia="Arial" w:hAnsi="Arial"/>
                <w:sz w:val="17"/>
                <w:szCs w:val="17"/>
                <w:color w:val="auto"/>
              </w:rPr>
              <w:t>Provision for doubtful accounts</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7"/>
                <w:szCs w:val="17"/>
                <w:color w:val="auto"/>
              </w:rPr>
              <w:t>179</w:t>
            </w:r>
          </w:p>
        </w:tc>
        <w:tc>
          <w:tcPr>
            <w:tcW w:w="1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Share-based compensation</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88</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020" w:type="dxa"/>
            <w:vAlign w:val="bottom"/>
            <w:gridSpan w:val="2"/>
          </w:tcPr>
          <w:p>
            <w:pPr>
              <w:spacing w:after="0"/>
              <w:rPr>
                <w:sz w:val="20"/>
                <w:szCs w:val="20"/>
                <w:color w:val="auto"/>
              </w:rPr>
            </w:pPr>
            <w:r>
              <w:rPr>
                <w:rFonts w:ascii="Arial" w:cs="Arial" w:eastAsia="Arial" w:hAnsi="Arial"/>
                <w:sz w:val="17"/>
                <w:szCs w:val="17"/>
                <w:color w:val="auto"/>
              </w:rPr>
              <w:t>Amortization of original issue discount (OID)</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7"/>
                <w:szCs w:val="17"/>
                <w:color w:val="auto"/>
              </w:rPr>
              <w:t>350</w:t>
            </w:r>
          </w:p>
        </w:tc>
        <w:tc>
          <w:tcPr>
            <w:tcW w:w="1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46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Loss on sale of assets</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28</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020" w:type="dxa"/>
            <w:vAlign w:val="bottom"/>
            <w:gridSpan w:val="2"/>
          </w:tcPr>
          <w:p>
            <w:pPr>
              <w:spacing w:after="0"/>
              <w:rPr>
                <w:sz w:val="20"/>
                <w:szCs w:val="20"/>
                <w:color w:val="auto"/>
              </w:rPr>
            </w:pPr>
            <w:r>
              <w:rPr>
                <w:rFonts w:ascii="Arial" w:cs="Arial" w:eastAsia="Arial" w:hAnsi="Arial"/>
                <w:sz w:val="17"/>
                <w:szCs w:val="17"/>
                <w:color w:val="auto"/>
              </w:rPr>
              <w:t>Derivative mark-to market</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7"/>
                <w:szCs w:val="17"/>
                <w:color w:val="auto"/>
              </w:rPr>
              <w:t>465</w:t>
            </w:r>
          </w:p>
        </w:tc>
        <w:tc>
          <w:tcPr>
            <w:tcW w:w="10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7"/>
                <w:szCs w:val="17"/>
                <w:color w:val="auto"/>
              </w:rPr>
              <w:t>561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Loss on debt conversion</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198</w:t>
            </w:r>
          </w:p>
        </w:tc>
        <w:tc>
          <w:tcPr>
            <w:tcW w:w="1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020" w:type="dxa"/>
            <w:vAlign w:val="bottom"/>
            <w:gridSpan w:val="2"/>
          </w:tcPr>
          <w:p>
            <w:pPr>
              <w:spacing w:after="0"/>
              <w:rPr>
                <w:sz w:val="20"/>
                <w:szCs w:val="20"/>
                <w:color w:val="auto"/>
              </w:rPr>
            </w:pPr>
            <w:r>
              <w:rPr>
                <w:rFonts w:ascii="Arial" w:cs="Arial" w:eastAsia="Arial" w:hAnsi="Arial"/>
                <w:sz w:val="17"/>
                <w:szCs w:val="17"/>
                <w:color w:val="auto"/>
              </w:rPr>
              <w:t>Changes in operating assets and liabilities:</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Restricted cash</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(250)</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020" w:type="dxa"/>
            <w:vAlign w:val="bottom"/>
            <w:gridSpan w:val="2"/>
          </w:tcPr>
          <w:p>
            <w:pPr>
              <w:spacing w:after="0"/>
              <w:rPr>
                <w:sz w:val="20"/>
                <w:szCs w:val="20"/>
                <w:color w:val="auto"/>
              </w:rPr>
            </w:pPr>
            <w:r>
              <w:rPr>
                <w:rFonts w:ascii="Arial" w:cs="Arial" w:eastAsia="Arial" w:hAnsi="Arial"/>
                <w:sz w:val="17"/>
                <w:szCs w:val="17"/>
                <w:color w:val="auto"/>
              </w:rPr>
              <w:t>Accounts receivable</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7"/>
                <w:szCs w:val="17"/>
                <w:color w:val="auto"/>
              </w:rPr>
              <w:t>1,095</w:t>
            </w:r>
          </w:p>
        </w:tc>
        <w:tc>
          <w:tcPr>
            <w:tcW w:w="10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7"/>
                <w:szCs w:val="17"/>
                <w:color w:val="auto"/>
              </w:rPr>
              <w:t>192</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Inventory</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(150)</w:t>
            </w:r>
          </w:p>
        </w:tc>
        <w:tc>
          <w:tcPr>
            <w:tcW w:w="1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020" w:type="dxa"/>
            <w:vAlign w:val="bottom"/>
            <w:gridSpan w:val="2"/>
          </w:tcPr>
          <w:p>
            <w:pPr>
              <w:spacing w:after="0"/>
              <w:rPr>
                <w:sz w:val="20"/>
                <w:szCs w:val="20"/>
                <w:color w:val="auto"/>
              </w:rPr>
            </w:pPr>
            <w:r>
              <w:rPr>
                <w:rFonts w:ascii="Arial" w:cs="Arial" w:eastAsia="Arial" w:hAnsi="Arial"/>
                <w:sz w:val="17"/>
                <w:szCs w:val="17"/>
                <w:color w:val="auto"/>
              </w:rPr>
              <w:t>Prepaid expenses and other current assets</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7"/>
                <w:szCs w:val="17"/>
                <w:color w:val="auto"/>
              </w:rPr>
              <w:t>(229)</w:t>
            </w:r>
          </w:p>
        </w:tc>
        <w:tc>
          <w:tcPr>
            <w:tcW w:w="100" w:type="dxa"/>
            <w:vAlign w:val="bottom"/>
          </w:tcPr>
          <w:p>
            <w:pPr>
              <w:spacing w:after="0"/>
              <w:rPr>
                <w:sz w:val="17"/>
                <w:szCs w:val="17"/>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7"/>
                <w:szCs w:val="17"/>
                <w:color w:val="auto"/>
              </w:rPr>
              <w:t>(70)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Accounts payable</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692</w:t>
            </w:r>
          </w:p>
        </w:tc>
        <w:tc>
          <w:tcPr>
            <w:tcW w:w="1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377</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020" w:type="dxa"/>
            <w:vAlign w:val="bottom"/>
            <w:gridSpan w:val="2"/>
          </w:tcPr>
          <w:p>
            <w:pPr>
              <w:spacing w:after="0"/>
              <w:rPr>
                <w:sz w:val="20"/>
                <w:szCs w:val="20"/>
                <w:color w:val="auto"/>
              </w:rPr>
            </w:pPr>
            <w:r>
              <w:rPr>
                <w:rFonts w:ascii="Arial" w:cs="Arial" w:eastAsia="Arial" w:hAnsi="Arial"/>
                <w:sz w:val="17"/>
                <w:szCs w:val="17"/>
                <w:color w:val="auto"/>
              </w:rPr>
              <w:t>Accrued expenses and other long-term obligations</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7"/>
                <w:szCs w:val="17"/>
                <w:color w:val="auto"/>
              </w:rPr>
              <w:t>140</w:t>
            </w:r>
          </w:p>
        </w:tc>
        <w:tc>
          <w:tcPr>
            <w:tcW w:w="10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7"/>
                <w:szCs w:val="17"/>
                <w:color w:val="auto"/>
              </w:rPr>
              <w:t>257</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Deferred revenue</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940</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1,503</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70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vMerge w:val="continue"/>
          </w:tcPr>
          <w:p>
            <w:pPr>
              <w:spacing w:after="0"/>
              <w:rPr>
                <w:sz w:val="17"/>
                <w:szCs w:val="17"/>
                <w:color w:val="auto"/>
              </w:rPr>
            </w:pPr>
          </w:p>
        </w:tc>
        <w:tc>
          <w:tcPr>
            <w:tcW w:w="8020" w:type="dxa"/>
            <w:vAlign w:val="bottom"/>
            <w:gridSpan w:val="2"/>
          </w:tcPr>
          <w:p>
            <w:pPr>
              <w:spacing w:after="0"/>
              <w:rPr>
                <w:sz w:val="20"/>
                <w:szCs w:val="20"/>
                <w:color w:val="auto"/>
              </w:rPr>
            </w:pPr>
            <w:r>
              <w:rPr>
                <w:rFonts w:ascii="Arial" w:cs="Arial" w:eastAsia="Arial" w:hAnsi="Arial"/>
                <w:sz w:val="17"/>
                <w:szCs w:val="17"/>
                <w:b w:val="1"/>
                <w:bCs w:val="1"/>
                <w:color w:val="auto"/>
              </w:rPr>
              <w:t>Net cash provided by operating activities</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7"/>
                <w:szCs w:val="17"/>
                <w:b w:val="1"/>
                <w:bCs w:val="1"/>
                <w:color w:val="auto"/>
              </w:rPr>
              <w:t>2,809</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3,353</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70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8020" w:type="dxa"/>
            <w:vAlign w:val="bottom"/>
            <w:gridSpan w:val="2"/>
          </w:tcPr>
          <w:p>
            <w:pPr>
              <w:spacing w:after="0"/>
              <w:rPr>
                <w:sz w:val="20"/>
                <w:szCs w:val="20"/>
                <w:color w:val="auto"/>
              </w:rPr>
            </w:pPr>
            <w:r>
              <w:rPr>
                <w:rFonts w:ascii="Arial" w:cs="Arial" w:eastAsia="Arial" w:hAnsi="Arial"/>
                <w:sz w:val="17"/>
                <w:szCs w:val="17"/>
                <w:b w:val="1"/>
                <w:bCs w:val="1"/>
                <w:color w:val="auto"/>
              </w:rPr>
              <w:t>CASH FLOWS FROM INVESTING ACTIVITIES:</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purchases of property and equipment</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(904)</w:t>
            </w:r>
          </w:p>
        </w:tc>
        <w:tc>
          <w:tcPr>
            <w:tcW w:w="1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(121)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020" w:type="dxa"/>
            <w:vAlign w:val="bottom"/>
            <w:gridSpan w:val="2"/>
          </w:tcPr>
          <w:p>
            <w:pPr>
              <w:spacing w:after="0"/>
              <w:rPr>
                <w:sz w:val="20"/>
                <w:szCs w:val="20"/>
                <w:color w:val="auto"/>
              </w:rPr>
            </w:pPr>
            <w:r>
              <w:rPr>
                <w:rFonts w:ascii="Arial" w:cs="Arial" w:eastAsia="Arial" w:hAnsi="Arial"/>
                <w:sz w:val="17"/>
                <w:szCs w:val="17"/>
                <w:color w:val="auto"/>
              </w:rPr>
              <w:t>Purchases of intangible assets</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7"/>
                <w:szCs w:val="17"/>
                <w:color w:val="auto"/>
              </w:rPr>
              <w:t>(351)</w:t>
            </w:r>
          </w:p>
        </w:tc>
        <w:tc>
          <w:tcPr>
            <w:tcW w:w="1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Collection of note receivable</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77</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020" w:type="dxa"/>
            <w:vAlign w:val="bottom"/>
            <w:gridSpan w:val="2"/>
          </w:tcPr>
          <w:p>
            <w:pPr>
              <w:spacing w:after="0"/>
              <w:rPr>
                <w:sz w:val="20"/>
                <w:szCs w:val="20"/>
                <w:color w:val="auto"/>
              </w:rPr>
            </w:pPr>
            <w:r>
              <w:rPr>
                <w:rFonts w:ascii="Arial" w:cs="Arial" w:eastAsia="Arial" w:hAnsi="Arial"/>
                <w:sz w:val="17"/>
                <w:szCs w:val="17"/>
                <w:color w:val="auto"/>
              </w:rPr>
              <w:t>Acquisitions net of cash acquired</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7"/>
                <w:szCs w:val="17"/>
                <w:color w:val="auto"/>
              </w:rPr>
              <w:t>(9,800)</w:t>
            </w:r>
          </w:p>
        </w:tc>
        <w:tc>
          <w:tcPr>
            <w:tcW w:w="100" w:type="dxa"/>
            <w:vAlign w:val="bottom"/>
          </w:tcPr>
          <w:p>
            <w:pPr>
              <w:spacing w:after="0"/>
              <w:rPr>
                <w:sz w:val="17"/>
                <w:szCs w:val="17"/>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7"/>
                <w:szCs w:val="17"/>
                <w:color w:val="auto"/>
              </w:rPr>
              <w:t>(10,401)</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960" w:type="dxa"/>
            <w:vAlign w:val="bottom"/>
          </w:tcPr>
          <w:p>
            <w:pPr>
              <w:spacing w:after="0"/>
              <w:rPr>
                <w:sz w:val="2"/>
                <w:szCs w:val="2"/>
                <w:color w:val="auto"/>
              </w:rPr>
            </w:pPr>
          </w:p>
        </w:tc>
        <w:tc>
          <w:tcPr>
            <w:tcW w:w="7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vMerge w:val="continue"/>
          </w:tcPr>
          <w:p>
            <w:pPr>
              <w:spacing w:after="0"/>
              <w:rPr>
                <w:sz w:val="17"/>
                <w:szCs w:val="17"/>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Net cash used in investing activities</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(10,978)</w:t>
            </w:r>
          </w:p>
        </w:tc>
        <w:tc>
          <w:tcPr>
            <w:tcW w:w="1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b w:val="1"/>
                <w:bCs w:val="1"/>
                <w:color w:val="auto"/>
              </w:rPr>
              <w:t>(10,496)</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960" w:type="dxa"/>
            <w:vAlign w:val="bottom"/>
          </w:tcPr>
          <w:p>
            <w:pPr>
              <w:spacing w:after="0"/>
              <w:rPr>
                <w:sz w:val="17"/>
                <w:szCs w:val="17"/>
                <w:color w:val="auto"/>
              </w:rPr>
            </w:pPr>
          </w:p>
        </w:tc>
        <w:tc>
          <w:tcPr>
            <w:tcW w:w="7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CASH FLOWS FROM FINANCING ACTIVITIES:</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020" w:type="dxa"/>
            <w:vAlign w:val="bottom"/>
            <w:gridSpan w:val="2"/>
          </w:tcPr>
          <w:p>
            <w:pPr>
              <w:spacing w:after="0"/>
              <w:rPr>
                <w:sz w:val="20"/>
                <w:szCs w:val="20"/>
                <w:color w:val="auto"/>
              </w:rPr>
            </w:pPr>
            <w:r>
              <w:rPr>
                <w:rFonts w:ascii="Arial" w:cs="Arial" w:eastAsia="Arial" w:hAnsi="Arial"/>
                <w:sz w:val="17"/>
                <w:szCs w:val="17"/>
                <w:color w:val="auto"/>
              </w:rPr>
              <w:t>Payments on subordinated convertible notes payable on amendment and conversion</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7"/>
                <w:szCs w:val="17"/>
                <w:color w:val="auto"/>
              </w:rPr>
              <w:t>(222)</w:t>
            </w:r>
          </w:p>
        </w:tc>
        <w:tc>
          <w:tcPr>
            <w:tcW w:w="1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Payments on capital leases</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(33)</w:t>
            </w:r>
          </w:p>
        </w:tc>
        <w:tc>
          <w:tcPr>
            <w:tcW w:w="1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(58)</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020" w:type="dxa"/>
            <w:vAlign w:val="bottom"/>
            <w:gridSpan w:val="2"/>
          </w:tcPr>
          <w:p>
            <w:pPr>
              <w:spacing w:after="0"/>
              <w:rPr>
                <w:sz w:val="20"/>
                <w:szCs w:val="20"/>
                <w:color w:val="auto"/>
              </w:rPr>
            </w:pPr>
            <w:r>
              <w:rPr>
                <w:rFonts w:ascii="Arial" w:cs="Arial" w:eastAsia="Arial" w:hAnsi="Arial"/>
                <w:sz w:val="17"/>
                <w:szCs w:val="17"/>
                <w:color w:val="auto"/>
              </w:rPr>
              <w:t>Net proceeds from exercise of stock options</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7"/>
                <w:szCs w:val="17"/>
                <w:color w:val="auto"/>
              </w:rPr>
              <w:t>20</w:t>
            </w:r>
          </w:p>
        </w:tc>
        <w:tc>
          <w:tcPr>
            <w:tcW w:w="10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Proceeds from draw on line of credit</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500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020" w:type="dxa"/>
            <w:vAlign w:val="bottom"/>
            <w:gridSpan w:val="2"/>
          </w:tcPr>
          <w:p>
            <w:pPr>
              <w:spacing w:after="0"/>
              <w:rPr>
                <w:sz w:val="20"/>
                <w:szCs w:val="20"/>
                <w:color w:val="auto"/>
              </w:rPr>
            </w:pPr>
            <w:r>
              <w:rPr>
                <w:rFonts w:ascii="Arial" w:cs="Arial" w:eastAsia="Arial" w:hAnsi="Arial"/>
                <w:sz w:val="17"/>
                <w:szCs w:val="17"/>
                <w:color w:val="auto"/>
              </w:rPr>
              <w:t>Payments on line of credit</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7"/>
                <w:szCs w:val="17"/>
                <w:color w:val="auto"/>
              </w:rPr>
              <w:t>(500)</w:t>
            </w:r>
          </w:p>
        </w:tc>
        <w:tc>
          <w:tcPr>
            <w:tcW w:w="10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7"/>
                <w:szCs w:val="17"/>
                <w:color w:val="auto"/>
              </w:rPr>
              <w:t>6,783</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Proceeds from notes payable</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14,500</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020" w:type="dxa"/>
            <w:vAlign w:val="bottom"/>
            <w:gridSpan w:val="2"/>
          </w:tcPr>
          <w:p>
            <w:pPr>
              <w:spacing w:after="0"/>
              <w:rPr>
                <w:sz w:val="20"/>
                <w:szCs w:val="20"/>
                <w:color w:val="auto"/>
              </w:rPr>
            </w:pPr>
            <w:r>
              <w:rPr>
                <w:rFonts w:ascii="Arial" w:cs="Arial" w:eastAsia="Arial" w:hAnsi="Arial"/>
                <w:sz w:val="17"/>
                <w:szCs w:val="17"/>
                <w:color w:val="auto"/>
              </w:rPr>
              <w:t>Payments on notes payable</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7"/>
                <w:szCs w:val="17"/>
                <w:color w:val="auto"/>
              </w:rPr>
              <w:t>(3,833)</w:t>
            </w:r>
          </w:p>
        </w:tc>
        <w:tc>
          <w:tcPr>
            <w:tcW w:w="1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Debt financing fees</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(680)</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70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vMerge w:val="continue"/>
          </w:tcPr>
          <w:p>
            <w:pPr>
              <w:spacing w:after="0"/>
              <w:rPr>
                <w:sz w:val="17"/>
                <w:szCs w:val="17"/>
                <w:color w:val="auto"/>
              </w:rPr>
            </w:pPr>
          </w:p>
        </w:tc>
        <w:tc>
          <w:tcPr>
            <w:tcW w:w="8020" w:type="dxa"/>
            <w:vAlign w:val="bottom"/>
            <w:gridSpan w:val="2"/>
          </w:tcPr>
          <w:p>
            <w:pPr>
              <w:spacing w:after="0"/>
              <w:rPr>
                <w:sz w:val="20"/>
                <w:szCs w:val="20"/>
                <w:color w:val="auto"/>
              </w:rPr>
            </w:pPr>
            <w:r>
              <w:rPr>
                <w:rFonts w:ascii="Arial" w:cs="Arial" w:eastAsia="Arial" w:hAnsi="Arial"/>
                <w:sz w:val="17"/>
                <w:szCs w:val="17"/>
                <w:b w:val="1"/>
                <w:bCs w:val="1"/>
                <w:color w:val="auto"/>
              </w:rPr>
              <w:t>Net cash provided by financing activities</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7"/>
                <w:szCs w:val="17"/>
                <w:b w:val="1"/>
                <w:bCs w:val="1"/>
                <w:color w:val="auto"/>
              </w:rPr>
              <w:t>9,252</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7,231</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70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8020" w:type="dxa"/>
            <w:vAlign w:val="bottom"/>
            <w:gridSpan w:val="2"/>
          </w:tcPr>
          <w:p>
            <w:pPr>
              <w:spacing w:after="0"/>
              <w:rPr>
                <w:sz w:val="20"/>
                <w:szCs w:val="20"/>
                <w:color w:val="auto"/>
              </w:rPr>
            </w:pPr>
            <w:r>
              <w:rPr>
                <w:rFonts w:ascii="Arial" w:cs="Arial" w:eastAsia="Arial" w:hAnsi="Arial"/>
                <w:sz w:val="17"/>
                <w:szCs w:val="17"/>
                <w:b w:val="1"/>
                <w:bCs w:val="1"/>
                <w:color w:val="auto"/>
              </w:rPr>
              <w:t>Effect of translation exchange rates</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27</w:t>
            </w:r>
          </w:p>
        </w:tc>
        <w:tc>
          <w:tcPr>
            <w:tcW w:w="100" w:type="dxa"/>
            <w:vAlign w:val="bottom"/>
          </w:tcPr>
          <w:p>
            <w:pPr>
              <w:spacing w:after="0"/>
              <w:rPr>
                <w:sz w:val="17"/>
                <w:szCs w:val="17"/>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7"/>
                <w:szCs w:val="17"/>
                <w:b w:val="1"/>
                <w:bCs w:val="1"/>
                <w:color w:val="auto"/>
              </w:rPr>
              <w:t>(91</w:t>
            </w: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70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8020" w:type="dxa"/>
            <w:vAlign w:val="bottom"/>
            <w:gridSpan w:val="2"/>
          </w:tcPr>
          <w:p>
            <w:pPr>
              <w:spacing w:after="0"/>
              <w:rPr>
                <w:sz w:val="20"/>
                <w:szCs w:val="20"/>
                <w:color w:val="auto"/>
              </w:rPr>
            </w:pPr>
            <w:r>
              <w:rPr>
                <w:rFonts w:ascii="Arial" w:cs="Arial" w:eastAsia="Arial" w:hAnsi="Arial"/>
                <w:sz w:val="17"/>
                <w:szCs w:val="17"/>
                <w:b w:val="1"/>
                <w:bCs w:val="1"/>
                <w:color w:val="auto"/>
              </w:rPr>
              <w:t>Net increase (decrease) in cash and equivalents</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1,110</w:t>
            </w:r>
          </w:p>
        </w:tc>
        <w:tc>
          <w:tcPr>
            <w:tcW w:w="100" w:type="dxa"/>
            <w:vAlign w:val="bottom"/>
          </w:tcPr>
          <w:p>
            <w:pPr>
              <w:spacing w:after="0"/>
              <w:rPr>
                <w:sz w:val="17"/>
                <w:szCs w:val="17"/>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7"/>
                <w:szCs w:val="17"/>
                <w:b w:val="1"/>
                <w:bCs w:val="1"/>
                <w:color w:val="auto"/>
              </w:rPr>
              <w:t>(3)</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Cash and equivalents at beginning of period</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1,067</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1,070</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70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vMerge w:val="continue"/>
          </w:tcPr>
          <w:p>
            <w:pPr>
              <w:spacing w:after="0"/>
              <w:rPr>
                <w:sz w:val="17"/>
                <w:szCs w:val="17"/>
                <w:color w:val="auto"/>
              </w:rPr>
            </w:pPr>
          </w:p>
        </w:tc>
        <w:tc>
          <w:tcPr>
            <w:tcW w:w="8020" w:type="dxa"/>
            <w:vAlign w:val="bottom"/>
            <w:gridSpan w:val="2"/>
          </w:tcPr>
          <w:p>
            <w:pPr>
              <w:spacing w:after="0"/>
              <w:rPr>
                <w:sz w:val="20"/>
                <w:szCs w:val="20"/>
                <w:color w:val="auto"/>
              </w:rPr>
            </w:pPr>
            <w:r>
              <w:rPr>
                <w:rFonts w:ascii="Arial" w:cs="Arial" w:eastAsia="Arial" w:hAnsi="Arial"/>
                <w:sz w:val="17"/>
                <w:szCs w:val="17"/>
                <w:b w:val="1"/>
                <w:bCs w:val="1"/>
                <w:color w:val="auto"/>
              </w:rPr>
              <w:t>Cash and equivalents at end of period</w:t>
            </w:r>
          </w:p>
        </w:tc>
        <w:tc>
          <w:tcPr>
            <w:tcW w:w="3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1280" w:type="dxa"/>
            <w:vAlign w:val="bottom"/>
          </w:tcPr>
          <w:p>
            <w:pPr>
              <w:jc w:val="right"/>
              <w:spacing w:after="0"/>
              <w:rPr>
                <w:sz w:val="20"/>
                <w:szCs w:val="20"/>
                <w:color w:val="auto"/>
              </w:rPr>
            </w:pPr>
            <w:r>
              <w:rPr>
                <w:rFonts w:ascii="Arial" w:cs="Arial" w:eastAsia="Arial" w:hAnsi="Arial"/>
                <w:sz w:val="17"/>
                <w:szCs w:val="17"/>
                <w:b w:val="1"/>
                <w:bCs w:val="1"/>
                <w:color w:val="auto"/>
              </w:rPr>
              <w:t>2,177</w:t>
            </w:r>
          </w:p>
        </w:tc>
        <w:tc>
          <w:tcPr>
            <w:tcW w:w="2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138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1,067</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70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8020" w:type="dxa"/>
            <w:vAlign w:val="bottom"/>
            <w:gridSpan w:val="2"/>
          </w:tcPr>
          <w:p>
            <w:pPr>
              <w:spacing w:after="0"/>
              <w:rPr>
                <w:sz w:val="20"/>
                <w:szCs w:val="20"/>
                <w:color w:val="auto"/>
              </w:rPr>
            </w:pPr>
            <w:r>
              <w:rPr>
                <w:rFonts w:ascii="Arial" w:cs="Arial" w:eastAsia="Arial" w:hAnsi="Arial"/>
                <w:sz w:val="17"/>
                <w:szCs w:val="17"/>
                <w:b w:val="1"/>
                <w:bCs w:val="1"/>
                <w:color w:val="auto"/>
              </w:rPr>
              <w:t>SUPPLEMENTAL INFORMATION:</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Cash paid for:</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020" w:type="dxa"/>
            <w:vAlign w:val="bottom"/>
            <w:gridSpan w:val="2"/>
          </w:tcPr>
          <w:p>
            <w:pPr>
              <w:spacing w:after="0"/>
              <w:rPr>
                <w:sz w:val="20"/>
                <w:szCs w:val="20"/>
                <w:color w:val="auto"/>
              </w:rPr>
            </w:pPr>
            <w:r>
              <w:rPr>
                <w:rFonts w:ascii="Arial" w:cs="Arial" w:eastAsia="Arial" w:hAnsi="Arial"/>
                <w:sz w:val="17"/>
                <w:szCs w:val="17"/>
                <w:color w:val="auto"/>
              </w:rPr>
              <w:t>Interest</w:t>
            </w:r>
          </w:p>
        </w:tc>
        <w:tc>
          <w:tcPr>
            <w:tcW w:w="4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500" w:type="dxa"/>
            <w:vAlign w:val="bottom"/>
            <w:gridSpan w:val="2"/>
          </w:tcPr>
          <w:p>
            <w:pPr>
              <w:jc w:val="right"/>
              <w:ind w:right="220"/>
              <w:spacing w:after="0"/>
              <w:rPr>
                <w:sz w:val="20"/>
                <w:szCs w:val="20"/>
                <w:color w:val="auto"/>
              </w:rPr>
            </w:pPr>
            <w:r>
              <w:rPr>
                <w:rFonts w:ascii="Arial" w:cs="Arial" w:eastAsia="Arial" w:hAnsi="Arial"/>
                <w:sz w:val="17"/>
                <w:szCs w:val="17"/>
                <w:color w:val="auto"/>
              </w:rPr>
              <w:t>797</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gridSpan w:val="2"/>
          </w:tcPr>
          <w:p>
            <w:pPr>
              <w:jc w:val="right"/>
              <w:ind w:right="100"/>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70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8020" w:type="dxa"/>
            <w:vAlign w:val="bottom"/>
            <w:gridSpan w:val="2"/>
          </w:tcPr>
          <w:p>
            <w:pPr>
              <w:spacing w:after="0"/>
              <w:rPr>
                <w:sz w:val="20"/>
                <w:szCs w:val="20"/>
                <w:color w:val="auto"/>
              </w:rPr>
            </w:pPr>
            <w:r>
              <w:rPr>
                <w:rFonts w:ascii="Arial" w:cs="Arial" w:eastAsia="Arial" w:hAnsi="Arial"/>
                <w:sz w:val="17"/>
                <w:szCs w:val="17"/>
                <w:color w:val="auto"/>
              </w:rPr>
              <w:t>Non-cash Investing and Financing Activities:</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Conversion of subordinated convertible notes payable to equity</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2,247</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spacing w:after="0"/>
              <w:rPr>
                <w:sz w:val="20"/>
                <w:szCs w:val="20"/>
                <w:color w:val="auto"/>
              </w:rPr>
            </w:pPr>
            <w:r>
              <w:rPr>
                <w:rFonts w:ascii="Arial" w:cs="Arial" w:eastAsia="Arial" w:hAnsi="Arial"/>
                <w:sz w:val="17"/>
                <w:szCs w:val="17"/>
                <w:color w:val="auto"/>
              </w:rPr>
              <w:t>Issuance of common stock upon acquisition</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7"/>
                <w:szCs w:val="17"/>
                <w:color w:val="auto"/>
              </w:rPr>
              <w:t>747</w:t>
            </w:r>
          </w:p>
        </w:tc>
        <w:tc>
          <w:tcPr>
            <w:tcW w:w="1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ectPr>
          <w:pgSz w:w="11900" w:h="16838" w:orient="portrait"/>
          <w:cols w:equalWidth="0" w:num="1">
            <w:col w:w="11420"/>
          </w:cols>
          <w:pgMar w:left="240" w:top="107" w:right="239"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91440</wp:posOffset>
            </wp:positionV>
            <wp:extent cx="7258050"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07" w:right="239" w:bottom="1440" w:gutter="0" w:footer="0" w:header="0"/>
          <w:type w:val="continuous"/>
        </w:sectPr>
      </w:pPr>
    </w:p>
    <w:bookmarkStart w:id="27" w:name="page28"/>
    <w:bookmarkEnd w:id="2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ASURE SOFTWARE,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thousands, except share and per share data or otherwise noted)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1 - THE COMPANY</w:t>
      </w:r>
    </w:p>
    <w:p>
      <w:pPr>
        <w:spacing w:after="0" w:line="247" w:lineRule="exact"/>
        <w:rPr>
          <w:sz w:val="20"/>
          <w:szCs w:val="20"/>
          <w:color w:val="auto"/>
        </w:rPr>
      </w:pPr>
    </w:p>
    <w:p>
      <w:pPr>
        <w:jc w:val="both"/>
        <w:ind w:firstLine="616"/>
        <w:spacing w:after="0" w:line="260" w:lineRule="auto"/>
        <w:rPr>
          <w:sz w:val="20"/>
          <w:szCs w:val="20"/>
          <w:color w:val="auto"/>
        </w:rPr>
      </w:pPr>
      <w:r>
        <w:rPr>
          <w:rFonts w:ascii="Arial" w:cs="Arial" w:eastAsia="Arial" w:hAnsi="Arial"/>
          <w:sz w:val="17"/>
          <w:szCs w:val="17"/>
          <w:color w:val="auto"/>
        </w:rPr>
        <w:t>Asure Software, Inc., a Delaware corporation incorporated in 1985, provides web-based workforce management solutions that enable organizations to manage their office environments as well as their human resource and payroll processes effectively and efficiently. Asure develops, markets, sells and supports its offerings worldwide through its principal office in Austin, Texas and through additional offices in Warwick, Rhode Island; Framingham, Massachusetts; Traverse City, Michigan and Staines, United Kingdom.</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2 - SIGNIFICANT ACCOUNTING POLICIES</w:t>
      </w: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BASIS OF PRESENTATION</w:t>
      </w:r>
    </w:p>
    <w:p>
      <w:pPr>
        <w:spacing w:after="0" w:line="247" w:lineRule="exact"/>
        <w:rPr>
          <w:sz w:val="20"/>
          <w:szCs w:val="20"/>
          <w:color w:val="auto"/>
        </w:rPr>
      </w:pPr>
    </w:p>
    <w:p>
      <w:pPr>
        <w:jc w:val="both"/>
        <w:ind w:firstLine="616"/>
        <w:spacing w:after="0" w:line="281" w:lineRule="auto"/>
        <w:rPr>
          <w:sz w:val="20"/>
          <w:szCs w:val="20"/>
          <w:color w:val="auto"/>
        </w:rPr>
      </w:pPr>
      <w:r>
        <w:rPr>
          <w:rFonts w:ascii="Arial" w:cs="Arial" w:eastAsia="Arial" w:hAnsi="Arial"/>
          <w:sz w:val="16"/>
          <w:szCs w:val="16"/>
          <w:color w:val="auto"/>
        </w:rPr>
        <w:t>Asure has prepared its consolidated financial statements in accordance with U.S. generally accepted accounting principles and has included the accounts of its wholly owned subsidiaries. We have eliminated all significant intercompany transactions and balances in consolidation. Asure has made certain reclassifications to the prior year’s financial statements to conform to the current year presentation. As discussed in Note 8- Stockholders’ Equity, Asure has adjusted all prior periods have to reflect its 3-for-2 stock split as if it had occurred at the earliest date presented in these financial statements.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SEGMENTS</w:t>
      </w:r>
    </w:p>
    <w:p>
      <w:pPr>
        <w:spacing w:after="0" w:line="247" w:lineRule="exact"/>
        <w:rPr>
          <w:sz w:val="20"/>
          <w:szCs w:val="20"/>
          <w:color w:val="auto"/>
        </w:rPr>
      </w:pPr>
    </w:p>
    <w:p>
      <w:pPr>
        <w:jc w:val="both"/>
        <w:ind w:firstLine="616"/>
        <w:spacing w:after="0" w:line="264" w:lineRule="auto"/>
        <w:rPr>
          <w:sz w:val="20"/>
          <w:szCs w:val="20"/>
          <w:color w:val="auto"/>
        </w:rPr>
      </w:pPr>
      <w:r>
        <w:rPr>
          <w:rFonts w:ascii="Arial" w:cs="Arial" w:eastAsia="Arial" w:hAnsi="Arial"/>
          <w:sz w:val="17"/>
          <w:szCs w:val="17"/>
          <w:color w:val="auto"/>
        </w:rPr>
        <w:t>The chief operating decision maker is Asure’s Chief Executive Officer who reviews financial information presented on a company-wide basis. Accordingly, in accordance with Financial Accounting Standards Board (“FASB”) Accounting Standards Codification (“ASC”) 280, Asure determined that it has a single reporting segment and operating unit structure.</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USE OF ESTIMATES</w:t>
      </w:r>
    </w:p>
    <w:p>
      <w:pPr>
        <w:spacing w:after="0" w:line="247" w:lineRule="exact"/>
        <w:rPr>
          <w:sz w:val="20"/>
          <w:szCs w:val="20"/>
          <w:color w:val="auto"/>
        </w:rPr>
      </w:pPr>
    </w:p>
    <w:p>
      <w:pPr>
        <w:jc w:val="both"/>
        <w:ind w:firstLine="616"/>
        <w:spacing w:after="0" w:line="272" w:lineRule="auto"/>
        <w:rPr>
          <w:sz w:val="20"/>
          <w:szCs w:val="20"/>
          <w:color w:val="auto"/>
        </w:rPr>
      </w:pPr>
      <w:r>
        <w:rPr>
          <w:rFonts w:ascii="Arial" w:cs="Arial" w:eastAsia="Arial" w:hAnsi="Arial"/>
          <w:sz w:val="16"/>
          <w:szCs w:val="16"/>
          <w:color w:val="auto"/>
        </w:rPr>
        <w:t>Preparation of the consolidated financial statements in conformity with U.S. generally accepted accounting principles requires management to make estimates and assumptions that affect the reported amounts of the assets and liabilities and disclosure of contingent assets and liabilities at the date of the financial statements and the reported amounts of revenues and expenses during the reporting period. These estimates are subjective in nature and involve judgments that affect the reported amounts of assets and liabilities, the disclosure of contingent assets and liabilities at fiscal year end and the reported amounts of revenues and expenses during the fiscal year. The more significant estimates made by management include the valuation allowance for the gross deferred tax assets, useful lives of fixed assets, the determination of the fair value of its long-lived assets, and the fair value of assets acquired and liabilities assumed during acquisitions. Asure bases its estimates on historical experience and on various other assumptions its management believes reasonable under the given circumstances. These estimates could be materially different under different conditions and assumptions. Additionally, the actual amounts could differ from the estimates made. Management periodically evaluates estimates used in the preparation of the financial statements for continued reasonableness. Asure makes appropriate adjustments, if any, to the estimates used prospectively based upon such periodic evaluation.</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CONTINGENCIES</w:t>
      </w:r>
    </w:p>
    <w:p>
      <w:pPr>
        <w:spacing w:after="0" w:line="221" w:lineRule="exact"/>
        <w:rPr>
          <w:sz w:val="20"/>
          <w:szCs w:val="20"/>
          <w:color w:val="auto"/>
        </w:rPr>
      </w:pPr>
    </w:p>
    <w:p>
      <w:pPr>
        <w:jc w:val="both"/>
        <w:ind w:firstLine="616"/>
        <w:spacing w:after="0" w:line="277" w:lineRule="auto"/>
        <w:rPr>
          <w:sz w:val="20"/>
          <w:szCs w:val="20"/>
          <w:color w:val="auto"/>
        </w:rPr>
      </w:pPr>
      <w:r>
        <w:rPr>
          <w:rFonts w:ascii="Arial" w:cs="Arial" w:eastAsia="Arial" w:hAnsi="Arial"/>
          <w:sz w:val="17"/>
          <w:szCs w:val="17"/>
          <w:color w:val="auto"/>
        </w:rPr>
        <w:t>Asure was the defendant or plaintiff in various actions that arose in the normal course of business. As of December 31, 2012, we believe none of the pending legal proceedings to which we are a party are material to us.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LIQUIDITY</w:t>
      </w:r>
    </w:p>
    <w:p>
      <w:pPr>
        <w:spacing w:after="0" w:line="247" w:lineRule="exact"/>
        <w:rPr>
          <w:sz w:val="20"/>
          <w:szCs w:val="20"/>
          <w:color w:val="auto"/>
        </w:rPr>
      </w:pPr>
    </w:p>
    <w:p>
      <w:pPr>
        <w:jc w:val="both"/>
        <w:ind w:firstLine="616"/>
        <w:spacing w:after="0" w:line="276" w:lineRule="auto"/>
        <w:rPr>
          <w:sz w:val="20"/>
          <w:szCs w:val="20"/>
          <w:color w:val="auto"/>
        </w:rPr>
      </w:pPr>
      <w:r>
        <w:rPr>
          <w:rFonts w:ascii="Arial" w:cs="Arial" w:eastAsia="Arial" w:hAnsi="Arial"/>
          <w:sz w:val="16"/>
          <w:szCs w:val="16"/>
          <w:color w:val="auto"/>
        </w:rPr>
        <w:t>As of December 31, 2012, Asure’s principal source of liquidity consisted of $2,177 of current cash and cash equivalents as well as future cash generated from operations. Cash and cash equivalents were $1,067 at December 31, 2011. On March 29, 2013, we amended our Senior Note Payable that provided for updated financial covenants in exchange for an increase in the interest rate from 10% to 11.5%. See Note 5 for more information. We believe that we have and/or will generate sufficient cash for its short and long term needs, including meeting the requirements of the amended Senior Note Payable. We are continuing to reduce expenses and thus may utilize our cash balances in the short-term to reduce long-term costs. Based on current internal projections, Asure’s management expects that we can generate positive cash flows from operating activities in the next twelve months as well.</w:t>
      </w:r>
    </w:p>
    <w:p>
      <w:pPr>
        <w:spacing w:after="0" w:line="168" w:lineRule="exact"/>
        <w:rPr>
          <w:sz w:val="20"/>
          <w:szCs w:val="20"/>
          <w:color w:val="auto"/>
        </w:rPr>
      </w:pPr>
    </w:p>
    <w:p>
      <w:pPr>
        <w:jc w:val="both"/>
        <w:ind w:firstLine="616"/>
        <w:spacing w:after="0" w:line="264" w:lineRule="auto"/>
        <w:rPr>
          <w:sz w:val="20"/>
          <w:szCs w:val="20"/>
          <w:color w:val="auto"/>
        </w:rPr>
      </w:pPr>
      <w:r>
        <w:rPr>
          <w:rFonts w:ascii="Arial" w:cs="Arial" w:eastAsia="Arial" w:hAnsi="Arial"/>
          <w:sz w:val="17"/>
          <w:szCs w:val="17"/>
          <w:color w:val="auto"/>
        </w:rPr>
        <w:t>Management is focused on growing its existing software operations and exploring additional strategic acquisitions in the near future, although it has no agreements to do so at this time. In the short-term, Asure plans to fund any acquisitions with equity, available cash, future cash from operations, or cash or debt raised from outside sources.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ASURE SOFTWARE,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thousands, except share and per share data or otherwise noted)</w:t>
      </w:r>
    </w:p>
    <w:p>
      <w:pPr>
        <w:spacing w:after="0" w:line="204" w:lineRule="exact"/>
        <w:rPr>
          <w:sz w:val="20"/>
          <w:szCs w:val="20"/>
          <w:color w:val="auto"/>
        </w:rPr>
      </w:pPr>
    </w:p>
    <w:p>
      <w:pPr>
        <w:jc w:val="both"/>
        <w:ind w:firstLine="616"/>
        <w:spacing w:after="0" w:line="258" w:lineRule="auto"/>
        <w:rPr>
          <w:sz w:val="20"/>
          <w:szCs w:val="20"/>
          <w:color w:val="auto"/>
        </w:rPr>
      </w:pPr>
      <w:r>
        <w:rPr>
          <w:rFonts w:ascii="Arial" w:cs="Arial" w:eastAsia="Arial" w:hAnsi="Arial"/>
          <w:sz w:val="17"/>
          <w:szCs w:val="17"/>
          <w:color w:val="auto"/>
        </w:rPr>
        <w:t>We cannot assure that we can grow our cash balances or limit our cash consumption and thus maintain sufficient cash balances for our planned operations or future acquisitions. Future business demands may lead to cash utilization at levels greater than recently experienced. We may need to raise additional capital in the future, including making the required $2,000 principal payment to Deerpath Funding, LP. However, we cannot assure that we will be able to raise additional capital on acceptable terms, or at all. Management believes that we have sufficient capital and liquidity to fund and cultivate the growth of our current and future operations for at least the next 12 months and to maintain compliance with its revised debt.</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CASH AND CASH EQUIVALENTS</w:t>
      </w:r>
    </w:p>
    <w:p>
      <w:pPr>
        <w:spacing w:after="0" w:line="247" w:lineRule="exact"/>
        <w:rPr>
          <w:sz w:val="20"/>
          <w:szCs w:val="20"/>
          <w:color w:val="auto"/>
        </w:rPr>
      </w:pPr>
    </w:p>
    <w:p>
      <w:pPr>
        <w:ind w:left="620"/>
        <w:spacing w:after="0"/>
        <w:rPr>
          <w:sz w:val="20"/>
          <w:szCs w:val="20"/>
          <w:color w:val="auto"/>
        </w:rPr>
      </w:pPr>
      <w:r>
        <w:rPr>
          <w:rFonts w:ascii="Arial" w:cs="Arial" w:eastAsia="Arial" w:hAnsi="Arial"/>
          <w:sz w:val="16"/>
          <w:szCs w:val="16"/>
          <w:color w:val="auto"/>
        </w:rPr>
        <w:t>Cash and cash equivalents include cash deposits and highly liquid investments with an original maturity of three months or less when purchased.</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RESTRICTED CASH</w:t>
      </w:r>
    </w:p>
    <w:p>
      <w:pPr>
        <w:spacing w:after="0" w:line="247" w:lineRule="exact"/>
        <w:rPr>
          <w:sz w:val="20"/>
          <w:szCs w:val="20"/>
          <w:color w:val="auto"/>
        </w:rPr>
      </w:pPr>
    </w:p>
    <w:p>
      <w:pPr>
        <w:jc w:val="both"/>
        <w:ind w:firstLine="616"/>
        <w:spacing w:after="0" w:line="277" w:lineRule="auto"/>
        <w:rPr>
          <w:sz w:val="20"/>
          <w:szCs w:val="20"/>
          <w:color w:val="auto"/>
        </w:rPr>
      </w:pPr>
      <w:r>
        <w:rPr>
          <w:rFonts w:ascii="Arial" w:cs="Arial" w:eastAsia="Arial" w:hAnsi="Arial"/>
          <w:sz w:val="17"/>
          <w:szCs w:val="17"/>
          <w:color w:val="auto"/>
        </w:rPr>
        <w:t>Restricted cash represents a certificate of deposit held in a cash collateral account as required by JPMorgan Chase Bank N.A. (“Bank”), to secure our obligations under our credit card line with the Bank.</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FAIR VALUE OF FINANCIAL INSTRUMENTS</w:t>
      </w:r>
    </w:p>
    <w:p>
      <w:pPr>
        <w:spacing w:after="0" w:line="247" w:lineRule="exact"/>
        <w:rPr>
          <w:sz w:val="20"/>
          <w:szCs w:val="20"/>
          <w:color w:val="auto"/>
        </w:rPr>
      </w:pPr>
    </w:p>
    <w:p>
      <w:pPr>
        <w:jc w:val="both"/>
        <w:ind w:firstLine="616"/>
        <w:spacing w:after="0" w:line="310" w:lineRule="auto"/>
        <w:rPr>
          <w:sz w:val="20"/>
          <w:szCs w:val="20"/>
          <w:color w:val="auto"/>
        </w:rPr>
      </w:pPr>
      <w:r>
        <w:rPr>
          <w:rFonts w:ascii="Arial" w:cs="Arial" w:eastAsia="Arial" w:hAnsi="Arial"/>
          <w:sz w:val="16"/>
          <w:szCs w:val="16"/>
          <w:color w:val="auto"/>
        </w:rPr>
        <w:t>We apply the authoritative guidance on fair value measurements for financial assets and liabilities that are measured at fair value on a recurring basis, and non-financial assets and liabilities such as goodwill, intangible assets and property and equipment that are measured at fair value on a non-recurring basis.</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DERIVATIVE</w:t>
      </w:r>
    </w:p>
    <w:p>
      <w:pPr>
        <w:spacing w:after="0" w:line="221" w:lineRule="exact"/>
        <w:rPr>
          <w:sz w:val="20"/>
          <w:szCs w:val="20"/>
          <w:color w:val="auto"/>
        </w:rPr>
      </w:pPr>
    </w:p>
    <w:p>
      <w:pPr>
        <w:jc w:val="both"/>
        <w:ind w:firstLine="616"/>
        <w:spacing w:after="0" w:line="264" w:lineRule="auto"/>
        <w:rPr>
          <w:sz w:val="20"/>
          <w:szCs w:val="20"/>
          <w:color w:val="auto"/>
        </w:rPr>
      </w:pPr>
      <w:r>
        <w:rPr>
          <w:rFonts w:ascii="Arial" w:cs="Arial" w:eastAsia="Arial" w:hAnsi="Arial"/>
          <w:sz w:val="17"/>
          <w:szCs w:val="17"/>
          <w:color w:val="auto"/>
        </w:rPr>
        <w:t>Our convertible notes payable contained an embedded derivative instrument related to the conversion feature that we accounted for separately. We re-measured the fair values of these instruments for each reporting period and recorded a gain or loss for the change in fair value. The eliminated embedded derivative was settled during 2012. See Note 5 for further details.</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CONCENTRATION OF CREDIT RISK</w:t>
      </w:r>
    </w:p>
    <w:p>
      <w:pPr>
        <w:spacing w:after="0" w:line="247" w:lineRule="exact"/>
        <w:rPr>
          <w:sz w:val="20"/>
          <w:szCs w:val="20"/>
          <w:color w:val="auto"/>
        </w:rPr>
      </w:pPr>
    </w:p>
    <w:p>
      <w:pPr>
        <w:jc w:val="both"/>
        <w:ind w:firstLine="616"/>
        <w:spacing w:after="0" w:line="316" w:lineRule="auto"/>
        <w:rPr>
          <w:sz w:val="20"/>
          <w:szCs w:val="20"/>
          <w:color w:val="auto"/>
        </w:rPr>
      </w:pPr>
      <w:r>
        <w:rPr>
          <w:rFonts w:ascii="Arial" w:cs="Arial" w:eastAsia="Arial" w:hAnsi="Arial"/>
          <w:sz w:val="15"/>
          <w:szCs w:val="15"/>
          <w:color w:val="auto"/>
        </w:rPr>
        <w:t>We grant credit to customers in the ordinary course of business. We limit concentrations of credit risk related to our trade accounts receivable due to our large number of customers, including third-party resellers, and their dispersion across several industries and geographic areas. As noted above, we perform ongoing credit evaluations of our customers and maintain reserves for potential credit losses. We require advanced payments or secured transactions when deemed necessary.</w:t>
      </w:r>
    </w:p>
    <w:p>
      <w:pPr>
        <w:spacing w:after="0" w:line="166" w:lineRule="exact"/>
        <w:rPr>
          <w:sz w:val="20"/>
          <w:szCs w:val="20"/>
          <w:color w:val="auto"/>
        </w:rPr>
      </w:pPr>
    </w:p>
    <w:p>
      <w:pPr>
        <w:jc w:val="both"/>
        <w:ind w:firstLine="616"/>
        <w:spacing w:after="0" w:line="260" w:lineRule="auto"/>
        <w:rPr>
          <w:sz w:val="20"/>
          <w:szCs w:val="20"/>
          <w:color w:val="auto"/>
        </w:rPr>
      </w:pPr>
      <w:r>
        <w:rPr>
          <w:rFonts w:ascii="Arial" w:cs="Arial" w:eastAsia="Arial" w:hAnsi="Arial"/>
          <w:sz w:val="17"/>
          <w:szCs w:val="17"/>
          <w:color w:val="auto"/>
        </w:rPr>
        <w:t>Asure reviews potential customers’ credit ratings to evaluate customers’ ability to pay an obligation within the payment term, which is usually net thirty days. If we receive reasonable assurance of payment and know of no barriers to legally enforce the payment obligation, we may extend credit to customers. We place accounts on account “Credit Hold” if a placed order exceeds the credit limit or sooner if circumstances warrant. We follow our credit policy consistently and routinely monitor our delinquent accounts for indications of uncollectability.</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ALLOWANCE FOR DOUBTFUL ACCOUNTS</w:t>
      </w:r>
    </w:p>
    <w:p>
      <w:pPr>
        <w:spacing w:after="0" w:line="247" w:lineRule="exact"/>
        <w:rPr>
          <w:sz w:val="20"/>
          <w:szCs w:val="20"/>
          <w:color w:val="auto"/>
        </w:rPr>
      </w:pPr>
    </w:p>
    <w:p>
      <w:pPr>
        <w:jc w:val="both"/>
        <w:ind w:firstLine="616"/>
        <w:spacing w:after="0" w:line="278" w:lineRule="auto"/>
        <w:rPr>
          <w:sz w:val="20"/>
          <w:szCs w:val="20"/>
          <w:color w:val="auto"/>
        </w:rPr>
      </w:pPr>
      <w:r>
        <w:rPr>
          <w:rFonts w:ascii="Arial" w:cs="Arial" w:eastAsia="Arial" w:hAnsi="Arial"/>
          <w:sz w:val="16"/>
          <w:szCs w:val="16"/>
          <w:color w:val="auto"/>
        </w:rPr>
        <w:t>Asure maintains an allowance for doubtful accounts at an amount we estimate sufficient to provide adequate protection against losses resulting from extending credit to our customers. We base this allowance, in the aggregate, on historical collection experience, age of receivables and general economic conditions. The allowance for doubtful accounts also considers the need for specific customer reserves based on the customer’s payment experience, credit-worthiness and age of receivable balances. Asure’s bad debts have not been material and have been within management expectations. The allowance for doubtful accounts as of December 31, 2011 does not include $61 in Provision for Doubtful accounts from our acquisitions in the fourth quarter of 2011.</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ASURE SOFTWARE,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thousands, except share and per share data or otherwise noted)</w:t>
      </w:r>
    </w:p>
    <w:p>
      <w:pPr>
        <w:spacing w:after="0" w:line="230" w:lineRule="exact"/>
        <w:rPr>
          <w:sz w:val="20"/>
          <w:szCs w:val="20"/>
          <w:color w:val="auto"/>
        </w:rPr>
      </w:pPr>
    </w:p>
    <w:tbl>
      <w:tblPr>
        <w:tblLayout w:type="fixed"/>
        <w:tblInd w:w="620" w:type="dxa"/>
        <w:tblCellMar>
          <w:top w:w="0" w:type="dxa"/>
          <w:left w:w="0" w:type="dxa"/>
          <w:bottom w:w="0" w:type="dxa"/>
          <w:right w:w="0" w:type="dxa"/>
        </w:tblCellMar>
      </w:tblPr>
      <w:tr>
        <w:trPr>
          <w:trHeight w:val="216"/>
        </w:trPr>
        <w:tc>
          <w:tcPr>
            <w:tcW w:w="7080" w:type="dxa"/>
            <w:vAlign w:val="bottom"/>
            <w:gridSpan w:val="2"/>
          </w:tcPr>
          <w:p>
            <w:pPr>
              <w:spacing w:after="0"/>
              <w:rPr>
                <w:sz w:val="20"/>
                <w:szCs w:val="20"/>
                <w:color w:val="auto"/>
              </w:rPr>
            </w:pPr>
            <w:r>
              <w:rPr>
                <w:rFonts w:ascii="Arial" w:cs="Arial" w:eastAsia="Arial" w:hAnsi="Arial"/>
                <w:sz w:val="17"/>
                <w:szCs w:val="17"/>
                <w:color w:val="auto"/>
              </w:rPr>
              <w:t>The following table summarizes the annual changes in our allowance for doubtful accounts:</w:t>
            </w: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820" w:type="dxa"/>
            <w:vAlign w:val="bottom"/>
            <w:vMerge w:val="restart"/>
          </w:tcPr>
          <w:p>
            <w:pPr>
              <w:spacing w:after="0"/>
              <w:rPr>
                <w:sz w:val="17"/>
                <w:szCs w:val="17"/>
                <w:color w:val="auto"/>
              </w:rPr>
            </w:pPr>
          </w:p>
        </w:tc>
        <w:tc>
          <w:tcPr>
            <w:tcW w:w="6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20" w:type="dxa"/>
            <w:vAlign w:val="bottom"/>
            <w:vMerge w:val="continue"/>
          </w:tcPr>
          <w:p>
            <w:pPr>
              <w:spacing w:after="0"/>
              <w:rPr>
                <w:sz w:val="17"/>
                <w:szCs w:val="17"/>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7"/>
                <w:szCs w:val="17"/>
                <w:color w:val="auto"/>
              </w:rPr>
              <w:t>Balance at December 31, 2010</w:t>
            </w: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20" w:type="dxa"/>
            <w:vAlign w:val="bottom"/>
          </w:tcPr>
          <w:p>
            <w:pPr>
              <w:spacing w:after="0"/>
              <w:rPr>
                <w:sz w:val="17"/>
                <w:szCs w:val="17"/>
                <w:color w:val="auto"/>
              </w:rPr>
            </w:pPr>
          </w:p>
        </w:tc>
        <w:tc>
          <w:tcPr>
            <w:tcW w:w="6260" w:type="dxa"/>
            <w:vAlign w:val="bottom"/>
          </w:tcPr>
          <w:p>
            <w:pPr>
              <w:ind w:left="20"/>
              <w:spacing w:after="0"/>
              <w:rPr>
                <w:sz w:val="20"/>
                <w:szCs w:val="20"/>
                <w:color w:val="auto"/>
              </w:rPr>
            </w:pPr>
            <w:r>
              <w:rPr>
                <w:rFonts w:ascii="Arial" w:cs="Arial" w:eastAsia="Arial" w:hAnsi="Arial"/>
                <w:sz w:val="17"/>
                <w:szCs w:val="17"/>
                <w:color w:val="auto"/>
              </w:rPr>
              <w:t>Provision for doubtful accounts receivable</w:t>
            </w:r>
          </w:p>
        </w:tc>
        <w:tc>
          <w:tcPr>
            <w:tcW w:w="7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20" w:type="dxa"/>
            <w:vAlign w:val="bottom"/>
          </w:tcPr>
          <w:p>
            <w:pPr>
              <w:spacing w:after="0"/>
              <w:rPr>
                <w:sz w:val="17"/>
                <w:szCs w:val="17"/>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7"/>
                <w:szCs w:val="17"/>
                <w:color w:val="auto"/>
              </w:rPr>
              <w:t>Write-off of uncollectible accounts receivable</w:t>
            </w:r>
          </w:p>
        </w:tc>
        <w:tc>
          <w:tcPr>
            <w:tcW w:w="7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(37)</w:t>
            </w:r>
          </w:p>
        </w:tc>
        <w:tc>
          <w:tcPr>
            <w:tcW w:w="0" w:type="dxa"/>
            <w:vAlign w:val="bottom"/>
          </w:tcPr>
          <w:p>
            <w:pPr>
              <w:spacing w:after="0"/>
              <w:rPr>
                <w:sz w:val="1"/>
                <w:szCs w:val="1"/>
                <w:color w:val="auto"/>
              </w:rPr>
            </w:pPr>
          </w:p>
        </w:tc>
      </w:tr>
      <w:tr>
        <w:trPr>
          <w:trHeight w:val="26"/>
        </w:trPr>
        <w:tc>
          <w:tcPr>
            <w:tcW w:w="820" w:type="dxa"/>
            <w:vAlign w:val="bottom"/>
          </w:tcPr>
          <w:p>
            <w:pPr>
              <w:spacing w:after="0"/>
              <w:rPr>
                <w:sz w:val="2"/>
                <w:szCs w:val="2"/>
                <w:color w:val="auto"/>
              </w:rPr>
            </w:pPr>
          </w:p>
        </w:tc>
        <w:tc>
          <w:tcPr>
            <w:tcW w:w="62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820" w:type="dxa"/>
            <w:vAlign w:val="bottom"/>
          </w:tcPr>
          <w:p>
            <w:pPr>
              <w:spacing w:after="0"/>
              <w:rPr>
                <w:sz w:val="17"/>
                <w:szCs w:val="17"/>
                <w:color w:val="auto"/>
              </w:rPr>
            </w:pPr>
          </w:p>
        </w:tc>
        <w:tc>
          <w:tcPr>
            <w:tcW w:w="6260" w:type="dxa"/>
            <w:vAlign w:val="bottom"/>
          </w:tcPr>
          <w:p>
            <w:pPr>
              <w:ind w:left="20"/>
              <w:spacing w:after="0"/>
              <w:rPr>
                <w:sz w:val="20"/>
                <w:szCs w:val="20"/>
                <w:color w:val="auto"/>
              </w:rPr>
            </w:pPr>
            <w:r>
              <w:rPr>
                <w:rFonts w:ascii="Arial" w:cs="Arial" w:eastAsia="Arial" w:hAnsi="Arial"/>
                <w:sz w:val="17"/>
                <w:szCs w:val="17"/>
                <w:color w:val="auto"/>
              </w:rPr>
              <w:t>Balance at December 31, 2011</w:t>
            </w:r>
          </w:p>
        </w:tc>
        <w:tc>
          <w:tcPr>
            <w:tcW w:w="1380" w:type="dxa"/>
            <w:vAlign w:val="bottom"/>
            <w:gridSpan w:val="2"/>
          </w:tcPr>
          <w:p>
            <w:pPr>
              <w:jc w:val="right"/>
              <w:ind w:right="520"/>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19</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20" w:type="dxa"/>
            <w:vAlign w:val="bottom"/>
          </w:tcPr>
          <w:p>
            <w:pPr>
              <w:spacing w:after="0"/>
              <w:rPr>
                <w:sz w:val="17"/>
                <w:szCs w:val="17"/>
                <w:color w:val="auto"/>
              </w:rPr>
            </w:pPr>
          </w:p>
        </w:tc>
        <w:tc>
          <w:tcPr>
            <w:tcW w:w="6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Provision for doubtful accounts receivable</w:t>
            </w:r>
          </w:p>
        </w:tc>
        <w:tc>
          <w:tcPr>
            <w:tcW w:w="7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179</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20" w:type="dxa"/>
            <w:vAlign w:val="bottom"/>
          </w:tcPr>
          <w:p>
            <w:pPr>
              <w:spacing w:after="0"/>
              <w:rPr>
                <w:sz w:val="17"/>
                <w:szCs w:val="17"/>
                <w:color w:val="auto"/>
              </w:rPr>
            </w:pPr>
          </w:p>
        </w:tc>
        <w:tc>
          <w:tcPr>
            <w:tcW w:w="6260" w:type="dxa"/>
            <w:vAlign w:val="bottom"/>
          </w:tcPr>
          <w:p>
            <w:pPr>
              <w:spacing w:after="0"/>
              <w:rPr>
                <w:sz w:val="20"/>
                <w:szCs w:val="20"/>
                <w:color w:val="auto"/>
              </w:rPr>
            </w:pPr>
            <w:r>
              <w:rPr>
                <w:rFonts w:ascii="Arial" w:cs="Arial" w:eastAsia="Arial" w:hAnsi="Arial"/>
                <w:sz w:val="17"/>
                <w:szCs w:val="17"/>
                <w:color w:val="auto"/>
              </w:rPr>
              <w:t>Write-off of uncollectible accounts receivable</w:t>
            </w:r>
          </w:p>
        </w:tc>
        <w:tc>
          <w:tcPr>
            <w:tcW w:w="7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26"/>
        </w:trPr>
        <w:tc>
          <w:tcPr>
            <w:tcW w:w="820" w:type="dxa"/>
            <w:vAlign w:val="bottom"/>
          </w:tcPr>
          <w:p>
            <w:pPr>
              <w:spacing w:after="0"/>
              <w:rPr>
                <w:sz w:val="2"/>
                <w:szCs w:val="2"/>
                <w:color w:val="auto"/>
              </w:rPr>
            </w:pPr>
          </w:p>
        </w:tc>
        <w:tc>
          <w:tcPr>
            <w:tcW w:w="6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820" w:type="dxa"/>
            <w:vAlign w:val="bottom"/>
          </w:tcPr>
          <w:p>
            <w:pPr>
              <w:spacing w:after="0"/>
              <w:rPr>
                <w:sz w:val="19"/>
                <w:szCs w:val="19"/>
                <w:color w:val="auto"/>
              </w:rPr>
            </w:pPr>
          </w:p>
        </w:tc>
        <w:tc>
          <w:tcPr>
            <w:tcW w:w="6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at December 31, 2012</w:t>
            </w: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182</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62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INVENTORY</w:t>
      </w:r>
    </w:p>
    <w:p>
      <w:pPr>
        <w:spacing w:after="0" w:line="221" w:lineRule="exact"/>
        <w:rPr>
          <w:sz w:val="20"/>
          <w:szCs w:val="20"/>
          <w:color w:val="auto"/>
        </w:rPr>
      </w:pPr>
    </w:p>
    <w:p>
      <w:pPr>
        <w:jc w:val="both"/>
        <w:ind w:firstLine="616"/>
        <w:spacing w:after="0" w:line="260" w:lineRule="auto"/>
        <w:rPr>
          <w:sz w:val="20"/>
          <w:szCs w:val="20"/>
          <w:color w:val="auto"/>
        </w:rPr>
      </w:pPr>
      <w:r>
        <w:rPr>
          <w:rFonts w:ascii="Arial" w:cs="Arial" w:eastAsia="Arial" w:hAnsi="Arial"/>
          <w:sz w:val="17"/>
          <w:szCs w:val="17"/>
          <w:color w:val="auto"/>
        </w:rPr>
        <w:t>Inventory consists of finished goods and is stated at the lower of cost or market. Inventory includes purchased LCD panels and a full range of biometric and card recognition clocks that we sell as part of our workforce management solutions as well as our human resource and payroll processes to complement our NetSimplicity and time and labor management software products respectively. We routinely assess our on-hand inventory for timely identification and measurement of obsolete, slow-moving or otherwise impaired inventory.</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PROPERTY AND EQUIPMENT</w:t>
      </w:r>
    </w:p>
    <w:p>
      <w:pPr>
        <w:spacing w:after="0" w:line="247" w:lineRule="exact"/>
        <w:rPr>
          <w:sz w:val="20"/>
          <w:szCs w:val="20"/>
          <w:color w:val="auto"/>
        </w:rPr>
      </w:pPr>
    </w:p>
    <w:p>
      <w:pPr>
        <w:jc w:val="both"/>
        <w:ind w:firstLine="616"/>
        <w:spacing w:after="0" w:line="273" w:lineRule="auto"/>
        <w:rPr>
          <w:sz w:val="20"/>
          <w:szCs w:val="20"/>
          <w:color w:val="auto"/>
        </w:rPr>
      </w:pPr>
      <w:r>
        <w:rPr>
          <w:rFonts w:ascii="Arial" w:cs="Arial" w:eastAsia="Arial" w:hAnsi="Arial"/>
          <w:sz w:val="16"/>
          <w:szCs w:val="16"/>
          <w:color w:val="auto"/>
        </w:rPr>
        <w:t>We record property and equipment, including software, furniture and equipment, at cost less accumulated depreciation. We record internal support equipment, such as video teleconferencing equipment used internally for purposes such as sales and marketing demonstrations, Company meetings, testing, troubleshooting customer problems and engineering, at manufactured cost if we constructed the asset, or at cost, if purchased. We record depreciation using the straight-line method over the estimated economic useful lives of the assets, which range from two to five years. Property and equipment also includes leasehold improvements and capital leases, which we record at cost less accumulated amortization. We record amortization of leasehold improvements and capital leases using the straight-line method over the shorter of the lease term or over the life of the respective assets, as applicable. We recognize gains or losses related to retirements or disposition of fixed assets in the period incurred. We expense repair and maintenance costs as incurred. We periodically review the estimated economic useful lives of our property and equipment and make adjustments, if necessary, according to the latest information available.</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BUSINESS COMBINATIONS</w:t>
      </w:r>
    </w:p>
    <w:p>
      <w:pPr>
        <w:spacing w:after="0" w:line="247" w:lineRule="exact"/>
        <w:rPr>
          <w:sz w:val="20"/>
          <w:szCs w:val="20"/>
          <w:color w:val="auto"/>
        </w:rPr>
      </w:pPr>
    </w:p>
    <w:p>
      <w:pPr>
        <w:jc w:val="both"/>
        <w:ind w:firstLine="616"/>
        <w:spacing w:after="0" w:line="294" w:lineRule="auto"/>
        <w:rPr>
          <w:sz w:val="20"/>
          <w:szCs w:val="20"/>
          <w:color w:val="auto"/>
        </w:rPr>
      </w:pPr>
      <w:r>
        <w:rPr>
          <w:rFonts w:ascii="Arial" w:cs="Arial" w:eastAsia="Arial" w:hAnsi="Arial"/>
          <w:sz w:val="15"/>
          <w:szCs w:val="15"/>
          <w:color w:val="auto"/>
        </w:rPr>
        <w:t>Asure has accounted for our acquisitions using the acquisition method of accounting based on ASC 805—</w:t>
      </w:r>
      <w:r>
        <w:rPr>
          <w:rFonts w:ascii="Arial" w:cs="Arial" w:eastAsia="Arial" w:hAnsi="Arial"/>
          <w:sz w:val="15"/>
          <w:szCs w:val="15"/>
          <w:i w:val="1"/>
          <w:iCs w:val="1"/>
          <w:color w:val="auto"/>
        </w:rPr>
        <w:t>Business Combinations</w:t>
      </w:r>
      <w:r>
        <w:rPr>
          <w:rFonts w:ascii="Arial" w:cs="Arial" w:eastAsia="Arial" w:hAnsi="Arial"/>
          <w:sz w:val="15"/>
          <w:szCs w:val="15"/>
          <w:color w:val="auto"/>
        </w:rPr>
        <w:t>, which requires recognition and measurement of all identifiable assets acquired and liabilities assumed at their full fair value as of the date we obtain control. We have determined the fair value of assets acquired and liabilities assumed based upon our estimates of the fair values of assets acquired and liabilities assumed in the acquisitions. Goodwill represents the excess of the purchase price over the fair value of the net tangible and identifiable intangible assets acquired. While we have used our best estimates and assumptions to measure the fair value of the identifiable assets acquired and liabilities assumed at the acquisition date, our estimates are inherently uncertain and subject to refinement. As a result, during the measurement period, not to exceed one year from the date of acquisition, any changes in the estimated fair values of the net assets recorded for the acquisitions will result in an adjustment to goodwill. Upon the conclusion of the measurement period or final determination of the values of assets acquired or liabilities assumed, whichever comes first, we record any subsequent adjustments to our consolidated statements of comprehensive income (loss).</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ASURE SOFTWARE,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thousands, except share and per share data or otherwise noted)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GOODWILL AND OTHER INTANGIBLE ASSETS</w:t>
      </w:r>
    </w:p>
    <w:p>
      <w:pPr>
        <w:spacing w:after="0" w:line="247" w:lineRule="exact"/>
        <w:rPr>
          <w:sz w:val="20"/>
          <w:szCs w:val="20"/>
          <w:color w:val="auto"/>
        </w:rPr>
      </w:pPr>
    </w:p>
    <w:p>
      <w:pPr>
        <w:jc w:val="both"/>
        <w:ind w:firstLine="616"/>
        <w:spacing w:after="0" w:line="255" w:lineRule="auto"/>
        <w:rPr>
          <w:sz w:val="20"/>
          <w:szCs w:val="20"/>
          <w:color w:val="auto"/>
        </w:rPr>
      </w:pPr>
      <w:r>
        <w:rPr>
          <w:rFonts w:ascii="Arial" w:cs="Arial" w:eastAsia="Arial" w:hAnsi="Arial"/>
          <w:sz w:val="17"/>
          <w:szCs w:val="17"/>
          <w:color w:val="auto"/>
        </w:rPr>
        <w:t>Goodwill represents the excess of the purchase price in a business combination over the fair value of net tangible and intangible assets acquired in a business combination. We test goodwill for impairment on an annual basis in the fourth fiscal quarter of each year, and between annual tests if indicators of potential impairment exist, using a fair-value-based approach. There has been no impairment of goodwill for the periods presented. See Notes 4 and 6 for additional information regarding goodwill. We amortize intangible assets not considered to have an indefinite useful life using the straight-line method over their estimated period of benefit, which generally ranges from one to ten years. Each reporting period, we evaluate the estimated remaining useful life of intangible assets and assess whether events or changes in circumstances warrant a revision to the remaining period of amortization or indicate that impairment exists. We have not identified any impairments of finite-lived intangible assets during any of the periods presented. See Note 6 – Goodwill and Other Intangible Assets for additional information regarding intangible assets.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IMPAIRMENT OF LONG-LIVED ASSETS</w:t>
      </w:r>
    </w:p>
    <w:p>
      <w:pPr>
        <w:spacing w:after="0" w:line="247"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In accordance with ASC 350, Asure reviews and evaluates our long-lived assets for impairment whenever events or changes in circumstances indicate that we may not recover their net book value. When such factors and circumstances exist, including those noted above, we compare the assets’ carrying amounts against the estimated undiscounted cash flows to be generated by those assets over their estimated useful lives. If the carrying amounts are greater than the undiscounted cash flows, we estimate the fair values of those assets by discounting the projected cash flows. We record any excess of the carrying amounts over the fair values as impairments in that fiscal period. We have identified no impairment of long-lived assets during any of the periods presented.</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ORIGINAL ISSUE DISCOUNTS</w:t>
      </w:r>
    </w:p>
    <w:p>
      <w:pPr>
        <w:spacing w:after="0" w:line="247" w:lineRule="exact"/>
        <w:rPr>
          <w:sz w:val="20"/>
          <w:szCs w:val="20"/>
          <w:color w:val="auto"/>
        </w:rPr>
      </w:pPr>
    </w:p>
    <w:p>
      <w:pPr>
        <w:jc w:val="both"/>
        <w:ind w:firstLine="616"/>
        <w:spacing w:after="0" w:line="258" w:lineRule="auto"/>
        <w:rPr>
          <w:sz w:val="20"/>
          <w:szCs w:val="20"/>
          <w:color w:val="auto"/>
        </w:rPr>
      </w:pPr>
      <w:r>
        <w:rPr>
          <w:rFonts w:ascii="Arial" w:cs="Arial" w:eastAsia="Arial" w:hAnsi="Arial"/>
          <w:sz w:val="17"/>
          <w:szCs w:val="17"/>
          <w:color w:val="auto"/>
        </w:rPr>
        <w:t>We recognize original issue discounts, when incurred on the issuance of debt, as a reduction of the current loan obligations that we amortize to interest expense over the life of the related indebtedness using the effective interest rate method. We record the amortization as interest expense – amortization of OID and derivative mark-to-market in the Consolidated Statements of Comprehensive Income (Loss). At the time of any repurchases or retirements of related debt, we will write off the remaining amount of net original issue discounts and include them in the calculation of gain/(loss) on retirement in the consolidated statements of comprehensive income (loss).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REVENUE RECOGNITION</w:t>
      </w:r>
    </w:p>
    <w:p>
      <w:pPr>
        <w:spacing w:after="0" w:line="247" w:lineRule="exact"/>
        <w:rPr>
          <w:sz w:val="20"/>
          <w:szCs w:val="20"/>
          <w:color w:val="auto"/>
        </w:rPr>
      </w:pPr>
    </w:p>
    <w:p>
      <w:pPr>
        <w:jc w:val="both"/>
        <w:ind w:firstLine="616"/>
        <w:spacing w:after="0" w:line="278" w:lineRule="auto"/>
        <w:rPr>
          <w:sz w:val="20"/>
          <w:szCs w:val="20"/>
          <w:color w:val="auto"/>
        </w:rPr>
      </w:pPr>
      <w:r>
        <w:rPr>
          <w:rFonts w:ascii="Arial" w:cs="Arial" w:eastAsia="Arial" w:hAnsi="Arial"/>
          <w:sz w:val="16"/>
          <w:szCs w:val="16"/>
          <w:color w:val="auto"/>
        </w:rPr>
        <w:t xml:space="preserve">We recognize revenue when persuasive evidence of an arrangement exists, delivery has occurred, the fee is fixed or determinable and collectability is probable. We recognize software revenue in accordance with FASB ASC 985-605, </w:t>
      </w:r>
      <w:r>
        <w:rPr>
          <w:rFonts w:ascii="Arial" w:cs="Arial" w:eastAsia="Arial" w:hAnsi="Arial"/>
          <w:sz w:val="16"/>
          <w:szCs w:val="16"/>
          <w:i w:val="1"/>
          <w:iCs w:val="1"/>
          <w:color w:val="auto"/>
        </w:rPr>
        <w:t>Revenue Recognition</w:t>
      </w:r>
      <w:r>
        <w:rPr>
          <w:rFonts w:ascii="Arial" w:cs="Arial" w:eastAsia="Arial" w:hAnsi="Arial"/>
          <w:sz w:val="16"/>
          <w:szCs w:val="16"/>
          <w:color w:val="auto"/>
        </w:rPr>
        <w:t>. Our revenues consist of software license, software subscription and service fees. We earn revenue from the software element through the licensing or right to use our software and from the sale of specific software products. We earn service fee income through the sale of maintenance and technical support, training and installation. We recognize revenue from the sale of hardware devices upon shipment of the hardware. Asure also sells multiple elements within a single sale.</w:t>
      </w:r>
    </w:p>
    <w:p>
      <w:pPr>
        <w:spacing w:after="0" w:line="192" w:lineRule="exact"/>
        <w:rPr>
          <w:sz w:val="20"/>
          <w:szCs w:val="20"/>
          <w:color w:val="auto"/>
        </w:rPr>
      </w:pPr>
    </w:p>
    <w:p>
      <w:pPr>
        <w:jc w:val="both"/>
        <w:ind w:firstLine="616"/>
        <w:spacing w:after="0" w:line="277" w:lineRule="auto"/>
        <w:rPr>
          <w:sz w:val="20"/>
          <w:szCs w:val="20"/>
          <w:color w:val="auto"/>
        </w:rPr>
      </w:pPr>
      <w:r>
        <w:rPr>
          <w:rFonts w:ascii="Arial" w:cs="Arial" w:eastAsia="Arial" w:hAnsi="Arial"/>
          <w:sz w:val="17"/>
          <w:szCs w:val="17"/>
          <w:color w:val="auto"/>
        </w:rPr>
        <w:t>Since we currently offer software both as a perpetual license and as software as a service, revenue recognition varies based on which of these forms of software the customer purchases.</w:t>
      </w:r>
    </w:p>
    <w:p>
      <w:pPr>
        <w:spacing w:after="0" w:line="165" w:lineRule="exact"/>
        <w:rPr>
          <w:sz w:val="20"/>
          <w:szCs w:val="20"/>
          <w:color w:val="auto"/>
        </w:rPr>
      </w:pPr>
    </w:p>
    <w:p>
      <w:pPr>
        <w:jc w:val="both"/>
        <w:ind w:firstLine="616"/>
        <w:spacing w:after="0" w:line="273" w:lineRule="auto"/>
        <w:rPr>
          <w:sz w:val="20"/>
          <w:szCs w:val="20"/>
          <w:color w:val="auto"/>
        </w:rPr>
      </w:pPr>
      <w:r>
        <w:rPr>
          <w:rFonts w:ascii="Arial" w:cs="Arial" w:eastAsia="Arial" w:hAnsi="Arial"/>
          <w:sz w:val="16"/>
          <w:szCs w:val="16"/>
          <w:color w:val="auto"/>
        </w:rPr>
        <w:t>When we sell software licenses in a multiple element arrangement and vendor-specific objective evidence (“VSOE”) of fair value is available for the undelivered element, we generally recognize sales revenue on the date we ship the product, using the residual method, and record a portion of revenue as deferred (unearned) due to the applicable undelivered elements. We base VSOE of fair value for our maintenance, training and installation services on the prices charged for the maintenance and services when sold separately. Undelivered elements for our multiple element arrangements with a customer are generally restricted to post contract support, training and install. We base the amount of revenue allocated to these undelivered elements on the VSOE of fair value for those undelivered elements. We recognize deferred revenue due to undelivered elements ratably on a straight-line basis over the service period (typically one year) or when we complete the service. When VSOE of fair value is not available for the undelivered element of a multiple element arrangement, we recognize sales revenue ratably, on a straight-line basis over the service period of the undelivered element. Our training and installation services are not essential to the functionality of our products, as third parties or the customers themselves can provide these services.</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ASURE SOFTWARE,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thousands, except share and per share data or otherwise noted)</w:t>
      </w:r>
    </w:p>
    <w:p>
      <w:pPr>
        <w:spacing w:after="0" w:line="230" w:lineRule="exact"/>
        <w:rPr>
          <w:sz w:val="20"/>
          <w:szCs w:val="20"/>
          <w:color w:val="auto"/>
        </w:rPr>
      </w:pPr>
    </w:p>
    <w:p>
      <w:pPr>
        <w:jc w:val="both"/>
        <w:ind w:firstLine="616"/>
        <w:spacing w:after="0" w:line="301" w:lineRule="auto"/>
        <w:rPr>
          <w:sz w:val="20"/>
          <w:szCs w:val="20"/>
          <w:color w:val="auto"/>
        </w:rPr>
      </w:pPr>
      <w:r>
        <w:rPr>
          <w:rFonts w:ascii="Arial" w:cs="Arial" w:eastAsia="Arial" w:hAnsi="Arial"/>
          <w:sz w:val="15"/>
          <w:szCs w:val="15"/>
          <w:color w:val="auto"/>
        </w:rPr>
        <w:t>We also sell software subscriptions and may at times sell related setup, implementation and professional services in the same arrangement. Setup and implementation services typically occur at start of the software subscription period, while certain professional services may not occur several months later depending on the nature of the services and the customer requirements. We allocate the value of the arrangement to each separate unit of accounting based on VSOE of selling price, when it exists, third-party evidence of selling prices for like services or estimated selling price. We recognize software subscription service revenues pro-rata over the life of the software subscription contract, while we recognize the related setup, implementation or professional services revenues upon completion.</w:t>
      </w:r>
    </w:p>
    <w:p>
      <w:pPr>
        <w:spacing w:after="0" w:line="150" w:lineRule="exact"/>
        <w:rPr>
          <w:sz w:val="20"/>
          <w:szCs w:val="20"/>
          <w:color w:val="auto"/>
        </w:rPr>
      </w:pPr>
    </w:p>
    <w:p>
      <w:pPr>
        <w:jc w:val="both"/>
        <w:ind w:firstLine="616"/>
        <w:spacing w:after="0" w:line="277" w:lineRule="auto"/>
        <w:rPr>
          <w:sz w:val="20"/>
          <w:szCs w:val="20"/>
          <w:color w:val="auto"/>
        </w:rPr>
      </w:pPr>
      <w:r>
        <w:rPr>
          <w:rFonts w:ascii="Arial" w:cs="Arial" w:eastAsia="Arial" w:hAnsi="Arial"/>
          <w:sz w:val="17"/>
          <w:szCs w:val="17"/>
          <w:color w:val="auto"/>
        </w:rPr>
        <w:t>We do not recognize revenue for agreements with rights of return, refundable fees, cancellation rights or acceptance clauses until such rights of return, refund or cancellation have expired or acceptance has occurred. Our arrangements with resellers do not allow for any rights of return.</w:t>
      </w:r>
    </w:p>
    <w:p>
      <w:pPr>
        <w:spacing w:after="0" w:line="165" w:lineRule="exact"/>
        <w:rPr>
          <w:sz w:val="20"/>
          <w:szCs w:val="20"/>
          <w:color w:val="auto"/>
        </w:rPr>
      </w:pPr>
    </w:p>
    <w:p>
      <w:pPr>
        <w:jc w:val="both"/>
        <w:ind w:firstLine="616"/>
        <w:spacing w:after="0" w:line="264" w:lineRule="auto"/>
        <w:rPr>
          <w:sz w:val="20"/>
          <w:szCs w:val="20"/>
          <w:color w:val="auto"/>
        </w:rPr>
      </w:pPr>
      <w:r>
        <w:rPr>
          <w:rFonts w:ascii="Arial" w:cs="Arial" w:eastAsia="Arial" w:hAnsi="Arial"/>
          <w:sz w:val="17"/>
          <w:szCs w:val="17"/>
          <w:color w:val="auto"/>
        </w:rPr>
        <w:t>Deferred revenue includes amounts received from customers in excess of revenue recognized, and is comprised of deferred maintenance, service and other revenue. We recognize deferred revenues in our Consolidated Statements of Comprehensive Income (Loss) when we complete the service and over the terms of the arrangements, primarily ranging from one to three years.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ADVERTISING COSTS</w:t>
      </w:r>
    </w:p>
    <w:p>
      <w:pPr>
        <w:spacing w:after="0" w:line="247" w:lineRule="exact"/>
        <w:rPr>
          <w:sz w:val="20"/>
          <w:szCs w:val="20"/>
          <w:color w:val="auto"/>
        </w:rPr>
      </w:pPr>
    </w:p>
    <w:p>
      <w:pPr>
        <w:jc w:val="both"/>
        <w:ind w:firstLine="616"/>
        <w:spacing w:after="0" w:line="277" w:lineRule="auto"/>
        <w:rPr>
          <w:sz w:val="20"/>
          <w:szCs w:val="20"/>
          <w:color w:val="auto"/>
        </w:rPr>
      </w:pPr>
      <w:r>
        <w:rPr>
          <w:rFonts w:ascii="Arial" w:cs="Arial" w:eastAsia="Arial" w:hAnsi="Arial"/>
          <w:sz w:val="17"/>
          <w:szCs w:val="17"/>
          <w:color w:val="auto"/>
        </w:rPr>
        <w:t>We expense advertising costs as we incur them. Advertising expenses were $16 and $3 for 2012 and 2011, respectively. We recorded these expenses as part of sales and marketing expenses on our Consolidated Statements of Comprehensive Income (Loss).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LEASE OBLIGATIONS</w:t>
      </w:r>
    </w:p>
    <w:p>
      <w:pPr>
        <w:spacing w:after="0" w:line="247" w:lineRule="exact"/>
        <w:rPr>
          <w:sz w:val="20"/>
          <w:szCs w:val="20"/>
          <w:color w:val="auto"/>
        </w:rPr>
      </w:pPr>
    </w:p>
    <w:p>
      <w:pPr>
        <w:jc w:val="both"/>
        <w:ind w:firstLine="616"/>
        <w:spacing w:after="0" w:line="258" w:lineRule="auto"/>
        <w:rPr>
          <w:sz w:val="20"/>
          <w:szCs w:val="20"/>
          <w:color w:val="auto"/>
        </w:rPr>
      </w:pPr>
      <w:r>
        <w:rPr>
          <w:rFonts w:ascii="Arial" w:cs="Arial" w:eastAsia="Arial" w:hAnsi="Arial"/>
          <w:sz w:val="17"/>
          <w:szCs w:val="17"/>
          <w:color w:val="auto"/>
        </w:rPr>
        <w:t>Asure recognizes its lease obligations with scheduled rent increases over the term of the lease on a straight-line basis. Accordingly, we charge the total amount of base rentals over the term of our leases to expense on a straight-line method, recording the amount of rental expense in excess of lease payments as a deferred rent liability. As of December 31, 2012 and 2011, we had deferred rent liabilities of $0 and $5, respectively, which we classified as long-term liabilities. We also recognize capital lease obligations and record the underlying assets and liabilities on our Consolidated Balance Sheets. As of December 31, 2012 and 2011, Asure had $389 and $66 in capital lease obligations, respectively.</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FOREIGN CURRENCY TRANSLATION</w:t>
      </w:r>
    </w:p>
    <w:p>
      <w:pPr>
        <w:spacing w:after="0" w:line="247" w:lineRule="exact"/>
        <w:rPr>
          <w:sz w:val="20"/>
          <w:szCs w:val="20"/>
          <w:color w:val="auto"/>
        </w:rPr>
      </w:pPr>
    </w:p>
    <w:p>
      <w:pPr>
        <w:jc w:val="both"/>
        <w:ind w:firstLine="616"/>
        <w:spacing w:after="0" w:line="278" w:lineRule="auto"/>
        <w:rPr>
          <w:sz w:val="20"/>
          <w:szCs w:val="20"/>
          <w:color w:val="auto"/>
        </w:rPr>
      </w:pPr>
      <w:r>
        <w:rPr>
          <w:rFonts w:ascii="Arial" w:cs="Arial" w:eastAsia="Arial" w:hAnsi="Arial"/>
          <w:sz w:val="16"/>
          <w:szCs w:val="16"/>
          <w:color w:val="auto"/>
        </w:rPr>
        <w:t>We measure the financial statements of our foreign subsidiaries using the local currency as the functional currency. Accordingly, we translate the assets and liabilities of these foreign subsidiaries at current exchange rates at each balance sheet date. We record translation adjustments arising from the translation of net assets located outside of the United States into United States dollars in accumulated other comprehensive income (loss) as a separate component of stockholders’ equity. We translate income and expenses from the foreign subsidiaries using monthly average exchange rates. We include net gains and losses resulting from foreign exchange transactions in other income and expenses, which were not significant in 2012 and 2011.</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INCOME TAXES</w:t>
      </w:r>
    </w:p>
    <w:p>
      <w:pPr>
        <w:spacing w:after="0" w:line="247" w:lineRule="exact"/>
        <w:rPr>
          <w:sz w:val="20"/>
          <w:szCs w:val="20"/>
          <w:color w:val="auto"/>
        </w:rPr>
      </w:pPr>
    </w:p>
    <w:p>
      <w:pPr>
        <w:jc w:val="both"/>
        <w:ind w:firstLine="616"/>
        <w:spacing w:after="0" w:line="258" w:lineRule="auto"/>
        <w:rPr>
          <w:sz w:val="20"/>
          <w:szCs w:val="20"/>
          <w:color w:val="auto"/>
        </w:rPr>
      </w:pPr>
      <w:r>
        <w:rPr>
          <w:rFonts w:ascii="Arial" w:cs="Arial" w:eastAsia="Arial" w:hAnsi="Arial"/>
          <w:sz w:val="17"/>
          <w:szCs w:val="17"/>
          <w:color w:val="auto"/>
        </w:rPr>
        <w:t xml:space="preserve">We account for income taxes using the liability method under FASB ASC 740, </w:t>
      </w:r>
      <w:r>
        <w:rPr>
          <w:rFonts w:ascii="Arial" w:cs="Arial" w:eastAsia="Arial" w:hAnsi="Arial"/>
          <w:sz w:val="17"/>
          <w:szCs w:val="17"/>
          <w:i w:val="1"/>
          <w:iCs w:val="1"/>
          <w:color w:val="auto"/>
        </w:rPr>
        <w:t>“Accounting for Income Taxes,”</w:t>
      </w:r>
      <w:r>
        <w:rPr>
          <w:rFonts w:ascii="Arial" w:cs="Arial" w:eastAsia="Arial" w:hAnsi="Arial"/>
          <w:sz w:val="17"/>
          <w:szCs w:val="17"/>
          <w:color w:val="auto"/>
        </w:rPr>
        <w:t xml:space="preserve"> which requires recognition of deferred tax assets and liabilities for the expected future tax consequences of events included in the financial statements. Under the liability method, we determine deferred tax assets and liabilities based on the difference between the financial statement and tax bases of assets and liabilities using enacted tax rates in effect in the years in which we expect the differences to reverse. We reduce deferred tax assets by a valuation allowance when it is more likely than not that we will not realize some component or all of the deferred tax assets.</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ASURE SOFTWARE,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thousands, except share and per share data or otherwise noted)</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SHARE BASED COMPENSATION</w:t>
      </w:r>
    </w:p>
    <w:p>
      <w:pPr>
        <w:spacing w:after="0" w:line="221" w:lineRule="exact"/>
        <w:rPr>
          <w:sz w:val="20"/>
          <w:szCs w:val="20"/>
          <w:color w:val="auto"/>
        </w:rPr>
      </w:pPr>
    </w:p>
    <w:p>
      <w:pPr>
        <w:jc w:val="both"/>
        <w:ind w:firstLine="616"/>
        <w:spacing w:after="0" w:line="260" w:lineRule="auto"/>
        <w:rPr>
          <w:sz w:val="20"/>
          <w:szCs w:val="20"/>
          <w:color w:val="auto"/>
        </w:rPr>
      </w:pPr>
      <w:r>
        <w:rPr>
          <w:rFonts w:ascii="Arial" w:cs="Arial" w:eastAsia="Arial" w:hAnsi="Arial"/>
          <w:sz w:val="17"/>
          <w:szCs w:val="17"/>
          <w:color w:val="auto"/>
        </w:rPr>
        <w:t>We adopted Statement ASC 718 effective August 1, 2005, using the modified prospective application transition method. The modified prospective application method requires that companies recognize compensation expense on stock-based payment awards that are modified, repurchased or cancelled after the effective date. We estimate the fair value of each award granted from our stock option plans at the date of grant using the Black-Scholes option pricing model. During 2012 and 2011, we granted 260,000 and 470,000 stock options, respectively.</w:t>
      </w:r>
    </w:p>
    <w:p>
      <w:pPr>
        <w:spacing w:after="0" w:line="205" w:lineRule="exact"/>
        <w:rPr>
          <w:sz w:val="20"/>
          <w:szCs w:val="20"/>
          <w:color w:val="auto"/>
        </w:rPr>
      </w:pPr>
    </w:p>
    <w:p>
      <w:pPr>
        <w:jc w:val="both"/>
        <w:ind w:firstLine="616"/>
        <w:spacing w:after="0" w:line="277" w:lineRule="auto"/>
        <w:rPr>
          <w:sz w:val="20"/>
          <w:szCs w:val="20"/>
          <w:color w:val="auto"/>
        </w:rPr>
      </w:pPr>
      <w:r>
        <w:rPr>
          <w:rFonts w:ascii="Arial" w:cs="Arial" w:eastAsia="Arial" w:hAnsi="Arial"/>
          <w:sz w:val="17"/>
          <w:szCs w:val="17"/>
          <w:color w:val="auto"/>
        </w:rPr>
        <w:t>As of December 31, 2012, we expect to recognize $315 of unrecognized compensation costs related to non-vested option grants over the course of the following three years.</w:t>
      </w:r>
    </w:p>
    <w:p>
      <w:pPr>
        <w:spacing w:after="0" w:line="165" w:lineRule="exact"/>
        <w:rPr>
          <w:sz w:val="20"/>
          <w:szCs w:val="20"/>
          <w:color w:val="auto"/>
        </w:rPr>
      </w:pPr>
    </w:p>
    <w:p>
      <w:pPr>
        <w:ind w:left="620"/>
        <w:spacing w:after="0"/>
        <w:rPr>
          <w:sz w:val="20"/>
          <w:szCs w:val="20"/>
          <w:color w:val="auto"/>
        </w:rPr>
      </w:pPr>
      <w:r>
        <w:rPr>
          <w:rFonts w:ascii="Arial" w:cs="Arial" w:eastAsia="Arial" w:hAnsi="Arial"/>
          <w:sz w:val="16"/>
          <w:szCs w:val="16"/>
          <w:color w:val="auto"/>
        </w:rPr>
        <w:t>We issued 30, 000 shares of common stock related to exercises of stock options granted from our stock option plans for 2012 and 2,000 shares in 2011.</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RECENT ACCOUNTING PRONOUNCEMENTS</w:t>
      </w:r>
    </w:p>
    <w:p>
      <w:pPr>
        <w:spacing w:after="0" w:line="221" w:lineRule="exact"/>
        <w:rPr>
          <w:sz w:val="20"/>
          <w:szCs w:val="20"/>
          <w:color w:val="auto"/>
        </w:rPr>
      </w:pPr>
    </w:p>
    <w:p>
      <w:pPr>
        <w:jc w:val="both"/>
        <w:ind w:firstLine="616"/>
        <w:spacing w:after="0" w:line="274" w:lineRule="auto"/>
        <w:rPr>
          <w:sz w:val="20"/>
          <w:szCs w:val="20"/>
          <w:color w:val="auto"/>
        </w:rPr>
      </w:pPr>
      <w:r>
        <w:rPr>
          <w:rFonts w:ascii="Arial" w:cs="Arial" w:eastAsia="Arial" w:hAnsi="Arial"/>
          <w:sz w:val="16"/>
          <w:szCs w:val="16"/>
          <w:color w:val="auto"/>
        </w:rPr>
        <w:t xml:space="preserve">In May 2011, the FASB issued ASU 2011-04 (Topic 220): </w:t>
      </w:r>
      <w:r>
        <w:rPr>
          <w:rFonts w:ascii="Arial" w:cs="Arial" w:eastAsia="Arial" w:hAnsi="Arial"/>
          <w:sz w:val="16"/>
          <w:szCs w:val="16"/>
          <w:i w:val="1"/>
          <w:iCs w:val="1"/>
          <w:color w:val="auto"/>
        </w:rPr>
        <w:t>Fair Value Measurement</w:t>
      </w:r>
      <w:r>
        <w:rPr>
          <w:rFonts w:ascii="Arial" w:cs="Arial" w:eastAsia="Arial" w:hAnsi="Arial"/>
          <w:sz w:val="16"/>
          <w:szCs w:val="16"/>
          <w:color w:val="auto"/>
        </w:rPr>
        <w:t>. The new guidance creates a uniform framework for applying fair value measurement principles. It eliminates differences between GAAP and International Financial Reporting Standards issued by the International Accounting Standards Board. New disclosures required by the guidance include: quantitative information about the significant unobservable inputs used for Level 3 measurements; a qualitative discussion about the sensitivity of recurring Level 3 measurements to changes in the unobservable inputs disclosed, including the interrelationship between inputs; and a description of the company’s valuation processes. This guidance is effective for interim and annual periods beginning after December 15, 2011, and all amendments will be applied prospectively with any changes in measurements recognized in income in the period of adoption. The adoption of these standards did not materially affect our financial position or results of operations.</w:t>
      </w:r>
    </w:p>
    <w:p>
      <w:pPr>
        <w:spacing w:after="0" w:line="198" w:lineRule="exact"/>
        <w:rPr>
          <w:sz w:val="20"/>
          <w:szCs w:val="20"/>
          <w:color w:val="auto"/>
        </w:rPr>
      </w:pPr>
    </w:p>
    <w:p>
      <w:pPr>
        <w:jc w:val="both"/>
        <w:ind w:firstLine="616"/>
        <w:spacing w:after="0" w:line="256" w:lineRule="auto"/>
        <w:rPr>
          <w:sz w:val="20"/>
          <w:szCs w:val="20"/>
          <w:color w:val="auto"/>
        </w:rPr>
      </w:pPr>
      <w:r>
        <w:rPr>
          <w:rFonts w:ascii="Arial" w:cs="Arial" w:eastAsia="Arial" w:hAnsi="Arial"/>
          <w:sz w:val="17"/>
          <w:szCs w:val="17"/>
          <w:color w:val="auto"/>
        </w:rPr>
        <w:t xml:space="preserve">In September, 2011, the FASB issued ASU 2011-05 (Topic 820): </w:t>
      </w:r>
      <w:r>
        <w:rPr>
          <w:rFonts w:ascii="Arial" w:cs="Arial" w:eastAsia="Arial" w:hAnsi="Arial"/>
          <w:sz w:val="17"/>
          <w:szCs w:val="17"/>
          <w:i w:val="1"/>
          <w:iCs w:val="1"/>
          <w:color w:val="auto"/>
        </w:rPr>
        <w:t>Comprehensive Income</w:t>
      </w:r>
      <w:r>
        <w:rPr>
          <w:rFonts w:ascii="Arial" w:cs="Arial" w:eastAsia="Arial" w:hAnsi="Arial"/>
          <w:sz w:val="17"/>
          <w:szCs w:val="17"/>
          <w:color w:val="auto"/>
        </w:rPr>
        <w:t xml:space="preserve"> . The new guidance amends disclosure requirements for the presentation of comprehensive income. The amended guidance eliminates the option to present components of other comprehensive income (“OCI”) as part of the statement of changes in shareholders’ equity. Companies must present all changes in OCI either in a single continuous statement of comprehensive income or in two separate but consecutive financial statements. The guidance does not change the items that companies report in OCI. This guidance is effective for fiscal years and interim reporting periods within those years beginning after December 15, 2011 with early adoption permitted. The adoption of this guidance did not materially impact our consolidated financial position, results of operations or cash flows and only impacts the presentation of OCI in the consolidated financial statements. We adopted these standards in the first quarter of fiscal 2012.</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ASURE SOFTWARE,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thousands, except share and per share data or otherwise noted)</w:t>
      </w:r>
    </w:p>
    <w:p>
      <w:pPr>
        <w:spacing w:after="0" w:line="230" w:lineRule="exact"/>
        <w:rPr>
          <w:sz w:val="20"/>
          <w:szCs w:val="20"/>
          <w:color w:val="auto"/>
        </w:rPr>
      </w:pPr>
    </w:p>
    <w:p>
      <w:pPr>
        <w:jc w:val="both"/>
        <w:ind w:firstLine="616"/>
        <w:spacing w:after="0" w:line="257" w:lineRule="auto"/>
        <w:rPr>
          <w:sz w:val="20"/>
          <w:szCs w:val="20"/>
          <w:color w:val="auto"/>
        </w:rPr>
      </w:pPr>
      <w:r>
        <w:rPr>
          <w:rFonts w:ascii="Arial" w:cs="Arial" w:eastAsia="Arial" w:hAnsi="Arial"/>
          <w:sz w:val="17"/>
          <w:szCs w:val="17"/>
          <w:color w:val="auto"/>
        </w:rPr>
        <w:t>In September 2011, the FASB issued ASU No. 2011-08 amending accounting related to goodwill impairment testing. ASU 2011-08 allows an entity to first assess qualitative factors to determine whether it is necessary to perform the two-step quantitative goodwill impairment test. Under these amendments, an entity is not required to calculate the fair value of a reporting unit unless the entity determines, based on a qualitative assessment, that it is more likely than not that its fair value is less than its carrying amount. The amendments include a number of events and circumstances for an entity to consider in conducting the qualitative assessment. ASU 2011-08 is effective for impairment tests performed for fiscal years beginning after December 15, 2011. We have not applied the optional requirements of ASU 2011-08 in our goodwill impairment testing.</w:t>
      </w:r>
    </w:p>
    <w:p>
      <w:pPr>
        <w:spacing w:after="0" w:line="182" w:lineRule="exact"/>
        <w:rPr>
          <w:sz w:val="20"/>
          <w:szCs w:val="20"/>
          <w:color w:val="auto"/>
        </w:rPr>
      </w:pPr>
    </w:p>
    <w:p>
      <w:pPr>
        <w:jc w:val="both"/>
        <w:ind w:firstLine="616"/>
        <w:spacing w:after="0" w:line="257" w:lineRule="auto"/>
        <w:rPr>
          <w:sz w:val="20"/>
          <w:szCs w:val="20"/>
          <w:color w:val="auto"/>
        </w:rPr>
      </w:pPr>
      <w:r>
        <w:rPr>
          <w:rFonts w:ascii="Arial" w:cs="Arial" w:eastAsia="Arial" w:hAnsi="Arial"/>
          <w:sz w:val="17"/>
          <w:szCs w:val="17"/>
          <w:color w:val="auto"/>
        </w:rPr>
        <w:t>In July 2012, the FASB issued ASU 2012-02 amending accounting standards related to impairment testing for indefinite-lived intangible assets other than goodwill. ASU 2012-02 allows an entity to first assess qualitative factors to determine whether it is necessary to perform the quantitative impairment test for indefinite-lived intangible assets. An entity that elects to perform a qualitative assessment no longer is required to perform the quantitative impairment test for an indefinite-lived intangible asset if it is more likely than not that the asset is impaired. ASU 2012-02 is effective for annual and interim impairment tests performed for fiscal years beginning after September 15, 2012, with early adoption permitted. We have not applied the optional requirements of ASU 2012-02 in our indefinite-lived intangible assets impairment testing.</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3 - FAIR VALUE MEASUREMENTS</w:t>
      </w:r>
    </w:p>
    <w:p>
      <w:pPr>
        <w:spacing w:after="0" w:line="247" w:lineRule="exact"/>
        <w:rPr>
          <w:sz w:val="20"/>
          <w:szCs w:val="20"/>
          <w:color w:val="auto"/>
        </w:rPr>
      </w:pPr>
    </w:p>
    <w:p>
      <w:pPr>
        <w:jc w:val="both"/>
        <w:ind w:firstLine="616"/>
        <w:spacing w:after="0" w:line="277" w:lineRule="auto"/>
        <w:rPr>
          <w:sz w:val="20"/>
          <w:szCs w:val="20"/>
          <w:color w:val="auto"/>
        </w:rPr>
      </w:pPr>
      <w:r>
        <w:rPr>
          <w:rFonts w:ascii="Arial" w:cs="Arial" w:eastAsia="Arial" w:hAnsi="Arial"/>
          <w:sz w:val="17"/>
          <w:szCs w:val="17"/>
          <w:color w:val="auto"/>
        </w:rPr>
        <w:t xml:space="preserve">Effective August 1, 2008, Asure adopted ASC 820,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xml:space="preserve"> ASC 820 defines fair value, establishes a framework for measuring fair value in U.S. generally accepted accounting principles and expands disclosures about fair value measurements.</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ASC 820 establishes a three-tier fair value hierarchy, which is based on the reliability of the inputs used in measuring fair values. These tiers include:</w:t>
      </w:r>
    </w:p>
    <w:p>
      <w:pPr>
        <w:spacing w:after="0" w:line="252" w:lineRule="exact"/>
        <w:rPr>
          <w:sz w:val="20"/>
          <w:szCs w:val="20"/>
          <w:color w:val="auto"/>
        </w:rPr>
      </w:pPr>
    </w:p>
    <w:p>
      <w:pPr>
        <w:ind w:left="680"/>
        <w:spacing w:after="0"/>
        <w:tabs>
          <w:tab w:leader="none" w:pos="1680" w:val="left"/>
        </w:tabs>
        <w:rPr>
          <w:sz w:val="20"/>
          <w:szCs w:val="20"/>
          <w:color w:val="auto"/>
        </w:rPr>
      </w:pPr>
      <w:r>
        <w:rPr>
          <w:rFonts w:ascii="Arial" w:cs="Arial" w:eastAsia="Arial" w:hAnsi="Arial"/>
          <w:sz w:val="17"/>
          <w:szCs w:val="17"/>
          <w:color w:val="auto"/>
        </w:rPr>
        <w:t>Level 1:</w:t>
      </w:r>
      <w:r>
        <w:rPr>
          <w:sz w:val="20"/>
          <w:szCs w:val="20"/>
          <w:color w:val="auto"/>
        </w:rPr>
        <w:tab/>
      </w:r>
      <w:r>
        <w:rPr>
          <w:rFonts w:ascii="Arial" w:cs="Arial" w:eastAsia="Arial" w:hAnsi="Arial"/>
          <w:sz w:val="15"/>
          <w:szCs w:val="15"/>
          <w:color w:val="auto"/>
        </w:rPr>
        <w:t>Quoted prices in active markets for identical assets or liabilities;</w:t>
      </w:r>
    </w:p>
    <w:p>
      <w:pPr>
        <w:spacing w:after="0" w:line="215" w:lineRule="exact"/>
        <w:rPr>
          <w:sz w:val="20"/>
          <w:szCs w:val="20"/>
          <w:color w:val="auto"/>
        </w:rPr>
      </w:pPr>
    </w:p>
    <w:p>
      <w:pPr>
        <w:ind w:left="1700" w:right="20" w:hanging="1009"/>
        <w:spacing w:after="0" w:line="277" w:lineRule="auto"/>
        <w:tabs>
          <w:tab w:leader="none" w:pos="1680" w:val="left"/>
        </w:tabs>
        <w:rPr>
          <w:sz w:val="20"/>
          <w:szCs w:val="20"/>
          <w:color w:val="auto"/>
        </w:rPr>
      </w:pPr>
      <w:r>
        <w:rPr>
          <w:rFonts w:ascii="Arial" w:cs="Arial" w:eastAsia="Arial" w:hAnsi="Arial"/>
          <w:sz w:val="17"/>
          <w:szCs w:val="17"/>
          <w:color w:val="auto"/>
        </w:rPr>
        <w:t>Level 2:</w:t>
      </w:r>
      <w:r>
        <w:rPr>
          <w:sz w:val="20"/>
          <w:szCs w:val="20"/>
          <w:color w:val="auto"/>
        </w:rPr>
        <w:tab/>
      </w:r>
      <w:r>
        <w:rPr>
          <w:rFonts w:ascii="Arial" w:cs="Arial" w:eastAsia="Arial" w:hAnsi="Arial"/>
          <w:sz w:val="17"/>
          <w:szCs w:val="17"/>
          <w:color w:val="auto"/>
        </w:rPr>
        <w:t>Quoted prices in active markets for similar assets or liabilities; quoted prices in markets that are not active for identical or similar assets or liabilities; and model-driven valuations whose significant inputs are observable; and</w:t>
      </w:r>
    </w:p>
    <w:p>
      <w:pPr>
        <w:spacing w:after="0" w:line="165" w:lineRule="exact"/>
        <w:rPr>
          <w:sz w:val="20"/>
          <w:szCs w:val="20"/>
          <w:color w:val="auto"/>
        </w:rPr>
      </w:pPr>
    </w:p>
    <w:p>
      <w:pPr>
        <w:ind w:left="680"/>
        <w:spacing w:after="0"/>
        <w:tabs>
          <w:tab w:leader="none" w:pos="1680" w:val="left"/>
        </w:tabs>
        <w:rPr>
          <w:sz w:val="20"/>
          <w:szCs w:val="20"/>
          <w:color w:val="auto"/>
        </w:rPr>
      </w:pPr>
      <w:r>
        <w:rPr>
          <w:rFonts w:ascii="Arial" w:cs="Arial" w:eastAsia="Arial" w:hAnsi="Arial"/>
          <w:sz w:val="17"/>
          <w:szCs w:val="17"/>
          <w:color w:val="auto"/>
        </w:rPr>
        <w:t>Level 3:</w:t>
      </w:r>
      <w:r>
        <w:rPr>
          <w:sz w:val="20"/>
          <w:szCs w:val="20"/>
          <w:color w:val="auto"/>
        </w:rPr>
        <w:tab/>
      </w:r>
      <w:r>
        <w:rPr>
          <w:rFonts w:ascii="Arial" w:cs="Arial" w:eastAsia="Arial" w:hAnsi="Arial"/>
          <w:sz w:val="15"/>
          <w:szCs w:val="15"/>
          <w:color w:val="auto"/>
        </w:rPr>
        <w:t>Unobservable inputs that are supported by little or no market activity and that are significant to the fair value of the assets or liabilities.</w:t>
      </w:r>
    </w:p>
    <w:p>
      <w:pPr>
        <w:spacing w:after="0" w:line="215" w:lineRule="exact"/>
        <w:rPr>
          <w:sz w:val="20"/>
          <w:szCs w:val="20"/>
          <w:color w:val="auto"/>
        </w:rPr>
      </w:pPr>
    </w:p>
    <w:p>
      <w:pPr>
        <w:ind w:right="20" w:firstLine="616"/>
        <w:spacing w:after="0" w:line="277" w:lineRule="auto"/>
        <w:rPr>
          <w:sz w:val="20"/>
          <w:szCs w:val="20"/>
          <w:color w:val="auto"/>
        </w:rPr>
      </w:pPr>
      <w:r>
        <w:rPr>
          <w:rFonts w:ascii="Arial" w:cs="Arial" w:eastAsia="Arial" w:hAnsi="Arial"/>
          <w:sz w:val="17"/>
          <w:szCs w:val="17"/>
          <w:color w:val="auto"/>
        </w:rPr>
        <w:t>The following table presents the fair value hierarchy for our financial assets measured at fair value on a recurring basis as of December 31, 2012 and 2011, respectively:</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4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540" w:type="dxa"/>
            <w:vAlign w:val="bottom"/>
            <w:gridSpan w:val="8"/>
          </w:tcPr>
          <w:p>
            <w:pPr>
              <w:ind w:left="580"/>
              <w:spacing w:after="0"/>
              <w:rPr>
                <w:sz w:val="20"/>
                <w:szCs w:val="20"/>
                <w:color w:val="auto"/>
              </w:rPr>
            </w:pPr>
            <w:r>
              <w:rPr>
                <w:rFonts w:ascii="Arial" w:cs="Arial" w:eastAsia="Arial" w:hAnsi="Arial"/>
                <w:sz w:val="17"/>
                <w:szCs w:val="17"/>
                <w:b w:val="1"/>
                <w:bCs w:val="1"/>
                <w:color w:val="auto"/>
              </w:rPr>
              <w:t>Fair Value Measure at December 31, 2012</w:t>
            </w:r>
          </w:p>
        </w:tc>
        <w:tc>
          <w:tcPr>
            <w:tcW w:w="1420" w:type="dxa"/>
            <w:vAlign w:val="bottom"/>
          </w:tcPr>
          <w:p>
            <w:pPr>
              <w:spacing w:after="0"/>
              <w:rPr>
                <w:sz w:val="19"/>
                <w:szCs w:val="19"/>
                <w:color w:val="auto"/>
              </w:rPr>
            </w:pPr>
          </w:p>
        </w:tc>
      </w:tr>
      <w:tr>
        <w:trPr>
          <w:trHeight w:val="187"/>
        </w:trPr>
        <w:tc>
          <w:tcPr>
            <w:tcW w:w="144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center"/>
              <w:ind w:right="74"/>
              <w:spacing w:after="0" w:line="187" w:lineRule="exact"/>
              <w:rPr>
                <w:sz w:val="20"/>
                <w:szCs w:val="20"/>
                <w:color w:val="auto"/>
              </w:rPr>
            </w:pPr>
            <w:r>
              <w:rPr>
                <w:rFonts w:ascii="Arial" w:cs="Arial" w:eastAsia="Arial" w:hAnsi="Arial"/>
                <w:sz w:val="17"/>
                <w:szCs w:val="17"/>
                <w:b w:val="1"/>
                <w:bCs w:val="1"/>
                <w:color w:val="auto"/>
                <w:w w:val="88"/>
              </w:rPr>
              <w:t>Total</w:t>
            </w:r>
          </w:p>
        </w:tc>
        <w:tc>
          <w:tcPr>
            <w:tcW w:w="2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center"/>
              <w:ind w:right="134"/>
              <w:spacing w:after="0" w:line="187" w:lineRule="exact"/>
              <w:rPr>
                <w:sz w:val="20"/>
                <w:szCs w:val="20"/>
                <w:color w:val="auto"/>
              </w:rPr>
            </w:pPr>
            <w:r>
              <w:rPr>
                <w:rFonts w:ascii="Arial" w:cs="Arial" w:eastAsia="Arial" w:hAnsi="Arial"/>
                <w:sz w:val="17"/>
                <w:szCs w:val="17"/>
                <w:b w:val="1"/>
                <w:bCs w:val="1"/>
                <w:color w:val="auto"/>
                <w:w w:val="90"/>
              </w:rPr>
              <w:t>Quoted</w:t>
            </w:r>
          </w:p>
        </w:tc>
        <w:tc>
          <w:tcPr>
            <w:tcW w:w="2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center"/>
              <w:ind w:right="134"/>
              <w:spacing w:after="0" w:line="187" w:lineRule="exact"/>
              <w:rPr>
                <w:sz w:val="20"/>
                <w:szCs w:val="20"/>
                <w:color w:val="auto"/>
              </w:rPr>
            </w:pPr>
            <w:r>
              <w:rPr>
                <w:rFonts w:ascii="Arial" w:cs="Arial" w:eastAsia="Arial" w:hAnsi="Arial"/>
                <w:sz w:val="17"/>
                <w:szCs w:val="17"/>
                <w:b w:val="1"/>
                <w:bCs w:val="1"/>
                <w:color w:val="auto"/>
                <w:w w:val="91"/>
              </w:rPr>
              <w:t>Significant</w:t>
            </w:r>
          </w:p>
        </w:tc>
        <w:tc>
          <w:tcPr>
            <w:tcW w:w="2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05"/>
        </w:trPr>
        <w:tc>
          <w:tcPr>
            <w:tcW w:w="14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center"/>
              <w:ind w:right="74"/>
              <w:spacing w:after="0"/>
              <w:rPr>
                <w:sz w:val="20"/>
                <w:szCs w:val="20"/>
                <w:color w:val="auto"/>
              </w:rPr>
            </w:pPr>
            <w:r>
              <w:rPr>
                <w:rFonts w:ascii="Arial" w:cs="Arial" w:eastAsia="Arial" w:hAnsi="Arial"/>
                <w:sz w:val="17"/>
                <w:szCs w:val="17"/>
                <w:b w:val="1"/>
                <w:bCs w:val="1"/>
                <w:color w:val="auto"/>
                <w:w w:val="97"/>
              </w:rPr>
              <w:t>Carrying</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center"/>
              <w:ind w:right="114"/>
              <w:spacing w:after="0"/>
              <w:rPr>
                <w:sz w:val="20"/>
                <w:szCs w:val="20"/>
                <w:color w:val="auto"/>
              </w:rPr>
            </w:pPr>
            <w:r>
              <w:rPr>
                <w:rFonts w:ascii="Arial" w:cs="Arial" w:eastAsia="Arial" w:hAnsi="Arial"/>
                <w:sz w:val="17"/>
                <w:szCs w:val="17"/>
                <w:b w:val="1"/>
                <w:bCs w:val="1"/>
                <w:color w:val="auto"/>
                <w:w w:val="86"/>
              </w:rPr>
              <w:t>Prices</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center"/>
              <w:ind w:right="134"/>
              <w:spacing w:after="0"/>
              <w:rPr>
                <w:sz w:val="20"/>
                <w:szCs w:val="20"/>
                <w:color w:val="auto"/>
              </w:rPr>
            </w:pPr>
            <w:r>
              <w:rPr>
                <w:rFonts w:ascii="Arial" w:cs="Arial" w:eastAsia="Arial" w:hAnsi="Arial"/>
                <w:sz w:val="17"/>
                <w:szCs w:val="17"/>
                <w:b w:val="1"/>
                <w:bCs w:val="1"/>
                <w:color w:val="auto"/>
                <w:w w:val="96"/>
              </w:rPr>
              <w:t>Other</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89"/>
              </w:rPr>
              <w:t>Significant</w:t>
            </w:r>
          </w:p>
        </w:tc>
        <w:tc>
          <w:tcPr>
            <w:tcW w:w="1420" w:type="dxa"/>
            <w:vAlign w:val="bottom"/>
          </w:tcPr>
          <w:p>
            <w:pPr>
              <w:spacing w:after="0"/>
              <w:rPr>
                <w:sz w:val="17"/>
                <w:szCs w:val="17"/>
                <w:color w:val="auto"/>
              </w:rPr>
            </w:pPr>
          </w:p>
        </w:tc>
      </w:tr>
      <w:tr>
        <w:trPr>
          <w:trHeight w:val="205"/>
        </w:trPr>
        <w:tc>
          <w:tcPr>
            <w:tcW w:w="14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center"/>
              <w:ind w:right="74"/>
              <w:spacing w:after="0"/>
              <w:rPr>
                <w:sz w:val="20"/>
                <w:szCs w:val="20"/>
                <w:color w:val="auto"/>
              </w:rPr>
            </w:pPr>
            <w:r>
              <w:rPr>
                <w:rFonts w:ascii="Arial" w:cs="Arial" w:eastAsia="Arial" w:hAnsi="Arial"/>
                <w:sz w:val="17"/>
                <w:szCs w:val="17"/>
                <w:b w:val="1"/>
                <w:bCs w:val="1"/>
                <w:color w:val="auto"/>
                <w:w w:val="91"/>
              </w:rPr>
              <w:t>Value at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center"/>
              <w:ind w:right="114"/>
              <w:spacing w:after="0"/>
              <w:rPr>
                <w:sz w:val="20"/>
                <w:szCs w:val="20"/>
                <w:color w:val="auto"/>
              </w:rPr>
            </w:pPr>
            <w:r>
              <w:rPr>
                <w:rFonts w:ascii="Arial" w:cs="Arial" w:eastAsia="Arial" w:hAnsi="Arial"/>
                <w:sz w:val="17"/>
                <w:szCs w:val="17"/>
                <w:b w:val="1"/>
                <w:bCs w:val="1"/>
                <w:color w:val="auto"/>
                <w:w w:val="90"/>
              </w:rPr>
              <w:t>in Active</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center"/>
              <w:ind w:right="134"/>
              <w:spacing w:after="0"/>
              <w:rPr>
                <w:sz w:val="20"/>
                <w:szCs w:val="20"/>
                <w:color w:val="auto"/>
              </w:rPr>
            </w:pPr>
            <w:r>
              <w:rPr>
                <w:rFonts w:ascii="Arial" w:cs="Arial" w:eastAsia="Arial" w:hAnsi="Arial"/>
                <w:sz w:val="17"/>
                <w:szCs w:val="17"/>
                <w:b w:val="1"/>
                <w:bCs w:val="1"/>
                <w:color w:val="auto"/>
                <w:w w:val="90"/>
              </w:rPr>
              <w:t>Observable</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90"/>
              </w:rPr>
              <w:t>Unobservable</w:t>
            </w:r>
          </w:p>
        </w:tc>
        <w:tc>
          <w:tcPr>
            <w:tcW w:w="1420" w:type="dxa"/>
            <w:vAlign w:val="bottom"/>
          </w:tcPr>
          <w:p>
            <w:pPr>
              <w:spacing w:after="0"/>
              <w:rPr>
                <w:sz w:val="17"/>
                <w:szCs w:val="17"/>
                <w:color w:val="auto"/>
              </w:rPr>
            </w:pPr>
          </w:p>
        </w:tc>
      </w:tr>
      <w:tr>
        <w:trPr>
          <w:trHeight w:val="205"/>
        </w:trPr>
        <w:tc>
          <w:tcPr>
            <w:tcW w:w="14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center"/>
              <w:ind w:right="74"/>
              <w:spacing w:after="0"/>
              <w:rPr>
                <w:sz w:val="20"/>
                <w:szCs w:val="20"/>
                <w:color w:val="auto"/>
              </w:rPr>
            </w:pPr>
            <w:r>
              <w:rPr>
                <w:rFonts w:ascii="Arial" w:cs="Arial" w:eastAsia="Arial" w:hAnsi="Arial"/>
                <w:sz w:val="17"/>
                <w:szCs w:val="17"/>
                <w:b w:val="1"/>
                <w:bCs w:val="1"/>
                <w:color w:val="auto"/>
                <w:w w:val="90"/>
              </w:rPr>
              <w:t>December 31,</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center"/>
              <w:ind w:right="114"/>
              <w:spacing w:after="0"/>
              <w:rPr>
                <w:sz w:val="20"/>
                <w:szCs w:val="20"/>
                <w:color w:val="auto"/>
              </w:rPr>
            </w:pPr>
            <w:r>
              <w:rPr>
                <w:rFonts w:ascii="Arial" w:cs="Arial" w:eastAsia="Arial" w:hAnsi="Arial"/>
                <w:sz w:val="17"/>
                <w:szCs w:val="17"/>
                <w:b w:val="1"/>
                <w:bCs w:val="1"/>
                <w:color w:val="auto"/>
              </w:rPr>
              <w:t>Market</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center"/>
              <w:ind w:right="134"/>
              <w:spacing w:after="0"/>
              <w:rPr>
                <w:sz w:val="20"/>
                <w:szCs w:val="20"/>
                <w:color w:val="auto"/>
              </w:rPr>
            </w:pPr>
            <w:r>
              <w:rPr>
                <w:rFonts w:ascii="Arial" w:cs="Arial" w:eastAsia="Arial" w:hAnsi="Arial"/>
                <w:sz w:val="17"/>
                <w:szCs w:val="17"/>
                <w:b w:val="1"/>
                <w:bCs w:val="1"/>
                <w:color w:val="auto"/>
                <w:w w:val="94"/>
              </w:rPr>
              <w:t>Inputs</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94"/>
              </w:rPr>
              <w:t>Inputs</w:t>
            </w:r>
          </w:p>
        </w:tc>
        <w:tc>
          <w:tcPr>
            <w:tcW w:w="1420" w:type="dxa"/>
            <w:vAlign w:val="bottom"/>
          </w:tcPr>
          <w:p>
            <w:pPr>
              <w:spacing w:after="0"/>
              <w:rPr>
                <w:sz w:val="17"/>
                <w:szCs w:val="17"/>
                <w:color w:val="auto"/>
              </w:rPr>
            </w:pPr>
          </w:p>
        </w:tc>
      </w:tr>
      <w:tr>
        <w:trPr>
          <w:trHeight w:val="229"/>
        </w:trPr>
        <w:tc>
          <w:tcPr>
            <w:tcW w:w="3600" w:type="dxa"/>
            <w:vAlign w:val="bottom"/>
            <w:gridSpan w:val="2"/>
          </w:tcPr>
          <w:p>
            <w:pPr>
              <w:ind w:left="1440"/>
              <w:spacing w:after="0"/>
              <w:rPr>
                <w:sz w:val="20"/>
                <w:szCs w:val="20"/>
                <w:color w:val="auto"/>
              </w:rPr>
            </w:pPr>
            <w:r>
              <w:rPr>
                <w:rFonts w:ascii="Arial" w:cs="Arial" w:eastAsia="Arial" w:hAnsi="Arial"/>
                <w:sz w:val="17"/>
                <w:szCs w:val="17"/>
                <w:b w:val="1"/>
                <w:bCs w:val="1"/>
                <w:color w:val="auto"/>
              </w:rPr>
              <w:t>Description</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center"/>
              <w:ind w:right="94"/>
              <w:spacing w:after="0"/>
              <w:rPr>
                <w:sz w:val="20"/>
                <w:szCs w:val="20"/>
                <w:color w:val="auto"/>
              </w:rPr>
            </w:pPr>
            <w:r>
              <w:rPr>
                <w:rFonts w:ascii="Arial" w:cs="Arial" w:eastAsia="Arial" w:hAnsi="Arial"/>
                <w:sz w:val="17"/>
                <w:szCs w:val="17"/>
                <w:b w:val="1"/>
                <w:bCs w:val="1"/>
                <w:color w:val="auto"/>
                <w:w w:val="89"/>
              </w:rPr>
              <w:t>2012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center"/>
              <w:ind w:right="114"/>
              <w:spacing w:after="0"/>
              <w:rPr>
                <w:sz w:val="20"/>
                <w:szCs w:val="20"/>
                <w:color w:val="auto"/>
              </w:rPr>
            </w:pPr>
            <w:r>
              <w:rPr>
                <w:rFonts w:ascii="Arial" w:cs="Arial" w:eastAsia="Arial" w:hAnsi="Arial"/>
                <w:sz w:val="17"/>
                <w:szCs w:val="17"/>
                <w:b w:val="1"/>
                <w:bCs w:val="1"/>
                <w:color w:val="auto"/>
                <w:w w:val="92"/>
              </w:rPr>
              <w:t>(Level 1)</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center"/>
              <w:ind w:right="134"/>
              <w:spacing w:after="0"/>
              <w:rPr>
                <w:sz w:val="20"/>
                <w:szCs w:val="20"/>
                <w:color w:val="auto"/>
              </w:rPr>
            </w:pPr>
            <w:r>
              <w:rPr>
                <w:rFonts w:ascii="Arial" w:cs="Arial" w:eastAsia="Arial" w:hAnsi="Arial"/>
                <w:sz w:val="17"/>
                <w:szCs w:val="17"/>
                <w:b w:val="1"/>
                <w:bCs w:val="1"/>
                <w:color w:val="auto"/>
                <w:w w:val="92"/>
              </w:rPr>
              <w:t>(Level 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92"/>
              </w:rPr>
              <w:t>(Level 3)</w:t>
            </w:r>
          </w:p>
        </w:tc>
        <w:tc>
          <w:tcPr>
            <w:tcW w:w="1420" w:type="dxa"/>
            <w:vAlign w:val="bottom"/>
          </w:tcPr>
          <w:p>
            <w:pPr>
              <w:spacing w:after="0"/>
              <w:rPr>
                <w:sz w:val="19"/>
                <w:szCs w:val="19"/>
                <w:color w:val="auto"/>
              </w:rPr>
            </w:pPr>
          </w:p>
        </w:tc>
      </w:tr>
      <w:tr>
        <w:trPr>
          <w:trHeight w:val="211"/>
        </w:trPr>
        <w:tc>
          <w:tcPr>
            <w:tcW w:w="1440" w:type="dxa"/>
            <w:vAlign w:val="bottom"/>
          </w:tcPr>
          <w:p>
            <w:pPr>
              <w:spacing w:after="0"/>
              <w:rPr>
                <w:sz w:val="18"/>
                <w:szCs w:val="18"/>
                <w:color w:val="auto"/>
              </w:rPr>
            </w:pPr>
          </w:p>
        </w:tc>
        <w:tc>
          <w:tcPr>
            <w:tcW w:w="2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Cash and Cash Equivalents</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2,177</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2,177</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1420" w:type="dxa"/>
            <w:vAlign w:val="bottom"/>
          </w:tcPr>
          <w:p>
            <w:pPr>
              <w:spacing w:after="0"/>
              <w:rPr>
                <w:sz w:val="18"/>
                <w:szCs w:val="18"/>
                <w:color w:val="auto"/>
              </w:rPr>
            </w:pPr>
          </w:p>
        </w:tc>
      </w:tr>
      <w:tr>
        <w:trPr>
          <w:trHeight w:val="193"/>
        </w:trPr>
        <w:tc>
          <w:tcPr>
            <w:tcW w:w="1440" w:type="dxa"/>
            <w:vAlign w:val="bottom"/>
          </w:tcPr>
          <w:p>
            <w:pPr>
              <w:spacing w:after="0"/>
              <w:rPr>
                <w:sz w:val="16"/>
                <w:szCs w:val="16"/>
                <w:color w:val="auto"/>
              </w:rPr>
            </w:pPr>
          </w:p>
        </w:tc>
        <w:tc>
          <w:tcPr>
            <w:tcW w:w="2160" w:type="dxa"/>
            <w:vAlign w:val="bottom"/>
            <w:tcBorders>
              <w:top w:val="single" w:sz="8" w:color="CCEEFF"/>
            </w:tcBorders>
          </w:tcPr>
          <w:p>
            <w:pPr>
              <w:spacing w:after="0" w:line="193" w:lineRule="exact"/>
              <w:rPr>
                <w:sz w:val="20"/>
                <w:szCs w:val="20"/>
                <w:color w:val="auto"/>
              </w:rPr>
            </w:pPr>
            <w:r>
              <w:rPr>
                <w:rFonts w:ascii="Arial" w:cs="Arial" w:eastAsia="Arial" w:hAnsi="Arial"/>
                <w:sz w:val="17"/>
                <w:szCs w:val="17"/>
                <w:color w:val="auto"/>
                <w:w w:val="97"/>
              </w:rPr>
              <w:t>Restricted cash- certificate of</w:t>
            </w:r>
          </w:p>
        </w:tc>
        <w:tc>
          <w:tcPr>
            <w:tcW w:w="12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420" w:type="dxa"/>
            <w:vAlign w:val="bottom"/>
          </w:tcPr>
          <w:p>
            <w:pPr>
              <w:spacing w:after="0"/>
              <w:rPr>
                <w:sz w:val="16"/>
                <w:szCs w:val="16"/>
                <w:color w:val="auto"/>
              </w:rPr>
            </w:pPr>
          </w:p>
        </w:tc>
      </w:tr>
      <w:tr>
        <w:trPr>
          <w:trHeight w:val="217"/>
        </w:trPr>
        <w:tc>
          <w:tcPr>
            <w:tcW w:w="3600" w:type="dxa"/>
            <w:vAlign w:val="bottom"/>
            <w:gridSpan w:val="2"/>
          </w:tcPr>
          <w:p>
            <w:pPr>
              <w:ind w:left="1440"/>
              <w:spacing w:after="0"/>
              <w:rPr>
                <w:sz w:val="20"/>
                <w:szCs w:val="20"/>
                <w:color w:val="auto"/>
              </w:rPr>
            </w:pPr>
            <w:r>
              <w:rPr>
                <w:rFonts w:ascii="Arial" w:cs="Arial" w:eastAsia="Arial" w:hAnsi="Arial"/>
                <w:sz w:val="17"/>
                <w:szCs w:val="17"/>
                <w:color w:val="auto"/>
              </w:rPr>
              <w:t>deposit</w:t>
            </w:r>
          </w:p>
        </w:tc>
        <w:tc>
          <w:tcPr>
            <w:tcW w:w="2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250</w:t>
            </w:r>
          </w:p>
        </w:tc>
        <w:tc>
          <w:tcPr>
            <w:tcW w:w="3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w:t>
            </w:r>
          </w:p>
        </w:tc>
        <w:tc>
          <w:tcPr>
            <w:tcW w:w="3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250</w:t>
            </w:r>
          </w:p>
        </w:tc>
        <w:tc>
          <w:tcPr>
            <w:tcW w:w="3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0"/>
        </w:trPr>
        <w:tc>
          <w:tcPr>
            <w:tcW w:w="14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37"/>
        </w:trPr>
        <w:tc>
          <w:tcPr>
            <w:tcW w:w="1440" w:type="dxa"/>
            <w:vAlign w:val="bottom"/>
          </w:tcPr>
          <w:p>
            <w:pPr>
              <w:spacing w:after="0"/>
              <w:rPr>
                <w:sz w:val="20"/>
                <w:szCs w:val="20"/>
                <w:color w:val="auto"/>
              </w:rPr>
            </w:pPr>
          </w:p>
        </w:tc>
        <w:tc>
          <w:tcPr>
            <w:tcW w:w="21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Total</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2,427</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2,177</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0"/>
                <w:szCs w:val="20"/>
                <w:color w:val="auto"/>
              </w:rPr>
            </w:pPr>
          </w:p>
        </w:tc>
        <w:tc>
          <w:tcPr>
            <w:tcW w:w="1420" w:type="dxa"/>
            <w:vAlign w:val="bottom"/>
          </w:tcPr>
          <w:p>
            <w:pPr>
              <w:spacing w:after="0"/>
              <w:rPr>
                <w:sz w:val="20"/>
                <w:szCs w:val="20"/>
                <w:color w:val="auto"/>
              </w:rPr>
            </w:pPr>
          </w:p>
        </w:tc>
      </w:tr>
      <w:tr>
        <w:trPr>
          <w:trHeight w:val="542"/>
        </w:trPr>
        <w:tc>
          <w:tcPr>
            <w:tcW w:w="1440" w:type="dxa"/>
            <w:vAlign w:val="bottom"/>
          </w:tcPr>
          <w:p>
            <w:pPr>
              <w:spacing w:after="0"/>
              <w:rPr>
                <w:sz w:val="24"/>
                <w:szCs w:val="24"/>
                <w:color w:val="auto"/>
              </w:rPr>
            </w:pPr>
          </w:p>
        </w:tc>
        <w:tc>
          <w:tcPr>
            <w:tcW w:w="216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jc w:val="right"/>
              <w:ind w:right="694"/>
              <w:spacing w:after="0"/>
              <w:rPr>
                <w:sz w:val="20"/>
                <w:szCs w:val="20"/>
                <w:color w:val="auto"/>
              </w:rPr>
            </w:pPr>
            <w:r>
              <w:rPr>
                <w:rFonts w:ascii="Arial" w:cs="Arial" w:eastAsia="Arial" w:hAnsi="Arial"/>
                <w:sz w:val="17"/>
                <w:szCs w:val="17"/>
                <w:color w:val="auto"/>
              </w:rPr>
              <w:t>F-12</w:t>
            </w:r>
          </w:p>
        </w:tc>
        <w:tc>
          <w:tcPr>
            <w:tcW w:w="20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420" w:type="dxa"/>
            <w:vAlign w:val="bottom"/>
          </w:tcPr>
          <w:p>
            <w:pPr>
              <w:spacing w:after="0"/>
              <w:rPr>
                <w:sz w:val="24"/>
                <w:szCs w:val="24"/>
                <w:color w:val="auto"/>
              </w:rPr>
            </w:pPr>
          </w:p>
        </w:tc>
      </w:tr>
      <w:tr>
        <w:trPr>
          <w:trHeight w:val="113"/>
        </w:trPr>
        <w:tc>
          <w:tcPr>
            <w:tcW w:w="1440" w:type="dxa"/>
            <w:vAlign w:val="bottom"/>
            <w:tcBorders>
              <w:bottom w:val="single" w:sz="8" w:color="808080"/>
            </w:tcBorders>
          </w:tcPr>
          <w:p>
            <w:pPr>
              <w:spacing w:after="0"/>
              <w:rPr>
                <w:sz w:val="9"/>
                <w:szCs w:val="9"/>
                <w:color w:val="auto"/>
              </w:rPr>
            </w:pPr>
          </w:p>
        </w:tc>
        <w:tc>
          <w:tcPr>
            <w:tcW w:w="21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4" w:name="page35"/>
    <w:bookmarkEnd w:id="34"/>
    <w:p>
      <w:pPr>
        <w:jc w:val="center"/>
        <w:spacing w:after="0"/>
        <w:rPr>
          <w:sz w:val="20"/>
          <w:szCs w:val="20"/>
          <w:color w:val="auto"/>
        </w:rPr>
      </w:pPr>
      <w:r>
        <w:rPr>
          <w:rFonts w:ascii="Arial" w:cs="Arial" w:eastAsia="Arial" w:hAnsi="Arial"/>
          <w:sz w:val="17"/>
          <w:szCs w:val="17"/>
          <w:b w:val="1"/>
          <w:bCs w:val="1"/>
          <w:color w:val="auto"/>
        </w:rPr>
        <w:t>ASURE SOFTWARE,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thousands, except share and per share data or otherwise noted)</w:t>
      </w:r>
    </w:p>
    <w:p>
      <w:pPr>
        <w:spacing w:after="0" w:line="224" w:lineRule="exact"/>
        <w:rPr>
          <w:sz w:val="20"/>
          <w:szCs w:val="20"/>
          <w:color w:val="auto"/>
        </w:rPr>
      </w:pPr>
    </w:p>
    <w:tbl>
      <w:tblPr>
        <w:tblLayout w:type="fixed"/>
        <w:tblInd w:w="144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500" w:type="dxa"/>
            <w:vAlign w:val="bottom"/>
            <w:gridSpan w:val="9"/>
          </w:tcPr>
          <w:p>
            <w:pPr>
              <w:ind w:left="540"/>
              <w:spacing w:after="0"/>
              <w:rPr>
                <w:sz w:val="20"/>
                <w:szCs w:val="20"/>
                <w:color w:val="auto"/>
              </w:rPr>
            </w:pPr>
            <w:r>
              <w:rPr>
                <w:rFonts w:ascii="Arial" w:cs="Arial" w:eastAsia="Arial" w:hAnsi="Arial"/>
                <w:sz w:val="17"/>
                <w:szCs w:val="17"/>
                <w:b w:val="1"/>
                <w:bCs w:val="1"/>
                <w:color w:val="auto"/>
              </w:rPr>
              <w:t>Fair Value Measure at December 31, 2011</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center"/>
              <w:ind w:right="280"/>
              <w:spacing w:after="0" w:line="187" w:lineRule="exact"/>
              <w:rPr>
                <w:sz w:val="20"/>
                <w:szCs w:val="20"/>
                <w:color w:val="auto"/>
              </w:rPr>
            </w:pPr>
            <w:r>
              <w:rPr>
                <w:rFonts w:ascii="Arial" w:cs="Arial" w:eastAsia="Arial" w:hAnsi="Arial"/>
                <w:sz w:val="17"/>
                <w:szCs w:val="17"/>
                <w:b w:val="1"/>
                <w:bCs w:val="1"/>
                <w:color w:val="auto"/>
                <w:w w:val="88"/>
              </w:rPr>
              <w:t>Total</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center"/>
              <w:ind w:right="174"/>
              <w:spacing w:after="0" w:line="187" w:lineRule="exact"/>
              <w:rPr>
                <w:sz w:val="20"/>
                <w:szCs w:val="20"/>
                <w:color w:val="auto"/>
              </w:rPr>
            </w:pPr>
            <w:r>
              <w:rPr>
                <w:rFonts w:ascii="Arial" w:cs="Arial" w:eastAsia="Arial" w:hAnsi="Arial"/>
                <w:sz w:val="17"/>
                <w:szCs w:val="17"/>
                <w:b w:val="1"/>
                <w:bCs w:val="1"/>
                <w:color w:val="auto"/>
                <w:w w:val="90"/>
              </w:rPr>
              <w:t>Quoted</w:t>
            </w:r>
          </w:p>
        </w:tc>
        <w:tc>
          <w:tcPr>
            <w:tcW w:w="2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gridSpan w:val="2"/>
          </w:tcPr>
          <w:p>
            <w:pPr>
              <w:jc w:val="center"/>
              <w:ind w:right="340"/>
              <w:spacing w:after="0" w:line="187" w:lineRule="exact"/>
              <w:rPr>
                <w:sz w:val="20"/>
                <w:szCs w:val="20"/>
                <w:color w:val="auto"/>
              </w:rPr>
            </w:pPr>
            <w:r>
              <w:rPr>
                <w:rFonts w:ascii="Arial" w:cs="Arial" w:eastAsia="Arial" w:hAnsi="Arial"/>
                <w:sz w:val="17"/>
                <w:szCs w:val="17"/>
                <w:b w:val="1"/>
                <w:bCs w:val="1"/>
                <w:color w:val="auto"/>
                <w:w w:val="91"/>
              </w:rPr>
              <w:t>Significant</w:t>
            </w:r>
          </w:p>
        </w:tc>
        <w:tc>
          <w:tcPr>
            <w:tcW w:w="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97"/>
              </w:rPr>
              <w:t>Carrying</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center"/>
              <w:ind w:right="154"/>
              <w:spacing w:after="0"/>
              <w:rPr>
                <w:sz w:val="20"/>
                <w:szCs w:val="20"/>
                <w:color w:val="auto"/>
              </w:rPr>
            </w:pPr>
            <w:r>
              <w:rPr>
                <w:rFonts w:ascii="Arial" w:cs="Arial" w:eastAsia="Arial" w:hAnsi="Arial"/>
                <w:sz w:val="17"/>
                <w:szCs w:val="17"/>
                <w:b w:val="1"/>
                <w:bCs w:val="1"/>
                <w:color w:val="auto"/>
                <w:w w:val="86"/>
              </w:rPr>
              <w:t>Prices</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96"/>
              </w:rPr>
              <w:t>Other</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89"/>
              </w:rPr>
              <w:t>Significant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91"/>
              </w:rPr>
              <w:t>Value at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center"/>
              <w:ind w:right="154"/>
              <w:spacing w:after="0"/>
              <w:rPr>
                <w:sz w:val="20"/>
                <w:szCs w:val="20"/>
                <w:color w:val="auto"/>
              </w:rPr>
            </w:pPr>
            <w:r>
              <w:rPr>
                <w:rFonts w:ascii="Arial" w:cs="Arial" w:eastAsia="Arial" w:hAnsi="Arial"/>
                <w:sz w:val="17"/>
                <w:szCs w:val="17"/>
                <w:b w:val="1"/>
                <w:bCs w:val="1"/>
                <w:color w:val="auto"/>
                <w:w w:val="90"/>
              </w:rPr>
              <w:t>in Active</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90"/>
              </w:rPr>
              <w:t>Observable</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90"/>
              </w:rPr>
              <w:t>Unobservable</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90"/>
              </w:rPr>
              <w:t>December 31,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center"/>
              <w:ind w:right="154"/>
              <w:spacing w:after="0"/>
              <w:rPr>
                <w:sz w:val="20"/>
                <w:szCs w:val="20"/>
                <w:color w:val="auto"/>
              </w:rPr>
            </w:pPr>
            <w:r>
              <w:rPr>
                <w:rFonts w:ascii="Arial" w:cs="Arial" w:eastAsia="Arial" w:hAnsi="Arial"/>
                <w:sz w:val="17"/>
                <w:szCs w:val="17"/>
                <w:b w:val="1"/>
                <w:bCs w:val="1"/>
                <w:color w:val="auto"/>
              </w:rPr>
              <w:t>Market</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94"/>
              </w:rPr>
              <w:t>Inputs</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94"/>
              </w:rPr>
              <w:t>Inputs</w:t>
            </w:r>
          </w:p>
        </w:tc>
        <w:tc>
          <w:tcPr>
            <w:tcW w:w="0" w:type="dxa"/>
            <w:vAlign w:val="bottom"/>
          </w:tcPr>
          <w:p>
            <w:pPr>
              <w:spacing w:after="0"/>
              <w:rPr>
                <w:sz w:val="1"/>
                <w:szCs w:val="1"/>
                <w:color w:val="auto"/>
              </w:rPr>
            </w:pPr>
          </w:p>
        </w:tc>
      </w:tr>
      <w:tr>
        <w:trPr>
          <w:trHeight w:val="223"/>
        </w:trPr>
        <w:tc>
          <w:tcPr>
            <w:tcW w:w="2160" w:type="dxa"/>
            <w:vAlign w:val="bottom"/>
            <w:gridSpan w:val="2"/>
          </w:tcPr>
          <w:p>
            <w:pPr>
              <w:spacing w:after="0"/>
              <w:rPr>
                <w:sz w:val="20"/>
                <w:szCs w:val="20"/>
                <w:color w:val="auto"/>
              </w:rPr>
            </w:pPr>
            <w:r>
              <w:rPr>
                <w:rFonts w:ascii="Arial" w:cs="Arial" w:eastAsia="Arial" w:hAnsi="Arial"/>
                <w:sz w:val="17"/>
                <w:szCs w:val="17"/>
                <w:b w:val="1"/>
                <w:bCs w:val="1"/>
                <w:color w:val="auto"/>
              </w:rPr>
              <w:t>Description</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center"/>
              <w:ind w:right="74"/>
              <w:spacing w:after="0"/>
              <w:rPr>
                <w:sz w:val="20"/>
                <w:szCs w:val="20"/>
                <w:color w:val="auto"/>
              </w:rPr>
            </w:pPr>
            <w:r>
              <w:rPr>
                <w:rFonts w:ascii="Arial" w:cs="Arial" w:eastAsia="Arial" w:hAnsi="Arial"/>
                <w:sz w:val="17"/>
                <w:szCs w:val="17"/>
                <w:b w:val="1"/>
                <w:bCs w:val="1"/>
                <w:color w:val="auto"/>
                <w:w w:val="84"/>
              </w:rPr>
              <w:t>2011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center"/>
              <w:ind w:right="154"/>
              <w:spacing w:after="0"/>
              <w:rPr>
                <w:sz w:val="20"/>
                <w:szCs w:val="20"/>
                <w:color w:val="auto"/>
              </w:rPr>
            </w:pPr>
            <w:r>
              <w:rPr>
                <w:rFonts w:ascii="Arial" w:cs="Arial" w:eastAsia="Arial" w:hAnsi="Arial"/>
                <w:sz w:val="17"/>
                <w:szCs w:val="17"/>
                <w:b w:val="1"/>
                <w:bCs w:val="1"/>
                <w:color w:val="auto"/>
                <w:w w:val="92"/>
              </w:rPr>
              <w:t>(Level 1)</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92"/>
              </w:rPr>
              <w:t>(Level 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92"/>
              </w:rPr>
              <w:t>(Level 3)</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21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vMerge w:val="continue"/>
          </w:tcPr>
          <w:p>
            <w:pPr>
              <w:spacing w:after="0"/>
              <w:rPr>
                <w:sz w:val="17"/>
                <w:szCs w:val="17"/>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7"/>
                <w:szCs w:val="17"/>
                <w:color w:val="auto"/>
              </w:rPr>
              <w:t>Cash and Cash Equivalents</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1,067</w:t>
            </w:r>
          </w:p>
        </w:tc>
        <w:tc>
          <w:tcPr>
            <w:tcW w:w="12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1,067</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2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vMerge w:val="continue"/>
          </w:tcPr>
          <w:p>
            <w:pPr>
              <w:spacing w:after="0"/>
              <w:rPr>
                <w:sz w:val="17"/>
                <w:szCs w:val="17"/>
                <w:color w:val="auto"/>
              </w:rPr>
            </w:pPr>
          </w:p>
        </w:tc>
        <w:tc>
          <w:tcPr>
            <w:tcW w:w="2140" w:type="dxa"/>
            <w:vAlign w:val="bottom"/>
          </w:tcPr>
          <w:p>
            <w:pPr>
              <w:spacing w:after="0"/>
              <w:rPr>
                <w:sz w:val="20"/>
                <w:szCs w:val="20"/>
                <w:color w:val="auto"/>
              </w:rPr>
            </w:pPr>
            <w:r>
              <w:rPr>
                <w:rFonts w:ascii="Arial" w:cs="Arial" w:eastAsia="Arial" w:hAnsi="Arial"/>
                <w:sz w:val="17"/>
                <w:szCs w:val="17"/>
                <w:color w:val="auto"/>
              </w:rPr>
              <w:t>Derivative Liability</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7"/>
                <w:szCs w:val="17"/>
                <w:color w:val="auto"/>
              </w:rPr>
              <w:t>(835)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7"/>
                <w:szCs w:val="17"/>
                <w:color w:val="auto"/>
              </w:rPr>
              <w:t>(835)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21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232</w:t>
            </w:r>
          </w:p>
        </w:tc>
        <w:tc>
          <w:tcPr>
            <w:tcW w:w="1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1,067</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(835)</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Financial Assets and Liabilities</w:t>
      </w:r>
    </w:p>
    <w:p>
      <w:pPr>
        <w:spacing w:after="0" w:line="215" w:lineRule="exact"/>
        <w:rPr>
          <w:sz w:val="20"/>
          <w:szCs w:val="20"/>
          <w:color w:val="auto"/>
        </w:rPr>
      </w:pPr>
    </w:p>
    <w:p>
      <w:pPr>
        <w:jc w:val="both"/>
        <w:ind w:firstLine="616"/>
        <w:spacing w:after="0" w:line="310" w:lineRule="auto"/>
        <w:rPr>
          <w:sz w:val="20"/>
          <w:szCs w:val="20"/>
          <w:color w:val="auto"/>
        </w:rPr>
      </w:pPr>
      <w:r>
        <w:rPr>
          <w:rFonts w:ascii="Arial" w:cs="Arial" w:eastAsia="Arial" w:hAnsi="Arial"/>
          <w:sz w:val="16"/>
          <w:szCs w:val="16"/>
          <w:color w:val="auto"/>
        </w:rPr>
        <w:t>Financial assets and liabilities with carrying amounts approximating fair value include cash, trade accounts receivable, accounts payable, accrued expenses and other current liabilities. The carrying amount of these financial assets and liabilities approximates fair value because of their short maturities.</w:t>
      </w:r>
    </w:p>
    <w:p>
      <w:pPr>
        <w:spacing w:after="0" w:line="166" w:lineRule="exact"/>
        <w:rPr>
          <w:sz w:val="20"/>
          <w:szCs w:val="20"/>
          <w:color w:val="auto"/>
        </w:rPr>
      </w:pPr>
    </w:p>
    <w:p>
      <w:pPr>
        <w:jc w:val="both"/>
        <w:ind w:firstLine="616"/>
        <w:spacing w:after="0" w:line="310" w:lineRule="auto"/>
        <w:rPr>
          <w:sz w:val="20"/>
          <w:szCs w:val="20"/>
          <w:color w:val="auto"/>
        </w:rPr>
      </w:pPr>
      <w:r>
        <w:rPr>
          <w:rFonts w:ascii="Arial" w:cs="Arial" w:eastAsia="Arial" w:hAnsi="Arial"/>
          <w:sz w:val="16"/>
          <w:szCs w:val="16"/>
          <w:color w:val="auto"/>
        </w:rPr>
        <w:t>Our line of credit and notes payable, including current portion, as of December 31, 2012, had a carrying value of $20,137. This carrying value approximates fair value. The fair value is based on interest rates that are currently available to us for issuance of debt with similar terms and remaining maturities.</w:t>
      </w:r>
    </w:p>
    <w:p>
      <w:pPr>
        <w:spacing w:after="0" w:line="14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See Note 5 for further discussion of the valuation of our derivative liability.</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4 - ACQUISITIONS</w:t>
      </w: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Fiscal 2012 Acquisition</w:t>
      </w:r>
    </w:p>
    <w:p>
      <w:pPr>
        <w:spacing w:after="0" w:line="247" w:lineRule="exact"/>
        <w:rPr>
          <w:sz w:val="20"/>
          <w:szCs w:val="20"/>
          <w:color w:val="auto"/>
        </w:rPr>
      </w:pPr>
    </w:p>
    <w:p>
      <w:pPr>
        <w:jc w:val="both"/>
        <w:ind w:firstLine="616"/>
        <w:spacing w:after="0" w:line="264" w:lineRule="auto"/>
        <w:rPr>
          <w:sz w:val="20"/>
          <w:szCs w:val="20"/>
          <w:color w:val="auto"/>
        </w:rPr>
      </w:pPr>
      <w:r>
        <w:rPr>
          <w:rFonts w:ascii="Arial" w:cs="Arial" w:eastAsia="Arial" w:hAnsi="Arial"/>
          <w:sz w:val="17"/>
          <w:szCs w:val="17"/>
          <w:color w:val="auto"/>
        </w:rPr>
        <w:t>In July 2012, Asure acquired the capital stock of Meeting Maker – United States, Inc., doing business as PeopleCube, for a combination of cash and Asure common stock. The 2012 acquisition of PeopleCube gave Asure a product line that includes software to assist customers in driving integrated facility management of offices, conference rooms, video conferencing, events and training, alternative workspaces and lobby use.</w:t>
      </w:r>
    </w:p>
    <w:p>
      <w:pPr>
        <w:spacing w:after="0" w:line="202" w:lineRule="exact"/>
        <w:rPr>
          <w:sz w:val="20"/>
          <w:szCs w:val="20"/>
          <w:color w:val="auto"/>
        </w:rPr>
      </w:pPr>
    </w:p>
    <w:p>
      <w:pPr>
        <w:jc w:val="both"/>
        <w:ind w:firstLine="616"/>
        <w:spacing w:after="0" w:line="278" w:lineRule="auto"/>
        <w:rPr>
          <w:sz w:val="20"/>
          <w:szCs w:val="20"/>
          <w:color w:val="auto"/>
        </w:rPr>
      </w:pPr>
      <w:r>
        <w:rPr>
          <w:rFonts w:ascii="Arial" w:cs="Arial" w:eastAsia="Arial" w:hAnsi="Arial"/>
          <w:sz w:val="16"/>
          <w:szCs w:val="16"/>
          <w:color w:val="auto"/>
        </w:rPr>
        <w:t>The purchase price was composed of $9,800 in cash, subject to a post-closing working capital adjustment, (ii) 255 shares of our common stock, par value $0.01 per share, representing just under five percent of Asure’s outstanding shares and valued at $2.94 per share and (iii) an additional $3,000 note from us that is due on October 31, 2014, subject to offset of any amounts owed by the seller under the indemnification provisions of the stock purchase agreement. The note was adjusted to a fair value of $2,404 based on the Company’s incremental borrowing rate. Details regarding the financing of the acquisition are described in the below Notes Payable table. Transactions costs for this acquisition were $905 and were expensed as incurred.</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326" w:right="239" w:bottom="1440" w:gutter="0" w:footer="0" w:header="0"/>
        </w:sectPr>
      </w:pPr>
    </w:p>
    <w:bookmarkStart w:id="35" w:name="page36"/>
    <w:bookmarkEnd w:id="3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ASURE SOFTWARE,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thousands, except share and per share data or otherwise noted)</w:t>
      </w:r>
    </w:p>
    <w:p>
      <w:pPr>
        <w:spacing w:after="0" w:line="230" w:lineRule="exact"/>
        <w:rPr>
          <w:sz w:val="20"/>
          <w:szCs w:val="20"/>
          <w:color w:val="auto"/>
        </w:rPr>
      </w:pPr>
    </w:p>
    <w:p>
      <w:pPr>
        <w:jc w:val="both"/>
        <w:ind w:firstLine="616"/>
        <w:spacing w:after="0" w:line="278" w:lineRule="auto"/>
        <w:rPr>
          <w:sz w:val="20"/>
          <w:szCs w:val="20"/>
          <w:color w:val="auto"/>
        </w:rPr>
      </w:pPr>
      <w:r>
        <w:rPr>
          <w:rFonts w:ascii="Arial" w:cs="Arial" w:eastAsia="Arial" w:hAnsi="Arial"/>
          <w:sz w:val="16"/>
          <w:szCs w:val="16"/>
          <w:color w:val="auto"/>
        </w:rPr>
        <w:t>Following is the purchase price allocations for the acquisition of PeopleCube in 2012. The preliminary fair value estimate for the assets acquired and liabilities assumed for this acquisition was based upon preliminary calculations and valuations and our estimates and assumptions for each of these acquisitions are subject to change as we obtain additional information for our estimates during the respective measurement periods (up to one year from the respective acquisition dates). The primary areas of those preliminary estimates that are not yet finalized related to certain tangible assets and liabilities acquired, certain legal matters and income and non-income based taxes. We expect to deduct goodwill arising from this acquisition for tax purposes over 15 years.</w:t>
      </w:r>
    </w:p>
    <w:p>
      <w:pPr>
        <w:spacing w:after="0" w:line="167" w:lineRule="exact"/>
        <w:rPr>
          <w:sz w:val="20"/>
          <w:szCs w:val="20"/>
          <w:color w:val="auto"/>
        </w:rPr>
      </w:pPr>
    </w:p>
    <w:p>
      <w:pPr>
        <w:jc w:val="both"/>
        <w:ind w:firstLine="616"/>
        <w:spacing w:after="0" w:line="297" w:lineRule="auto"/>
        <w:rPr>
          <w:sz w:val="20"/>
          <w:szCs w:val="20"/>
          <w:color w:val="auto"/>
        </w:rPr>
      </w:pPr>
      <w:r>
        <w:rPr>
          <w:rFonts w:ascii="Arial" w:cs="Arial" w:eastAsia="Arial" w:hAnsi="Arial"/>
          <w:sz w:val="15"/>
          <w:szCs w:val="15"/>
          <w:color w:val="auto"/>
        </w:rPr>
        <w:t>We recorded the transaction using the acquisition method of accounting and recognized assets and liabilities assumed at their fair value as of the date of acquisition. The $7.4 million of intangible assets subject to amortization consist of $5.2 million in Customer Relationships, $1.8 million in Developed Technology, $338 in Trade Names and $23 in Covenant not-to-compete. The fair value of the Customer Relationships has been estimated using the excess earnings method, a form of the income approach and cash flow projections were discounted using a rate of 16.6 percent, which reflects the risk associated with the intangible asset related to the other assets and the overall business operations to us. The fair value of the Developed Technology and Trade names has been estimated using the relief from royalty method based upon a 5% royalty rate. Covenant not-to-compete has been estimated using a damages calculation, which is the form of the income approach.</w:t>
      </w:r>
    </w:p>
    <w:p>
      <w:pPr>
        <w:spacing w:after="0" w:line="151" w:lineRule="exact"/>
        <w:rPr>
          <w:sz w:val="20"/>
          <w:szCs w:val="20"/>
          <w:color w:val="auto"/>
        </w:rPr>
      </w:pPr>
    </w:p>
    <w:tbl>
      <w:tblPr>
        <w:tblLayout w:type="fixed"/>
        <w:tblInd w:w="620" w:type="dxa"/>
        <w:tblCellMar>
          <w:top w:w="0" w:type="dxa"/>
          <w:left w:w="0" w:type="dxa"/>
          <w:bottom w:w="0" w:type="dxa"/>
          <w:right w:w="0" w:type="dxa"/>
        </w:tblCellMar>
      </w:tblPr>
      <w:tr>
        <w:trPr>
          <w:trHeight w:val="222"/>
        </w:trPr>
        <w:tc>
          <w:tcPr>
            <w:tcW w:w="5740" w:type="dxa"/>
            <w:vAlign w:val="bottom"/>
            <w:gridSpan w:val="2"/>
          </w:tcPr>
          <w:p>
            <w:pPr>
              <w:ind w:left="820"/>
              <w:spacing w:after="0"/>
              <w:rPr>
                <w:sz w:val="20"/>
                <w:szCs w:val="20"/>
                <w:color w:val="auto"/>
              </w:rPr>
            </w:pPr>
            <w:r>
              <w:rPr>
                <w:rFonts w:ascii="Arial" w:cs="Arial" w:eastAsia="Arial" w:hAnsi="Arial"/>
                <w:sz w:val="17"/>
                <w:szCs w:val="17"/>
                <w:b w:val="1"/>
                <w:bCs w:val="1"/>
                <w:color w:val="auto"/>
              </w:rPr>
              <w:t>Consideration paid:</w:t>
            </w:r>
          </w:p>
        </w:tc>
        <w:tc>
          <w:tcPr>
            <w:tcW w:w="1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820" w:type="dxa"/>
            <w:vAlign w:val="bottom"/>
          </w:tcPr>
          <w:p>
            <w:pPr>
              <w:spacing w:after="0"/>
              <w:rPr>
                <w:sz w:val="17"/>
                <w:szCs w:val="17"/>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7"/>
                <w:szCs w:val="17"/>
                <w:color w:val="auto"/>
              </w:rPr>
              <w:t>Cash per stock purchase agreement</w:t>
            </w:r>
          </w:p>
        </w:tc>
        <w:tc>
          <w:tcPr>
            <w:tcW w:w="236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10,000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8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7"/>
                <w:szCs w:val="17"/>
                <w:color w:val="auto"/>
              </w:rPr>
              <w:t>Working capital adjustments</w:t>
            </w:r>
          </w:p>
        </w:tc>
        <w:tc>
          <w:tcPr>
            <w:tcW w:w="1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3"/>
          </w:tcPr>
          <w:p>
            <w:pPr>
              <w:jc w:val="right"/>
              <w:ind w:right="60"/>
              <w:spacing w:after="0"/>
              <w:rPr>
                <w:sz w:val="20"/>
                <w:szCs w:val="20"/>
                <w:color w:val="auto"/>
              </w:rPr>
            </w:pPr>
            <w:r>
              <w:rPr>
                <w:rFonts w:ascii="Arial" w:cs="Arial" w:eastAsia="Arial" w:hAnsi="Arial"/>
                <w:sz w:val="17"/>
                <w:szCs w:val="17"/>
                <w:color w:val="auto"/>
              </w:rPr>
              <w:t>(200)</w:t>
            </w:r>
          </w:p>
        </w:tc>
        <w:tc>
          <w:tcPr>
            <w:tcW w:w="0" w:type="dxa"/>
            <w:vAlign w:val="bottom"/>
          </w:tcPr>
          <w:p>
            <w:pPr>
              <w:spacing w:after="0"/>
              <w:rPr>
                <w:sz w:val="1"/>
                <w:szCs w:val="1"/>
                <w:color w:val="auto"/>
              </w:rPr>
            </w:pPr>
          </w:p>
        </w:tc>
      </w:tr>
      <w:tr>
        <w:trPr>
          <w:trHeight w:val="205"/>
        </w:trPr>
        <w:tc>
          <w:tcPr>
            <w:tcW w:w="820" w:type="dxa"/>
            <w:vAlign w:val="bottom"/>
          </w:tcPr>
          <w:p>
            <w:pPr>
              <w:spacing w:after="0"/>
              <w:rPr>
                <w:sz w:val="17"/>
                <w:szCs w:val="17"/>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7"/>
                <w:szCs w:val="17"/>
                <w:color w:val="auto"/>
              </w:rPr>
              <w:t>Total cash paid</w:t>
            </w:r>
          </w:p>
        </w:tc>
        <w:tc>
          <w:tcPr>
            <w:tcW w:w="1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9,800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20" w:type="dxa"/>
            <w:vAlign w:val="bottom"/>
          </w:tcPr>
          <w:p>
            <w:pPr>
              <w:spacing w:after="0"/>
              <w:rPr>
                <w:sz w:val="17"/>
                <w:szCs w:val="17"/>
                <w:color w:val="auto"/>
              </w:rPr>
            </w:pPr>
          </w:p>
        </w:tc>
        <w:tc>
          <w:tcPr>
            <w:tcW w:w="4920" w:type="dxa"/>
            <w:vAlign w:val="bottom"/>
          </w:tcPr>
          <w:p>
            <w:pPr>
              <w:spacing w:after="0"/>
              <w:rPr>
                <w:sz w:val="20"/>
                <w:szCs w:val="20"/>
                <w:color w:val="auto"/>
              </w:rPr>
            </w:pPr>
            <w:r>
              <w:rPr>
                <w:rFonts w:ascii="Arial" w:cs="Arial" w:eastAsia="Arial" w:hAnsi="Arial"/>
                <w:sz w:val="17"/>
                <w:szCs w:val="17"/>
                <w:color w:val="auto"/>
              </w:rPr>
              <w:t>Fair value of note payable</w:t>
            </w:r>
          </w:p>
        </w:tc>
        <w:tc>
          <w:tcPr>
            <w:tcW w:w="1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right"/>
              <w:spacing w:after="0"/>
              <w:rPr>
                <w:sz w:val="20"/>
                <w:szCs w:val="20"/>
                <w:color w:val="auto"/>
              </w:rPr>
            </w:pPr>
            <w:r>
              <w:rPr>
                <w:rFonts w:ascii="Arial" w:cs="Arial" w:eastAsia="Arial" w:hAnsi="Arial"/>
                <w:sz w:val="17"/>
                <w:szCs w:val="17"/>
                <w:color w:val="auto"/>
              </w:rPr>
              <w:t>2,404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820" w:type="dxa"/>
            <w:vAlign w:val="bottom"/>
          </w:tcPr>
          <w:p>
            <w:pPr>
              <w:spacing w:after="0"/>
              <w:rPr>
                <w:sz w:val="18"/>
                <w:szCs w:val="18"/>
                <w:color w:val="auto"/>
              </w:rPr>
            </w:pPr>
          </w:p>
        </w:tc>
        <w:tc>
          <w:tcPr>
            <w:tcW w:w="4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Fair value of stock issued</w:t>
            </w:r>
          </w:p>
        </w:tc>
        <w:tc>
          <w:tcPr>
            <w:tcW w:w="13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747</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7"/>
                <w:szCs w:val="17"/>
                <w:b w:val="1"/>
                <w:bCs w:val="1"/>
                <w:color w:val="auto"/>
              </w:rPr>
              <w:t>Total consideration paid</w:t>
            </w:r>
          </w:p>
        </w:tc>
        <w:tc>
          <w:tcPr>
            <w:tcW w:w="1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12,951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5"/>
        </w:trPr>
        <w:tc>
          <w:tcPr>
            <w:tcW w:w="5740" w:type="dxa"/>
            <w:vAlign w:val="bottom"/>
            <w:gridSpan w:val="2"/>
          </w:tcPr>
          <w:p>
            <w:pPr>
              <w:spacing w:after="0"/>
              <w:rPr>
                <w:sz w:val="20"/>
                <w:szCs w:val="20"/>
                <w:color w:val="auto"/>
              </w:rPr>
            </w:pPr>
            <w:r>
              <w:rPr>
                <w:rFonts w:ascii="Arial" w:cs="Arial" w:eastAsia="Arial" w:hAnsi="Arial"/>
                <w:sz w:val="17"/>
                <w:szCs w:val="17"/>
                <w:color w:val="auto"/>
              </w:rPr>
              <w:t>We based the allocations on fair values at the date of acquisition:</w:t>
            </w:r>
          </w:p>
        </w:tc>
        <w:tc>
          <w:tcPr>
            <w:tcW w:w="1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3"/>
        </w:trPr>
        <w:tc>
          <w:tcPr>
            <w:tcW w:w="82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340" w:type="dxa"/>
            <w:vAlign w:val="bottom"/>
            <w:gridSpan w:val="5"/>
          </w:tcPr>
          <w:p>
            <w:pPr>
              <w:jc w:val="right"/>
              <w:ind w:right="1080"/>
              <w:spacing w:after="0"/>
              <w:rPr>
                <w:sz w:val="20"/>
                <w:szCs w:val="20"/>
                <w:color w:val="auto"/>
              </w:rPr>
            </w:pPr>
            <w:r>
              <w:rPr>
                <w:rFonts w:ascii="Arial" w:cs="Arial" w:eastAsia="Arial" w:hAnsi="Arial"/>
                <w:sz w:val="17"/>
                <w:szCs w:val="17"/>
                <w:b w:val="1"/>
                <w:bCs w:val="1"/>
                <w:color w:val="auto"/>
              </w:rPr>
              <w:t>PeopleCube</w:t>
            </w:r>
          </w:p>
        </w:tc>
        <w:tc>
          <w:tcPr>
            <w:tcW w:w="0" w:type="dxa"/>
            <w:vAlign w:val="bottom"/>
          </w:tcPr>
          <w:p>
            <w:pPr>
              <w:spacing w:after="0"/>
              <w:rPr>
                <w:sz w:val="1"/>
                <w:szCs w:val="1"/>
                <w:color w:val="auto"/>
              </w:rPr>
            </w:pPr>
          </w:p>
        </w:tc>
      </w:tr>
      <w:tr>
        <w:trPr>
          <w:trHeight w:val="204"/>
        </w:trPr>
        <w:tc>
          <w:tcPr>
            <w:tcW w:w="5740" w:type="dxa"/>
            <w:vAlign w:val="bottom"/>
            <w:gridSpan w:val="2"/>
          </w:tcPr>
          <w:p>
            <w:pPr>
              <w:ind w:left="820"/>
              <w:spacing w:after="0"/>
              <w:rPr>
                <w:sz w:val="20"/>
                <w:szCs w:val="20"/>
                <w:color w:val="auto"/>
              </w:rPr>
            </w:pPr>
            <w:r>
              <w:rPr>
                <w:rFonts w:ascii="Arial" w:cs="Arial" w:eastAsia="Arial" w:hAnsi="Arial"/>
                <w:sz w:val="17"/>
                <w:szCs w:val="17"/>
                <w:b w:val="1"/>
                <w:bCs w:val="1"/>
                <w:color w:val="auto"/>
              </w:rPr>
              <w:t>Assets Acquired</w:t>
            </w:r>
          </w:p>
        </w:tc>
        <w:tc>
          <w:tcPr>
            <w:tcW w:w="130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20" w:type="dxa"/>
            <w:vAlign w:val="bottom"/>
          </w:tcPr>
          <w:p>
            <w:pPr>
              <w:spacing w:after="0"/>
              <w:rPr>
                <w:sz w:val="17"/>
                <w:szCs w:val="17"/>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7"/>
                <w:szCs w:val="17"/>
                <w:color w:val="auto"/>
              </w:rPr>
              <w:t>Accounts receivable</w:t>
            </w:r>
          </w:p>
        </w:tc>
        <w:tc>
          <w:tcPr>
            <w:tcW w:w="2160" w:type="dxa"/>
            <w:vAlign w:val="bottom"/>
            <w:gridSpan w:val="2"/>
            <w:shd w:val="clear" w:color="auto" w:fill="CCEEFF"/>
          </w:tcPr>
          <w:p>
            <w:pPr>
              <w:jc w:val="right"/>
              <w:ind w:right="394"/>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2,608</w:t>
            </w: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20" w:type="dxa"/>
            <w:vAlign w:val="bottom"/>
          </w:tcPr>
          <w:p>
            <w:pPr>
              <w:spacing w:after="0"/>
              <w:rPr>
                <w:sz w:val="17"/>
                <w:szCs w:val="17"/>
                <w:color w:val="auto"/>
              </w:rPr>
            </w:pPr>
          </w:p>
        </w:tc>
        <w:tc>
          <w:tcPr>
            <w:tcW w:w="4920" w:type="dxa"/>
            <w:vAlign w:val="bottom"/>
          </w:tcPr>
          <w:p>
            <w:pPr>
              <w:spacing w:after="0"/>
              <w:rPr>
                <w:sz w:val="20"/>
                <w:szCs w:val="20"/>
                <w:color w:val="auto"/>
              </w:rPr>
            </w:pPr>
            <w:r>
              <w:rPr>
                <w:rFonts w:ascii="Arial" w:cs="Arial" w:eastAsia="Arial" w:hAnsi="Arial"/>
                <w:sz w:val="17"/>
                <w:szCs w:val="17"/>
                <w:color w:val="auto"/>
              </w:rPr>
              <w:t>Fixed assets</w:t>
            </w:r>
          </w:p>
        </w:tc>
        <w:tc>
          <w:tcPr>
            <w:tcW w:w="1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117</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20" w:type="dxa"/>
            <w:vAlign w:val="bottom"/>
          </w:tcPr>
          <w:p>
            <w:pPr>
              <w:spacing w:after="0"/>
              <w:rPr>
                <w:sz w:val="17"/>
                <w:szCs w:val="17"/>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7"/>
                <w:szCs w:val="17"/>
                <w:color w:val="auto"/>
              </w:rPr>
              <w:t>Other assets</w:t>
            </w:r>
          </w:p>
        </w:tc>
        <w:tc>
          <w:tcPr>
            <w:tcW w:w="1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w:t>
            </w: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20" w:type="dxa"/>
            <w:vAlign w:val="bottom"/>
          </w:tcPr>
          <w:p>
            <w:pPr>
              <w:spacing w:after="0"/>
              <w:rPr>
                <w:sz w:val="17"/>
                <w:szCs w:val="17"/>
                <w:color w:val="auto"/>
              </w:rPr>
            </w:pPr>
          </w:p>
        </w:tc>
        <w:tc>
          <w:tcPr>
            <w:tcW w:w="4920" w:type="dxa"/>
            <w:vAlign w:val="bottom"/>
          </w:tcPr>
          <w:p>
            <w:pPr>
              <w:spacing w:after="0"/>
              <w:rPr>
                <w:sz w:val="20"/>
                <w:szCs w:val="20"/>
                <w:color w:val="auto"/>
              </w:rPr>
            </w:pPr>
            <w:r>
              <w:rPr>
                <w:rFonts w:ascii="Arial" w:cs="Arial" w:eastAsia="Arial" w:hAnsi="Arial"/>
                <w:sz w:val="17"/>
                <w:szCs w:val="17"/>
                <w:color w:val="auto"/>
              </w:rPr>
              <w:t>Goodwill</w:t>
            </w:r>
          </w:p>
        </w:tc>
        <w:tc>
          <w:tcPr>
            <w:tcW w:w="1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9,276</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820" w:type="dxa"/>
            <w:vAlign w:val="bottom"/>
          </w:tcPr>
          <w:p>
            <w:pPr>
              <w:spacing w:after="0"/>
              <w:rPr>
                <w:sz w:val="18"/>
                <w:szCs w:val="18"/>
                <w:color w:val="auto"/>
              </w:rPr>
            </w:pPr>
          </w:p>
        </w:tc>
        <w:tc>
          <w:tcPr>
            <w:tcW w:w="4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Intangibles</w:t>
            </w:r>
          </w:p>
        </w:tc>
        <w:tc>
          <w:tcPr>
            <w:tcW w:w="13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7,445</w:t>
            </w:r>
          </w:p>
        </w:tc>
        <w:tc>
          <w:tcPr>
            <w:tcW w:w="5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7"/>
                <w:szCs w:val="17"/>
                <w:b w:val="1"/>
                <w:bCs w:val="1"/>
                <w:color w:val="auto"/>
              </w:rPr>
              <w:t>Total assets acquired</w:t>
            </w:r>
          </w:p>
        </w:tc>
        <w:tc>
          <w:tcPr>
            <w:tcW w:w="130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19,570</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820" w:type="dxa"/>
            <w:vAlign w:val="bottom"/>
            <w:vMerge w:val="restart"/>
          </w:tcPr>
          <w:p>
            <w:pPr>
              <w:spacing w:after="0"/>
              <w:rPr>
                <w:sz w:val="17"/>
                <w:szCs w:val="17"/>
                <w:color w:val="auto"/>
              </w:rPr>
            </w:pPr>
          </w:p>
        </w:tc>
        <w:tc>
          <w:tcPr>
            <w:tcW w:w="49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20" w:type="dxa"/>
            <w:vAlign w:val="bottom"/>
            <w:vMerge w:val="continue"/>
          </w:tcPr>
          <w:p>
            <w:pPr>
              <w:spacing w:after="0"/>
              <w:rPr>
                <w:sz w:val="17"/>
                <w:szCs w:val="17"/>
                <w:color w:val="auto"/>
              </w:rPr>
            </w:pPr>
          </w:p>
        </w:tc>
        <w:tc>
          <w:tcPr>
            <w:tcW w:w="4920" w:type="dxa"/>
            <w:vAlign w:val="bottom"/>
          </w:tcPr>
          <w:p>
            <w:pPr>
              <w:spacing w:after="0"/>
              <w:rPr>
                <w:sz w:val="20"/>
                <w:szCs w:val="20"/>
                <w:color w:val="auto"/>
              </w:rPr>
            </w:pPr>
            <w:r>
              <w:rPr>
                <w:rFonts w:ascii="Arial" w:cs="Arial" w:eastAsia="Arial" w:hAnsi="Arial"/>
                <w:sz w:val="17"/>
                <w:szCs w:val="17"/>
                <w:b w:val="1"/>
                <w:bCs w:val="1"/>
                <w:color w:val="auto"/>
              </w:rPr>
              <w:t>Liabilities assumed</w:t>
            </w:r>
          </w:p>
        </w:tc>
        <w:tc>
          <w:tcPr>
            <w:tcW w:w="1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20" w:type="dxa"/>
            <w:vAlign w:val="bottom"/>
          </w:tcPr>
          <w:p>
            <w:pPr>
              <w:spacing w:after="0"/>
              <w:rPr>
                <w:sz w:val="17"/>
                <w:szCs w:val="17"/>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7"/>
                <w:szCs w:val="17"/>
                <w:color w:val="auto"/>
              </w:rPr>
              <w:t>Accounts payable</w:t>
            </w:r>
          </w:p>
        </w:tc>
        <w:tc>
          <w:tcPr>
            <w:tcW w:w="1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(671)</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20" w:type="dxa"/>
            <w:vAlign w:val="bottom"/>
          </w:tcPr>
          <w:p>
            <w:pPr>
              <w:spacing w:after="0"/>
              <w:rPr>
                <w:sz w:val="17"/>
                <w:szCs w:val="17"/>
                <w:color w:val="auto"/>
              </w:rPr>
            </w:pPr>
          </w:p>
        </w:tc>
        <w:tc>
          <w:tcPr>
            <w:tcW w:w="4920" w:type="dxa"/>
            <w:vAlign w:val="bottom"/>
          </w:tcPr>
          <w:p>
            <w:pPr>
              <w:spacing w:after="0"/>
              <w:rPr>
                <w:sz w:val="20"/>
                <w:szCs w:val="20"/>
                <w:color w:val="auto"/>
              </w:rPr>
            </w:pPr>
            <w:r>
              <w:rPr>
                <w:rFonts w:ascii="Arial" w:cs="Arial" w:eastAsia="Arial" w:hAnsi="Arial"/>
                <w:sz w:val="17"/>
                <w:szCs w:val="17"/>
                <w:color w:val="auto"/>
              </w:rPr>
              <w:t>Accrued other liabilities</w:t>
            </w:r>
          </w:p>
        </w:tc>
        <w:tc>
          <w:tcPr>
            <w:tcW w:w="1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7"/>
                <w:szCs w:val="17"/>
                <w:color w:val="auto"/>
              </w:rPr>
              <w:t>(245)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20" w:type="dxa"/>
            <w:vAlign w:val="bottom"/>
          </w:tcPr>
          <w:p>
            <w:pPr>
              <w:spacing w:after="0"/>
              <w:rPr>
                <w:sz w:val="17"/>
                <w:szCs w:val="17"/>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7"/>
                <w:szCs w:val="17"/>
                <w:color w:val="auto"/>
              </w:rPr>
              <w:t>Subordinated notes payable</w:t>
            </w:r>
          </w:p>
        </w:tc>
        <w:tc>
          <w:tcPr>
            <w:tcW w:w="1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(1,614)</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20" w:type="dxa"/>
            <w:vAlign w:val="bottom"/>
          </w:tcPr>
          <w:p>
            <w:pPr>
              <w:spacing w:after="0"/>
              <w:rPr>
                <w:sz w:val="17"/>
                <w:szCs w:val="17"/>
                <w:color w:val="auto"/>
              </w:rPr>
            </w:pPr>
          </w:p>
        </w:tc>
        <w:tc>
          <w:tcPr>
            <w:tcW w:w="4920" w:type="dxa"/>
            <w:vAlign w:val="bottom"/>
          </w:tcPr>
          <w:p>
            <w:pPr>
              <w:spacing w:after="0"/>
              <w:rPr>
                <w:sz w:val="20"/>
                <w:szCs w:val="20"/>
                <w:color w:val="auto"/>
              </w:rPr>
            </w:pPr>
            <w:r>
              <w:rPr>
                <w:rFonts w:ascii="Arial" w:cs="Arial" w:eastAsia="Arial" w:hAnsi="Arial"/>
                <w:sz w:val="17"/>
                <w:szCs w:val="17"/>
                <w:color w:val="auto"/>
              </w:rPr>
              <w:t>Deferred revenue</w:t>
            </w:r>
          </w:p>
        </w:tc>
        <w:tc>
          <w:tcPr>
            <w:tcW w:w="1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7"/>
                <w:szCs w:val="17"/>
                <w:color w:val="auto"/>
              </w:rPr>
              <w:t>(4,089)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820" w:type="dxa"/>
            <w:vAlign w:val="bottom"/>
            <w:vMerge w:val="restart"/>
          </w:tcPr>
          <w:p>
            <w:pPr>
              <w:spacing w:after="0"/>
              <w:rPr>
                <w:sz w:val="2"/>
                <w:szCs w:val="2"/>
                <w:color w:val="auto"/>
              </w:rPr>
            </w:pPr>
          </w:p>
        </w:tc>
        <w:tc>
          <w:tcPr>
            <w:tcW w:w="49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8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Total liabilities assumed</w:t>
            </w:r>
          </w:p>
        </w:tc>
        <w:tc>
          <w:tcPr>
            <w:tcW w:w="1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b w:val="1"/>
                <w:bCs w:val="1"/>
                <w:color w:val="auto"/>
              </w:rPr>
              <w:t>(6,619)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820" w:type="dxa"/>
            <w:vAlign w:val="bottom"/>
            <w:vMerge w:val="restart"/>
          </w:tcPr>
          <w:p>
            <w:pPr>
              <w:spacing w:after="0"/>
              <w:rPr>
                <w:sz w:val="17"/>
                <w:szCs w:val="17"/>
                <w:color w:val="auto"/>
              </w:rPr>
            </w:pPr>
          </w:p>
        </w:tc>
        <w:tc>
          <w:tcPr>
            <w:tcW w:w="4920" w:type="dxa"/>
            <w:vAlign w:val="bottom"/>
            <w:tcBorders>
              <w:top w:val="single" w:sz="8" w:color="CCEEFF"/>
            </w:tcBorders>
          </w:tcPr>
          <w:p>
            <w:pPr>
              <w:spacing w:after="0"/>
              <w:rPr>
                <w:sz w:val="17"/>
                <w:szCs w:val="17"/>
                <w:color w:val="auto"/>
              </w:rPr>
            </w:pPr>
          </w:p>
        </w:tc>
        <w:tc>
          <w:tcPr>
            <w:tcW w:w="1300" w:type="dxa"/>
            <w:vAlign w:val="bottom"/>
            <w:tcBorders>
              <w:top w:val="single" w:sz="8" w:color="CCEEFF"/>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20" w:type="dxa"/>
            <w:vAlign w:val="bottom"/>
            <w:vMerge w:val="continue"/>
          </w:tcPr>
          <w:p>
            <w:pPr>
              <w:spacing w:after="0"/>
              <w:rPr>
                <w:sz w:val="19"/>
                <w:szCs w:val="19"/>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Net assets acquired</w:t>
            </w:r>
          </w:p>
        </w:tc>
        <w:tc>
          <w:tcPr>
            <w:tcW w:w="2160" w:type="dxa"/>
            <w:vAlign w:val="bottom"/>
            <w:gridSpan w:val="2"/>
            <w:shd w:val="clear" w:color="auto" w:fill="CCEEFF"/>
          </w:tcPr>
          <w:p>
            <w:pPr>
              <w:jc w:val="right"/>
              <w:ind w:right="694"/>
              <w:spacing w:after="0"/>
              <w:rPr>
                <w:sz w:val="20"/>
                <w:szCs w:val="20"/>
                <w:color w:val="auto"/>
              </w:rPr>
            </w:pPr>
            <w:r>
              <w:rPr>
                <w:rFonts w:ascii="Arial" w:cs="Arial" w:eastAsia="Arial" w:hAnsi="Arial"/>
                <w:sz w:val="17"/>
                <w:szCs w:val="17"/>
                <w:b w:val="1"/>
                <w:bCs w:val="1"/>
                <w:color w:val="auto"/>
              </w:rPr>
              <w:t>$</w:t>
            </w: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12,951</w:t>
            </w: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492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Fiscal 2011 Acquisitions</w:t>
      </w:r>
    </w:p>
    <w:p>
      <w:pPr>
        <w:spacing w:after="0" w:line="247" w:lineRule="exact"/>
        <w:rPr>
          <w:sz w:val="20"/>
          <w:szCs w:val="20"/>
          <w:color w:val="auto"/>
        </w:rPr>
      </w:pPr>
    </w:p>
    <w:p>
      <w:pPr>
        <w:ind w:firstLine="616"/>
        <w:spacing w:after="0" w:line="277" w:lineRule="auto"/>
        <w:rPr>
          <w:sz w:val="20"/>
          <w:szCs w:val="20"/>
          <w:color w:val="auto"/>
        </w:rPr>
      </w:pPr>
      <w:r>
        <w:rPr>
          <w:rFonts w:ascii="Arial" w:cs="Arial" w:eastAsia="Arial" w:hAnsi="Arial"/>
          <w:sz w:val="17"/>
          <w:szCs w:val="17"/>
          <w:color w:val="auto"/>
        </w:rPr>
        <w:t>During 2011, we made two acquisitions for approximately $10,400 in aggregate purchase consideration. We funded the 2011 acquisitions from available cash on hand, long-term debt and promissory notes issued to the sellers.</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ASURE SOFTWARE,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thousands, except share and per share data or otherwise noted)</w:t>
      </w:r>
    </w:p>
    <w:p>
      <w:pPr>
        <w:spacing w:after="0" w:line="230" w:lineRule="exact"/>
        <w:rPr>
          <w:sz w:val="20"/>
          <w:szCs w:val="20"/>
          <w:color w:val="auto"/>
        </w:rPr>
      </w:pPr>
    </w:p>
    <w:p>
      <w:pPr>
        <w:jc w:val="both"/>
        <w:ind w:firstLine="616"/>
        <w:spacing w:after="0" w:line="301" w:lineRule="auto"/>
        <w:rPr>
          <w:sz w:val="20"/>
          <w:szCs w:val="20"/>
          <w:color w:val="auto"/>
        </w:rPr>
      </w:pPr>
      <w:r>
        <w:rPr>
          <w:rFonts w:ascii="Arial" w:cs="Arial" w:eastAsia="Arial" w:hAnsi="Arial"/>
          <w:sz w:val="15"/>
          <w:szCs w:val="15"/>
          <w:color w:val="auto"/>
        </w:rPr>
        <w:t>In October 2011, we purchased (through a wholly-owned subsidiary) substantially all of the assets and assumed certain liabilities of ADI Time, LLC relating to its time and attendance software and management services business. The purchase price for the assets consisted of $6,000 in cash and a $1,095 promissory note from our subsidiary, guaranteed by us. The note bears interest at an annual rate of 0.16% and will mature on October 1, 2014. We may offset any indemnification payments owed by ADI to us under the asset purchase agreement against up to $1,000 under the note. We funded the cash portion of the purchase price with our cash on hand and proceeds from our bank financing. Details regarding the financing of the acquisition is described in the below Notes Payable table.</w:t>
      </w:r>
    </w:p>
    <w:p>
      <w:pPr>
        <w:spacing w:after="0" w:line="150" w:lineRule="exact"/>
        <w:rPr>
          <w:sz w:val="20"/>
          <w:szCs w:val="20"/>
          <w:color w:val="auto"/>
        </w:rPr>
      </w:pPr>
    </w:p>
    <w:p>
      <w:pPr>
        <w:jc w:val="both"/>
        <w:ind w:firstLine="616"/>
        <w:spacing w:after="0" w:line="272" w:lineRule="auto"/>
        <w:rPr>
          <w:sz w:val="20"/>
          <w:szCs w:val="20"/>
          <w:color w:val="auto"/>
        </w:rPr>
      </w:pPr>
      <w:r>
        <w:rPr>
          <w:rFonts w:ascii="Arial" w:cs="Arial" w:eastAsia="Arial" w:hAnsi="Arial"/>
          <w:sz w:val="16"/>
          <w:szCs w:val="16"/>
          <w:color w:val="auto"/>
        </w:rPr>
        <w:t>In December 2011, we purchased (through a wholly-owned subsidiary) substantially all of the assets and assumed certain liabilities of WG Ross Corp., d/b/a Legiant, relating to its cloud computing time and attendance software and management services. The purchase price for the assets was $4,000, consisting of approximately $1,511 in cash and three subordinated promissory notes in the aggregate principal amount of approximately $2,489, as adjusted pursuant to the terms of the asset purchase agreement. One of the promissory notes is for an aggregate principal amount of $250, bears interest at an annual rate of 0.20%, matured on February 1, 2012 and was paid in full. The second promissory note is for an aggregate principal amount of approximately $479, bears interest at an annual rate of 5.00%, and will mature on October 1, 2014. The third promissory note is for an aggregate principal amount of approximately $1,761, bears interest at an annual rate of 0.20%, and will mature on October 1, 2014. We may offset any indemnification payments owed by Legiant to us under the asset purchase agreement against up to $1,000 of the amount due on third promissory note. We have guaranteed all three promissory notes issued by our subsidiary, which are subordinated to our bank financing. We funded the cash portion of the purchase price with our cash on hand and proceeds from our bank financing. Details regarding the financing of the acquisition is described in the below Notes Payable table.</w:t>
      </w:r>
    </w:p>
    <w:p>
      <w:pPr>
        <w:spacing w:after="0" w:line="17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Transaction costs for these acquisitions were $130 and were expensed as incurred.</w:t>
      </w:r>
    </w:p>
    <w:p>
      <w:pPr>
        <w:spacing w:after="0" w:line="215" w:lineRule="exact"/>
        <w:rPr>
          <w:sz w:val="20"/>
          <w:szCs w:val="20"/>
          <w:color w:val="auto"/>
        </w:rPr>
      </w:pPr>
    </w:p>
    <w:p>
      <w:pPr>
        <w:jc w:val="both"/>
        <w:ind w:firstLine="616"/>
        <w:spacing w:after="0" w:line="264" w:lineRule="auto"/>
        <w:rPr>
          <w:sz w:val="20"/>
          <w:szCs w:val="20"/>
          <w:color w:val="auto"/>
        </w:rPr>
      </w:pPr>
      <w:r>
        <w:rPr>
          <w:rFonts w:ascii="Arial" w:cs="Arial" w:eastAsia="Arial" w:hAnsi="Arial"/>
          <w:sz w:val="17"/>
          <w:szCs w:val="17"/>
          <w:color w:val="auto"/>
        </w:rPr>
        <w:t>Following are the aggregate purchase price allocations for the acquisitions of ADI and Legiant in 2011. As of December 31, 2012, we have finalized the measurement period for these acquisitions . We expect to deduct goodwill arising from these acquisitions for tax purposes over 15 years. We based the allocations on fair values at the dates of acquisition:</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44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900" w:type="dxa"/>
            <w:vAlign w:val="bottom"/>
          </w:tcPr>
          <w:p>
            <w:pPr>
              <w:ind w:left="520"/>
              <w:spacing w:after="0"/>
              <w:rPr>
                <w:sz w:val="20"/>
                <w:szCs w:val="20"/>
                <w:color w:val="auto"/>
              </w:rPr>
            </w:pPr>
            <w:r>
              <w:rPr>
                <w:rFonts w:ascii="Arial" w:cs="Arial" w:eastAsia="Arial" w:hAnsi="Arial"/>
                <w:sz w:val="17"/>
                <w:szCs w:val="17"/>
                <w:b w:val="1"/>
                <w:bCs w:val="1"/>
                <w:color w:val="auto"/>
              </w:rPr>
              <w:t>ADI</w:t>
            </w: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ind w:left="400"/>
              <w:spacing w:after="0"/>
              <w:rPr>
                <w:sz w:val="20"/>
                <w:szCs w:val="20"/>
                <w:color w:val="auto"/>
              </w:rPr>
            </w:pPr>
            <w:r>
              <w:rPr>
                <w:rFonts w:ascii="Arial" w:cs="Arial" w:eastAsia="Arial" w:hAnsi="Arial"/>
                <w:sz w:val="17"/>
                <w:szCs w:val="17"/>
                <w:b w:val="1"/>
                <w:bCs w:val="1"/>
                <w:color w:val="auto"/>
                <w:w w:val="89"/>
              </w:rPr>
              <w:t>Legiant</w:t>
            </w: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gridSpan w:val="2"/>
          </w:tcPr>
          <w:p>
            <w:pPr>
              <w:jc w:val="right"/>
              <w:ind w:right="620"/>
              <w:spacing w:after="0"/>
              <w:rPr>
                <w:sz w:val="20"/>
                <w:szCs w:val="20"/>
                <w:color w:val="auto"/>
              </w:rPr>
            </w:pPr>
            <w:r>
              <w:rPr>
                <w:rFonts w:ascii="Arial" w:cs="Arial" w:eastAsia="Arial" w:hAnsi="Arial"/>
                <w:sz w:val="17"/>
                <w:szCs w:val="17"/>
                <w:b w:val="1"/>
                <w:bCs w:val="1"/>
                <w:color w:val="auto"/>
              </w:rPr>
              <w:t>Total</w:t>
            </w: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1440" w:type="dxa"/>
            <w:vAlign w:val="bottom"/>
            <w:vMerge w:val="restart"/>
          </w:tcPr>
          <w:p>
            <w:pPr>
              <w:spacing w:after="0"/>
              <w:rPr>
                <w:sz w:val="17"/>
                <w:szCs w:val="17"/>
                <w:color w:val="auto"/>
              </w:rPr>
            </w:pPr>
          </w:p>
        </w:tc>
        <w:tc>
          <w:tcPr>
            <w:tcW w:w="388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440" w:type="dxa"/>
            <w:vAlign w:val="bottom"/>
            <w:vMerge w:val="continue"/>
          </w:tcPr>
          <w:p>
            <w:pPr>
              <w:spacing w:after="0"/>
              <w:rPr>
                <w:sz w:val="17"/>
                <w:szCs w:val="17"/>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Consideration paid net of Cash received</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6,697</w:t>
            </w: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89"/>
              </w:rPr>
              <w:t>3,704</w:t>
            </w:r>
          </w:p>
        </w:tc>
        <w:tc>
          <w:tcPr>
            <w:tcW w:w="24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10,401</w:t>
            </w:r>
          </w:p>
        </w:tc>
        <w:tc>
          <w:tcPr>
            <w:tcW w:w="120" w:type="dxa"/>
            <w:vAlign w:val="bottom"/>
            <w:shd w:val="clear" w:color="auto" w:fill="CCEEFF"/>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144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440" w:type="dxa"/>
            <w:vAlign w:val="bottom"/>
          </w:tcPr>
          <w:p>
            <w:pPr>
              <w:spacing w:after="0"/>
              <w:rPr>
                <w:sz w:val="17"/>
                <w:szCs w:val="17"/>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Less: Original issue discount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(244)</w:t>
            </w:r>
          </w:p>
        </w:tc>
        <w:tc>
          <w:tcPr>
            <w:tcW w:w="9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(382)</w:t>
            </w:r>
          </w:p>
        </w:tc>
        <w:tc>
          <w:tcPr>
            <w:tcW w:w="15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(626)</w:t>
            </w: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144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1440" w:type="dxa"/>
            <w:vAlign w:val="bottom"/>
          </w:tcPr>
          <w:p>
            <w:pPr>
              <w:spacing w:after="0"/>
              <w:rPr>
                <w:sz w:val="21"/>
                <w:szCs w:val="21"/>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Total</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6,453</w:t>
            </w:r>
          </w:p>
        </w:tc>
        <w:tc>
          <w:tcPr>
            <w:tcW w:w="2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89"/>
              </w:rPr>
              <w:t>3,322</w:t>
            </w:r>
          </w:p>
        </w:tc>
        <w:tc>
          <w:tcPr>
            <w:tcW w:w="24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9,775</w:t>
            </w:r>
          </w:p>
        </w:tc>
        <w:tc>
          <w:tcPr>
            <w:tcW w:w="120" w:type="dxa"/>
            <w:vAlign w:val="bottom"/>
            <w:shd w:val="clear" w:color="auto" w:fill="CCEEFF"/>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1440" w:type="dxa"/>
            <w:vAlign w:val="bottom"/>
            <w:vMerge w:val="restart"/>
          </w:tcPr>
          <w:p>
            <w:pPr>
              <w:spacing w:after="0"/>
              <w:rPr>
                <w:sz w:val="17"/>
                <w:szCs w:val="17"/>
                <w:color w:val="auto"/>
              </w:rPr>
            </w:pPr>
          </w:p>
        </w:tc>
        <w:tc>
          <w:tcPr>
            <w:tcW w:w="3880" w:type="dxa"/>
            <w:vAlign w:val="bottom"/>
            <w:tcBorders>
              <w:top w:val="single" w:sz="8" w:color="CCEEFF"/>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440" w:type="dxa"/>
            <w:vAlign w:val="bottom"/>
            <w:vMerge w:val="continue"/>
          </w:tcPr>
          <w:p>
            <w:pPr>
              <w:spacing w:after="0"/>
              <w:rPr>
                <w:sz w:val="17"/>
                <w:szCs w:val="17"/>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Assets Acquired:</w:t>
            </w: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440" w:type="dxa"/>
            <w:vAlign w:val="bottom"/>
          </w:tcPr>
          <w:p>
            <w:pPr>
              <w:spacing w:after="0"/>
              <w:rPr>
                <w:sz w:val="17"/>
                <w:szCs w:val="17"/>
                <w:color w:val="auto"/>
              </w:rPr>
            </w:pPr>
          </w:p>
        </w:tc>
        <w:tc>
          <w:tcPr>
            <w:tcW w:w="4780" w:type="dxa"/>
            <w:vAlign w:val="bottom"/>
            <w:gridSpan w:val="2"/>
          </w:tcPr>
          <w:p>
            <w:pPr>
              <w:ind w:left="140"/>
              <w:spacing w:after="0"/>
              <w:rPr>
                <w:sz w:val="20"/>
                <w:szCs w:val="20"/>
                <w:color w:val="auto"/>
              </w:rPr>
            </w:pPr>
            <w:r>
              <w:rPr>
                <w:rFonts w:ascii="Arial" w:cs="Arial" w:eastAsia="Arial" w:hAnsi="Arial"/>
                <w:sz w:val="17"/>
                <w:szCs w:val="17"/>
                <w:color w:val="auto"/>
              </w:rPr>
              <w:t>Receivables</w:t>
            </w:r>
          </w:p>
        </w:tc>
        <w:tc>
          <w:tcPr>
            <w:tcW w:w="460" w:type="dxa"/>
            <w:vAlign w:val="bottom"/>
          </w:tcPr>
          <w:p>
            <w:pPr>
              <w:jc w:val="right"/>
              <w:spacing w:after="0"/>
              <w:rPr>
                <w:sz w:val="20"/>
                <w:szCs w:val="20"/>
                <w:color w:val="auto"/>
              </w:rPr>
            </w:pPr>
            <w:r>
              <w:rPr>
                <w:rFonts w:ascii="Arial" w:cs="Arial" w:eastAsia="Arial" w:hAnsi="Arial"/>
                <w:sz w:val="17"/>
                <w:szCs w:val="17"/>
                <w:color w:val="auto"/>
              </w:rPr>
              <w:t>437</w:t>
            </w: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5</w:t>
            </w:r>
          </w:p>
        </w:tc>
        <w:tc>
          <w:tcPr>
            <w:tcW w:w="2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442</w:t>
            </w: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440" w:type="dxa"/>
            <w:vAlign w:val="bottom"/>
          </w:tcPr>
          <w:p>
            <w:pPr>
              <w:spacing w:after="0"/>
              <w:rPr>
                <w:sz w:val="17"/>
                <w:szCs w:val="17"/>
                <w:color w:val="auto"/>
              </w:rPr>
            </w:pPr>
          </w:p>
        </w:tc>
        <w:tc>
          <w:tcPr>
            <w:tcW w:w="47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Inventories</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w:t>
            </w:r>
          </w:p>
        </w:tc>
        <w:tc>
          <w:tcPr>
            <w:tcW w:w="24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w:t>
            </w:r>
          </w:p>
        </w:tc>
        <w:tc>
          <w:tcPr>
            <w:tcW w:w="120" w:type="dxa"/>
            <w:vAlign w:val="bottom"/>
            <w:shd w:val="clear" w:color="auto" w:fill="CCEEFF"/>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440" w:type="dxa"/>
            <w:vAlign w:val="bottom"/>
          </w:tcPr>
          <w:p>
            <w:pPr>
              <w:spacing w:after="0"/>
              <w:rPr>
                <w:sz w:val="17"/>
                <w:szCs w:val="17"/>
                <w:color w:val="auto"/>
              </w:rPr>
            </w:pPr>
          </w:p>
        </w:tc>
        <w:tc>
          <w:tcPr>
            <w:tcW w:w="4780" w:type="dxa"/>
            <w:vAlign w:val="bottom"/>
            <w:gridSpan w:val="2"/>
          </w:tcPr>
          <w:p>
            <w:pPr>
              <w:ind w:left="140"/>
              <w:spacing w:after="0"/>
              <w:rPr>
                <w:sz w:val="20"/>
                <w:szCs w:val="20"/>
                <w:color w:val="auto"/>
              </w:rPr>
            </w:pPr>
            <w:r>
              <w:rPr>
                <w:rFonts w:ascii="Arial" w:cs="Arial" w:eastAsia="Arial" w:hAnsi="Arial"/>
                <w:sz w:val="17"/>
                <w:szCs w:val="17"/>
                <w:color w:val="auto"/>
              </w:rPr>
              <w:t>Prepaid expenses and other current assets</w:t>
            </w:r>
          </w:p>
        </w:tc>
        <w:tc>
          <w:tcPr>
            <w:tcW w:w="460" w:type="dxa"/>
            <w:vAlign w:val="bottom"/>
          </w:tcPr>
          <w:p>
            <w:pPr>
              <w:jc w:val="right"/>
              <w:spacing w:after="0"/>
              <w:rPr>
                <w:sz w:val="20"/>
                <w:szCs w:val="20"/>
                <w:color w:val="auto"/>
              </w:rPr>
            </w:pPr>
            <w:r>
              <w:rPr>
                <w:rFonts w:ascii="Arial" w:cs="Arial" w:eastAsia="Arial" w:hAnsi="Arial"/>
                <w:sz w:val="17"/>
                <w:szCs w:val="17"/>
                <w:color w:val="auto"/>
              </w:rPr>
              <w:t>5</w:t>
            </w: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11</w:t>
            </w:r>
          </w:p>
        </w:tc>
        <w:tc>
          <w:tcPr>
            <w:tcW w:w="2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16</w:t>
            </w: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1440" w:type="dxa"/>
            <w:vAlign w:val="bottom"/>
          </w:tcPr>
          <w:p>
            <w:pPr>
              <w:spacing w:after="0"/>
              <w:rPr>
                <w:sz w:val="18"/>
                <w:szCs w:val="18"/>
                <w:color w:val="auto"/>
              </w:rPr>
            </w:pPr>
          </w:p>
        </w:tc>
        <w:tc>
          <w:tcPr>
            <w:tcW w:w="38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Property and equipment, net</w:t>
            </w:r>
          </w:p>
        </w:tc>
        <w:tc>
          <w:tcPr>
            <w:tcW w:w="9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157</w:t>
            </w:r>
          </w:p>
        </w:tc>
        <w:tc>
          <w:tcPr>
            <w:tcW w:w="2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24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187</w:t>
            </w:r>
          </w:p>
        </w:tc>
        <w:tc>
          <w:tcPr>
            <w:tcW w:w="120" w:type="dxa"/>
            <w:vAlign w:val="bottom"/>
            <w:tcBorders>
              <w:bottom w:val="single" w:sz="8" w:color="CCEEFF"/>
            </w:tcBorders>
            <w:shd w:val="clear" w:color="auto" w:fill="CCEEFF"/>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440" w:type="dxa"/>
            <w:vAlign w:val="bottom"/>
          </w:tcPr>
          <w:p>
            <w:pPr>
              <w:spacing w:after="0"/>
              <w:rPr>
                <w:sz w:val="17"/>
                <w:szCs w:val="17"/>
                <w:color w:val="auto"/>
              </w:rPr>
            </w:pPr>
          </w:p>
        </w:tc>
        <w:tc>
          <w:tcPr>
            <w:tcW w:w="4780" w:type="dxa"/>
            <w:vAlign w:val="bottom"/>
            <w:gridSpan w:val="2"/>
          </w:tcPr>
          <w:p>
            <w:pPr>
              <w:ind w:left="420"/>
              <w:spacing w:after="0"/>
              <w:rPr>
                <w:sz w:val="20"/>
                <w:szCs w:val="20"/>
                <w:color w:val="auto"/>
              </w:rPr>
            </w:pPr>
            <w:r>
              <w:rPr>
                <w:rFonts w:ascii="Arial" w:cs="Arial" w:eastAsia="Arial" w:hAnsi="Arial"/>
                <w:sz w:val="17"/>
                <w:szCs w:val="17"/>
                <w:b w:val="1"/>
                <w:bCs w:val="1"/>
                <w:color w:val="auto"/>
              </w:rPr>
              <w:t>Total Assets</w:t>
            </w:r>
          </w:p>
        </w:tc>
        <w:tc>
          <w:tcPr>
            <w:tcW w:w="460" w:type="dxa"/>
            <w:vAlign w:val="bottom"/>
          </w:tcPr>
          <w:p>
            <w:pPr>
              <w:jc w:val="right"/>
              <w:spacing w:after="0"/>
              <w:rPr>
                <w:sz w:val="20"/>
                <w:szCs w:val="20"/>
                <w:color w:val="auto"/>
              </w:rPr>
            </w:pPr>
            <w:r>
              <w:rPr>
                <w:rFonts w:ascii="Arial" w:cs="Arial" w:eastAsia="Arial" w:hAnsi="Arial"/>
                <w:sz w:val="17"/>
                <w:szCs w:val="17"/>
                <w:b w:val="1"/>
                <w:bCs w:val="1"/>
                <w:color w:val="auto"/>
              </w:rPr>
              <w:t>630</w:t>
            </w: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7"/>
                <w:szCs w:val="17"/>
                <w:b w:val="1"/>
                <w:bCs w:val="1"/>
                <w:color w:val="auto"/>
              </w:rPr>
              <w:t>102</w:t>
            </w:r>
          </w:p>
        </w:tc>
        <w:tc>
          <w:tcPr>
            <w:tcW w:w="2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7"/>
                <w:szCs w:val="17"/>
                <w:b w:val="1"/>
                <w:bCs w:val="1"/>
                <w:color w:val="auto"/>
              </w:rPr>
              <w:t>732</w:t>
            </w: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440" w:type="dxa"/>
            <w:vAlign w:val="bottom"/>
            <w:vMerge w:val="restart"/>
          </w:tcPr>
          <w:p>
            <w:pPr>
              <w:spacing w:after="0"/>
              <w:rPr>
                <w:sz w:val="17"/>
                <w:szCs w:val="17"/>
                <w:color w:val="auto"/>
              </w:rPr>
            </w:pPr>
          </w:p>
        </w:tc>
        <w:tc>
          <w:tcPr>
            <w:tcW w:w="38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440" w:type="dxa"/>
            <w:vAlign w:val="bottom"/>
            <w:vMerge w:val="continue"/>
          </w:tcPr>
          <w:p>
            <w:pPr>
              <w:spacing w:after="0"/>
              <w:rPr>
                <w:sz w:val="17"/>
                <w:szCs w:val="17"/>
                <w:color w:val="auto"/>
              </w:rPr>
            </w:pPr>
          </w:p>
        </w:tc>
        <w:tc>
          <w:tcPr>
            <w:tcW w:w="4780" w:type="dxa"/>
            <w:vAlign w:val="bottom"/>
            <w:gridSpan w:val="2"/>
          </w:tcPr>
          <w:p>
            <w:pPr>
              <w:spacing w:after="0"/>
              <w:rPr>
                <w:sz w:val="20"/>
                <w:szCs w:val="20"/>
                <w:color w:val="auto"/>
              </w:rPr>
            </w:pPr>
            <w:r>
              <w:rPr>
                <w:rFonts w:ascii="Arial" w:cs="Arial" w:eastAsia="Arial" w:hAnsi="Arial"/>
                <w:sz w:val="17"/>
                <w:szCs w:val="17"/>
                <w:b w:val="1"/>
                <w:bCs w:val="1"/>
                <w:color w:val="auto"/>
              </w:rPr>
              <w:t>Liabilities Assumed:</w:t>
            </w: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440" w:type="dxa"/>
            <w:vAlign w:val="bottom"/>
          </w:tcPr>
          <w:p>
            <w:pPr>
              <w:spacing w:after="0"/>
              <w:rPr>
                <w:sz w:val="17"/>
                <w:szCs w:val="17"/>
                <w:color w:val="auto"/>
              </w:rPr>
            </w:pPr>
          </w:p>
        </w:tc>
        <w:tc>
          <w:tcPr>
            <w:tcW w:w="47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Accounts payable</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(134)</w:t>
            </w:r>
          </w:p>
        </w:tc>
        <w:tc>
          <w:tcPr>
            <w:tcW w:w="9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(17)</w:t>
            </w:r>
          </w:p>
        </w:tc>
        <w:tc>
          <w:tcPr>
            <w:tcW w:w="15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(151)</w:t>
            </w: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440" w:type="dxa"/>
            <w:vAlign w:val="bottom"/>
          </w:tcPr>
          <w:p>
            <w:pPr>
              <w:spacing w:after="0"/>
              <w:rPr>
                <w:sz w:val="17"/>
                <w:szCs w:val="17"/>
                <w:color w:val="auto"/>
              </w:rPr>
            </w:pPr>
          </w:p>
        </w:tc>
        <w:tc>
          <w:tcPr>
            <w:tcW w:w="4780" w:type="dxa"/>
            <w:vAlign w:val="bottom"/>
            <w:gridSpan w:val="2"/>
          </w:tcPr>
          <w:p>
            <w:pPr>
              <w:ind w:left="140"/>
              <w:spacing w:after="0"/>
              <w:rPr>
                <w:sz w:val="20"/>
                <w:szCs w:val="20"/>
                <w:color w:val="auto"/>
              </w:rPr>
            </w:pPr>
            <w:r>
              <w:rPr>
                <w:rFonts w:ascii="Arial" w:cs="Arial" w:eastAsia="Arial" w:hAnsi="Arial"/>
                <w:sz w:val="17"/>
                <w:szCs w:val="17"/>
                <w:color w:val="auto"/>
              </w:rPr>
              <w:t>Other accrued liabilities</w:t>
            </w:r>
          </w:p>
        </w:tc>
        <w:tc>
          <w:tcPr>
            <w:tcW w:w="680" w:type="dxa"/>
            <w:vAlign w:val="bottom"/>
            <w:gridSpan w:val="2"/>
          </w:tcPr>
          <w:p>
            <w:pPr>
              <w:jc w:val="right"/>
              <w:ind w:right="180"/>
              <w:spacing w:after="0"/>
              <w:rPr>
                <w:sz w:val="20"/>
                <w:szCs w:val="20"/>
                <w:color w:val="auto"/>
              </w:rPr>
            </w:pPr>
            <w:r>
              <w:rPr>
                <w:rFonts w:ascii="Arial" w:cs="Arial" w:eastAsia="Arial" w:hAnsi="Arial"/>
                <w:sz w:val="17"/>
                <w:szCs w:val="17"/>
                <w:color w:val="auto"/>
              </w:rPr>
              <w:t>(6)</w:t>
            </w:r>
          </w:p>
        </w:tc>
        <w:tc>
          <w:tcPr>
            <w:tcW w:w="960" w:type="dxa"/>
            <w:vAlign w:val="bottom"/>
          </w:tcPr>
          <w:p>
            <w:pPr>
              <w:spacing w:after="0"/>
              <w:rPr>
                <w:sz w:val="17"/>
                <w:szCs w:val="17"/>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7"/>
                <w:szCs w:val="17"/>
                <w:color w:val="auto"/>
              </w:rPr>
              <w:t>(23)</w:t>
            </w:r>
          </w:p>
        </w:tc>
        <w:tc>
          <w:tcPr>
            <w:tcW w:w="1500" w:type="dxa"/>
            <w:vAlign w:val="bottom"/>
            <w:gridSpan w:val="2"/>
          </w:tcPr>
          <w:p>
            <w:pPr>
              <w:jc w:val="right"/>
              <w:ind w:right="60"/>
              <w:spacing w:after="0"/>
              <w:rPr>
                <w:sz w:val="20"/>
                <w:szCs w:val="20"/>
                <w:color w:val="auto"/>
              </w:rPr>
            </w:pPr>
            <w:r>
              <w:rPr>
                <w:rFonts w:ascii="Arial" w:cs="Arial" w:eastAsia="Arial" w:hAnsi="Arial"/>
                <w:sz w:val="17"/>
                <w:szCs w:val="17"/>
                <w:color w:val="auto"/>
              </w:rPr>
              <w:t>(29)</w:t>
            </w: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440" w:type="dxa"/>
            <w:vAlign w:val="bottom"/>
          </w:tcPr>
          <w:p>
            <w:pPr>
              <w:spacing w:after="0"/>
              <w:rPr>
                <w:sz w:val="17"/>
                <w:szCs w:val="17"/>
                <w:color w:val="auto"/>
              </w:rPr>
            </w:pPr>
          </w:p>
        </w:tc>
        <w:tc>
          <w:tcPr>
            <w:tcW w:w="38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Deferred revenue</w:t>
            </w:r>
          </w:p>
        </w:tc>
        <w:tc>
          <w:tcPr>
            <w:tcW w:w="9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(695)</w:t>
            </w:r>
          </w:p>
        </w:tc>
        <w:tc>
          <w:tcPr>
            <w:tcW w:w="9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(692)</w:t>
            </w:r>
          </w:p>
        </w:tc>
        <w:tc>
          <w:tcPr>
            <w:tcW w:w="15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(1,387)</w:t>
            </w: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1440" w:type="dxa"/>
            <w:vAlign w:val="bottom"/>
          </w:tcPr>
          <w:p>
            <w:pPr>
              <w:spacing w:after="0"/>
              <w:rPr>
                <w:sz w:val="2"/>
                <w:szCs w:val="2"/>
                <w:color w:val="auto"/>
              </w:rPr>
            </w:pPr>
          </w:p>
        </w:tc>
        <w:tc>
          <w:tcPr>
            <w:tcW w:w="388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1440" w:type="dxa"/>
            <w:vAlign w:val="bottom"/>
          </w:tcPr>
          <w:p>
            <w:pPr>
              <w:spacing w:after="0"/>
              <w:rPr>
                <w:sz w:val="17"/>
                <w:szCs w:val="17"/>
                <w:color w:val="auto"/>
              </w:rPr>
            </w:pPr>
          </w:p>
        </w:tc>
        <w:tc>
          <w:tcPr>
            <w:tcW w:w="3880" w:type="dxa"/>
            <w:vAlign w:val="bottom"/>
          </w:tcPr>
          <w:p>
            <w:pPr>
              <w:ind w:left="420"/>
              <w:spacing w:after="0"/>
              <w:rPr>
                <w:sz w:val="20"/>
                <w:szCs w:val="20"/>
                <w:color w:val="auto"/>
              </w:rPr>
            </w:pPr>
            <w:r>
              <w:rPr>
                <w:rFonts w:ascii="Arial" w:cs="Arial" w:eastAsia="Arial" w:hAnsi="Arial"/>
                <w:sz w:val="17"/>
                <w:szCs w:val="17"/>
                <w:b w:val="1"/>
                <w:bCs w:val="1"/>
                <w:color w:val="auto"/>
              </w:rPr>
              <w:t>Total Liabilities</w:t>
            </w:r>
          </w:p>
        </w:tc>
        <w:tc>
          <w:tcPr>
            <w:tcW w:w="900" w:type="dxa"/>
            <w:vAlign w:val="bottom"/>
          </w:tcPr>
          <w:p>
            <w:pPr>
              <w:spacing w:after="0"/>
              <w:rPr>
                <w:sz w:val="17"/>
                <w:szCs w:val="17"/>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(835)</w:t>
            </w:r>
          </w:p>
        </w:tc>
        <w:tc>
          <w:tcPr>
            <w:tcW w:w="960" w:type="dxa"/>
            <w:vAlign w:val="bottom"/>
          </w:tcPr>
          <w:p>
            <w:pPr>
              <w:spacing w:after="0"/>
              <w:rPr>
                <w:sz w:val="17"/>
                <w:szCs w:val="17"/>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(732)</w:t>
            </w:r>
          </w:p>
        </w:tc>
        <w:tc>
          <w:tcPr>
            <w:tcW w:w="150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(1,567)</w:t>
            </w: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440" w:type="dxa"/>
            <w:vAlign w:val="bottom"/>
            <w:vMerge w:val="restart"/>
          </w:tcPr>
          <w:p>
            <w:pPr>
              <w:spacing w:after="0"/>
              <w:rPr>
                <w:sz w:val="17"/>
                <w:szCs w:val="17"/>
                <w:color w:val="auto"/>
              </w:rPr>
            </w:pPr>
          </w:p>
        </w:tc>
        <w:tc>
          <w:tcPr>
            <w:tcW w:w="38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440" w:type="dxa"/>
            <w:vAlign w:val="bottom"/>
            <w:vMerge w:val="continue"/>
          </w:tcPr>
          <w:p>
            <w:pPr>
              <w:spacing w:after="0"/>
              <w:rPr>
                <w:sz w:val="17"/>
                <w:szCs w:val="17"/>
                <w:color w:val="auto"/>
              </w:rPr>
            </w:pPr>
          </w:p>
        </w:tc>
        <w:tc>
          <w:tcPr>
            <w:tcW w:w="4780" w:type="dxa"/>
            <w:vAlign w:val="bottom"/>
            <w:gridSpan w:val="2"/>
          </w:tcPr>
          <w:p>
            <w:pPr>
              <w:spacing w:after="0"/>
              <w:rPr>
                <w:sz w:val="20"/>
                <w:szCs w:val="20"/>
                <w:color w:val="auto"/>
              </w:rPr>
            </w:pPr>
            <w:r>
              <w:rPr>
                <w:rFonts w:ascii="Arial" w:cs="Arial" w:eastAsia="Arial" w:hAnsi="Arial"/>
                <w:sz w:val="17"/>
                <w:szCs w:val="17"/>
                <w:b w:val="1"/>
                <w:bCs w:val="1"/>
                <w:color w:val="auto"/>
              </w:rPr>
              <w:t>Intangibles Acquired:</w:t>
            </w: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440" w:type="dxa"/>
            <w:vAlign w:val="bottom"/>
          </w:tcPr>
          <w:p>
            <w:pPr>
              <w:spacing w:after="0"/>
              <w:rPr>
                <w:sz w:val="17"/>
                <w:szCs w:val="17"/>
                <w:color w:val="auto"/>
              </w:rPr>
            </w:pPr>
          </w:p>
        </w:tc>
        <w:tc>
          <w:tcPr>
            <w:tcW w:w="47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Developed technology</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671</w:t>
            </w: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671</w:t>
            </w:r>
          </w:p>
        </w:tc>
        <w:tc>
          <w:tcPr>
            <w:tcW w:w="120" w:type="dxa"/>
            <w:vAlign w:val="bottom"/>
            <w:shd w:val="clear" w:color="auto" w:fill="CCEEFF"/>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440" w:type="dxa"/>
            <w:vAlign w:val="bottom"/>
          </w:tcPr>
          <w:p>
            <w:pPr>
              <w:spacing w:after="0"/>
              <w:rPr>
                <w:sz w:val="17"/>
                <w:szCs w:val="17"/>
                <w:color w:val="auto"/>
              </w:rPr>
            </w:pPr>
          </w:p>
        </w:tc>
        <w:tc>
          <w:tcPr>
            <w:tcW w:w="4780" w:type="dxa"/>
            <w:vAlign w:val="bottom"/>
            <w:gridSpan w:val="2"/>
          </w:tcPr>
          <w:p>
            <w:pPr>
              <w:ind w:left="140"/>
              <w:spacing w:after="0"/>
              <w:rPr>
                <w:sz w:val="20"/>
                <w:szCs w:val="20"/>
                <w:color w:val="auto"/>
              </w:rPr>
            </w:pPr>
            <w:r>
              <w:rPr>
                <w:rFonts w:ascii="Arial" w:cs="Arial" w:eastAsia="Arial" w:hAnsi="Arial"/>
                <w:sz w:val="17"/>
                <w:szCs w:val="17"/>
                <w:color w:val="auto"/>
              </w:rPr>
              <w:t>Reseller relationships`</w:t>
            </w:r>
          </w:p>
        </w:tc>
        <w:tc>
          <w:tcPr>
            <w:tcW w:w="460" w:type="dxa"/>
            <w:vAlign w:val="bottom"/>
          </w:tcPr>
          <w:p>
            <w:pPr>
              <w:jc w:val="right"/>
              <w:spacing w:after="0"/>
              <w:rPr>
                <w:sz w:val="20"/>
                <w:szCs w:val="20"/>
                <w:color w:val="auto"/>
              </w:rPr>
            </w:pPr>
            <w:r>
              <w:rPr>
                <w:rFonts w:ascii="Arial" w:cs="Arial" w:eastAsia="Arial" w:hAnsi="Arial"/>
                <w:sz w:val="17"/>
                <w:szCs w:val="17"/>
                <w:color w:val="auto"/>
              </w:rPr>
              <w:t>853</w:t>
            </w: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853</w:t>
            </w: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440" w:type="dxa"/>
            <w:vAlign w:val="bottom"/>
          </w:tcPr>
          <w:p>
            <w:pPr>
              <w:spacing w:after="0"/>
              <w:rPr>
                <w:sz w:val="17"/>
                <w:szCs w:val="17"/>
                <w:color w:val="auto"/>
              </w:rPr>
            </w:pPr>
          </w:p>
        </w:tc>
        <w:tc>
          <w:tcPr>
            <w:tcW w:w="47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Trade names</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w:t>
            </w: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w:t>
            </w:r>
          </w:p>
        </w:tc>
        <w:tc>
          <w:tcPr>
            <w:tcW w:w="120" w:type="dxa"/>
            <w:vAlign w:val="bottom"/>
            <w:shd w:val="clear" w:color="auto" w:fill="CCEEFF"/>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440" w:type="dxa"/>
            <w:vAlign w:val="bottom"/>
          </w:tcPr>
          <w:p>
            <w:pPr>
              <w:spacing w:after="0"/>
              <w:rPr>
                <w:sz w:val="17"/>
                <w:szCs w:val="17"/>
                <w:color w:val="auto"/>
              </w:rPr>
            </w:pPr>
          </w:p>
        </w:tc>
        <w:tc>
          <w:tcPr>
            <w:tcW w:w="4780" w:type="dxa"/>
            <w:vAlign w:val="bottom"/>
            <w:gridSpan w:val="2"/>
          </w:tcPr>
          <w:p>
            <w:pPr>
              <w:ind w:left="140"/>
              <w:spacing w:after="0"/>
              <w:rPr>
                <w:sz w:val="20"/>
                <w:szCs w:val="20"/>
                <w:color w:val="auto"/>
              </w:rPr>
            </w:pPr>
            <w:r>
              <w:rPr>
                <w:rFonts w:ascii="Arial" w:cs="Arial" w:eastAsia="Arial" w:hAnsi="Arial"/>
                <w:sz w:val="17"/>
                <w:szCs w:val="17"/>
                <w:color w:val="auto"/>
              </w:rPr>
              <w:t>Customer relationships</w:t>
            </w:r>
          </w:p>
        </w:tc>
        <w:tc>
          <w:tcPr>
            <w:tcW w:w="460" w:type="dxa"/>
            <w:vAlign w:val="bottom"/>
          </w:tcPr>
          <w:p>
            <w:pPr>
              <w:jc w:val="right"/>
              <w:spacing w:after="0"/>
              <w:rPr>
                <w:sz w:val="20"/>
                <w:szCs w:val="20"/>
                <w:color w:val="auto"/>
              </w:rPr>
            </w:pPr>
            <w:r>
              <w:rPr>
                <w:rFonts w:ascii="Arial" w:cs="Arial" w:eastAsia="Arial" w:hAnsi="Arial"/>
                <w:sz w:val="17"/>
                <w:szCs w:val="17"/>
                <w:color w:val="auto"/>
              </w:rPr>
              <w:t>967</w:t>
            </w: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w w:val="89"/>
              </w:rPr>
              <w:t>1,786</w:t>
            </w:r>
          </w:p>
        </w:tc>
        <w:tc>
          <w:tcPr>
            <w:tcW w:w="2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2,753</w:t>
            </w: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440" w:type="dxa"/>
            <w:vAlign w:val="bottom"/>
          </w:tcPr>
          <w:p>
            <w:pPr>
              <w:spacing w:after="0"/>
              <w:rPr>
                <w:sz w:val="17"/>
                <w:szCs w:val="17"/>
                <w:color w:val="auto"/>
              </w:rPr>
            </w:pPr>
          </w:p>
        </w:tc>
        <w:tc>
          <w:tcPr>
            <w:tcW w:w="47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Non-compete agreements</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120" w:type="dxa"/>
            <w:vAlign w:val="bottom"/>
            <w:shd w:val="clear" w:color="auto" w:fill="CCEEFF"/>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1440" w:type="dxa"/>
            <w:vAlign w:val="bottom"/>
          </w:tcPr>
          <w:p>
            <w:pPr>
              <w:spacing w:after="0"/>
              <w:rPr>
                <w:sz w:val="18"/>
                <w:szCs w:val="18"/>
                <w:color w:val="auto"/>
              </w:rPr>
            </w:pPr>
          </w:p>
        </w:tc>
        <w:tc>
          <w:tcPr>
            <w:tcW w:w="3880" w:type="dxa"/>
            <w:vAlign w:val="bottom"/>
          </w:tcPr>
          <w:p>
            <w:pPr>
              <w:ind w:left="140"/>
              <w:spacing w:after="0"/>
              <w:rPr>
                <w:sz w:val="20"/>
                <w:szCs w:val="20"/>
                <w:color w:val="auto"/>
              </w:rPr>
            </w:pPr>
            <w:r>
              <w:rPr>
                <w:rFonts w:ascii="Arial" w:cs="Arial" w:eastAsia="Arial" w:hAnsi="Arial"/>
                <w:sz w:val="17"/>
                <w:szCs w:val="17"/>
                <w:color w:val="auto"/>
              </w:rPr>
              <w:t>Goodwill</w:t>
            </w:r>
          </w:p>
        </w:tc>
        <w:tc>
          <w:tcPr>
            <w:tcW w:w="9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4,098</w:t>
            </w:r>
          </w:p>
        </w:tc>
        <w:tc>
          <w:tcPr>
            <w:tcW w:w="22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9"/>
              </w:rPr>
              <w:t>2,166</w:t>
            </w:r>
          </w:p>
        </w:tc>
        <w:tc>
          <w:tcPr>
            <w:tcW w:w="24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6,264</w:t>
            </w: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440" w:type="dxa"/>
            <w:vAlign w:val="bottom"/>
          </w:tcPr>
          <w:p>
            <w:pPr>
              <w:spacing w:after="0"/>
              <w:rPr>
                <w:sz w:val="17"/>
                <w:szCs w:val="17"/>
                <w:color w:val="auto"/>
              </w:rPr>
            </w:pPr>
          </w:p>
        </w:tc>
        <w:tc>
          <w:tcPr>
            <w:tcW w:w="4780" w:type="dxa"/>
            <w:vAlign w:val="bottom"/>
            <w:gridSpan w:val="2"/>
            <w:shd w:val="clear" w:color="auto" w:fill="CCEEFF"/>
          </w:tcPr>
          <w:p>
            <w:pPr>
              <w:ind w:left="420"/>
              <w:spacing w:after="0"/>
              <w:rPr>
                <w:sz w:val="20"/>
                <w:szCs w:val="20"/>
                <w:color w:val="auto"/>
              </w:rPr>
            </w:pPr>
            <w:r>
              <w:rPr>
                <w:rFonts w:ascii="Arial" w:cs="Arial" w:eastAsia="Arial" w:hAnsi="Arial"/>
                <w:sz w:val="17"/>
                <w:szCs w:val="17"/>
                <w:b w:val="1"/>
                <w:bCs w:val="1"/>
                <w:color w:val="auto"/>
              </w:rPr>
              <w:t>Total Intangibles</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6,658</w:t>
            </w: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89"/>
              </w:rPr>
              <w:t>3,952</w:t>
            </w:r>
          </w:p>
        </w:tc>
        <w:tc>
          <w:tcPr>
            <w:tcW w:w="24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10,610</w:t>
            </w:r>
          </w:p>
        </w:tc>
        <w:tc>
          <w:tcPr>
            <w:tcW w:w="120" w:type="dxa"/>
            <w:vAlign w:val="bottom"/>
            <w:shd w:val="clear" w:color="auto" w:fill="CCEEFF"/>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144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1440" w:type="dxa"/>
            <w:vAlign w:val="bottom"/>
          </w:tcPr>
          <w:p>
            <w:pPr>
              <w:spacing w:after="0"/>
              <w:rPr>
                <w:sz w:val="21"/>
                <w:szCs w:val="21"/>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Total</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6,453</w:t>
            </w:r>
          </w:p>
        </w:tc>
        <w:tc>
          <w:tcPr>
            <w:tcW w:w="2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89"/>
              </w:rPr>
              <w:t>3,322</w:t>
            </w:r>
          </w:p>
        </w:tc>
        <w:tc>
          <w:tcPr>
            <w:tcW w:w="24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9,775</w:t>
            </w:r>
          </w:p>
        </w:tc>
        <w:tc>
          <w:tcPr>
            <w:tcW w:w="120" w:type="dxa"/>
            <w:vAlign w:val="bottom"/>
            <w:shd w:val="clear" w:color="auto" w:fill="CCEEFF"/>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2"/>
        </w:trPr>
        <w:tc>
          <w:tcPr>
            <w:tcW w:w="1440" w:type="dxa"/>
            <w:vAlign w:val="bottom"/>
          </w:tcPr>
          <w:p>
            <w:pPr>
              <w:spacing w:after="0"/>
              <w:rPr>
                <w:sz w:val="24"/>
                <w:szCs w:val="24"/>
                <w:color w:val="auto"/>
              </w:rPr>
            </w:pPr>
          </w:p>
        </w:tc>
        <w:tc>
          <w:tcPr>
            <w:tcW w:w="3880" w:type="dxa"/>
            <w:vAlign w:val="bottom"/>
            <w:tcBorders>
              <w:top w:val="single" w:sz="8" w:color="CCEEFF"/>
            </w:tcBorders>
          </w:tcPr>
          <w:p>
            <w:pPr>
              <w:spacing w:after="0"/>
              <w:rPr>
                <w:sz w:val="24"/>
                <w:szCs w:val="24"/>
                <w:color w:val="auto"/>
              </w:rPr>
            </w:pPr>
          </w:p>
        </w:tc>
        <w:tc>
          <w:tcPr>
            <w:tcW w:w="900" w:type="dxa"/>
            <w:vAlign w:val="bottom"/>
            <w:tcBorders>
              <w:top w:val="single" w:sz="8" w:color="auto"/>
            </w:tcBorders>
          </w:tcPr>
          <w:p>
            <w:pPr>
              <w:ind w:left="240"/>
              <w:spacing w:after="0"/>
              <w:rPr>
                <w:sz w:val="20"/>
                <w:szCs w:val="20"/>
                <w:color w:val="auto"/>
              </w:rPr>
            </w:pPr>
            <w:r>
              <w:rPr>
                <w:rFonts w:ascii="Arial" w:cs="Arial" w:eastAsia="Arial" w:hAnsi="Arial"/>
                <w:sz w:val="17"/>
                <w:szCs w:val="17"/>
                <w:color w:val="auto"/>
              </w:rPr>
              <w:t>F-15</w:t>
            </w:r>
          </w:p>
        </w:tc>
        <w:tc>
          <w:tcPr>
            <w:tcW w:w="4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1440" w:type="dxa"/>
            <w:vAlign w:val="bottom"/>
            <w:tcBorders>
              <w:bottom w:val="single" w:sz="8" w:color="808080"/>
            </w:tcBorders>
          </w:tcPr>
          <w:p>
            <w:pPr>
              <w:spacing w:after="0"/>
              <w:rPr>
                <w:sz w:val="9"/>
                <w:szCs w:val="9"/>
                <w:color w:val="auto"/>
              </w:rPr>
            </w:pPr>
          </w:p>
        </w:tc>
        <w:tc>
          <w:tcPr>
            <w:tcW w:w="388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ASURE SOFTWARE,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thousands, except share and per share data or otherwise noted)</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Unaudited Pro Forma Financial Information</w:t>
      </w:r>
    </w:p>
    <w:p>
      <w:pPr>
        <w:spacing w:after="0" w:line="247" w:lineRule="exact"/>
        <w:rPr>
          <w:sz w:val="20"/>
          <w:szCs w:val="20"/>
          <w:color w:val="auto"/>
        </w:rPr>
      </w:pPr>
    </w:p>
    <w:p>
      <w:pPr>
        <w:jc w:val="both"/>
        <w:ind w:firstLine="616"/>
        <w:spacing w:after="0" w:line="257" w:lineRule="auto"/>
        <w:rPr>
          <w:sz w:val="20"/>
          <w:szCs w:val="20"/>
          <w:color w:val="auto"/>
        </w:rPr>
      </w:pPr>
      <w:r>
        <w:rPr>
          <w:rFonts w:ascii="Arial" w:cs="Arial" w:eastAsia="Arial" w:hAnsi="Arial"/>
          <w:sz w:val="17"/>
          <w:szCs w:val="17"/>
          <w:color w:val="auto"/>
        </w:rPr>
        <w:t>The following unaudited summaries of pro forma combined results of operation for 2012 and 2011, give effect to the acquisitions of ADI, Legiant and PeopleCube as if they had been completed on January 1, 2011. These pro forma summaries do not reflect any operating efficiencies, cost savings or revenue enhancements that we achieve by the combined companies. In addition, certain non-recurring expenses, such as legal expenses and other transactions expenses for the first 12 months after the acquisition, are not reflected in the pro forma summaries. We present these pro forma summaries for informational purposes only and they are not necessarily indicative of what our actual results of operations would have been had the acquisitions taken place as January 1, 2011, nor are they indicative of future consolidated results of operations.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940" w:type="dxa"/>
            <w:vAlign w:val="bottom"/>
            <w:gridSpan w:val="6"/>
          </w:tcPr>
          <w:p>
            <w:pPr>
              <w:jc w:val="right"/>
              <w:ind w:right="460"/>
              <w:spacing w:after="0"/>
              <w:rPr>
                <w:sz w:val="20"/>
                <w:szCs w:val="20"/>
                <w:color w:val="auto"/>
              </w:rPr>
            </w:pPr>
            <w:r>
              <w:rPr>
                <w:rFonts w:ascii="Arial" w:cs="Arial" w:eastAsia="Arial" w:hAnsi="Arial"/>
                <w:sz w:val="17"/>
                <w:szCs w:val="17"/>
                <w:b w:val="1"/>
                <w:bCs w:val="1"/>
                <w:color w:val="auto"/>
              </w:rPr>
              <w:t>FOR THE YEARS ENDED</w:t>
            </w: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gridSpan w:val="3"/>
          </w:tcPr>
          <w:p>
            <w:pPr>
              <w:jc w:val="right"/>
              <w:ind w:right="220"/>
              <w:spacing w:after="0"/>
              <w:rPr>
                <w:sz w:val="20"/>
                <w:szCs w:val="20"/>
                <w:color w:val="auto"/>
              </w:rPr>
            </w:pPr>
            <w:r>
              <w:rPr>
                <w:rFonts w:ascii="Arial" w:cs="Arial" w:eastAsia="Arial" w:hAnsi="Arial"/>
                <w:sz w:val="17"/>
                <w:szCs w:val="17"/>
                <w:b w:val="1"/>
                <w:bCs w:val="1"/>
                <w:color w:val="auto"/>
              </w:rPr>
              <w:t>DECEMBER 31</w:t>
            </w:r>
          </w:p>
        </w:tc>
        <w:tc>
          <w:tcPr>
            <w:tcW w:w="80" w:type="dxa"/>
            <w:vAlign w:val="bottom"/>
          </w:tcPr>
          <w:p>
            <w:pPr>
              <w:spacing w:after="0"/>
              <w:rPr>
                <w:sz w:val="17"/>
                <w:szCs w:val="17"/>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DECEMBER 31,</w:t>
            </w: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40" w:type="dxa"/>
            <w:vAlign w:val="bottom"/>
            <w:gridSpan w:val="2"/>
          </w:tcPr>
          <w:p>
            <w:pPr>
              <w:spacing w:after="0"/>
              <w:rPr>
                <w:sz w:val="19"/>
                <w:szCs w:val="19"/>
                <w:color w:val="auto"/>
              </w:rPr>
            </w:pPr>
          </w:p>
        </w:tc>
        <w:tc>
          <w:tcPr>
            <w:tcW w:w="110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b w:val="1"/>
                <w:bCs w:val="1"/>
                <w:color w:val="auto"/>
              </w:rPr>
              <w:t>2012</w:t>
            </w:r>
          </w:p>
        </w:tc>
        <w:tc>
          <w:tcPr>
            <w:tcW w:w="2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b w:val="1"/>
                <w:bCs w:val="1"/>
                <w:color w:val="auto"/>
              </w:rPr>
              <w:t>2011</w:t>
            </w:r>
          </w:p>
        </w:tc>
        <w:tc>
          <w:tcPr>
            <w:tcW w:w="2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7"/>
                <w:szCs w:val="17"/>
                <w:color w:val="auto"/>
              </w:rPr>
              <w:t>Revenues</w:t>
            </w:r>
          </w:p>
        </w:tc>
        <w:tc>
          <w:tcPr>
            <w:tcW w:w="12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70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color w:val="auto"/>
              </w:rPr>
              <w:t>24,422</w:t>
            </w:r>
          </w:p>
        </w:tc>
        <w:tc>
          <w:tcPr>
            <w:tcW w:w="120" w:type="dxa"/>
            <w:vAlign w:val="bottom"/>
            <w:shd w:val="clear" w:color="auto" w:fill="CCEEFF"/>
          </w:tcPr>
          <w:p>
            <w:pPr>
              <w:spacing w:after="0"/>
              <w:rPr>
                <w:sz w:val="17"/>
                <w:szCs w:val="17"/>
                <w:color w:val="auto"/>
              </w:rPr>
            </w:pPr>
          </w:p>
        </w:tc>
        <w:tc>
          <w:tcPr>
            <w:tcW w:w="146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7"/>
                <w:szCs w:val="17"/>
                <w:color w:val="auto"/>
              </w:rPr>
              <w:t>23,014</w:t>
            </w:r>
          </w:p>
        </w:tc>
        <w:tc>
          <w:tcPr>
            <w:tcW w:w="120" w:type="dxa"/>
            <w:vAlign w:val="bottom"/>
            <w:shd w:val="clear" w:color="auto" w:fill="CCEEFF"/>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340" w:type="dxa"/>
            <w:vAlign w:val="bottom"/>
          </w:tcPr>
          <w:p>
            <w:pPr>
              <w:spacing w:after="0"/>
              <w:rPr>
                <w:sz w:val="20"/>
                <w:szCs w:val="20"/>
                <w:color w:val="auto"/>
              </w:rPr>
            </w:pPr>
            <w:r>
              <w:rPr>
                <w:rFonts w:ascii="Arial" w:cs="Arial" w:eastAsia="Arial" w:hAnsi="Arial"/>
                <w:sz w:val="17"/>
                <w:szCs w:val="17"/>
                <w:color w:val="auto"/>
              </w:rPr>
              <w:t>Net (loss)</w:t>
            </w: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820" w:type="dxa"/>
            <w:vAlign w:val="bottom"/>
            <w:gridSpan w:val="5"/>
          </w:tcPr>
          <w:p>
            <w:pPr>
              <w:jc w:val="right"/>
              <w:ind w:right="80"/>
              <w:spacing w:after="0"/>
              <w:rPr>
                <w:sz w:val="20"/>
                <w:szCs w:val="20"/>
                <w:color w:val="auto"/>
              </w:rPr>
            </w:pPr>
            <w:r>
              <w:rPr>
                <w:rFonts w:ascii="Arial" w:cs="Arial" w:eastAsia="Arial" w:hAnsi="Arial"/>
                <w:sz w:val="17"/>
                <w:szCs w:val="17"/>
                <w:color w:val="auto"/>
              </w:rPr>
              <w:t>(3,900)</w:t>
            </w:r>
          </w:p>
        </w:tc>
        <w:tc>
          <w:tcPr>
            <w:tcW w:w="1580" w:type="dxa"/>
            <w:vAlign w:val="bottom"/>
            <w:gridSpan w:val="4"/>
          </w:tcPr>
          <w:p>
            <w:pPr>
              <w:jc w:val="right"/>
              <w:spacing w:after="0"/>
              <w:rPr>
                <w:sz w:val="20"/>
                <w:szCs w:val="20"/>
                <w:color w:val="auto"/>
              </w:rPr>
            </w:pPr>
            <w:r>
              <w:rPr>
                <w:rFonts w:ascii="Arial" w:cs="Arial" w:eastAsia="Arial" w:hAnsi="Arial"/>
                <w:sz w:val="17"/>
                <w:szCs w:val="17"/>
                <w:color w:val="auto"/>
              </w:rPr>
              <w:t>(5,404)</w:t>
            </w: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7"/>
                <w:szCs w:val="17"/>
                <w:color w:val="auto"/>
              </w:rPr>
              <w:t>Net (loss) per common share:</w:t>
            </w:r>
          </w:p>
        </w:tc>
        <w:tc>
          <w:tcPr>
            <w:tcW w:w="12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340" w:type="dxa"/>
            <w:vAlign w:val="bottom"/>
          </w:tcPr>
          <w:p>
            <w:pPr>
              <w:spacing w:after="0"/>
              <w:rPr>
                <w:sz w:val="20"/>
                <w:szCs w:val="20"/>
                <w:color w:val="auto"/>
              </w:rPr>
            </w:pPr>
            <w:r>
              <w:rPr>
                <w:rFonts w:ascii="Arial" w:cs="Arial" w:eastAsia="Arial" w:hAnsi="Arial"/>
                <w:sz w:val="17"/>
                <w:szCs w:val="17"/>
                <w:color w:val="auto"/>
              </w:rPr>
              <w:t>Basic and diluted</w:t>
            </w: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820" w:type="dxa"/>
            <w:vAlign w:val="bottom"/>
            <w:gridSpan w:val="5"/>
          </w:tcPr>
          <w:p>
            <w:pPr>
              <w:jc w:val="right"/>
              <w:ind w:right="80"/>
              <w:spacing w:after="0"/>
              <w:rPr>
                <w:sz w:val="20"/>
                <w:szCs w:val="20"/>
                <w:color w:val="auto"/>
              </w:rPr>
            </w:pPr>
            <w:r>
              <w:rPr>
                <w:rFonts w:ascii="Arial" w:cs="Arial" w:eastAsia="Arial" w:hAnsi="Arial"/>
                <w:sz w:val="17"/>
                <w:szCs w:val="17"/>
                <w:color w:val="auto"/>
              </w:rPr>
              <w:t>(0.74)</w:t>
            </w:r>
          </w:p>
        </w:tc>
        <w:tc>
          <w:tcPr>
            <w:tcW w:w="1580" w:type="dxa"/>
            <w:vAlign w:val="bottom"/>
            <w:gridSpan w:val="4"/>
          </w:tcPr>
          <w:p>
            <w:pPr>
              <w:jc w:val="right"/>
              <w:spacing w:after="0"/>
              <w:rPr>
                <w:sz w:val="20"/>
                <w:szCs w:val="20"/>
                <w:color w:val="auto"/>
              </w:rPr>
            </w:pPr>
            <w:r>
              <w:rPr>
                <w:rFonts w:ascii="Arial" w:cs="Arial" w:eastAsia="Arial" w:hAnsi="Arial"/>
                <w:sz w:val="17"/>
                <w:szCs w:val="17"/>
                <w:color w:val="auto"/>
              </w:rPr>
              <w:t>(1.11)</w:t>
            </w: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1420" w:type="dxa"/>
            <w:vAlign w:val="bottom"/>
            <w:vMerge w:val="restart"/>
          </w:tcPr>
          <w:p>
            <w:pPr>
              <w:spacing w:after="0"/>
              <w:rPr>
                <w:sz w:val="17"/>
                <w:szCs w:val="17"/>
                <w:color w:val="auto"/>
              </w:rPr>
            </w:pPr>
          </w:p>
        </w:tc>
        <w:tc>
          <w:tcPr>
            <w:tcW w:w="3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1420" w:type="dxa"/>
            <w:vAlign w:val="bottom"/>
            <w:vMerge w:val="continue"/>
          </w:tcPr>
          <w:p>
            <w:pPr>
              <w:spacing w:after="0"/>
              <w:rPr>
                <w:sz w:val="17"/>
                <w:szCs w:val="17"/>
                <w:color w:val="auto"/>
              </w:rPr>
            </w:pPr>
          </w:p>
        </w:tc>
        <w:tc>
          <w:tcPr>
            <w:tcW w:w="3340" w:type="dxa"/>
            <w:vAlign w:val="bottom"/>
          </w:tcPr>
          <w:p>
            <w:pPr>
              <w:spacing w:after="0"/>
              <w:rPr>
                <w:sz w:val="20"/>
                <w:szCs w:val="20"/>
                <w:color w:val="auto"/>
              </w:rPr>
            </w:pPr>
            <w:r>
              <w:rPr>
                <w:rFonts w:ascii="Arial" w:cs="Arial" w:eastAsia="Arial" w:hAnsi="Arial"/>
                <w:sz w:val="17"/>
                <w:szCs w:val="17"/>
                <w:color w:val="auto"/>
              </w:rPr>
              <w:t>Weighted average shares outstanding:</w:t>
            </w: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7"/>
                <w:szCs w:val="17"/>
                <w:color w:val="auto"/>
              </w:rPr>
              <w:t>Basic and diluted</w:t>
            </w:r>
          </w:p>
        </w:tc>
        <w:tc>
          <w:tcPr>
            <w:tcW w:w="12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70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color w:val="auto"/>
              </w:rPr>
              <w:t>5,260</w:t>
            </w:r>
          </w:p>
        </w:tc>
        <w:tc>
          <w:tcPr>
            <w:tcW w:w="120" w:type="dxa"/>
            <w:vAlign w:val="bottom"/>
            <w:shd w:val="clear" w:color="auto" w:fill="CCEEFF"/>
          </w:tcPr>
          <w:p>
            <w:pPr>
              <w:spacing w:after="0"/>
              <w:rPr>
                <w:sz w:val="17"/>
                <w:szCs w:val="17"/>
                <w:color w:val="auto"/>
              </w:rPr>
            </w:pPr>
          </w:p>
        </w:tc>
        <w:tc>
          <w:tcPr>
            <w:tcW w:w="146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7"/>
                <w:szCs w:val="17"/>
                <w:color w:val="auto"/>
              </w:rPr>
              <w:t>4,882</w:t>
            </w:r>
          </w:p>
        </w:tc>
        <w:tc>
          <w:tcPr>
            <w:tcW w:w="120" w:type="dxa"/>
            <w:vAlign w:val="bottom"/>
            <w:shd w:val="clear" w:color="auto" w:fill="CCEEFF"/>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5"/>
        </w:trPr>
        <w:tc>
          <w:tcPr>
            <w:tcW w:w="4780" w:type="dxa"/>
            <w:vAlign w:val="bottom"/>
            <w:gridSpan w:val="3"/>
          </w:tcPr>
          <w:p>
            <w:pPr>
              <w:spacing w:after="0"/>
              <w:rPr>
                <w:sz w:val="20"/>
                <w:szCs w:val="20"/>
                <w:color w:val="auto"/>
              </w:rPr>
            </w:pPr>
            <w:r>
              <w:rPr>
                <w:rFonts w:ascii="Arial" w:cs="Arial" w:eastAsia="Arial" w:hAnsi="Arial"/>
                <w:sz w:val="17"/>
                <w:szCs w:val="17"/>
                <w:b w:val="1"/>
                <w:bCs w:val="1"/>
                <w:color w:val="auto"/>
              </w:rPr>
              <w:t>NOTE 5 – NOTES PAYABLE AND DERIVATIVE LIABILTY</w:t>
            </w: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20" w:type="dxa"/>
            <w:vAlign w:val="bottom"/>
          </w:tcPr>
          <w:p>
            <w:pPr>
              <w:spacing w:after="0"/>
              <w:rPr>
                <w:sz w:val="24"/>
                <w:szCs w:val="24"/>
                <w:color w:val="auto"/>
              </w:rPr>
            </w:pPr>
          </w:p>
        </w:tc>
        <w:tc>
          <w:tcPr>
            <w:tcW w:w="6580" w:type="dxa"/>
            <w:vAlign w:val="bottom"/>
            <w:gridSpan w:val="4"/>
          </w:tcPr>
          <w:p>
            <w:pPr>
              <w:ind w:left="600"/>
              <w:spacing w:after="0"/>
              <w:rPr>
                <w:sz w:val="20"/>
                <w:szCs w:val="20"/>
                <w:color w:val="auto"/>
              </w:rPr>
            </w:pPr>
            <w:r>
              <w:rPr>
                <w:rFonts w:ascii="Arial" w:cs="Arial" w:eastAsia="Arial" w:hAnsi="Arial"/>
                <w:sz w:val="17"/>
                <w:szCs w:val="17"/>
                <w:color w:val="auto"/>
              </w:rPr>
              <w:t>The following table summarizes our outstanding debt as of the dates indicated:</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4"/>
        </w:trPr>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gridSpan w:val="2"/>
          </w:tcPr>
          <w:p>
            <w:pPr>
              <w:jc w:val="center"/>
              <w:ind w:right="420"/>
              <w:spacing w:after="0"/>
              <w:rPr>
                <w:sz w:val="20"/>
                <w:szCs w:val="20"/>
                <w:color w:val="auto"/>
              </w:rPr>
            </w:pPr>
            <w:r>
              <w:rPr>
                <w:rFonts w:ascii="Arial" w:cs="Arial" w:eastAsia="Arial" w:hAnsi="Arial"/>
                <w:sz w:val="17"/>
                <w:szCs w:val="17"/>
                <w:b w:val="1"/>
                <w:bCs w:val="1"/>
                <w:color w:val="auto"/>
                <w:w w:val="87"/>
              </w:rPr>
              <w:t>Balance as of</w:t>
            </w: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gridSpan w:val="4"/>
          </w:tcPr>
          <w:p>
            <w:pPr>
              <w:jc w:val="right"/>
              <w:ind w:right="500"/>
              <w:spacing w:after="0"/>
              <w:rPr>
                <w:sz w:val="20"/>
                <w:szCs w:val="20"/>
                <w:color w:val="auto"/>
              </w:rPr>
            </w:pPr>
            <w:r>
              <w:rPr>
                <w:rFonts w:ascii="Arial" w:cs="Arial" w:eastAsia="Arial" w:hAnsi="Arial"/>
                <w:sz w:val="17"/>
                <w:szCs w:val="17"/>
                <w:b w:val="1"/>
                <w:bCs w:val="1"/>
                <w:color w:val="auto"/>
              </w:rPr>
              <w:t>Stated Interest</w:t>
            </w:r>
          </w:p>
        </w:tc>
        <w:tc>
          <w:tcPr>
            <w:tcW w:w="1460" w:type="dxa"/>
            <w:vAlign w:val="bottom"/>
            <w:gridSpan w:val="3"/>
          </w:tcPr>
          <w:p>
            <w:pPr>
              <w:jc w:val="center"/>
              <w:ind w:right="340"/>
              <w:spacing w:after="0"/>
              <w:rPr>
                <w:sz w:val="20"/>
                <w:szCs w:val="20"/>
                <w:color w:val="auto"/>
              </w:rPr>
            </w:pPr>
            <w:r>
              <w:rPr>
                <w:rFonts w:ascii="Arial" w:cs="Arial" w:eastAsia="Arial" w:hAnsi="Arial"/>
                <w:sz w:val="17"/>
                <w:szCs w:val="17"/>
                <w:b w:val="1"/>
                <w:bCs w:val="1"/>
                <w:color w:val="auto"/>
                <w:w w:val="90"/>
              </w:rPr>
              <w:t>December 31,</w:t>
            </w:r>
          </w:p>
        </w:tc>
        <w:tc>
          <w:tcPr>
            <w:tcW w:w="120" w:type="dxa"/>
            <w:vAlign w:val="bottom"/>
          </w:tcPr>
          <w:p>
            <w:pPr>
              <w:spacing w:after="0"/>
              <w:rPr>
                <w:sz w:val="17"/>
                <w:szCs w:val="17"/>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7"/>
                <w:szCs w:val="17"/>
                <w:b w:val="1"/>
                <w:bCs w:val="1"/>
                <w:color w:val="auto"/>
                <w:w w:val="94"/>
              </w:rPr>
              <w:t>Balance as of</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780" w:type="dxa"/>
            <w:vAlign w:val="bottom"/>
            <w:gridSpan w:val="3"/>
          </w:tcPr>
          <w:p>
            <w:pPr>
              <w:spacing w:after="0"/>
              <w:rPr>
                <w:sz w:val="20"/>
                <w:szCs w:val="20"/>
                <w:color w:val="auto"/>
              </w:rPr>
            </w:pPr>
            <w:r>
              <w:rPr>
                <w:rFonts w:ascii="Arial" w:cs="Arial" w:eastAsia="Arial" w:hAnsi="Arial"/>
                <w:sz w:val="17"/>
                <w:szCs w:val="17"/>
                <w:b w:val="1"/>
                <w:bCs w:val="1"/>
                <w:color w:val="auto"/>
              </w:rPr>
              <w:t>Notes Payable</w:t>
            </w:r>
          </w:p>
        </w:tc>
        <w:tc>
          <w:tcPr>
            <w:tcW w:w="120" w:type="dxa"/>
            <w:vAlign w:val="bottom"/>
          </w:tcPr>
          <w:p>
            <w:pPr>
              <w:spacing w:after="0"/>
              <w:rPr>
                <w:sz w:val="19"/>
                <w:szCs w:val="19"/>
                <w:color w:val="auto"/>
              </w:rPr>
            </w:pPr>
          </w:p>
        </w:tc>
        <w:tc>
          <w:tcPr>
            <w:tcW w:w="1700" w:type="dxa"/>
            <w:vAlign w:val="bottom"/>
          </w:tcPr>
          <w:p>
            <w:pPr>
              <w:ind w:left="540"/>
              <w:spacing w:after="0"/>
              <w:rPr>
                <w:sz w:val="20"/>
                <w:szCs w:val="20"/>
                <w:color w:val="auto"/>
              </w:rPr>
            </w:pPr>
            <w:r>
              <w:rPr>
                <w:rFonts w:ascii="Arial" w:cs="Arial" w:eastAsia="Arial" w:hAnsi="Arial"/>
                <w:sz w:val="17"/>
                <w:szCs w:val="17"/>
                <w:b w:val="1"/>
                <w:bCs w:val="1"/>
                <w:color w:val="auto"/>
              </w:rPr>
              <w:t>Maturity</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gridSpan w:val="3"/>
          </w:tcPr>
          <w:p>
            <w:pPr>
              <w:jc w:val="right"/>
              <w:ind w:right="880"/>
              <w:spacing w:after="0"/>
              <w:rPr>
                <w:sz w:val="20"/>
                <w:szCs w:val="20"/>
                <w:color w:val="auto"/>
              </w:rPr>
            </w:pPr>
            <w:r>
              <w:rPr>
                <w:rFonts w:ascii="Arial" w:cs="Arial" w:eastAsia="Arial" w:hAnsi="Arial"/>
                <w:sz w:val="17"/>
                <w:szCs w:val="17"/>
                <w:b w:val="1"/>
                <w:bCs w:val="1"/>
                <w:color w:val="auto"/>
              </w:rPr>
              <w:t>Rate</w:t>
            </w:r>
          </w:p>
        </w:tc>
        <w:tc>
          <w:tcPr>
            <w:tcW w:w="1240" w:type="dxa"/>
            <w:vAlign w:val="bottom"/>
            <w:gridSpan w:val="2"/>
          </w:tcPr>
          <w:p>
            <w:pPr>
              <w:jc w:val="center"/>
              <w:ind w:right="34"/>
              <w:spacing w:after="0"/>
              <w:rPr>
                <w:sz w:val="20"/>
                <w:szCs w:val="20"/>
                <w:color w:val="auto"/>
              </w:rPr>
            </w:pPr>
            <w:r>
              <w:rPr>
                <w:rFonts w:ascii="Arial" w:cs="Arial" w:eastAsia="Arial" w:hAnsi="Arial"/>
                <w:sz w:val="17"/>
                <w:szCs w:val="17"/>
                <w:b w:val="1"/>
                <w:bCs w:val="1"/>
                <w:color w:val="auto"/>
                <w:w w:val="95"/>
              </w:rPr>
              <w:t>2012</w:t>
            </w:r>
          </w:p>
        </w:tc>
        <w:tc>
          <w:tcPr>
            <w:tcW w:w="220" w:type="dxa"/>
            <w:vAlign w:val="bottom"/>
          </w:tcPr>
          <w:p>
            <w:pPr>
              <w:spacing w:after="0"/>
              <w:rPr>
                <w:sz w:val="19"/>
                <w:szCs w:val="19"/>
                <w:color w:val="auto"/>
              </w:rPr>
            </w:pPr>
          </w:p>
        </w:tc>
        <w:tc>
          <w:tcPr>
            <w:tcW w:w="1420" w:type="dxa"/>
            <w:vAlign w:val="bottom"/>
            <w:gridSpan w:val="3"/>
          </w:tcPr>
          <w:p>
            <w:pPr>
              <w:jc w:val="right"/>
              <w:ind w:right="20"/>
              <w:spacing w:after="0"/>
              <w:rPr>
                <w:sz w:val="20"/>
                <w:szCs w:val="20"/>
                <w:color w:val="auto"/>
              </w:rPr>
            </w:pPr>
            <w:r>
              <w:rPr>
                <w:rFonts w:ascii="Arial" w:cs="Arial" w:eastAsia="Arial" w:hAnsi="Arial"/>
                <w:sz w:val="17"/>
                <w:szCs w:val="17"/>
                <w:b w:val="1"/>
                <w:bCs w:val="1"/>
                <w:color w:val="auto"/>
                <w:w w:val="90"/>
              </w:rPr>
              <w:t>December 31, 2011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760" w:type="dxa"/>
            <w:vAlign w:val="bottom"/>
            <w:tcBorders>
              <w:top w:val="single" w:sz="8" w:color="auto"/>
            </w:tcBorders>
            <w:gridSpan w:val="2"/>
            <w:shd w:val="clear" w:color="auto" w:fill="CCEEFF"/>
          </w:tcPr>
          <w:p>
            <w:pPr>
              <w:spacing w:after="0" w:line="193" w:lineRule="exact"/>
              <w:rPr>
                <w:sz w:val="20"/>
                <w:szCs w:val="20"/>
                <w:color w:val="auto"/>
              </w:rPr>
            </w:pPr>
            <w:r>
              <w:rPr>
                <w:rFonts w:ascii="Arial" w:cs="Arial" w:eastAsia="Arial" w:hAnsi="Arial"/>
                <w:sz w:val="17"/>
                <w:szCs w:val="17"/>
                <w:color w:val="auto"/>
              </w:rPr>
              <w:t>Subordinated notes payable:</w:t>
            </w:r>
          </w:p>
        </w:tc>
        <w:tc>
          <w:tcPr>
            <w:tcW w:w="120" w:type="dxa"/>
            <w:vAlign w:val="bottom"/>
            <w:shd w:val="clear" w:color="auto" w:fill="CCEEFF"/>
          </w:tcPr>
          <w:p>
            <w:pPr>
              <w:spacing w:after="0"/>
              <w:rPr>
                <w:sz w:val="16"/>
                <w:szCs w:val="16"/>
                <w:color w:val="auto"/>
              </w:rPr>
            </w:pPr>
          </w:p>
        </w:tc>
        <w:tc>
          <w:tcPr>
            <w:tcW w:w="17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ADI - Acquisition Note</w:t>
            </w:r>
          </w:p>
        </w:tc>
        <w:tc>
          <w:tcPr>
            <w:tcW w:w="1820" w:type="dxa"/>
            <w:vAlign w:val="bottom"/>
            <w:gridSpan w:val="2"/>
            <w:shd w:val="clear" w:color="auto" w:fill="CCEEFF"/>
          </w:tcPr>
          <w:p>
            <w:pPr>
              <w:jc w:val="center"/>
              <w:ind w:left="74"/>
              <w:spacing w:after="0"/>
              <w:rPr>
                <w:sz w:val="20"/>
                <w:szCs w:val="20"/>
                <w:color w:val="auto"/>
              </w:rPr>
            </w:pPr>
            <w:r>
              <w:rPr>
                <w:rFonts w:ascii="Arial" w:cs="Arial" w:eastAsia="Arial" w:hAnsi="Arial"/>
                <w:sz w:val="17"/>
                <w:szCs w:val="17"/>
                <w:color w:val="auto"/>
                <w:w w:val="92"/>
              </w:rPr>
              <w:t>10/1/2014</w:t>
            </w:r>
          </w:p>
        </w:tc>
        <w:tc>
          <w:tcPr>
            <w:tcW w:w="1700" w:type="dxa"/>
            <w:vAlign w:val="bottom"/>
            <w:gridSpan w:val="4"/>
            <w:shd w:val="clear" w:color="auto" w:fill="CCEEFF"/>
          </w:tcPr>
          <w:p>
            <w:pPr>
              <w:jc w:val="right"/>
              <w:ind w:right="100"/>
              <w:spacing w:after="0"/>
              <w:rPr>
                <w:sz w:val="20"/>
                <w:szCs w:val="20"/>
                <w:color w:val="auto"/>
              </w:rPr>
            </w:pPr>
            <w:r>
              <w:rPr>
                <w:rFonts w:ascii="Arial" w:cs="Arial" w:eastAsia="Arial" w:hAnsi="Arial"/>
                <w:sz w:val="17"/>
                <w:szCs w:val="17"/>
                <w:color w:val="auto"/>
              </w:rPr>
              <w:t>0.16%</w:t>
            </w:r>
          </w:p>
        </w:tc>
        <w:tc>
          <w:tcPr>
            <w:tcW w:w="120" w:type="dxa"/>
            <w:vAlign w:val="bottom"/>
            <w:shd w:val="clear" w:color="auto" w:fill="CCEEFF"/>
          </w:tcPr>
          <w:p>
            <w:pPr>
              <w:spacing w:after="0"/>
              <w:rPr>
                <w:sz w:val="18"/>
                <w:szCs w:val="18"/>
                <w:color w:val="auto"/>
              </w:rPr>
            </w:pPr>
          </w:p>
        </w:tc>
        <w:tc>
          <w:tcPr>
            <w:tcW w:w="146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693</w:t>
            </w:r>
          </w:p>
        </w:tc>
        <w:tc>
          <w:tcPr>
            <w:tcW w:w="142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870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760" w:type="dxa"/>
            <w:vAlign w:val="bottom"/>
            <w:gridSpan w:val="2"/>
          </w:tcPr>
          <w:p>
            <w:pPr>
              <w:spacing w:after="0"/>
              <w:rPr>
                <w:sz w:val="20"/>
                <w:szCs w:val="20"/>
                <w:color w:val="auto"/>
              </w:rPr>
            </w:pPr>
            <w:r>
              <w:rPr>
                <w:rFonts w:ascii="Arial" w:cs="Arial" w:eastAsia="Arial" w:hAnsi="Arial"/>
                <w:sz w:val="17"/>
                <w:szCs w:val="17"/>
                <w:color w:val="auto"/>
              </w:rPr>
              <w:t>Subordinated notes payable: Legiant Acquisition - Note # 1</w:t>
            </w:r>
          </w:p>
        </w:tc>
        <w:tc>
          <w:tcPr>
            <w:tcW w:w="1820" w:type="dxa"/>
            <w:vAlign w:val="bottom"/>
            <w:gridSpan w:val="2"/>
          </w:tcPr>
          <w:p>
            <w:pPr>
              <w:jc w:val="right"/>
              <w:ind w:right="454"/>
              <w:spacing w:after="0"/>
              <w:rPr>
                <w:sz w:val="20"/>
                <w:szCs w:val="20"/>
                <w:color w:val="auto"/>
              </w:rPr>
            </w:pPr>
            <w:r>
              <w:rPr>
                <w:rFonts w:ascii="Arial" w:cs="Arial" w:eastAsia="Arial" w:hAnsi="Arial"/>
                <w:sz w:val="17"/>
                <w:szCs w:val="17"/>
                <w:color w:val="auto"/>
              </w:rPr>
              <w:t>2/1/2012</w:t>
            </w:r>
          </w:p>
        </w:tc>
        <w:tc>
          <w:tcPr>
            <w:tcW w:w="1700" w:type="dxa"/>
            <w:vAlign w:val="bottom"/>
            <w:gridSpan w:val="4"/>
          </w:tcPr>
          <w:p>
            <w:pPr>
              <w:jc w:val="right"/>
              <w:ind w:right="100"/>
              <w:spacing w:after="0"/>
              <w:rPr>
                <w:sz w:val="20"/>
                <w:szCs w:val="20"/>
                <w:color w:val="auto"/>
              </w:rPr>
            </w:pPr>
            <w:r>
              <w:rPr>
                <w:rFonts w:ascii="Arial" w:cs="Arial" w:eastAsia="Arial" w:hAnsi="Arial"/>
                <w:sz w:val="17"/>
                <w:szCs w:val="17"/>
                <w:color w:val="auto"/>
              </w:rPr>
              <w:t>0.20%</w:t>
            </w:r>
          </w:p>
        </w:tc>
        <w:tc>
          <w:tcPr>
            <w:tcW w:w="120" w:type="dxa"/>
            <w:vAlign w:val="bottom"/>
          </w:tcPr>
          <w:p>
            <w:pPr>
              <w:spacing w:after="0"/>
              <w:rPr>
                <w:sz w:val="17"/>
                <w:szCs w:val="17"/>
                <w:color w:val="auto"/>
              </w:rPr>
            </w:pPr>
          </w:p>
        </w:tc>
        <w:tc>
          <w:tcPr>
            <w:tcW w:w="1460" w:type="dxa"/>
            <w:vAlign w:val="bottom"/>
            <w:gridSpan w:val="3"/>
          </w:tcPr>
          <w:p>
            <w:pPr>
              <w:jc w:val="right"/>
              <w:ind w:right="220"/>
              <w:spacing w:after="0"/>
              <w:rPr>
                <w:sz w:val="20"/>
                <w:szCs w:val="20"/>
                <w:color w:val="auto"/>
              </w:rPr>
            </w:pPr>
            <w:r>
              <w:rPr>
                <w:rFonts w:ascii="Arial" w:cs="Arial" w:eastAsia="Arial" w:hAnsi="Arial"/>
                <w:sz w:val="17"/>
                <w:szCs w:val="17"/>
                <w:color w:val="auto"/>
              </w:rPr>
              <w:t>-</w:t>
            </w:r>
          </w:p>
        </w:tc>
        <w:tc>
          <w:tcPr>
            <w:tcW w:w="1420" w:type="dxa"/>
            <w:vAlign w:val="bottom"/>
            <w:gridSpan w:val="3"/>
          </w:tcPr>
          <w:p>
            <w:pPr>
              <w:jc w:val="right"/>
              <w:ind w:right="100"/>
              <w:spacing w:after="0"/>
              <w:rPr>
                <w:sz w:val="20"/>
                <w:szCs w:val="20"/>
                <w:color w:val="auto"/>
              </w:rPr>
            </w:pPr>
            <w:r>
              <w:rPr>
                <w:rFonts w:ascii="Arial" w:cs="Arial" w:eastAsia="Arial" w:hAnsi="Arial"/>
                <w:sz w:val="17"/>
                <w:szCs w:val="17"/>
                <w:color w:val="auto"/>
              </w:rPr>
              <w:t>250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760" w:type="dxa"/>
            <w:vAlign w:val="bottom"/>
            <w:gridSpan w:val="2"/>
            <w:shd w:val="clear" w:color="auto" w:fill="CCEEFF"/>
          </w:tcPr>
          <w:p>
            <w:pPr>
              <w:spacing w:after="0" w:line="193" w:lineRule="exact"/>
              <w:rPr>
                <w:sz w:val="20"/>
                <w:szCs w:val="20"/>
                <w:color w:val="auto"/>
              </w:rPr>
            </w:pPr>
            <w:r>
              <w:rPr>
                <w:rFonts w:ascii="Arial" w:cs="Arial" w:eastAsia="Arial" w:hAnsi="Arial"/>
                <w:sz w:val="17"/>
                <w:szCs w:val="17"/>
                <w:color w:val="auto"/>
              </w:rPr>
              <w:t>Subordinated notes payable:</w:t>
            </w:r>
          </w:p>
        </w:tc>
        <w:tc>
          <w:tcPr>
            <w:tcW w:w="12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60" w:type="dxa"/>
            <w:vAlign w:val="bottom"/>
            <w:gridSpan w:val="2"/>
            <w:shd w:val="clear" w:color="auto" w:fill="CCEEFF"/>
          </w:tcPr>
          <w:p>
            <w:pPr>
              <w:jc w:val="center"/>
              <w:ind w:right="2534"/>
              <w:spacing w:after="0"/>
              <w:rPr>
                <w:sz w:val="20"/>
                <w:szCs w:val="20"/>
                <w:color w:val="auto"/>
              </w:rPr>
            </w:pPr>
            <w:r>
              <w:rPr>
                <w:rFonts w:ascii="Arial" w:cs="Arial" w:eastAsia="Arial" w:hAnsi="Arial"/>
                <w:sz w:val="17"/>
                <w:szCs w:val="17"/>
                <w:color w:val="auto"/>
                <w:w w:val="94"/>
              </w:rPr>
              <w:t>Legiant Acquisition - Note # 2</w:t>
            </w:r>
          </w:p>
        </w:tc>
        <w:tc>
          <w:tcPr>
            <w:tcW w:w="1820" w:type="dxa"/>
            <w:vAlign w:val="bottom"/>
            <w:gridSpan w:val="2"/>
            <w:shd w:val="clear" w:color="auto" w:fill="CCEEFF"/>
          </w:tcPr>
          <w:p>
            <w:pPr>
              <w:jc w:val="center"/>
              <w:ind w:left="74"/>
              <w:spacing w:after="0"/>
              <w:rPr>
                <w:sz w:val="20"/>
                <w:szCs w:val="20"/>
                <w:color w:val="auto"/>
              </w:rPr>
            </w:pPr>
            <w:r>
              <w:rPr>
                <w:rFonts w:ascii="Arial" w:cs="Arial" w:eastAsia="Arial" w:hAnsi="Arial"/>
                <w:sz w:val="17"/>
                <w:szCs w:val="17"/>
                <w:color w:val="auto"/>
                <w:w w:val="92"/>
              </w:rPr>
              <w:t>10/1/2014</w:t>
            </w:r>
          </w:p>
        </w:tc>
        <w:tc>
          <w:tcPr>
            <w:tcW w:w="1700" w:type="dxa"/>
            <w:vAlign w:val="bottom"/>
            <w:gridSpan w:val="4"/>
            <w:shd w:val="clear" w:color="auto" w:fill="CCEEFF"/>
          </w:tcPr>
          <w:p>
            <w:pPr>
              <w:jc w:val="right"/>
              <w:ind w:right="100"/>
              <w:spacing w:after="0"/>
              <w:rPr>
                <w:sz w:val="20"/>
                <w:szCs w:val="20"/>
                <w:color w:val="auto"/>
              </w:rPr>
            </w:pPr>
            <w:r>
              <w:rPr>
                <w:rFonts w:ascii="Arial" w:cs="Arial" w:eastAsia="Arial" w:hAnsi="Arial"/>
                <w:sz w:val="17"/>
                <w:szCs w:val="17"/>
                <w:color w:val="auto"/>
              </w:rPr>
              <w:t>5.00%</w:t>
            </w:r>
          </w:p>
        </w:tc>
        <w:tc>
          <w:tcPr>
            <w:tcW w:w="120" w:type="dxa"/>
            <w:vAlign w:val="bottom"/>
            <w:shd w:val="clear" w:color="auto" w:fill="CCEEFF"/>
          </w:tcPr>
          <w:p>
            <w:pPr>
              <w:spacing w:after="0"/>
              <w:rPr>
                <w:sz w:val="18"/>
                <w:szCs w:val="18"/>
                <w:color w:val="auto"/>
              </w:rPr>
            </w:pPr>
          </w:p>
        </w:tc>
        <w:tc>
          <w:tcPr>
            <w:tcW w:w="146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186</w:t>
            </w:r>
          </w:p>
        </w:tc>
        <w:tc>
          <w:tcPr>
            <w:tcW w:w="142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468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760" w:type="dxa"/>
            <w:vAlign w:val="bottom"/>
            <w:gridSpan w:val="2"/>
          </w:tcPr>
          <w:p>
            <w:pPr>
              <w:spacing w:after="0" w:line="193" w:lineRule="exact"/>
              <w:rPr>
                <w:sz w:val="20"/>
                <w:szCs w:val="20"/>
                <w:color w:val="auto"/>
              </w:rPr>
            </w:pPr>
            <w:r>
              <w:rPr>
                <w:rFonts w:ascii="Arial" w:cs="Arial" w:eastAsia="Arial" w:hAnsi="Arial"/>
                <w:sz w:val="17"/>
                <w:szCs w:val="17"/>
                <w:color w:val="auto"/>
              </w:rPr>
              <w:t>Subordinated notes payable:</w:t>
            </w:r>
          </w:p>
        </w:tc>
        <w:tc>
          <w:tcPr>
            <w:tcW w:w="1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jc w:val="center"/>
              <w:ind w:right="2534"/>
              <w:spacing w:after="0"/>
              <w:rPr>
                <w:sz w:val="20"/>
                <w:szCs w:val="20"/>
                <w:color w:val="auto"/>
              </w:rPr>
            </w:pPr>
            <w:r>
              <w:rPr>
                <w:rFonts w:ascii="Arial" w:cs="Arial" w:eastAsia="Arial" w:hAnsi="Arial"/>
                <w:sz w:val="17"/>
                <w:szCs w:val="17"/>
                <w:color w:val="auto"/>
                <w:w w:val="94"/>
              </w:rPr>
              <w:t>Legiant Acquisition - Note # 3</w:t>
            </w:r>
          </w:p>
        </w:tc>
        <w:tc>
          <w:tcPr>
            <w:tcW w:w="1820" w:type="dxa"/>
            <w:vAlign w:val="bottom"/>
            <w:gridSpan w:val="2"/>
          </w:tcPr>
          <w:p>
            <w:pPr>
              <w:jc w:val="center"/>
              <w:ind w:left="74"/>
              <w:spacing w:after="0"/>
              <w:rPr>
                <w:sz w:val="20"/>
                <w:szCs w:val="20"/>
                <w:color w:val="auto"/>
              </w:rPr>
            </w:pPr>
            <w:r>
              <w:rPr>
                <w:rFonts w:ascii="Arial" w:cs="Arial" w:eastAsia="Arial" w:hAnsi="Arial"/>
                <w:sz w:val="17"/>
                <w:szCs w:val="17"/>
                <w:color w:val="auto"/>
                <w:w w:val="92"/>
              </w:rPr>
              <w:t>10/1/2014</w:t>
            </w:r>
          </w:p>
        </w:tc>
        <w:tc>
          <w:tcPr>
            <w:tcW w:w="1700" w:type="dxa"/>
            <w:vAlign w:val="bottom"/>
            <w:gridSpan w:val="4"/>
          </w:tcPr>
          <w:p>
            <w:pPr>
              <w:jc w:val="right"/>
              <w:ind w:right="100"/>
              <w:spacing w:after="0"/>
              <w:rPr>
                <w:sz w:val="20"/>
                <w:szCs w:val="20"/>
                <w:color w:val="auto"/>
              </w:rPr>
            </w:pPr>
            <w:r>
              <w:rPr>
                <w:rFonts w:ascii="Arial" w:cs="Arial" w:eastAsia="Arial" w:hAnsi="Arial"/>
                <w:sz w:val="17"/>
                <w:szCs w:val="17"/>
                <w:color w:val="auto"/>
              </w:rPr>
              <w:t>0.20%</w:t>
            </w:r>
          </w:p>
        </w:tc>
        <w:tc>
          <w:tcPr>
            <w:tcW w:w="120" w:type="dxa"/>
            <w:vAlign w:val="bottom"/>
          </w:tcPr>
          <w:p>
            <w:pPr>
              <w:spacing w:after="0"/>
              <w:rPr>
                <w:sz w:val="18"/>
                <w:szCs w:val="18"/>
                <w:color w:val="auto"/>
              </w:rPr>
            </w:pPr>
          </w:p>
        </w:tc>
        <w:tc>
          <w:tcPr>
            <w:tcW w:w="1460" w:type="dxa"/>
            <w:vAlign w:val="bottom"/>
            <w:gridSpan w:val="3"/>
          </w:tcPr>
          <w:p>
            <w:pPr>
              <w:jc w:val="right"/>
              <w:ind w:right="220"/>
              <w:spacing w:after="0"/>
              <w:rPr>
                <w:sz w:val="20"/>
                <w:szCs w:val="20"/>
                <w:color w:val="auto"/>
              </w:rPr>
            </w:pPr>
            <w:r>
              <w:rPr>
                <w:rFonts w:ascii="Arial" w:cs="Arial" w:eastAsia="Arial" w:hAnsi="Arial"/>
                <w:sz w:val="17"/>
                <w:szCs w:val="17"/>
                <w:color w:val="auto"/>
              </w:rPr>
              <w:t>1,510</w:t>
            </w:r>
          </w:p>
        </w:tc>
        <w:tc>
          <w:tcPr>
            <w:tcW w:w="1420" w:type="dxa"/>
            <w:vAlign w:val="bottom"/>
            <w:gridSpan w:val="3"/>
          </w:tcPr>
          <w:p>
            <w:pPr>
              <w:jc w:val="right"/>
              <w:ind w:right="100"/>
              <w:spacing w:after="0"/>
              <w:rPr>
                <w:sz w:val="20"/>
                <w:szCs w:val="20"/>
                <w:color w:val="auto"/>
              </w:rPr>
            </w:pPr>
            <w:r>
              <w:rPr>
                <w:rFonts w:ascii="Arial" w:cs="Arial" w:eastAsia="Arial" w:hAnsi="Arial"/>
                <w:sz w:val="17"/>
                <w:szCs w:val="17"/>
                <w:color w:val="auto"/>
              </w:rPr>
              <w:t>1,384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Subordinated Convertible Notes Payable – 9% Notes</w:t>
            </w:r>
          </w:p>
        </w:tc>
        <w:tc>
          <w:tcPr>
            <w:tcW w:w="1820" w:type="dxa"/>
            <w:vAlign w:val="bottom"/>
            <w:gridSpan w:val="2"/>
            <w:shd w:val="clear" w:color="auto" w:fill="CCEEFF"/>
          </w:tcPr>
          <w:p>
            <w:pPr>
              <w:jc w:val="center"/>
              <w:ind w:left="74"/>
              <w:spacing w:after="0"/>
              <w:rPr>
                <w:sz w:val="20"/>
                <w:szCs w:val="20"/>
                <w:color w:val="auto"/>
              </w:rPr>
            </w:pPr>
            <w:r>
              <w:rPr>
                <w:rFonts w:ascii="Arial" w:cs="Arial" w:eastAsia="Arial" w:hAnsi="Arial"/>
                <w:sz w:val="17"/>
                <w:szCs w:val="17"/>
                <w:color w:val="auto"/>
                <w:w w:val="92"/>
              </w:rPr>
              <w:t>9/30/2014</w:t>
            </w:r>
          </w:p>
        </w:tc>
        <w:tc>
          <w:tcPr>
            <w:tcW w:w="1700" w:type="dxa"/>
            <w:vAlign w:val="bottom"/>
            <w:gridSpan w:val="4"/>
            <w:shd w:val="clear" w:color="auto" w:fill="CCEEFF"/>
          </w:tcPr>
          <w:p>
            <w:pPr>
              <w:jc w:val="right"/>
              <w:ind w:right="100"/>
              <w:spacing w:after="0"/>
              <w:rPr>
                <w:sz w:val="20"/>
                <w:szCs w:val="20"/>
                <w:color w:val="auto"/>
              </w:rPr>
            </w:pPr>
            <w:r>
              <w:rPr>
                <w:rFonts w:ascii="Arial" w:cs="Arial" w:eastAsia="Arial" w:hAnsi="Arial"/>
                <w:sz w:val="17"/>
                <w:szCs w:val="17"/>
                <w:color w:val="auto"/>
              </w:rPr>
              <w:t>9.00%</w:t>
            </w:r>
          </w:p>
        </w:tc>
        <w:tc>
          <w:tcPr>
            <w:tcW w:w="120" w:type="dxa"/>
            <w:vAlign w:val="bottom"/>
            <w:shd w:val="clear" w:color="auto" w:fill="CCEEFF"/>
          </w:tcPr>
          <w:p>
            <w:pPr>
              <w:spacing w:after="0"/>
              <w:rPr>
                <w:sz w:val="17"/>
                <w:szCs w:val="17"/>
                <w:color w:val="auto"/>
              </w:rPr>
            </w:pPr>
          </w:p>
        </w:tc>
        <w:tc>
          <w:tcPr>
            <w:tcW w:w="146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311</w:t>
            </w:r>
          </w:p>
        </w:tc>
        <w:tc>
          <w:tcPr>
            <w:tcW w:w="142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1,247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760" w:type="dxa"/>
            <w:vAlign w:val="bottom"/>
            <w:gridSpan w:val="2"/>
          </w:tcPr>
          <w:p>
            <w:pPr>
              <w:spacing w:after="0"/>
              <w:rPr>
                <w:sz w:val="20"/>
                <w:szCs w:val="20"/>
                <w:color w:val="auto"/>
              </w:rPr>
            </w:pPr>
            <w:r>
              <w:rPr>
                <w:rFonts w:ascii="Arial" w:cs="Arial" w:eastAsia="Arial" w:hAnsi="Arial"/>
                <w:sz w:val="17"/>
                <w:szCs w:val="17"/>
                <w:color w:val="auto"/>
              </w:rPr>
              <w:t>Subordinated Notes Payable – 15% Notes</w:t>
            </w:r>
          </w:p>
        </w:tc>
        <w:tc>
          <w:tcPr>
            <w:tcW w:w="1820" w:type="dxa"/>
            <w:vAlign w:val="bottom"/>
            <w:gridSpan w:val="2"/>
          </w:tcPr>
          <w:p>
            <w:pPr>
              <w:jc w:val="center"/>
              <w:ind w:left="74"/>
              <w:spacing w:after="0"/>
              <w:rPr>
                <w:sz w:val="20"/>
                <w:szCs w:val="20"/>
                <w:color w:val="auto"/>
              </w:rPr>
            </w:pPr>
            <w:r>
              <w:rPr>
                <w:rFonts w:ascii="Arial" w:cs="Arial" w:eastAsia="Arial" w:hAnsi="Arial"/>
                <w:sz w:val="17"/>
                <w:szCs w:val="17"/>
                <w:color w:val="auto"/>
                <w:w w:val="92"/>
              </w:rPr>
              <w:t>9/30/2014</w:t>
            </w:r>
          </w:p>
        </w:tc>
        <w:tc>
          <w:tcPr>
            <w:tcW w:w="1700" w:type="dxa"/>
            <w:vAlign w:val="bottom"/>
            <w:gridSpan w:val="4"/>
          </w:tcPr>
          <w:p>
            <w:pPr>
              <w:jc w:val="right"/>
              <w:ind w:right="100"/>
              <w:spacing w:after="0"/>
              <w:rPr>
                <w:sz w:val="20"/>
                <w:szCs w:val="20"/>
                <w:color w:val="auto"/>
              </w:rPr>
            </w:pPr>
            <w:r>
              <w:rPr>
                <w:rFonts w:ascii="Arial" w:cs="Arial" w:eastAsia="Arial" w:hAnsi="Arial"/>
                <w:sz w:val="17"/>
                <w:szCs w:val="17"/>
                <w:color w:val="auto"/>
              </w:rPr>
              <w:t>15.00%</w:t>
            </w:r>
          </w:p>
        </w:tc>
        <w:tc>
          <w:tcPr>
            <w:tcW w:w="120" w:type="dxa"/>
            <w:vAlign w:val="bottom"/>
          </w:tcPr>
          <w:p>
            <w:pPr>
              <w:spacing w:after="0"/>
              <w:rPr>
                <w:sz w:val="17"/>
                <w:szCs w:val="17"/>
                <w:color w:val="auto"/>
              </w:rPr>
            </w:pPr>
          </w:p>
        </w:tc>
        <w:tc>
          <w:tcPr>
            <w:tcW w:w="1460" w:type="dxa"/>
            <w:vAlign w:val="bottom"/>
            <w:gridSpan w:val="3"/>
          </w:tcPr>
          <w:p>
            <w:pPr>
              <w:jc w:val="right"/>
              <w:ind w:right="220"/>
              <w:spacing w:after="0"/>
              <w:rPr>
                <w:sz w:val="20"/>
                <w:szCs w:val="20"/>
                <w:color w:val="auto"/>
              </w:rPr>
            </w:pPr>
            <w:r>
              <w:rPr>
                <w:rFonts w:ascii="Arial" w:cs="Arial" w:eastAsia="Arial" w:hAnsi="Arial"/>
                <w:sz w:val="17"/>
                <w:szCs w:val="17"/>
                <w:color w:val="auto"/>
              </w:rPr>
              <w:t>800</w:t>
            </w:r>
          </w:p>
        </w:tc>
        <w:tc>
          <w:tcPr>
            <w:tcW w:w="1420" w:type="dxa"/>
            <w:vAlign w:val="bottom"/>
            <w:gridSpan w:val="3"/>
          </w:tcPr>
          <w:p>
            <w:pPr>
              <w:jc w:val="right"/>
              <w:ind w:right="100"/>
              <w:spacing w:after="0"/>
              <w:rPr>
                <w:sz w:val="20"/>
                <w:szCs w:val="20"/>
                <w:color w:val="auto"/>
              </w:rPr>
            </w:pPr>
            <w:r>
              <w:rPr>
                <w:rFonts w:ascii="Arial" w:cs="Arial" w:eastAsia="Arial" w:hAnsi="Arial"/>
                <w:sz w:val="17"/>
                <w:szCs w:val="17"/>
                <w:color w:val="auto"/>
              </w:rPr>
              <w:t>1,700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Subordinated Notes payable: PeopleCube Acquisition Note</w:t>
            </w:r>
          </w:p>
        </w:tc>
        <w:tc>
          <w:tcPr>
            <w:tcW w:w="1820" w:type="dxa"/>
            <w:vAlign w:val="bottom"/>
            <w:gridSpan w:val="2"/>
            <w:shd w:val="clear" w:color="auto" w:fill="CCEEFF"/>
          </w:tcPr>
          <w:p>
            <w:pPr>
              <w:jc w:val="center"/>
              <w:ind w:left="74"/>
              <w:spacing w:after="0"/>
              <w:rPr>
                <w:sz w:val="20"/>
                <w:szCs w:val="20"/>
                <w:color w:val="auto"/>
              </w:rPr>
            </w:pPr>
            <w:r>
              <w:rPr>
                <w:rFonts w:ascii="Arial" w:cs="Arial" w:eastAsia="Arial" w:hAnsi="Arial"/>
                <w:sz w:val="17"/>
                <w:szCs w:val="17"/>
                <w:color w:val="auto"/>
                <w:w w:val="91"/>
              </w:rPr>
              <w:t>10/31/2014</w:t>
            </w:r>
          </w:p>
        </w:tc>
        <w:tc>
          <w:tcPr>
            <w:tcW w:w="1700" w:type="dxa"/>
            <w:vAlign w:val="bottom"/>
            <w:gridSpan w:val="4"/>
            <w:shd w:val="clear" w:color="auto" w:fill="CCEEFF"/>
          </w:tcPr>
          <w:p>
            <w:pPr>
              <w:jc w:val="right"/>
              <w:ind w:right="100"/>
              <w:spacing w:after="0"/>
              <w:rPr>
                <w:sz w:val="20"/>
                <w:szCs w:val="20"/>
                <w:color w:val="auto"/>
              </w:rPr>
            </w:pPr>
            <w:r>
              <w:rPr>
                <w:rFonts w:ascii="Arial" w:cs="Arial" w:eastAsia="Arial" w:hAnsi="Arial"/>
                <w:sz w:val="17"/>
                <w:szCs w:val="17"/>
                <w:color w:val="auto"/>
              </w:rPr>
              <w:t>10.0%</w:t>
            </w:r>
          </w:p>
        </w:tc>
        <w:tc>
          <w:tcPr>
            <w:tcW w:w="120" w:type="dxa"/>
            <w:vAlign w:val="bottom"/>
            <w:shd w:val="clear" w:color="auto" w:fill="CCEEFF"/>
          </w:tcPr>
          <w:p>
            <w:pPr>
              <w:spacing w:after="0"/>
              <w:rPr>
                <w:sz w:val="17"/>
                <w:szCs w:val="17"/>
                <w:color w:val="auto"/>
              </w:rPr>
            </w:pPr>
          </w:p>
        </w:tc>
        <w:tc>
          <w:tcPr>
            <w:tcW w:w="146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2,499</w:t>
            </w:r>
          </w:p>
        </w:tc>
        <w:tc>
          <w:tcPr>
            <w:tcW w:w="142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760" w:type="dxa"/>
            <w:vAlign w:val="bottom"/>
            <w:gridSpan w:val="2"/>
          </w:tcPr>
          <w:p>
            <w:pPr>
              <w:spacing w:after="0"/>
              <w:rPr>
                <w:sz w:val="20"/>
                <w:szCs w:val="20"/>
                <w:color w:val="auto"/>
              </w:rPr>
            </w:pPr>
            <w:r>
              <w:rPr>
                <w:rFonts w:ascii="Arial" w:cs="Arial" w:eastAsia="Arial" w:hAnsi="Arial"/>
                <w:sz w:val="17"/>
                <w:szCs w:val="17"/>
                <w:color w:val="auto"/>
              </w:rPr>
              <w:t>Senior Note Payable</w:t>
            </w:r>
          </w:p>
        </w:tc>
        <w:tc>
          <w:tcPr>
            <w:tcW w:w="1820" w:type="dxa"/>
            <w:vAlign w:val="bottom"/>
            <w:gridSpan w:val="2"/>
          </w:tcPr>
          <w:p>
            <w:pPr>
              <w:jc w:val="right"/>
              <w:ind w:right="374"/>
              <w:spacing w:after="0"/>
              <w:rPr>
                <w:sz w:val="20"/>
                <w:szCs w:val="20"/>
                <w:color w:val="auto"/>
              </w:rPr>
            </w:pPr>
            <w:r>
              <w:rPr>
                <w:rFonts w:ascii="Arial" w:cs="Arial" w:eastAsia="Arial" w:hAnsi="Arial"/>
                <w:sz w:val="17"/>
                <w:szCs w:val="17"/>
                <w:color w:val="auto"/>
              </w:rPr>
              <w:t>07/01/2016</w:t>
            </w:r>
          </w:p>
        </w:tc>
        <w:tc>
          <w:tcPr>
            <w:tcW w:w="1700" w:type="dxa"/>
            <w:vAlign w:val="bottom"/>
            <w:gridSpan w:val="4"/>
          </w:tcPr>
          <w:p>
            <w:pPr>
              <w:jc w:val="right"/>
              <w:ind w:right="100"/>
              <w:spacing w:after="0"/>
              <w:rPr>
                <w:sz w:val="20"/>
                <w:szCs w:val="20"/>
                <w:color w:val="auto"/>
              </w:rPr>
            </w:pPr>
            <w:r>
              <w:rPr>
                <w:rFonts w:ascii="Arial" w:cs="Arial" w:eastAsia="Arial" w:hAnsi="Arial"/>
                <w:sz w:val="17"/>
                <w:szCs w:val="17"/>
                <w:color w:val="auto"/>
              </w:rPr>
              <w:t>11.50%</w:t>
            </w:r>
          </w:p>
        </w:tc>
        <w:tc>
          <w:tcPr>
            <w:tcW w:w="120" w:type="dxa"/>
            <w:vAlign w:val="bottom"/>
          </w:tcPr>
          <w:p>
            <w:pPr>
              <w:spacing w:after="0"/>
              <w:rPr>
                <w:sz w:val="17"/>
                <w:szCs w:val="17"/>
                <w:color w:val="auto"/>
              </w:rPr>
            </w:pPr>
          </w:p>
        </w:tc>
        <w:tc>
          <w:tcPr>
            <w:tcW w:w="1240" w:type="dxa"/>
            <w:vAlign w:val="bottom"/>
            <w:gridSpan w:val="2"/>
          </w:tcPr>
          <w:p>
            <w:pPr>
              <w:jc w:val="right"/>
              <w:spacing w:after="0"/>
              <w:rPr>
                <w:sz w:val="20"/>
                <w:szCs w:val="20"/>
                <w:color w:val="auto"/>
              </w:rPr>
            </w:pPr>
            <w:r>
              <w:rPr>
                <w:rFonts w:ascii="Arial" w:cs="Arial" w:eastAsia="Arial" w:hAnsi="Arial"/>
                <w:sz w:val="17"/>
                <w:szCs w:val="17"/>
                <w:color w:val="auto"/>
              </w:rPr>
              <w:t>14,138</w:t>
            </w:r>
          </w:p>
        </w:tc>
        <w:tc>
          <w:tcPr>
            <w:tcW w:w="220" w:type="dxa"/>
            <w:vAlign w:val="bottom"/>
          </w:tcPr>
          <w:p>
            <w:pPr>
              <w:spacing w:after="0"/>
              <w:rPr>
                <w:sz w:val="17"/>
                <w:szCs w:val="17"/>
                <w:color w:val="auto"/>
              </w:rPr>
            </w:pPr>
          </w:p>
        </w:tc>
        <w:tc>
          <w:tcPr>
            <w:tcW w:w="1420" w:type="dxa"/>
            <w:vAlign w:val="bottom"/>
            <w:gridSpan w:val="3"/>
          </w:tcPr>
          <w:p>
            <w:pPr>
              <w:jc w:val="right"/>
              <w:ind w:right="1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4760" w:type="dxa"/>
            <w:vAlign w:val="bottom"/>
            <w:gridSpan w:val="2"/>
            <w:shd w:val="clear" w:color="auto" w:fill="CCEEFF"/>
          </w:tcPr>
          <w:p>
            <w:pPr>
              <w:ind w:left="60"/>
              <w:spacing w:after="0"/>
              <w:rPr>
                <w:sz w:val="20"/>
                <w:szCs w:val="20"/>
                <w:color w:val="auto"/>
              </w:rPr>
            </w:pPr>
            <w:r>
              <w:rPr>
                <w:rFonts w:ascii="Arial" w:cs="Arial" w:eastAsia="Arial" w:hAnsi="Arial"/>
                <w:sz w:val="17"/>
                <w:szCs w:val="17"/>
                <w:b w:val="1"/>
                <w:bCs w:val="1"/>
                <w:color w:val="auto"/>
              </w:rPr>
              <w:t>Total Notes Payable</w:t>
            </w:r>
          </w:p>
        </w:tc>
        <w:tc>
          <w:tcPr>
            <w:tcW w:w="12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20,137</w:t>
            </w:r>
          </w:p>
        </w:tc>
        <w:tc>
          <w:tcPr>
            <w:tcW w:w="220" w:type="dxa"/>
            <w:vAlign w:val="bottom"/>
            <w:tcBorders>
              <w:right w:val="single" w:sz="8" w:color="CCEEFF"/>
            </w:tcBorders>
            <w:shd w:val="clear" w:color="auto" w:fill="CCEEFF"/>
          </w:tcPr>
          <w:p>
            <w:pPr>
              <w:spacing w:after="0"/>
              <w:rPr>
                <w:sz w:val="17"/>
                <w:szCs w:val="17"/>
                <w:color w:val="auto"/>
              </w:rPr>
            </w:pPr>
          </w:p>
        </w:tc>
        <w:tc>
          <w:tcPr>
            <w:tcW w:w="142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5,919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760" w:type="dxa"/>
            <w:vAlign w:val="bottom"/>
            <w:gridSpan w:val="2"/>
          </w:tcPr>
          <w:p>
            <w:pPr>
              <w:jc w:val="center"/>
              <w:ind w:right="2554"/>
              <w:spacing w:after="0"/>
              <w:rPr>
                <w:sz w:val="20"/>
                <w:szCs w:val="20"/>
                <w:color w:val="auto"/>
              </w:rPr>
            </w:pPr>
            <w:r>
              <w:rPr>
                <w:rFonts w:ascii="Arial" w:cs="Arial" w:eastAsia="Arial" w:hAnsi="Arial"/>
                <w:sz w:val="17"/>
                <w:szCs w:val="17"/>
                <w:color w:val="auto"/>
                <w:w w:val="90"/>
              </w:rPr>
              <w:t>Short-term notes payable</w:t>
            </w: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3"/>
          </w:tcPr>
          <w:p>
            <w:pPr>
              <w:jc w:val="right"/>
              <w:ind w:right="220"/>
              <w:spacing w:after="0"/>
              <w:rPr>
                <w:sz w:val="20"/>
                <w:szCs w:val="20"/>
                <w:color w:val="auto"/>
              </w:rPr>
            </w:pPr>
            <w:r>
              <w:rPr>
                <w:rFonts w:ascii="Arial" w:cs="Arial" w:eastAsia="Arial" w:hAnsi="Arial"/>
                <w:sz w:val="17"/>
                <w:szCs w:val="17"/>
                <w:color w:val="auto"/>
              </w:rPr>
              <w:t>3,450</w:t>
            </w:r>
          </w:p>
        </w:tc>
        <w:tc>
          <w:tcPr>
            <w:tcW w:w="1420" w:type="dxa"/>
            <w:vAlign w:val="bottom"/>
            <w:gridSpan w:val="3"/>
          </w:tcPr>
          <w:p>
            <w:pPr>
              <w:jc w:val="right"/>
              <w:ind w:right="100"/>
              <w:spacing w:after="0"/>
              <w:rPr>
                <w:sz w:val="20"/>
                <w:szCs w:val="20"/>
                <w:color w:val="auto"/>
              </w:rPr>
            </w:pPr>
            <w:r>
              <w:rPr>
                <w:rFonts w:ascii="Arial" w:cs="Arial" w:eastAsia="Arial" w:hAnsi="Arial"/>
                <w:sz w:val="17"/>
                <w:szCs w:val="17"/>
                <w:color w:val="auto"/>
              </w:rPr>
              <w:t>349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760" w:type="dxa"/>
            <w:vAlign w:val="bottom"/>
            <w:gridSpan w:val="2"/>
            <w:shd w:val="clear" w:color="auto" w:fill="CCEEFF"/>
          </w:tcPr>
          <w:p>
            <w:pPr>
              <w:jc w:val="center"/>
              <w:ind w:right="2574"/>
              <w:spacing w:after="0"/>
              <w:rPr>
                <w:sz w:val="20"/>
                <w:szCs w:val="20"/>
                <w:color w:val="auto"/>
              </w:rPr>
            </w:pPr>
            <w:r>
              <w:rPr>
                <w:rFonts w:ascii="Arial" w:cs="Arial" w:eastAsia="Arial" w:hAnsi="Arial"/>
                <w:sz w:val="17"/>
                <w:szCs w:val="17"/>
                <w:color w:val="auto"/>
                <w:w w:val="90"/>
              </w:rPr>
              <w:t>Long-term notes payable</w:t>
            </w:r>
          </w:p>
        </w:tc>
        <w:tc>
          <w:tcPr>
            <w:tcW w:w="12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16,687</w:t>
            </w:r>
          </w:p>
        </w:tc>
        <w:tc>
          <w:tcPr>
            <w:tcW w:w="142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5,570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51"/>
        </w:trPr>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ind w:left="660"/>
              <w:spacing w:after="0"/>
              <w:rPr>
                <w:sz w:val="20"/>
                <w:szCs w:val="20"/>
                <w:color w:val="auto"/>
              </w:rPr>
            </w:pPr>
            <w:r>
              <w:rPr>
                <w:rFonts w:ascii="Arial" w:cs="Arial" w:eastAsia="Arial" w:hAnsi="Arial"/>
                <w:sz w:val="17"/>
                <w:szCs w:val="17"/>
                <w:color w:val="auto"/>
              </w:rPr>
              <w:t>F-16</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33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7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8" w:name="page39"/>
    <w:bookmarkEnd w:id="3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ASURE SOFTWARE,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thousands, except share and per share data or otherwise noted)</w:t>
      </w:r>
    </w:p>
    <w:p>
      <w:pPr>
        <w:spacing w:after="0" w:line="204" w:lineRule="exact"/>
        <w:rPr>
          <w:sz w:val="20"/>
          <w:szCs w:val="20"/>
          <w:color w:val="auto"/>
        </w:rPr>
      </w:pPr>
    </w:p>
    <w:p>
      <w:pPr>
        <w:ind w:right="340" w:firstLine="616"/>
        <w:spacing w:after="0" w:line="277" w:lineRule="auto"/>
        <w:rPr>
          <w:sz w:val="20"/>
          <w:szCs w:val="20"/>
          <w:color w:val="auto"/>
        </w:rPr>
      </w:pPr>
      <w:r>
        <w:rPr>
          <w:rFonts w:ascii="Arial" w:cs="Arial" w:eastAsia="Arial" w:hAnsi="Arial"/>
          <w:sz w:val="17"/>
          <w:szCs w:val="17"/>
          <w:color w:val="auto"/>
        </w:rPr>
        <w:t>The following table summarizes the future principal payments related to our outstanding debt, including the impact of the amendment to the Senior Note Payable discussed below:</w:t>
      </w:r>
    </w:p>
    <w:p>
      <w:pPr>
        <w:spacing w:after="0" w:line="185" w:lineRule="exact"/>
        <w:rPr>
          <w:sz w:val="20"/>
          <w:szCs w:val="20"/>
          <w:color w:val="auto"/>
        </w:rPr>
      </w:pPr>
    </w:p>
    <w:tbl>
      <w:tblPr>
        <w:tblLayout w:type="fixed"/>
        <w:tblInd w:w="144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Arial" w:cs="Arial" w:eastAsia="Arial" w:hAnsi="Arial"/>
                <w:sz w:val="17"/>
                <w:szCs w:val="17"/>
                <w:b w:val="1"/>
                <w:bCs w:val="1"/>
                <w:color w:val="auto"/>
                <w:w w:val="93"/>
              </w:rPr>
              <w:t>Unamortized</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Arial" w:cs="Arial" w:eastAsia="Arial" w:hAnsi="Arial"/>
                <w:sz w:val="17"/>
                <w:szCs w:val="17"/>
                <w:b w:val="1"/>
                <w:bCs w:val="1"/>
                <w:color w:val="auto"/>
                <w:w w:val="90"/>
              </w:rPr>
              <w:t>Original Issue</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jc w:val="center"/>
              <w:ind w:right="34"/>
              <w:spacing w:after="0"/>
              <w:rPr>
                <w:sz w:val="20"/>
                <w:szCs w:val="20"/>
                <w:color w:val="auto"/>
              </w:rPr>
            </w:pPr>
            <w:r>
              <w:rPr>
                <w:rFonts w:ascii="Arial" w:cs="Arial" w:eastAsia="Arial" w:hAnsi="Arial"/>
                <w:sz w:val="17"/>
                <w:szCs w:val="17"/>
                <w:b w:val="1"/>
                <w:bCs w:val="1"/>
                <w:color w:val="auto"/>
                <w:w w:val="88"/>
              </w:rPr>
              <w:t>Total Notes</w:t>
            </w:r>
          </w:p>
        </w:tc>
        <w:tc>
          <w:tcPr>
            <w:tcW w:w="0" w:type="dxa"/>
            <w:vAlign w:val="bottom"/>
          </w:tcPr>
          <w:p>
            <w:pPr>
              <w:spacing w:after="0"/>
              <w:rPr>
                <w:sz w:val="1"/>
                <w:szCs w:val="1"/>
                <w:color w:val="auto"/>
              </w:rPr>
            </w:pPr>
          </w:p>
        </w:tc>
      </w:tr>
      <w:tr>
        <w:trPr>
          <w:trHeight w:val="223"/>
        </w:trPr>
        <w:tc>
          <w:tcPr>
            <w:tcW w:w="3880" w:type="dxa"/>
            <w:vAlign w:val="bottom"/>
            <w:gridSpan w:val="2"/>
          </w:tcPr>
          <w:p>
            <w:pPr>
              <w:spacing w:after="0"/>
              <w:rPr>
                <w:sz w:val="20"/>
                <w:szCs w:val="20"/>
                <w:color w:val="auto"/>
              </w:rPr>
            </w:pPr>
            <w:r>
              <w:rPr>
                <w:rFonts w:ascii="Arial" w:cs="Arial" w:eastAsia="Arial" w:hAnsi="Arial"/>
                <w:sz w:val="17"/>
                <w:szCs w:val="17"/>
                <w:b w:val="1"/>
                <w:bCs w:val="1"/>
                <w:color w:val="auto"/>
              </w:rPr>
              <w:t>Twelve Months Ended</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ind w:right="74"/>
              <w:spacing w:after="0"/>
              <w:rPr>
                <w:sz w:val="20"/>
                <w:szCs w:val="20"/>
                <w:color w:val="auto"/>
              </w:rPr>
            </w:pPr>
            <w:r>
              <w:rPr>
                <w:rFonts w:ascii="Arial" w:cs="Arial" w:eastAsia="Arial" w:hAnsi="Arial"/>
                <w:sz w:val="17"/>
                <w:szCs w:val="17"/>
                <w:b w:val="1"/>
                <w:bCs w:val="1"/>
                <w:color w:val="auto"/>
                <w:w w:val="91"/>
              </w:rPr>
              <w:t>Gross Amount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Arial" w:cs="Arial" w:eastAsia="Arial" w:hAnsi="Arial"/>
                <w:sz w:val="17"/>
                <w:szCs w:val="17"/>
                <w:b w:val="1"/>
                <w:bCs w:val="1"/>
                <w:color w:val="auto"/>
                <w:w w:val="90"/>
              </w:rPr>
              <w:t>Discount</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center"/>
              <w:ind w:right="34"/>
              <w:spacing w:after="0"/>
              <w:rPr>
                <w:sz w:val="20"/>
                <w:szCs w:val="20"/>
                <w:color w:val="auto"/>
              </w:rPr>
            </w:pPr>
            <w:r>
              <w:rPr>
                <w:rFonts w:ascii="Arial" w:cs="Arial" w:eastAsia="Arial" w:hAnsi="Arial"/>
                <w:sz w:val="17"/>
                <w:szCs w:val="17"/>
                <w:b w:val="1"/>
                <w:bCs w:val="1"/>
                <w:color w:val="auto"/>
                <w:w w:val="90"/>
              </w:rPr>
              <w:t>Payable</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3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vMerge w:val="continue"/>
          </w:tcPr>
          <w:p>
            <w:pPr>
              <w:spacing w:after="0"/>
              <w:rPr>
                <w:sz w:val="17"/>
                <w:szCs w:val="17"/>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7"/>
                <w:szCs w:val="17"/>
                <w:color w:val="auto"/>
              </w:rPr>
              <w:t>December 31, 2013</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3,450</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860" w:type="dxa"/>
            <w:vAlign w:val="bottom"/>
          </w:tcPr>
          <w:p>
            <w:pPr>
              <w:spacing w:after="0"/>
              <w:rPr>
                <w:sz w:val="20"/>
                <w:szCs w:val="20"/>
                <w:color w:val="auto"/>
              </w:rPr>
            </w:pPr>
            <w:r>
              <w:rPr>
                <w:rFonts w:ascii="Arial" w:cs="Arial" w:eastAsia="Arial" w:hAnsi="Arial"/>
                <w:sz w:val="17"/>
                <w:szCs w:val="17"/>
                <w:color w:val="auto"/>
              </w:rPr>
              <w:t>December 31, 2014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8,397</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7"/>
                <w:szCs w:val="17"/>
                <w:color w:val="auto"/>
              </w:rPr>
              <w:t>December 31, 2015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1,450</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7"/>
                <w:szCs w:val="17"/>
                <w:color w:val="auto"/>
              </w:rPr>
              <w:t>December 31, 2016</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7,788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86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b w:val="1"/>
                <w:bCs w:val="1"/>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21,085</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b w:val="1"/>
                <w:bCs w:val="1"/>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948</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b w:val="1"/>
                <w:bCs w:val="1"/>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20,137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Subordinated Notes Payable: ADI - Acquisition Note</w:t>
      </w:r>
    </w:p>
    <w:p>
      <w:pPr>
        <w:spacing w:after="0" w:line="241" w:lineRule="exact"/>
        <w:rPr>
          <w:sz w:val="20"/>
          <w:szCs w:val="20"/>
          <w:color w:val="auto"/>
        </w:rPr>
      </w:pPr>
    </w:p>
    <w:p>
      <w:pPr>
        <w:jc w:val="both"/>
        <w:ind w:firstLine="616"/>
        <w:spacing w:after="0" w:line="278" w:lineRule="auto"/>
        <w:rPr>
          <w:sz w:val="20"/>
          <w:szCs w:val="20"/>
          <w:color w:val="auto"/>
        </w:rPr>
      </w:pPr>
      <w:r>
        <w:rPr>
          <w:rFonts w:ascii="Arial" w:cs="Arial" w:eastAsia="Arial" w:hAnsi="Arial"/>
          <w:sz w:val="16"/>
          <w:szCs w:val="16"/>
          <w:color w:val="auto"/>
        </w:rPr>
        <w:t>In conjunction with the acquisition of the assets of ADI, our wholly-owned subsidiary issued a $1,095 note payable to the seller. This note bears interest at an annual rate of 0.16%, will mature on October 1, 2014 and is guaranteed by us. We may offset any indemnification payments owed by the seller under the asset purchase agreement against up to $1,000 due under the note. We recorded the note at fair value using a discount rate of 9%, which resulted in an original issue discount of $244, which will accrete up the note to its aggregate principal amount over the course of the life of the loan using the effective interest method. We recognized amortization of the original issue discount of $68 and $19 during 2012 and 2011, respectively. We made a principal payment of $245 in July 2012.</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Subordinated Notes Payable: Legiant Acquisition</w:t>
      </w:r>
    </w:p>
    <w:p>
      <w:pPr>
        <w:spacing w:after="0" w:line="241" w:lineRule="exact"/>
        <w:rPr>
          <w:sz w:val="20"/>
          <w:szCs w:val="20"/>
          <w:color w:val="auto"/>
        </w:rPr>
      </w:pPr>
    </w:p>
    <w:p>
      <w:pPr>
        <w:jc w:val="both"/>
        <w:ind w:firstLine="616"/>
        <w:spacing w:after="0" w:line="277" w:lineRule="auto"/>
        <w:rPr>
          <w:sz w:val="20"/>
          <w:szCs w:val="20"/>
          <w:color w:val="auto"/>
        </w:rPr>
      </w:pPr>
      <w:r>
        <w:rPr>
          <w:rFonts w:ascii="Arial" w:cs="Arial" w:eastAsia="Arial" w:hAnsi="Arial"/>
          <w:sz w:val="17"/>
          <w:szCs w:val="17"/>
          <w:color w:val="auto"/>
        </w:rPr>
        <w:t>In conjunction with the acquisition of Legiant, our wholly-owned subsidiary issued three separate promissory notes to the seller. The details of each of the notes are as follows: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Legiant Acquisition - Note #1</w:t>
      </w:r>
    </w:p>
    <w:p>
      <w:pPr>
        <w:spacing w:after="0" w:line="215" w:lineRule="exact"/>
        <w:rPr>
          <w:sz w:val="20"/>
          <w:szCs w:val="20"/>
          <w:color w:val="auto"/>
        </w:rPr>
      </w:pPr>
    </w:p>
    <w:p>
      <w:pPr>
        <w:jc w:val="both"/>
        <w:ind w:firstLine="616"/>
        <w:spacing w:after="0" w:line="277" w:lineRule="auto"/>
        <w:rPr>
          <w:sz w:val="20"/>
          <w:szCs w:val="20"/>
          <w:color w:val="auto"/>
        </w:rPr>
      </w:pPr>
      <w:r>
        <w:rPr>
          <w:rFonts w:ascii="Arial" w:cs="Arial" w:eastAsia="Arial" w:hAnsi="Arial"/>
          <w:sz w:val="17"/>
          <w:szCs w:val="17"/>
          <w:color w:val="auto"/>
        </w:rPr>
        <w:t>Legiant Acquisition - Note #1 was for an aggregate principal amount of $250, bore interest at an annual rate of 0.20% and matured in February 2012. We paid this note in full.</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39" w:name="page40"/>
    <w:bookmarkEnd w:id="3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ASURE SOFTWARE,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thousands, except share and per share data or otherwise noted)</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Legiant Acquisition - Note #2</w:t>
      </w:r>
    </w:p>
    <w:p>
      <w:pPr>
        <w:spacing w:after="0" w:line="215" w:lineRule="exact"/>
        <w:rPr>
          <w:sz w:val="20"/>
          <w:szCs w:val="20"/>
          <w:color w:val="auto"/>
        </w:rPr>
      </w:pPr>
    </w:p>
    <w:p>
      <w:pPr>
        <w:jc w:val="both"/>
        <w:ind w:firstLine="616"/>
        <w:spacing w:after="0" w:line="310" w:lineRule="auto"/>
        <w:rPr>
          <w:sz w:val="20"/>
          <w:szCs w:val="20"/>
          <w:color w:val="auto"/>
        </w:rPr>
      </w:pPr>
      <w:r>
        <w:rPr>
          <w:rFonts w:ascii="Arial" w:cs="Arial" w:eastAsia="Arial" w:hAnsi="Arial"/>
          <w:sz w:val="16"/>
          <w:szCs w:val="16"/>
          <w:color w:val="auto"/>
        </w:rPr>
        <w:t>Legiant Acquisition - Note #2 is for the principal amount of $478, bears interest at an annual rate of 5.00% and required monthly payments of $10 until June 2012. Asure made a principal payment for $235 in July 2012. No further cash interest or principal is payable until the maturity date of October 1, 2014.</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Legiant Acquisition - Note #3</w:t>
      </w:r>
    </w:p>
    <w:p>
      <w:pPr>
        <w:spacing w:after="0" w:line="215" w:lineRule="exact"/>
        <w:rPr>
          <w:sz w:val="20"/>
          <w:szCs w:val="20"/>
          <w:color w:val="auto"/>
        </w:rPr>
      </w:pPr>
    </w:p>
    <w:p>
      <w:pPr>
        <w:jc w:val="both"/>
        <w:ind w:firstLine="616"/>
        <w:spacing w:after="0" w:line="258" w:lineRule="auto"/>
        <w:rPr>
          <w:sz w:val="20"/>
          <w:szCs w:val="20"/>
          <w:color w:val="auto"/>
        </w:rPr>
      </w:pPr>
      <w:r>
        <w:rPr>
          <w:rFonts w:ascii="Arial" w:cs="Arial" w:eastAsia="Arial" w:hAnsi="Arial"/>
          <w:sz w:val="17"/>
          <w:szCs w:val="17"/>
          <w:color w:val="auto"/>
        </w:rPr>
        <w:t>Legiant Acquisition - Note #3 is for an aggregate principal amount of $1,761, bears interest at an annual rate of 0.20%, and is due in a single lump sum on October 1, 2014. We may offset any indemnification payments owed by the seller under the asset purchase agreement to us against up to $1,000 of Note #3. We recorded the note at fair value using a discount rate of 9%, resulting in an original issue discount of $382, which will accrete up the note to its aggregate principal amount over the course of the life of the loan using the effective interest method. We recognized amortization of the original issue discount of $126 and $5 during 2012 and 2011, respectively.</w:t>
      </w:r>
    </w:p>
    <w:p>
      <w:pPr>
        <w:spacing w:after="0" w:line="20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We guaranteed all three promissory notes, which are subordinated to our senior note payable discussed below.</w:t>
      </w: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Subordinated Convertible Notes Payable - 9% Notes</w:t>
      </w:r>
    </w:p>
    <w:p>
      <w:pPr>
        <w:spacing w:after="0" w:line="241" w:lineRule="exact"/>
        <w:rPr>
          <w:sz w:val="20"/>
          <w:szCs w:val="20"/>
          <w:color w:val="auto"/>
        </w:rPr>
      </w:pPr>
    </w:p>
    <w:p>
      <w:pPr>
        <w:jc w:val="both"/>
        <w:ind w:firstLine="616"/>
        <w:spacing w:after="0" w:line="277" w:lineRule="auto"/>
        <w:rPr>
          <w:sz w:val="20"/>
          <w:szCs w:val="20"/>
          <w:color w:val="auto"/>
        </w:rPr>
      </w:pPr>
      <w:r>
        <w:rPr>
          <w:rFonts w:ascii="Arial" w:cs="Arial" w:eastAsia="Arial" w:hAnsi="Arial"/>
          <w:sz w:val="17"/>
          <w:szCs w:val="17"/>
          <w:color w:val="auto"/>
        </w:rPr>
        <w:t>In September 2011, we sold $1,500 of our 9% subordinated convertible notes (“9% Notes”) in a private placement to accredited investors to finance the ADI acquisition.</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The 9% Notes - As Originally Issued</w:t>
      </w:r>
    </w:p>
    <w:p>
      <w:pPr>
        <w:spacing w:after="0" w:line="241" w:lineRule="exact"/>
        <w:rPr>
          <w:sz w:val="20"/>
          <w:szCs w:val="20"/>
          <w:color w:val="auto"/>
        </w:rPr>
      </w:pPr>
    </w:p>
    <w:p>
      <w:pPr>
        <w:jc w:val="both"/>
        <w:ind w:firstLine="616"/>
        <w:spacing w:after="0" w:line="264" w:lineRule="auto"/>
        <w:rPr>
          <w:sz w:val="20"/>
          <w:szCs w:val="20"/>
          <w:color w:val="auto"/>
        </w:rPr>
      </w:pPr>
      <w:r>
        <w:rPr>
          <w:rFonts w:ascii="Arial" w:cs="Arial" w:eastAsia="Arial" w:hAnsi="Arial"/>
          <w:sz w:val="17"/>
          <w:szCs w:val="17"/>
          <w:color w:val="auto"/>
        </w:rPr>
        <w:t>The 9% Notes pay interest on each of March 31, June 30, September 30 and December 31, beginning on December 31, 2011, at a rate of 9% per year. The 9% Notes will mature on September 30, 2014. The 9% Notes are secured by all of our assets, but are subordinated to our obligations under the senior note payable and the 15% Notes discussed below.</w:t>
      </w:r>
    </w:p>
    <w:p>
      <w:pPr>
        <w:spacing w:after="0" w:line="202" w:lineRule="exact"/>
        <w:rPr>
          <w:sz w:val="20"/>
          <w:szCs w:val="20"/>
          <w:color w:val="auto"/>
        </w:rPr>
      </w:pPr>
    </w:p>
    <w:p>
      <w:pPr>
        <w:jc w:val="both"/>
        <w:ind w:firstLine="616"/>
        <w:spacing w:after="0" w:line="273" w:lineRule="auto"/>
        <w:rPr>
          <w:sz w:val="20"/>
          <w:szCs w:val="20"/>
          <w:color w:val="auto"/>
        </w:rPr>
      </w:pPr>
      <w:r>
        <w:rPr>
          <w:rFonts w:ascii="Arial" w:cs="Arial" w:eastAsia="Arial" w:hAnsi="Arial"/>
          <w:sz w:val="16"/>
          <w:szCs w:val="16"/>
          <w:color w:val="auto"/>
        </w:rPr>
        <w:t>Beginning 12 months from the date of issuance, each note holder may convert the 9% Notes into shares of our common stock at a conversion price of $5.00 per share, subject to adjustments for stock dividends and splits and certain other events. Additionally, if we subsequently issue common stock at a price below the then current conversion price, the conversion price will be reset to the greater of $3.27 per share (the closing price of our common stock on September 30, 2011) or such lower price. In the event that a holder of a 9% Note elects to convert the 9% Note into equity, and we determine that such conversion would jeopardize our federal tax loss carryforward benefits, we may elect to prepay any or all of such 9% Notes prior to conversion, subject to certain limitations, at a purchase price equal to the product of the number of shares into which the 9% Note is convertible and the volume weighted average closing price during the 20 day trading period beginning on the 10th day before the conversion notice is received by us, multiplied by the Premium Rate. The Premium Rate is 1.1 if a holder notifies us of an intention to convert the 9% Note into equity prior to the date that is 90 days before the maturity date and 1.5 if such notification is made within 90 days of the maturity date. The 9% Notes also contain customary terms of default.</w:t>
      </w:r>
    </w:p>
    <w:p>
      <w:pPr>
        <w:spacing w:after="0" w:line="196" w:lineRule="exact"/>
        <w:rPr>
          <w:sz w:val="20"/>
          <w:szCs w:val="20"/>
          <w:color w:val="auto"/>
        </w:rPr>
      </w:pPr>
    </w:p>
    <w:p>
      <w:pPr>
        <w:jc w:val="both"/>
        <w:ind w:firstLine="616"/>
        <w:spacing w:after="0" w:line="277" w:lineRule="auto"/>
        <w:rPr>
          <w:sz w:val="20"/>
          <w:szCs w:val="20"/>
          <w:color w:val="auto"/>
        </w:rPr>
      </w:pPr>
      <w:r>
        <w:rPr>
          <w:rFonts w:ascii="Arial" w:cs="Arial" w:eastAsia="Arial" w:hAnsi="Arial"/>
          <w:sz w:val="17"/>
          <w:szCs w:val="17"/>
          <w:color w:val="auto"/>
        </w:rPr>
        <w:t>We also agreed that if we issue common stock below $3.25 per share, each holder of the 9% Notes outstanding at that time will have the right to purchase such holder’s pro rata portion of the new stock issuance.</w:t>
      </w:r>
    </w:p>
    <w:p>
      <w:pPr>
        <w:spacing w:after="0" w:line="191" w:lineRule="exact"/>
        <w:rPr>
          <w:sz w:val="20"/>
          <w:szCs w:val="20"/>
          <w:color w:val="auto"/>
        </w:rPr>
      </w:pPr>
    </w:p>
    <w:p>
      <w:pPr>
        <w:jc w:val="both"/>
        <w:ind w:firstLine="616"/>
        <w:spacing w:after="0" w:line="255" w:lineRule="auto"/>
        <w:rPr>
          <w:sz w:val="20"/>
          <w:szCs w:val="20"/>
          <w:color w:val="auto"/>
        </w:rPr>
      </w:pPr>
      <w:r>
        <w:rPr>
          <w:rFonts w:ascii="Arial" w:cs="Arial" w:eastAsia="Arial" w:hAnsi="Arial"/>
          <w:sz w:val="17"/>
          <w:szCs w:val="17"/>
          <w:color w:val="auto"/>
        </w:rPr>
        <w:t>The 9% Notes contained embedded derivative instruments related to the conversion feature that Asure accounted for separately. Asure has re-measured the fair values of these instruments for each reporting period and recorded a gain or loss for the change in fair value. At inception, we valued the conversion feature at $274, resulting in an original issue discount on the convertible debt accreting up the 9% Notes to their aggregate principal amount over the course of the life of the loan using the effective interest method. We recognized amortization of the original issue discount of $21 during 2011. We used a Monte Carlo simulation in a risk-neutral framework to simulate our market capitalization outcomes, including considerations of our projected share price volatility, to estimate the fair value of the embedded derivative. The fair value of the conversion feature was $835 at December 31, 2011, with $561 being recorded in the income statement for the mark-to-market impact. This amount of $561 was recorded in interest expense – amortization of OID and derivative mark-to-market in our Consolidated Statements of Comprehensive Income (Loss).</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0" w:name="page41"/>
    <w:bookmarkEnd w:id="4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91"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ASURE SOFTWARE,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NOTES TO THE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thousands, except share and per share data or otherwise noted)</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The 9% Notes - Amendments</w:t>
      </w:r>
    </w:p>
    <w:p>
      <w:pPr>
        <w:spacing w:after="0" w:line="241" w:lineRule="exact"/>
        <w:rPr>
          <w:sz w:val="20"/>
          <w:szCs w:val="20"/>
          <w:color w:val="auto"/>
        </w:rPr>
      </w:pPr>
    </w:p>
    <w:p>
      <w:pPr>
        <w:jc w:val="both"/>
        <w:ind w:firstLine="616"/>
        <w:spacing w:after="0" w:line="273" w:lineRule="auto"/>
        <w:rPr>
          <w:sz w:val="20"/>
          <w:szCs w:val="20"/>
          <w:color w:val="auto"/>
        </w:rPr>
      </w:pPr>
      <w:r>
        <w:rPr>
          <w:rFonts w:ascii="Arial" w:cs="Arial" w:eastAsia="Arial" w:hAnsi="Arial"/>
          <w:sz w:val="16"/>
          <w:szCs w:val="16"/>
          <w:color w:val="auto"/>
        </w:rPr>
        <w:t>In March 2012, we amended the terms of the 9% Notes to eliminate the embedded derivative features resulting in a settlement or extinguishment of the derivative liability. Under the terms of the amendment, each holder of 9% Notes was permitted to convert the outstanding principal balance due there under into shares of our common stock at the conversion price originally set forth in the 9% Notes ($5.00 per share of common stock) on or before March 15, 2012. As consideration for agreeing to the terms of the amendment, we made a one-time cash payment in such amount as follows: (i) $211 for holders of 9% Notes who elected to convert their 9% Notes into common stock prior to March 16, 2012, an amount equal to 80% of the interest that such holder would have received by holding the 9% Note to maturity and (ii) $11 for holders of 9% Notes who did not elect to convert their 9% Notes into common stock prior to March 16, 2012, an amount equal to 3% of the outstanding principal amount of each 9% Note. In each case, the holders of the 9% Notes agreed to the removal of the dilution protection provision to reset the conversion price below $5.00 per share upon certain issuances of our common stock below $5.00 per share. Holders of approximately $1,150 of the total $1,500 of principal amount of 9% Notes converted their 9% Notes to common stock.</w:t>
      </w:r>
    </w:p>
    <w:p>
      <w:pPr>
        <w:spacing w:after="0" w:line="170" w:lineRule="exact"/>
        <w:rPr>
          <w:sz w:val="20"/>
          <w:szCs w:val="20"/>
          <w:color w:val="auto"/>
        </w:rPr>
      </w:pPr>
    </w:p>
    <w:p>
      <w:pPr>
        <w:jc w:val="both"/>
        <w:ind w:firstLine="616"/>
        <w:spacing w:after="0" w:line="256" w:lineRule="auto"/>
        <w:rPr>
          <w:sz w:val="20"/>
          <w:szCs w:val="20"/>
          <w:color w:val="auto"/>
        </w:rPr>
      </w:pPr>
      <w:r>
        <w:rPr>
          <w:rFonts w:ascii="Arial" w:cs="Arial" w:eastAsia="Arial" w:hAnsi="Arial"/>
          <w:sz w:val="17"/>
          <w:szCs w:val="17"/>
          <w:color w:val="auto"/>
        </w:rPr>
        <w:t>The amendment to the 9% Notes eliminated the derivative liability. Effective on March 10, 2012, we no longer accounted for the derivatives on a separate basis. Therefore, we no longer re-measure the value of the derivatives after the amendment date. The fair value of the conversion feature was $1,300 at March 10, 2012, with $465 recorded in the income statement for the mark-to-market impact. We recorded this amount in interest expense – amortization of OID and derivative mark-to-market in the Consolidated Statements of Comprehensive Income (Loss). The conversion of the 9% Notes and elimination of the derivative liability resulted in a loss on debt conversion of $198, a reduction in the carrying value of the 9% Notes to $296 at March 31, 2012 and an increase in additional paid in capital of $2,244 for the issuance of 345 shares of common stock issued upon conversion. We recognized amortization of the original issue discount of $34 during 2012.</w:t>
      </w:r>
    </w:p>
    <w:p>
      <w:pPr>
        <w:spacing w:after="0" w:line="209" w:lineRule="exact"/>
        <w:rPr>
          <w:sz w:val="20"/>
          <w:szCs w:val="20"/>
          <w:color w:val="auto"/>
        </w:rPr>
      </w:pPr>
    </w:p>
    <w:p>
      <w:pPr>
        <w:jc w:val="both"/>
        <w:ind w:firstLine="616"/>
        <w:spacing w:after="0" w:line="264" w:lineRule="auto"/>
        <w:rPr>
          <w:sz w:val="20"/>
          <w:szCs w:val="20"/>
          <w:color w:val="auto"/>
        </w:rPr>
      </w:pPr>
      <w:r>
        <w:rPr>
          <w:rFonts w:ascii="Arial" w:cs="Arial" w:eastAsia="Arial" w:hAnsi="Arial"/>
          <w:sz w:val="17"/>
          <w:szCs w:val="17"/>
          <w:color w:val="auto"/>
        </w:rPr>
        <w:t>Mr. Goepel, our Chief Executive Officer, purchased $200 of the 9% Notes. Red Oak Fund, LP purchased $600 of the 9% Notes. Mr. Sandberg, our Chairman, is the controlling member of Red Oak Partners, LLC, which manages the Red Oak Fund. Both parties subsequently converted the 9% Notes under the terms of the amendment.</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Subordinated Notes Payable - 15% Notes</w:t>
      </w:r>
    </w:p>
    <w:p>
      <w:pPr>
        <w:spacing w:after="0" w:line="241" w:lineRule="exact"/>
        <w:rPr>
          <w:sz w:val="20"/>
          <w:szCs w:val="20"/>
          <w:color w:val="auto"/>
        </w:rPr>
      </w:pPr>
    </w:p>
    <w:p>
      <w:pPr>
        <w:jc w:val="both"/>
        <w:ind w:firstLine="616"/>
        <w:spacing w:after="0" w:line="274" w:lineRule="auto"/>
        <w:rPr>
          <w:sz w:val="20"/>
          <w:szCs w:val="20"/>
          <w:color w:val="auto"/>
        </w:rPr>
      </w:pPr>
      <w:r>
        <w:rPr>
          <w:rFonts w:ascii="Arial" w:cs="Arial" w:eastAsia="Arial" w:hAnsi="Arial"/>
          <w:sz w:val="16"/>
          <w:szCs w:val="16"/>
          <w:color w:val="auto"/>
        </w:rPr>
        <w:t>In September 2011, we sold $1,700 of our 15% subordinated notes (“15% Notes”) in a private placement to accredited investors. The 15% Notes pay interest on each of March 31, June 30, September 30 and December 31, beginning on December 31, 2011, at a rate of 15% per year. The 15% Notes have a maturity date of September 30, 2014. On July 1, 2012, Asure prepaid $900 from proceeds of the senior note payable. Mr. Goepel, our Chief Executive Officer, originally purchased $500 of the 15% Notes. Pinnacle Fund, LLLP originally purchased $300 of the 15% Notes. Mr. Sandberg, our Chairman, is the controlling member of Red Oak Partners, LLC, which owns 50% of Pinnacle Partners, LLC, the general partner of the Pinnacle Fund, LLLP. Red Oak Partners, LLC is also the manager of the Pinnacle Fund, LLLP. We expensed $115 of fees for this transaction during 2012. The 15% Notes are secured by all of our assets , but are subordinated to our obligations to the senior note payable discussed below. The 15% Notes also contain customary terms of default.</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Subordinated Notes Payable: PeopleCube Acquisition – Note</w:t>
      </w:r>
    </w:p>
    <w:p>
      <w:pPr>
        <w:spacing w:after="0" w:line="241" w:lineRule="exact"/>
        <w:rPr>
          <w:sz w:val="20"/>
          <w:szCs w:val="20"/>
          <w:color w:val="auto"/>
        </w:rPr>
      </w:pPr>
    </w:p>
    <w:p>
      <w:pPr>
        <w:jc w:val="both"/>
        <w:ind w:firstLine="616"/>
        <w:spacing w:after="0" w:line="260" w:lineRule="auto"/>
        <w:rPr>
          <w:sz w:val="20"/>
          <w:szCs w:val="20"/>
          <w:color w:val="auto"/>
        </w:rPr>
      </w:pPr>
      <w:r>
        <w:rPr>
          <w:rFonts w:ascii="Arial" w:cs="Arial" w:eastAsia="Arial" w:hAnsi="Arial"/>
          <w:sz w:val="17"/>
          <w:szCs w:val="17"/>
          <w:color w:val="auto"/>
        </w:rPr>
        <w:t>In July 2012, we issued a $3,000 Note to the seller in the PeopleCube stock acquisition. The note is due October 31, 2014, subject to offset of any amounts owed by the seller to us under the indemnification provisions of the stock purchase agreement. We recorded the note at fair value using a discount rate of 10%, which resulted in an original issue discount of $622, which will accrete up the note to its aggregate principal amount over the course of the life of the loan using the effective interest method. We recognized amortization of the original issue discount of $121 during 2012.</w:t>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Senior note payable</w:t>
      </w:r>
    </w:p>
    <w:p>
      <w:pPr>
        <w:spacing w:after="0" w:line="215" w:lineRule="exact"/>
        <w:rPr>
          <w:sz w:val="20"/>
          <w:szCs w:val="20"/>
          <w:color w:val="auto"/>
        </w:rPr>
      </w:pPr>
    </w:p>
    <w:p>
      <w:pPr>
        <w:jc w:val="both"/>
        <w:ind w:firstLine="616"/>
        <w:spacing w:after="0" w:line="258" w:lineRule="auto"/>
        <w:rPr>
          <w:sz w:val="20"/>
          <w:szCs w:val="20"/>
          <w:color w:val="auto"/>
        </w:rPr>
      </w:pPr>
      <w:r>
        <w:rPr>
          <w:rFonts w:ascii="Arial" w:cs="Arial" w:eastAsia="Arial" w:hAnsi="Arial"/>
          <w:sz w:val="17"/>
          <w:szCs w:val="17"/>
          <w:color w:val="auto"/>
        </w:rPr>
        <w:t>In July 2012, we and our wholly-owned subsidiaries entered into a loan agreement with Deerpath Funding, LP, a Delaware limited partnership, as lender, administrative agent and collateral agent (“Deerpath”). Under the loan agreement, we borrowed $14,500 to (i) finance the cash purchase consideration for the acquisition of PeopleCube, (ii) pay outstanding indebtedness under the 15% Notes (including partial interest and subordination consent payments of $134 to Mr. Goepel, our Chief Executive Officer, and $81 to Pinnacle Fund, which is controlled by David Sandberg, our Chairman) and our bank line of credit, and (iii) pay transaction costs and expenses of the term loan and the acquisition of PeopleCube.</w:t>
      </w:r>
    </w:p>
    <w:p>
      <w:pPr>
        <w:spacing w:after="0" w:line="207" w:lineRule="exact"/>
        <w:rPr>
          <w:sz w:val="20"/>
          <w:szCs w:val="20"/>
          <w:color w:val="auto"/>
        </w:rPr>
      </w:pPr>
    </w:p>
    <w:p>
      <w:pPr>
        <w:jc w:val="both"/>
        <w:ind w:firstLine="616"/>
        <w:spacing w:after="0" w:line="289" w:lineRule="auto"/>
        <w:rPr>
          <w:sz w:val="20"/>
          <w:szCs w:val="20"/>
          <w:color w:val="auto"/>
        </w:rPr>
      </w:pPr>
      <w:r>
        <w:rPr>
          <w:rFonts w:ascii="Arial" w:cs="Arial" w:eastAsia="Arial" w:hAnsi="Arial"/>
          <w:sz w:val="16"/>
          <w:szCs w:val="16"/>
          <w:color w:val="auto"/>
        </w:rPr>
        <w:t>The loan agreement also provides for a conditional commitment to provide additional single advance senior secured term loans from time to time in an aggregate amount not to exceed $5,000 to be used for refinancing certain other indebtedness, funding permitted acquisitions or other growth initiatives, and paying fees and expenses of the term loans and permitted acquisitions. We have not borrowed any amounts under the conditional term loan commitment.</w:t>
      </w:r>
    </w:p>
    <w:p>
      <w:pPr>
        <w:spacing w:after="0" w:line="182" w:lineRule="exact"/>
        <w:rPr>
          <w:sz w:val="20"/>
          <w:szCs w:val="20"/>
          <w:color w:val="auto"/>
        </w:rPr>
      </w:pPr>
    </w:p>
    <w:p>
      <w:pPr>
        <w:jc w:val="both"/>
        <w:ind w:firstLine="616"/>
        <w:spacing w:after="0" w:line="295" w:lineRule="auto"/>
        <w:rPr>
          <w:sz w:val="20"/>
          <w:szCs w:val="20"/>
          <w:color w:val="auto"/>
        </w:rPr>
      </w:pPr>
      <w:r>
        <w:rPr>
          <w:rFonts w:ascii="Arial" w:cs="Arial" w:eastAsia="Arial" w:hAnsi="Arial"/>
          <w:sz w:val="15"/>
          <w:szCs w:val="15"/>
          <w:color w:val="auto"/>
        </w:rPr>
        <w:t>The senior note payable bears interest at a floating annual rate equal to LIBOR plus 8.00%, subject to a LIBOR floor of 2.00%, or a minimum of 10%,and requires monthly payments of interest only beginning on August 1, 2012 and quarterly principal payments of $362 beginning on October 1, 2012, with any remaining principal due on July 1, 2016. The interest rate on the senior note payable was 10% at September 30, 2012. We may prepay all or a portion of the principal amount outstanding at any time, subject to a premium ranging from 1% to 5% of the principal amount being prepaid depending on if the prepayment occurs on or before the first, second or third anniversary of the closing date. The term loan requires annual mandatory prepayments beginning December 31, 2012 of outstanding principal with 75% of excess cash flow as defined in the loan agreement (such percentage to be reduced to 50% if a specified senior debt to EBITDA ratio is achieved) and, at Deerpath’s election, with proceeds from certain events, including 100% of the net proceeds of any asset sales and issuance of equity securities.</w:t>
      </w:r>
    </w:p>
    <w:p>
      <w:pPr>
        <w:sectPr>
          <w:pgSz w:w="11900" w:h="16838" w:orient="portrait"/>
          <w:cols w:equalWidth="0" w:num="1">
            <w:col w:w="11420"/>
          </w:cols>
          <w:pgMar w:left="240" w:top="122" w:right="239" w:bottom="1440" w:gutter="0" w:footer="0" w:header="0"/>
        </w:sect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91440</wp:posOffset>
            </wp:positionV>
            <wp:extent cx="7258050"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41" w:name="page42"/>
    <w:bookmarkEnd w:id="4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ASURE SOFTWARE,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thousands, except share and per share data or otherwise noted)</w:t>
      </w:r>
    </w:p>
    <w:p>
      <w:pPr>
        <w:spacing w:after="0" w:line="204" w:lineRule="exact"/>
        <w:rPr>
          <w:sz w:val="20"/>
          <w:szCs w:val="20"/>
          <w:color w:val="auto"/>
        </w:rPr>
      </w:pPr>
    </w:p>
    <w:p>
      <w:pPr>
        <w:jc w:val="both"/>
        <w:ind w:firstLine="616"/>
        <w:spacing w:after="0" w:line="277" w:lineRule="auto"/>
        <w:rPr>
          <w:sz w:val="20"/>
          <w:szCs w:val="20"/>
          <w:color w:val="auto"/>
        </w:rPr>
      </w:pPr>
      <w:r>
        <w:rPr>
          <w:rFonts w:ascii="Arial" w:cs="Arial" w:eastAsia="Arial" w:hAnsi="Arial"/>
          <w:sz w:val="17"/>
          <w:szCs w:val="17"/>
          <w:color w:val="auto"/>
        </w:rPr>
        <w:t>The senior note payable is secured by a first priority lien on all of our and our subsidiaries’ assets and pledges of 100% of the equity interests in Asure’s domestic subsidiaries and 65% of the equity interests in Asure’s foreign subsidiaries.</w:t>
      </w:r>
    </w:p>
    <w:p>
      <w:pPr>
        <w:spacing w:after="0" w:line="165" w:lineRule="exact"/>
        <w:rPr>
          <w:sz w:val="20"/>
          <w:szCs w:val="20"/>
          <w:color w:val="auto"/>
        </w:rPr>
      </w:pPr>
    </w:p>
    <w:p>
      <w:pPr>
        <w:jc w:val="both"/>
        <w:ind w:firstLine="616"/>
        <w:spacing w:after="0" w:line="274" w:lineRule="auto"/>
        <w:rPr>
          <w:sz w:val="20"/>
          <w:szCs w:val="20"/>
          <w:color w:val="auto"/>
        </w:rPr>
      </w:pPr>
      <w:r>
        <w:rPr>
          <w:rFonts w:ascii="Arial" w:cs="Arial" w:eastAsia="Arial" w:hAnsi="Arial"/>
          <w:sz w:val="16"/>
          <w:szCs w:val="16"/>
          <w:color w:val="auto"/>
        </w:rPr>
        <w:t>The loan agreement contains customary covenants, including but not limited to limitations with respect to debt, liens, mergers and acquisitions, sale of assets, loans or advances to and investments in others, dividends or other distributions, capital expenditures and management compensation. We were required to maintain EBITDA, as defined of not less than $5,650 for the trailing twelve months beginning with the quarter ending September 30, 2012, with the amount stepping up thereafter; a total debt to EBITDA ratio of not greater than 3.75 to 1.00 beginning with the quarter ending September 30, 2012, with the levels stepping down thereafter; a senior debt to EBITDA ratio of not greater than 2.75 to 1.00 beginning with the quarter ending September 30, 2012, with the levels stepping down thereafter; and a fixed charge coverage ratio of not less than 0.60 to 1.00 beginning with the quarter ending September 30, 2012, with the levels stepping up thereafter. Deerpath may designate one representative to attend all meetings of our board of directors as a non-voting observer.</w:t>
      </w:r>
    </w:p>
    <w:p>
      <w:pPr>
        <w:spacing w:after="0" w:line="172" w:lineRule="exact"/>
        <w:rPr>
          <w:sz w:val="20"/>
          <w:szCs w:val="20"/>
          <w:color w:val="auto"/>
        </w:rPr>
      </w:pPr>
    </w:p>
    <w:p>
      <w:pPr>
        <w:jc w:val="both"/>
        <w:ind w:firstLine="616"/>
        <w:spacing w:after="0" w:line="256" w:lineRule="auto"/>
        <w:rPr>
          <w:sz w:val="20"/>
          <w:szCs w:val="20"/>
          <w:color w:val="auto"/>
        </w:rPr>
      </w:pPr>
      <w:r>
        <w:rPr>
          <w:rFonts w:ascii="Arial" w:cs="Arial" w:eastAsia="Arial" w:hAnsi="Arial"/>
          <w:sz w:val="17"/>
          <w:szCs w:val="17"/>
          <w:color w:val="auto"/>
        </w:rPr>
        <w:t>We have determined that we have not been in compliance with certain of our financial covenants, including minimum EBITDA, under our loan agreement with Deerpath Funding, LP as of December 31, 2012. Deerpath did not declare the loan in default while we were not in compliance. On March 29, 2013, but effective as of December 31, 2012, we amended our loan agreement with Deerpath Funding, LP. Under the amended agreement, Deerpath increased by $5,000 (to $10,000 in the aggregate) its conditional commitment to provide us additional single advance senior secured terms loans from time to time for refinancing certain other indebtedness, funding permitted acquisitions or other growth initiatives and paying fees and expenses of the term loans and permitted acquisitions. In addition, Deerpath eliminated the requirement for us to maintain certain minimum EBITDA levels during the loan term and modified other financial covenants as discussed below.</w:t>
      </w:r>
    </w:p>
    <w:p>
      <w:pPr>
        <w:spacing w:after="0" w:line="183" w:lineRule="exact"/>
        <w:rPr>
          <w:sz w:val="20"/>
          <w:szCs w:val="20"/>
          <w:color w:val="auto"/>
        </w:rPr>
      </w:pPr>
    </w:p>
    <w:p>
      <w:pPr>
        <w:jc w:val="both"/>
        <w:ind w:firstLine="616"/>
        <w:spacing w:after="0" w:line="260" w:lineRule="auto"/>
        <w:rPr>
          <w:sz w:val="20"/>
          <w:szCs w:val="20"/>
          <w:color w:val="auto"/>
        </w:rPr>
      </w:pPr>
      <w:r>
        <w:rPr>
          <w:rFonts w:ascii="Arial" w:cs="Arial" w:eastAsia="Arial" w:hAnsi="Arial"/>
          <w:sz w:val="17"/>
          <w:szCs w:val="17"/>
          <w:color w:val="auto"/>
        </w:rPr>
        <w:t>In exchange, we agreed to an increase in the term loan interest rate from a floating annual rate of LIBOR plus 8% to LIBOR plus 9.5% and an increase in the floor interest rate from 10% to 11.5%. In addition to continuing our monthly interest payments and quarterly principal payments, we further agreed to make a separate $2,000 principal payment by October 31, 2013. However, if we do not make the $2,000 principal payment by May 31, 2013, the interest rate on that portion of the entire term loan will increase by 3% until paid. In addition, we agreed to pay a $240 loan amendment fee.</w:t>
      </w:r>
    </w:p>
    <w:p>
      <w:pPr>
        <w:spacing w:after="0" w:line="180" w:lineRule="exact"/>
        <w:rPr>
          <w:sz w:val="20"/>
          <w:szCs w:val="20"/>
          <w:color w:val="auto"/>
        </w:rPr>
      </w:pPr>
    </w:p>
    <w:p>
      <w:pPr>
        <w:jc w:val="both"/>
        <w:ind w:firstLine="616"/>
        <w:spacing w:after="0" w:line="276" w:lineRule="auto"/>
        <w:rPr>
          <w:sz w:val="20"/>
          <w:szCs w:val="20"/>
          <w:color w:val="auto"/>
        </w:rPr>
      </w:pPr>
      <w:r>
        <w:rPr>
          <w:rFonts w:ascii="Arial" w:cs="Arial" w:eastAsia="Arial" w:hAnsi="Arial"/>
          <w:sz w:val="16"/>
          <w:szCs w:val="16"/>
          <w:color w:val="auto"/>
        </w:rPr>
        <w:t>We also agreed to revised financial covenants. Beginning with the quarter ending March 31, 2013, we agreed to a total debt to EBITDA ratio of not greater than 4.50 to 1.00 (formerly 3.25 to 1.00 beginning with that period), with the levels stepping down thereafter to 2.75 to 1.00 for the quarter ending March 31, 2014 and thereafter (formerly 2.25 to 1.00 for those periods). Beginning with the quarter ended December 31, 2012, we agreed to a senior debt to EBITDA ratio of not greater than 2.66 to 1.00 (formerly 2.50 to 1.00 beginning with that period) with the levels stepping down thereafter to 1.75 to 1.00 for the quarter ending December 31, 2014 and thereafter (formerly 1.00 to 1.00 for those periods). Other financial covenants remain unchanged. We are in compliance with the amended covenant requirements as of December 31, 2012 and expect to be incompliance over the subsequent twelve month period.</w:t>
      </w:r>
    </w:p>
    <w:p>
      <w:pPr>
        <w:spacing w:after="0" w:line="168" w:lineRule="exact"/>
        <w:rPr>
          <w:sz w:val="20"/>
          <w:szCs w:val="20"/>
          <w:color w:val="auto"/>
        </w:rPr>
      </w:pPr>
    </w:p>
    <w:p>
      <w:pPr>
        <w:jc w:val="both"/>
        <w:ind w:firstLine="616"/>
        <w:spacing w:after="0" w:line="289" w:lineRule="auto"/>
        <w:rPr>
          <w:sz w:val="20"/>
          <w:szCs w:val="20"/>
          <w:color w:val="auto"/>
        </w:rPr>
      </w:pPr>
      <w:r>
        <w:rPr>
          <w:rFonts w:ascii="Arial" w:cs="Arial" w:eastAsia="Arial" w:hAnsi="Arial"/>
          <w:sz w:val="16"/>
          <w:szCs w:val="16"/>
          <w:color w:val="auto"/>
        </w:rPr>
        <w:t>The loan agreement contains customary events of default, including, among others, (i) payment defaults, (ii) covenant defaults, (iii) incorrect representations or warranties, (iv) bankruptcy and insolvency events, (v) certain cross defaults and cross accelerations, (vi) certain change of control or change of management events and (vii) certain material adverse events. In some cases, the defaults are subject to customary notice and grace period provisions.</w:t>
      </w:r>
    </w:p>
    <w:p>
      <w:pPr>
        <w:spacing w:after="0" w:line="18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We paid our first principal payment of $362 on the senior note payable on October 1, 2012.</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Line of Credit</w:t>
      </w:r>
    </w:p>
    <w:p>
      <w:pPr>
        <w:spacing w:after="0" w:line="241" w:lineRule="exact"/>
        <w:rPr>
          <w:sz w:val="20"/>
          <w:szCs w:val="20"/>
          <w:color w:val="auto"/>
        </w:rPr>
      </w:pPr>
    </w:p>
    <w:p>
      <w:pPr>
        <w:jc w:val="both"/>
        <w:ind w:firstLine="616"/>
        <w:spacing w:after="0" w:line="278" w:lineRule="auto"/>
        <w:rPr>
          <w:sz w:val="20"/>
          <w:szCs w:val="20"/>
          <w:color w:val="auto"/>
        </w:rPr>
      </w:pPr>
      <w:r>
        <w:rPr>
          <w:rFonts w:ascii="Arial" w:cs="Arial" w:eastAsia="Arial" w:hAnsi="Arial"/>
          <w:sz w:val="16"/>
          <w:szCs w:val="16"/>
          <w:color w:val="auto"/>
        </w:rPr>
        <w:t>In September 2011, we entered into a credit agreement with JPMorgan Chase Bank N.A. (“Bank”), providing for a $500 line of credit (the “Line of Credit”), which we fully utilized as of December 31, 2011. As originally issued, the Line of Credit bore interest at a rate of 1.5% above the CB Floating Rate and matured on September 28, 2012. The CB Floating rate is defined as the Bank’s prime rate, as announced from time to time, provided that the CB Floating Rate may not be less than the adjusted one month LIBOR rate. The aggregate principal amount of advances outstanding at any one time under the Line of Credit may not exceed 80% of eligible trade accounts and accounts receivable or the maximum principal amount then available, whichever is less.</w:t>
      </w:r>
    </w:p>
    <w:p>
      <w:pPr>
        <w:spacing w:after="0" w:line="192" w:lineRule="exact"/>
        <w:rPr>
          <w:sz w:val="20"/>
          <w:szCs w:val="20"/>
          <w:color w:val="auto"/>
        </w:rPr>
      </w:pPr>
    </w:p>
    <w:p>
      <w:pPr>
        <w:jc w:val="both"/>
        <w:ind w:firstLine="616"/>
        <w:spacing w:after="0" w:line="276" w:lineRule="auto"/>
        <w:rPr>
          <w:sz w:val="20"/>
          <w:szCs w:val="20"/>
          <w:color w:val="auto"/>
        </w:rPr>
      </w:pPr>
      <w:r>
        <w:rPr>
          <w:rFonts w:ascii="Arial" w:cs="Arial" w:eastAsia="Arial" w:hAnsi="Arial"/>
          <w:sz w:val="16"/>
          <w:szCs w:val="16"/>
          <w:color w:val="auto"/>
        </w:rPr>
        <w:t>Our Bank obligations are guaranteed by our ADI acquisition subsidiary and secured by all of our assets. The credit agreement contains customary affirmative and negative covenants, including but not limited to limitations with respect to debt, liens, sale of equity interests, mergers and acquisitions, sale of assets, and loans or advances to and investments in others. We are also required to maintain total cash and marketable securities of not less than $300, beginning on December 31, 2011; a debt service coverage ratio of not less than 1.2 to 1.0 for each period of four consecutive fiscal quarters beginning the twelve months ending December 31, 2011; and EBITDA of not less than $100 for each fiscal quarter beginning the quarter ending December 31, 2011. We were in compliance with these covenants at December 31, 2011. The credit agreement contains customary terms of default.</w:t>
      </w:r>
    </w:p>
    <w:p>
      <w:pPr>
        <w:spacing w:after="0" w:line="194" w:lineRule="exact"/>
        <w:rPr>
          <w:sz w:val="20"/>
          <w:szCs w:val="20"/>
          <w:color w:val="auto"/>
        </w:rPr>
      </w:pPr>
    </w:p>
    <w:p>
      <w:pPr>
        <w:jc w:val="both"/>
        <w:ind w:firstLine="616"/>
        <w:spacing w:after="0" w:line="277" w:lineRule="auto"/>
        <w:rPr>
          <w:sz w:val="20"/>
          <w:szCs w:val="20"/>
          <w:color w:val="auto"/>
        </w:rPr>
      </w:pPr>
      <w:r>
        <w:rPr>
          <w:rFonts w:ascii="Arial" w:cs="Arial" w:eastAsia="Arial" w:hAnsi="Arial"/>
          <w:sz w:val="17"/>
          <w:szCs w:val="17"/>
          <w:color w:val="auto"/>
        </w:rPr>
        <w:t>We repaid the $500 outstanding under the line of credit in full in July 2012. The balance outstanding under the credit agreement at December 31, 2011 was $500. This line has expired as of December 31, 2012.</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2" w:name="page43"/>
    <w:bookmarkEnd w:id="4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ASURE SOFTWARE,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thousands, except share and per share data or otherwise noted)</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NOTE 6 - </w:t>
      </w:r>
      <w:r>
        <w:rPr>
          <w:rFonts w:ascii="Arial" w:cs="Arial" w:eastAsia="Arial" w:hAnsi="Arial"/>
          <w:sz w:val="17"/>
          <w:szCs w:val="17"/>
          <w:b w:val="1"/>
          <w:bCs w:val="1"/>
          <w:u w:val="single" w:color="auto"/>
          <w:color w:val="auto"/>
        </w:rPr>
        <w:t>GOODWILL AND OTHER INTANGIBLE ASSETS</w:t>
      </w:r>
    </w:p>
    <w:p>
      <w:pPr>
        <w:spacing w:after="0" w:line="221" w:lineRule="exact"/>
        <w:rPr>
          <w:sz w:val="20"/>
          <w:szCs w:val="20"/>
          <w:color w:val="auto"/>
        </w:rPr>
      </w:pPr>
    </w:p>
    <w:p>
      <w:pPr>
        <w:jc w:val="both"/>
        <w:ind w:firstLine="616"/>
        <w:spacing w:after="0" w:line="260" w:lineRule="auto"/>
        <w:rPr>
          <w:sz w:val="20"/>
          <w:szCs w:val="20"/>
          <w:color w:val="auto"/>
        </w:rPr>
      </w:pPr>
      <w:r>
        <w:rPr>
          <w:rFonts w:ascii="Arial" w:cs="Arial" w:eastAsia="Arial" w:hAnsi="Arial"/>
          <w:sz w:val="17"/>
          <w:szCs w:val="17"/>
          <w:color w:val="auto"/>
        </w:rPr>
        <w:t xml:space="preserve">Asure accounted for its historical acquisitions in accordance with ASC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xml:space="preserve"> We recorded the amount exceeding the fair value of net assets acquired at the date of acquisition as goodwill. We recorded intangible assets apart from goodwill if the assets had contractual or other legal rights or if the assets could be separated and sold, transferred, licensed, rented or exchanged. Asure’s goodwill relates to the acquisitions of ADI and Legiant in 2011 and the acquisition of PeopleCube in July 2012.</w:t>
      </w:r>
    </w:p>
    <w:p>
      <w:pPr>
        <w:spacing w:after="0" w:line="180" w:lineRule="exact"/>
        <w:rPr>
          <w:sz w:val="20"/>
          <w:szCs w:val="20"/>
          <w:color w:val="auto"/>
        </w:rPr>
      </w:pPr>
    </w:p>
    <w:tbl>
      <w:tblPr>
        <w:tblLayout w:type="fixed"/>
        <w:tblInd w:w="620" w:type="dxa"/>
        <w:tblCellMar>
          <w:top w:w="0" w:type="dxa"/>
          <w:left w:w="0" w:type="dxa"/>
          <w:bottom w:w="0" w:type="dxa"/>
          <w:right w:w="0" w:type="dxa"/>
        </w:tblCellMar>
      </w:tblPr>
      <w:tr>
        <w:trPr>
          <w:trHeight w:val="216"/>
        </w:trPr>
        <w:tc>
          <w:tcPr>
            <w:tcW w:w="5860" w:type="dxa"/>
            <w:vAlign w:val="bottom"/>
            <w:gridSpan w:val="2"/>
          </w:tcPr>
          <w:p>
            <w:pPr>
              <w:spacing w:after="0"/>
              <w:rPr>
                <w:sz w:val="20"/>
                <w:szCs w:val="20"/>
                <w:color w:val="auto"/>
              </w:rPr>
            </w:pPr>
            <w:r>
              <w:rPr>
                <w:rFonts w:ascii="Arial" w:cs="Arial" w:eastAsia="Arial" w:hAnsi="Arial"/>
                <w:sz w:val="17"/>
                <w:szCs w:val="17"/>
                <w:color w:val="auto"/>
              </w:rPr>
              <w:t>The following table summarizes the annual changes in our goodwill:</w:t>
            </w:r>
          </w:p>
        </w:tc>
        <w:tc>
          <w:tcPr>
            <w:tcW w:w="1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820" w:type="dxa"/>
            <w:vAlign w:val="bottom"/>
            <w:vMerge w:val="restart"/>
          </w:tcPr>
          <w:p>
            <w:pPr>
              <w:spacing w:after="0"/>
              <w:rPr>
                <w:sz w:val="17"/>
                <w:szCs w:val="17"/>
                <w:color w:val="auto"/>
              </w:rPr>
            </w:pPr>
          </w:p>
        </w:tc>
        <w:tc>
          <w:tcPr>
            <w:tcW w:w="50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20" w:type="dxa"/>
            <w:vAlign w:val="bottom"/>
            <w:vMerge w:val="continue"/>
          </w:tcPr>
          <w:p>
            <w:pPr>
              <w:spacing w:after="0"/>
              <w:rPr>
                <w:sz w:val="17"/>
                <w:szCs w:val="17"/>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7"/>
                <w:szCs w:val="17"/>
                <w:color w:val="auto"/>
              </w:rPr>
              <w:t>Balance at December 31, 2010</w:t>
            </w:r>
          </w:p>
        </w:tc>
        <w:tc>
          <w:tcPr>
            <w:tcW w:w="180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20" w:type="dxa"/>
            <w:vAlign w:val="bottom"/>
          </w:tcPr>
          <w:p>
            <w:pPr>
              <w:spacing w:after="0"/>
              <w:rPr>
                <w:sz w:val="17"/>
                <w:szCs w:val="17"/>
                <w:color w:val="auto"/>
              </w:rPr>
            </w:pPr>
          </w:p>
        </w:tc>
        <w:tc>
          <w:tcPr>
            <w:tcW w:w="5040" w:type="dxa"/>
            <w:vAlign w:val="bottom"/>
          </w:tcPr>
          <w:p>
            <w:pPr>
              <w:ind w:left="120"/>
              <w:spacing w:after="0"/>
              <w:rPr>
                <w:sz w:val="20"/>
                <w:szCs w:val="20"/>
                <w:color w:val="auto"/>
              </w:rPr>
            </w:pPr>
            <w:r>
              <w:rPr>
                <w:rFonts w:ascii="Arial" w:cs="Arial" w:eastAsia="Arial" w:hAnsi="Arial"/>
                <w:sz w:val="17"/>
                <w:szCs w:val="17"/>
                <w:color w:val="auto"/>
              </w:rPr>
              <w:t>Goodwill recognized upon acquisition of ADI</w:t>
            </w:r>
          </w:p>
        </w:tc>
        <w:tc>
          <w:tcPr>
            <w:tcW w:w="1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4,098</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820" w:type="dxa"/>
            <w:vAlign w:val="bottom"/>
          </w:tcPr>
          <w:p>
            <w:pPr>
              <w:spacing w:after="0"/>
              <w:rPr>
                <w:sz w:val="18"/>
                <w:szCs w:val="18"/>
                <w:color w:val="auto"/>
              </w:rPr>
            </w:pPr>
          </w:p>
        </w:tc>
        <w:tc>
          <w:tcPr>
            <w:tcW w:w="5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Goodwill recognized upon acquisition of Legiant</w:t>
            </w:r>
          </w:p>
        </w:tc>
        <w:tc>
          <w:tcPr>
            <w:tcW w:w="118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2,166</w:t>
            </w:r>
          </w:p>
        </w:tc>
        <w:tc>
          <w:tcPr>
            <w:tcW w:w="6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820" w:type="dxa"/>
            <w:vAlign w:val="bottom"/>
          </w:tcPr>
          <w:p>
            <w:pPr>
              <w:spacing w:after="0"/>
              <w:rPr>
                <w:sz w:val="17"/>
                <w:szCs w:val="17"/>
                <w:color w:val="auto"/>
              </w:rPr>
            </w:pPr>
          </w:p>
        </w:tc>
        <w:tc>
          <w:tcPr>
            <w:tcW w:w="5040" w:type="dxa"/>
            <w:vAlign w:val="bottom"/>
          </w:tcPr>
          <w:p>
            <w:pPr>
              <w:ind w:left="160"/>
              <w:spacing w:after="0"/>
              <w:rPr>
                <w:sz w:val="20"/>
                <w:szCs w:val="20"/>
                <w:color w:val="auto"/>
              </w:rPr>
            </w:pPr>
            <w:r>
              <w:rPr>
                <w:rFonts w:ascii="Arial" w:cs="Arial" w:eastAsia="Arial" w:hAnsi="Arial"/>
                <w:sz w:val="17"/>
                <w:szCs w:val="17"/>
                <w:color w:val="auto"/>
              </w:rPr>
              <w:t>Balance at December 31, 2011</w:t>
            </w:r>
          </w:p>
        </w:tc>
        <w:tc>
          <w:tcPr>
            <w:tcW w:w="1800" w:type="dxa"/>
            <w:vAlign w:val="bottom"/>
            <w:gridSpan w:val="2"/>
          </w:tcPr>
          <w:p>
            <w:pPr>
              <w:jc w:val="right"/>
              <w:ind w:right="540"/>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6,264</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20" w:type="dxa"/>
            <w:vAlign w:val="bottom"/>
          </w:tcPr>
          <w:p>
            <w:pPr>
              <w:spacing w:after="0"/>
              <w:rPr>
                <w:sz w:val="17"/>
                <w:szCs w:val="17"/>
                <w:color w:val="auto"/>
              </w:rPr>
            </w:pPr>
          </w:p>
        </w:tc>
        <w:tc>
          <w:tcPr>
            <w:tcW w:w="50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Goodwill recognized upon acquisition of PeopleCube</w:t>
            </w:r>
          </w:p>
        </w:tc>
        <w:tc>
          <w:tcPr>
            <w:tcW w:w="1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9,695</w:t>
            </w: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20" w:type="dxa"/>
            <w:vAlign w:val="bottom"/>
          </w:tcPr>
          <w:p>
            <w:pPr>
              <w:spacing w:after="0"/>
              <w:rPr>
                <w:sz w:val="17"/>
                <w:szCs w:val="17"/>
                <w:color w:val="auto"/>
              </w:rPr>
            </w:pPr>
          </w:p>
        </w:tc>
        <w:tc>
          <w:tcPr>
            <w:tcW w:w="5040" w:type="dxa"/>
            <w:vAlign w:val="bottom"/>
          </w:tcPr>
          <w:p>
            <w:pPr>
              <w:ind w:left="160"/>
              <w:spacing w:after="0"/>
              <w:rPr>
                <w:sz w:val="20"/>
                <w:szCs w:val="20"/>
                <w:color w:val="auto"/>
              </w:rPr>
            </w:pPr>
            <w:r>
              <w:rPr>
                <w:rFonts w:ascii="Arial" w:cs="Arial" w:eastAsia="Arial" w:hAnsi="Arial"/>
                <w:sz w:val="17"/>
                <w:szCs w:val="17"/>
                <w:color w:val="auto"/>
              </w:rPr>
              <w:t>Adjustments to goodwill</w:t>
            </w:r>
          </w:p>
        </w:tc>
        <w:tc>
          <w:tcPr>
            <w:tcW w:w="1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720" w:type="dxa"/>
            <w:vAlign w:val="bottom"/>
            <w:gridSpan w:val="2"/>
          </w:tcPr>
          <w:p>
            <w:pPr>
              <w:jc w:val="right"/>
              <w:ind w:right="620"/>
              <w:spacing w:after="0"/>
              <w:rPr>
                <w:sz w:val="20"/>
                <w:szCs w:val="20"/>
                <w:color w:val="auto"/>
              </w:rPr>
            </w:pPr>
            <w:r>
              <w:rPr>
                <w:rFonts w:ascii="Arial" w:cs="Arial" w:eastAsia="Arial" w:hAnsi="Arial"/>
                <w:sz w:val="17"/>
                <w:szCs w:val="17"/>
                <w:color w:val="auto"/>
              </w:rPr>
              <w:t>(434)</w:t>
            </w:r>
          </w:p>
        </w:tc>
        <w:tc>
          <w:tcPr>
            <w:tcW w:w="0" w:type="dxa"/>
            <w:vAlign w:val="bottom"/>
          </w:tcPr>
          <w:p>
            <w:pPr>
              <w:spacing w:after="0"/>
              <w:rPr>
                <w:sz w:val="1"/>
                <w:szCs w:val="1"/>
                <w:color w:val="auto"/>
              </w:rPr>
            </w:pPr>
          </w:p>
        </w:tc>
      </w:tr>
      <w:tr>
        <w:trPr>
          <w:trHeight w:val="26"/>
        </w:trPr>
        <w:tc>
          <w:tcPr>
            <w:tcW w:w="820" w:type="dxa"/>
            <w:vAlign w:val="bottom"/>
          </w:tcPr>
          <w:p>
            <w:pPr>
              <w:spacing w:after="0"/>
              <w:rPr>
                <w:sz w:val="2"/>
                <w:szCs w:val="2"/>
                <w:color w:val="auto"/>
              </w:rPr>
            </w:pPr>
          </w:p>
        </w:tc>
        <w:tc>
          <w:tcPr>
            <w:tcW w:w="50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820" w:type="dxa"/>
            <w:vAlign w:val="bottom"/>
          </w:tcPr>
          <w:p>
            <w:pPr>
              <w:spacing w:after="0"/>
              <w:rPr>
                <w:sz w:val="19"/>
                <w:szCs w:val="19"/>
                <w:color w:val="auto"/>
              </w:rPr>
            </w:pPr>
          </w:p>
        </w:tc>
        <w:tc>
          <w:tcPr>
            <w:tcW w:w="50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Balance at December 31, 2012</w:t>
            </w:r>
          </w:p>
        </w:tc>
        <w:tc>
          <w:tcPr>
            <w:tcW w:w="180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15,525</w:t>
            </w:r>
          </w:p>
        </w:tc>
        <w:tc>
          <w:tcPr>
            <w:tcW w:w="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504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jc w:val="both"/>
        <w:ind w:firstLine="661"/>
        <w:spacing w:after="0" w:line="264" w:lineRule="auto"/>
        <w:rPr>
          <w:sz w:val="20"/>
          <w:szCs w:val="20"/>
          <w:color w:val="auto"/>
        </w:rPr>
      </w:pPr>
      <w:r>
        <w:rPr>
          <w:rFonts w:ascii="Arial" w:cs="Arial" w:eastAsia="Arial" w:hAnsi="Arial"/>
          <w:sz w:val="17"/>
          <w:szCs w:val="17"/>
          <w:color w:val="auto"/>
        </w:rPr>
        <w:t xml:space="preserve">In accordance with ASC 350, </w:t>
      </w:r>
      <w:r>
        <w:rPr>
          <w:rFonts w:ascii="Arial" w:cs="Arial" w:eastAsia="Arial" w:hAnsi="Arial"/>
          <w:sz w:val="17"/>
          <w:szCs w:val="17"/>
          <w:i w:val="1"/>
          <w:iCs w:val="1"/>
          <w:color w:val="auto"/>
        </w:rPr>
        <w:t>Intangibles-Goodwill and Other,</w:t>
      </w:r>
      <w:r>
        <w:rPr>
          <w:rFonts w:ascii="Arial" w:cs="Arial" w:eastAsia="Arial" w:hAnsi="Arial"/>
          <w:sz w:val="17"/>
          <w:szCs w:val="17"/>
          <w:color w:val="auto"/>
        </w:rPr>
        <w:t xml:space="preserve"> we review and evaluate our long-lived assets, including intangible assets with finite lives, for impairment whenever events or changes in circumstances indicate that we may not recover their net book value. Based on Asure’s impairment test, we identified no impairment for our intangible assets for 2012 and 2011.</w:t>
      </w:r>
    </w:p>
    <w:p>
      <w:pPr>
        <w:spacing w:after="0" w:line="20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gross carrying amount and accumulated amortization of our intangible assets as of December 31, 2012 and 2011, are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4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4"/>
          </w:tcPr>
          <w:p>
            <w:pPr>
              <w:jc w:val="right"/>
              <w:ind w:right="300"/>
              <w:spacing w:after="0"/>
              <w:rPr>
                <w:sz w:val="20"/>
                <w:szCs w:val="20"/>
                <w:color w:val="auto"/>
              </w:rPr>
            </w:pPr>
            <w:r>
              <w:rPr>
                <w:rFonts w:ascii="Arial" w:cs="Arial" w:eastAsia="Arial" w:hAnsi="Arial"/>
                <w:sz w:val="17"/>
                <w:szCs w:val="17"/>
                <w:b w:val="1"/>
                <w:bCs w:val="1"/>
                <w:color w:val="auto"/>
                <w:w w:val="92"/>
              </w:rPr>
              <w:t>December 31, 2012</w:t>
            </w:r>
          </w:p>
        </w:tc>
        <w:tc>
          <w:tcPr>
            <w:tcW w:w="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144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jc w:val="center"/>
              <w:ind w:right="34"/>
              <w:spacing w:after="0" w:line="187" w:lineRule="exact"/>
              <w:rPr>
                <w:sz w:val="20"/>
                <w:szCs w:val="20"/>
                <w:color w:val="auto"/>
              </w:rPr>
            </w:pPr>
            <w:r>
              <w:rPr>
                <w:rFonts w:ascii="Arial" w:cs="Arial" w:eastAsia="Arial" w:hAnsi="Arial"/>
                <w:sz w:val="17"/>
                <w:szCs w:val="17"/>
                <w:b w:val="1"/>
                <w:bCs w:val="1"/>
                <w:color w:val="auto"/>
                <w:w w:val="91"/>
              </w:rPr>
              <w:t>Weighted</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14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jc w:val="center"/>
              <w:ind w:right="14"/>
              <w:spacing w:after="0"/>
              <w:rPr>
                <w:sz w:val="20"/>
                <w:szCs w:val="20"/>
                <w:color w:val="auto"/>
              </w:rPr>
            </w:pPr>
            <w:r>
              <w:rPr>
                <w:rFonts w:ascii="Arial" w:cs="Arial" w:eastAsia="Arial" w:hAnsi="Arial"/>
                <w:sz w:val="17"/>
                <w:szCs w:val="17"/>
                <w:b w:val="1"/>
                <w:bCs w:val="1"/>
                <w:color w:val="auto"/>
                <w:w w:val="89"/>
              </w:rPr>
              <w:t>Average</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4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jc w:val="center"/>
              <w:ind w:right="34"/>
              <w:spacing w:after="0"/>
              <w:rPr>
                <w:sz w:val="20"/>
                <w:szCs w:val="20"/>
                <w:color w:val="auto"/>
              </w:rPr>
            </w:pPr>
            <w:r>
              <w:rPr>
                <w:rFonts w:ascii="Arial" w:cs="Arial" w:eastAsia="Arial" w:hAnsi="Arial"/>
                <w:sz w:val="17"/>
                <w:szCs w:val="17"/>
                <w:b w:val="1"/>
                <w:bCs w:val="1"/>
                <w:color w:val="auto"/>
                <w:w w:val="94"/>
              </w:rPr>
              <w:t>Amortization</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gridSpan w:val="2"/>
          </w:tcPr>
          <w:p>
            <w:pPr>
              <w:ind w:left="60"/>
              <w:spacing w:after="0"/>
              <w:rPr>
                <w:sz w:val="20"/>
                <w:szCs w:val="20"/>
                <w:color w:val="auto"/>
              </w:rPr>
            </w:pPr>
            <w:r>
              <w:rPr>
                <w:rFonts w:ascii="Arial" w:cs="Arial" w:eastAsia="Arial" w:hAnsi="Arial"/>
                <w:sz w:val="17"/>
                <w:szCs w:val="17"/>
                <w:b w:val="1"/>
                <w:bCs w:val="1"/>
                <w:color w:val="auto"/>
              </w:rPr>
              <w:t>Accumulated</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600" w:type="dxa"/>
            <w:vAlign w:val="bottom"/>
            <w:gridSpan w:val="2"/>
          </w:tcPr>
          <w:p>
            <w:pPr>
              <w:ind w:left="1440"/>
              <w:spacing w:after="0"/>
              <w:rPr>
                <w:sz w:val="20"/>
                <w:szCs w:val="20"/>
                <w:color w:val="auto"/>
              </w:rPr>
            </w:pPr>
            <w:r>
              <w:rPr>
                <w:rFonts w:ascii="Arial" w:cs="Arial" w:eastAsia="Arial" w:hAnsi="Arial"/>
                <w:sz w:val="17"/>
                <w:szCs w:val="17"/>
                <w:b w:val="1"/>
                <w:bCs w:val="1"/>
                <w:color w:val="auto"/>
              </w:rPr>
              <w:t>Intangible Asset</w:t>
            </w:r>
          </w:p>
        </w:tc>
        <w:tc>
          <w:tcPr>
            <w:tcW w:w="10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7"/>
                <w:szCs w:val="17"/>
                <w:b w:val="1"/>
                <w:bCs w:val="1"/>
                <w:color w:val="auto"/>
                <w:w w:val="90"/>
              </w:rPr>
              <w:t>Period (in Years)</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ind w:right="414"/>
              <w:spacing w:after="0"/>
              <w:rPr>
                <w:sz w:val="20"/>
                <w:szCs w:val="20"/>
                <w:color w:val="auto"/>
              </w:rPr>
            </w:pPr>
            <w:r>
              <w:rPr>
                <w:rFonts w:ascii="Arial" w:cs="Arial" w:eastAsia="Arial" w:hAnsi="Arial"/>
                <w:sz w:val="17"/>
                <w:szCs w:val="17"/>
                <w:b w:val="1"/>
                <w:bCs w:val="1"/>
                <w:color w:val="auto"/>
              </w:rPr>
              <w:t>Gross</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ind w:left="60"/>
              <w:spacing w:after="0"/>
              <w:rPr>
                <w:sz w:val="20"/>
                <w:szCs w:val="20"/>
                <w:color w:val="auto"/>
              </w:rPr>
            </w:pPr>
            <w:r>
              <w:rPr>
                <w:rFonts w:ascii="Arial" w:cs="Arial" w:eastAsia="Arial" w:hAnsi="Arial"/>
                <w:sz w:val="17"/>
                <w:szCs w:val="17"/>
                <w:b w:val="1"/>
                <w:bCs w:val="1"/>
                <w:color w:val="auto"/>
              </w:rPr>
              <w:t>Amortization</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ind w:left="220"/>
              <w:spacing w:after="0"/>
              <w:rPr>
                <w:sz w:val="20"/>
                <w:szCs w:val="20"/>
                <w:color w:val="auto"/>
              </w:rPr>
            </w:pPr>
            <w:r>
              <w:rPr>
                <w:rFonts w:ascii="Arial" w:cs="Arial" w:eastAsia="Arial" w:hAnsi="Arial"/>
                <w:sz w:val="17"/>
                <w:szCs w:val="17"/>
                <w:b w:val="1"/>
                <w:bCs w:val="1"/>
                <w:color w:val="auto"/>
              </w:rPr>
              <w:t>Net</w:t>
            </w: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1440" w:type="dxa"/>
            <w:vAlign w:val="bottom"/>
            <w:vMerge w:val="restart"/>
          </w:tcPr>
          <w:p>
            <w:pPr>
              <w:spacing w:after="0"/>
              <w:rPr>
                <w:sz w:val="17"/>
                <w:szCs w:val="17"/>
                <w:color w:val="auto"/>
              </w:rPr>
            </w:pPr>
          </w:p>
        </w:tc>
        <w:tc>
          <w:tcPr>
            <w:tcW w:w="2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440" w:type="dxa"/>
            <w:vAlign w:val="bottom"/>
            <w:vMerge w:val="continue"/>
          </w:tcPr>
          <w:p>
            <w:pPr>
              <w:spacing w:after="0"/>
              <w:rPr>
                <w:sz w:val="17"/>
                <w:szCs w:val="17"/>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7"/>
                <w:szCs w:val="17"/>
                <w:color w:val="auto"/>
              </w:rPr>
              <w:t>Developed Technology</w:t>
            </w:r>
          </w:p>
        </w:tc>
        <w:tc>
          <w:tcPr>
            <w:tcW w:w="1520" w:type="dxa"/>
            <w:vAlign w:val="bottom"/>
            <w:gridSpan w:val="2"/>
            <w:shd w:val="clear" w:color="auto" w:fill="CCEEFF"/>
          </w:tcPr>
          <w:p>
            <w:pPr>
              <w:jc w:val="center"/>
              <w:ind w:left="114"/>
              <w:spacing w:after="0"/>
              <w:rPr>
                <w:sz w:val="20"/>
                <w:szCs w:val="20"/>
                <w:color w:val="auto"/>
              </w:rPr>
            </w:pPr>
            <w:r>
              <w:rPr>
                <w:rFonts w:ascii="Arial" w:cs="Arial" w:eastAsia="Arial" w:hAnsi="Arial"/>
                <w:sz w:val="17"/>
                <w:szCs w:val="17"/>
                <w:color w:val="auto"/>
                <w:w w:val="84"/>
              </w:rPr>
              <w:t>5</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3,428</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(1,111)</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2,317</w:t>
            </w:r>
          </w:p>
        </w:tc>
        <w:tc>
          <w:tcPr>
            <w:tcW w:w="120" w:type="dxa"/>
            <w:vAlign w:val="bottom"/>
            <w:shd w:val="clear" w:color="auto" w:fill="CCEEFF"/>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440" w:type="dxa"/>
            <w:vAlign w:val="bottom"/>
          </w:tcPr>
          <w:p>
            <w:pPr>
              <w:spacing w:after="0"/>
              <w:rPr>
                <w:sz w:val="17"/>
                <w:szCs w:val="17"/>
                <w:color w:val="auto"/>
              </w:rPr>
            </w:pPr>
          </w:p>
        </w:tc>
        <w:tc>
          <w:tcPr>
            <w:tcW w:w="2160" w:type="dxa"/>
            <w:vAlign w:val="bottom"/>
          </w:tcPr>
          <w:p>
            <w:pPr>
              <w:spacing w:after="0"/>
              <w:rPr>
                <w:sz w:val="20"/>
                <w:szCs w:val="20"/>
                <w:color w:val="auto"/>
              </w:rPr>
            </w:pPr>
            <w:r>
              <w:rPr>
                <w:rFonts w:ascii="Arial" w:cs="Arial" w:eastAsia="Arial" w:hAnsi="Arial"/>
                <w:sz w:val="17"/>
                <w:szCs w:val="17"/>
                <w:color w:val="auto"/>
              </w:rPr>
              <w:t>Customer Relationships</w:t>
            </w:r>
          </w:p>
        </w:tc>
        <w:tc>
          <w:tcPr>
            <w:tcW w:w="1520" w:type="dxa"/>
            <w:vAlign w:val="bottom"/>
            <w:gridSpan w:val="2"/>
          </w:tcPr>
          <w:p>
            <w:pPr>
              <w:jc w:val="center"/>
              <w:ind w:left="94"/>
              <w:spacing w:after="0"/>
              <w:rPr>
                <w:sz w:val="20"/>
                <w:szCs w:val="20"/>
                <w:color w:val="auto"/>
              </w:rPr>
            </w:pPr>
            <w:r>
              <w:rPr>
                <w:rFonts w:ascii="Arial" w:cs="Arial" w:eastAsia="Arial" w:hAnsi="Arial"/>
                <w:sz w:val="17"/>
                <w:szCs w:val="17"/>
                <w:color w:val="auto"/>
                <w:w w:val="92"/>
              </w:rPr>
              <w:t>7.5</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12,478</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7"/>
                <w:szCs w:val="17"/>
                <w:color w:val="auto"/>
              </w:rPr>
              <w:t>(3,515)</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8,963</w:t>
            </w: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440" w:type="dxa"/>
            <w:vAlign w:val="bottom"/>
          </w:tcPr>
          <w:p>
            <w:pPr>
              <w:spacing w:after="0"/>
              <w:rPr>
                <w:sz w:val="17"/>
                <w:szCs w:val="17"/>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7"/>
                <w:szCs w:val="17"/>
                <w:color w:val="auto"/>
              </w:rPr>
              <w:t>Reseller Relationship</w:t>
            </w:r>
          </w:p>
        </w:tc>
        <w:tc>
          <w:tcPr>
            <w:tcW w:w="1520" w:type="dxa"/>
            <w:vAlign w:val="bottom"/>
            <w:gridSpan w:val="2"/>
            <w:shd w:val="clear" w:color="auto" w:fill="CCEEFF"/>
          </w:tcPr>
          <w:p>
            <w:pPr>
              <w:jc w:val="center"/>
              <w:ind w:left="114"/>
              <w:spacing w:after="0"/>
              <w:rPr>
                <w:sz w:val="20"/>
                <w:szCs w:val="20"/>
                <w:color w:val="auto"/>
              </w:rPr>
            </w:pPr>
            <w:r>
              <w:rPr>
                <w:rFonts w:ascii="Arial" w:cs="Arial" w:eastAsia="Arial" w:hAnsi="Arial"/>
                <w:sz w:val="17"/>
                <w:szCs w:val="17"/>
                <w:color w:val="auto"/>
                <w:w w:val="84"/>
              </w:rPr>
              <w:t>7</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853</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(152)</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701</w:t>
            </w:r>
          </w:p>
        </w:tc>
        <w:tc>
          <w:tcPr>
            <w:tcW w:w="120" w:type="dxa"/>
            <w:vAlign w:val="bottom"/>
            <w:shd w:val="clear" w:color="auto" w:fill="CCEEFF"/>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440" w:type="dxa"/>
            <w:vAlign w:val="bottom"/>
          </w:tcPr>
          <w:p>
            <w:pPr>
              <w:spacing w:after="0"/>
              <w:rPr>
                <w:sz w:val="17"/>
                <w:szCs w:val="17"/>
                <w:color w:val="auto"/>
              </w:rPr>
            </w:pPr>
          </w:p>
        </w:tc>
        <w:tc>
          <w:tcPr>
            <w:tcW w:w="2160" w:type="dxa"/>
            <w:vAlign w:val="bottom"/>
          </w:tcPr>
          <w:p>
            <w:pPr>
              <w:spacing w:after="0"/>
              <w:rPr>
                <w:sz w:val="20"/>
                <w:szCs w:val="20"/>
                <w:color w:val="auto"/>
              </w:rPr>
            </w:pPr>
            <w:r>
              <w:rPr>
                <w:rFonts w:ascii="Arial" w:cs="Arial" w:eastAsia="Arial" w:hAnsi="Arial"/>
                <w:sz w:val="17"/>
                <w:szCs w:val="17"/>
                <w:color w:val="auto"/>
              </w:rPr>
              <w:t>Trade Names</w:t>
            </w:r>
          </w:p>
        </w:tc>
        <w:tc>
          <w:tcPr>
            <w:tcW w:w="1520" w:type="dxa"/>
            <w:vAlign w:val="bottom"/>
            <w:gridSpan w:val="2"/>
          </w:tcPr>
          <w:p>
            <w:pPr>
              <w:jc w:val="center"/>
              <w:ind w:left="114"/>
              <w:spacing w:after="0"/>
              <w:rPr>
                <w:sz w:val="20"/>
                <w:szCs w:val="20"/>
                <w:color w:val="auto"/>
              </w:rPr>
            </w:pPr>
            <w:r>
              <w:rPr>
                <w:rFonts w:ascii="Arial" w:cs="Arial" w:eastAsia="Arial" w:hAnsi="Arial"/>
                <w:sz w:val="17"/>
                <w:szCs w:val="17"/>
                <w:color w:val="auto"/>
                <w:w w:val="84"/>
              </w:rPr>
              <w:t>5</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663</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7"/>
                <w:szCs w:val="17"/>
                <w:color w:val="auto"/>
              </w:rPr>
              <w:t>(494)</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169</w:t>
            </w: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440" w:type="dxa"/>
            <w:vAlign w:val="bottom"/>
          </w:tcPr>
          <w:p>
            <w:pPr>
              <w:spacing w:after="0"/>
              <w:rPr>
                <w:sz w:val="17"/>
                <w:szCs w:val="17"/>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7"/>
                <w:szCs w:val="17"/>
                <w:color w:val="auto"/>
              </w:rPr>
              <w:t>Covenant not-to-compete</w:t>
            </w:r>
          </w:p>
        </w:tc>
        <w:tc>
          <w:tcPr>
            <w:tcW w:w="1520" w:type="dxa"/>
            <w:vAlign w:val="bottom"/>
            <w:gridSpan w:val="2"/>
            <w:shd w:val="clear" w:color="auto" w:fill="CCEEFF"/>
          </w:tcPr>
          <w:p>
            <w:pPr>
              <w:jc w:val="center"/>
              <w:ind w:left="114"/>
              <w:spacing w:after="0"/>
              <w:rPr>
                <w:sz w:val="20"/>
                <w:szCs w:val="20"/>
                <w:color w:val="auto"/>
              </w:rPr>
            </w:pPr>
            <w:r>
              <w:rPr>
                <w:rFonts w:ascii="Arial" w:cs="Arial" w:eastAsia="Arial" w:hAnsi="Arial"/>
                <w:sz w:val="17"/>
                <w:szCs w:val="17"/>
                <w:color w:val="auto"/>
                <w:w w:val="84"/>
              </w:rPr>
              <w:t>4</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205</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(176)</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120" w:type="dxa"/>
            <w:vAlign w:val="bottom"/>
            <w:shd w:val="clear" w:color="auto" w:fill="CCEEFF"/>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1440" w:type="dxa"/>
            <w:vAlign w:val="bottom"/>
          </w:tcPr>
          <w:p>
            <w:pPr>
              <w:spacing w:after="0"/>
              <w:rPr>
                <w:sz w:val="2"/>
                <w:szCs w:val="2"/>
                <w:color w:val="auto"/>
              </w:rPr>
            </w:pPr>
          </w:p>
        </w:tc>
        <w:tc>
          <w:tcPr>
            <w:tcW w:w="2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14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7"/>
                <w:szCs w:val="17"/>
                <w:b w:val="1"/>
                <w:bCs w:val="1"/>
                <w:color w:val="auto"/>
              </w:rPr>
              <w:t>17,627</w:t>
            </w:r>
          </w:p>
        </w:tc>
        <w:tc>
          <w:tcPr>
            <w:tcW w:w="320" w:type="dxa"/>
            <w:vAlign w:val="bottom"/>
            <w:gridSpan w:val="2"/>
          </w:tcPr>
          <w:p>
            <w:pPr>
              <w:jc w:val="right"/>
              <w:ind w:right="40"/>
              <w:spacing w:after="0"/>
              <w:rPr>
                <w:sz w:val="20"/>
                <w:szCs w:val="20"/>
                <w:color w:val="auto"/>
              </w:rPr>
            </w:pPr>
            <w:r>
              <w:rPr>
                <w:rFonts w:ascii="Arial" w:cs="Arial" w:eastAsia="Arial" w:hAnsi="Arial"/>
                <w:sz w:val="17"/>
                <w:szCs w:val="17"/>
                <w:b w:val="1"/>
                <w:bCs w:val="1"/>
                <w:color w:val="auto"/>
              </w:rPr>
              <w:t>$</w:t>
            </w:r>
          </w:p>
        </w:tc>
        <w:tc>
          <w:tcPr>
            <w:tcW w:w="142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(5,448)</w:t>
            </w:r>
          </w:p>
        </w:tc>
        <w:tc>
          <w:tcPr>
            <w:tcW w:w="38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12,179</w:t>
            </w: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14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4"/>
          </w:tcPr>
          <w:p>
            <w:pPr>
              <w:jc w:val="right"/>
              <w:ind w:right="300"/>
              <w:spacing w:after="0"/>
              <w:rPr>
                <w:sz w:val="20"/>
                <w:szCs w:val="20"/>
                <w:color w:val="auto"/>
              </w:rPr>
            </w:pPr>
            <w:r>
              <w:rPr>
                <w:rFonts w:ascii="Arial" w:cs="Arial" w:eastAsia="Arial" w:hAnsi="Arial"/>
                <w:sz w:val="17"/>
                <w:szCs w:val="17"/>
                <w:b w:val="1"/>
                <w:bCs w:val="1"/>
                <w:color w:val="auto"/>
                <w:w w:val="92"/>
              </w:rPr>
              <w:t>December 31, 2011</w:t>
            </w: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144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jc w:val="center"/>
              <w:ind w:right="34"/>
              <w:spacing w:after="0" w:line="187" w:lineRule="exact"/>
              <w:rPr>
                <w:sz w:val="20"/>
                <w:szCs w:val="20"/>
                <w:color w:val="auto"/>
              </w:rPr>
            </w:pPr>
            <w:r>
              <w:rPr>
                <w:rFonts w:ascii="Arial" w:cs="Arial" w:eastAsia="Arial" w:hAnsi="Arial"/>
                <w:sz w:val="17"/>
                <w:szCs w:val="17"/>
                <w:b w:val="1"/>
                <w:bCs w:val="1"/>
                <w:color w:val="auto"/>
                <w:w w:val="91"/>
              </w:rPr>
              <w:t>Weighted</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14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jc w:val="center"/>
              <w:ind w:right="14"/>
              <w:spacing w:after="0"/>
              <w:rPr>
                <w:sz w:val="20"/>
                <w:szCs w:val="20"/>
                <w:color w:val="auto"/>
              </w:rPr>
            </w:pPr>
            <w:r>
              <w:rPr>
                <w:rFonts w:ascii="Arial" w:cs="Arial" w:eastAsia="Arial" w:hAnsi="Arial"/>
                <w:sz w:val="17"/>
                <w:szCs w:val="17"/>
                <w:b w:val="1"/>
                <w:bCs w:val="1"/>
                <w:color w:val="auto"/>
                <w:w w:val="89"/>
              </w:rPr>
              <w:t>Average</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4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jc w:val="center"/>
              <w:ind w:right="34"/>
              <w:spacing w:after="0"/>
              <w:rPr>
                <w:sz w:val="20"/>
                <w:szCs w:val="20"/>
                <w:color w:val="auto"/>
              </w:rPr>
            </w:pPr>
            <w:r>
              <w:rPr>
                <w:rFonts w:ascii="Arial" w:cs="Arial" w:eastAsia="Arial" w:hAnsi="Arial"/>
                <w:sz w:val="17"/>
                <w:szCs w:val="17"/>
                <w:b w:val="1"/>
                <w:bCs w:val="1"/>
                <w:color w:val="auto"/>
                <w:w w:val="94"/>
              </w:rPr>
              <w:t>Amortization</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gridSpan w:val="2"/>
          </w:tcPr>
          <w:p>
            <w:pPr>
              <w:ind w:left="60"/>
              <w:spacing w:after="0"/>
              <w:rPr>
                <w:sz w:val="20"/>
                <w:szCs w:val="20"/>
                <w:color w:val="auto"/>
              </w:rPr>
            </w:pPr>
            <w:r>
              <w:rPr>
                <w:rFonts w:ascii="Arial" w:cs="Arial" w:eastAsia="Arial" w:hAnsi="Arial"/>
                <w:sz w:val="17"/>
                <w:szCs w:val="17"/>
                <w:b w:val="1"/>
                <w:bCs w:val="1"/>
                <w:color w:val="auto"/>
              </w:rPr>
              <w:t>Accumulated</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600" w:type="dxa"/>
            <w:vAlign w:val="bottom"/>
            <w:gridSpan w:val="2"/>
          </w:tcPr>
          <w:p>
            <w:pPr>
              <w:ind w:left="1440"/>
              <w:spacing w:after="0"/>
              <w:rPr>
                <w:sz w:val="20"/>
                <w:szCs w:val="20"/>
                <w:color w:val="auto"/>
              </w:rPr>
            </w:pPr>
            <w:r>
              <w:rPr>
                <w:rFonts w:ascii="Arial" w:cs="Arial" w:eastAsia="Arial" w:hAnsi="Arial"/>
                <w:sz w:val="17"/>
                <w:szCs w:val="17"/>
                <w:b w:val="1"/>
                <w:bCs w:val="1"/>
                <w:color w:val="auto"/>
              </w:rPr>
              <w:t>Intangible Asset</w:t>
            </w:r>
          </w:p>
        </w:tc>
        <w:tc>
          <w:tcPr>
            <w:tcW w:w="10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7"/>
                <w:szCs w:val="17"/>
                <w:b w:val="1"/>
                <w:bCs w:val="1"/>
                <w:color w:val="auto"/>
                <w:w w:val="90"/>
              </w:rPr>
              <w:t>Period (in Years)</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ind w:right="414"/>
              <w:spacing w:after="0"/>
              <w:rPr>
                <w:sz w:val="20"/>
                <w:szCs w:val="20"/>
                <w:color w:val="auto"/>
              </w:rPr>
            </w:pPr>
            <w:r>
              <w:rPr>
                <w:rFonts w:ascii="Arial" w:cs="Arial" w:eastAsia="Arial" w:hAnsi="Arial"/>
                <w:sz w:val="17"/>
                <w:szCs w:val="17"/>
                <w:b w:val="1"/>
                <w:bCs w:val="1"/>
                <w:color w:val="auto"/>
              </w:rPr>
              <w:t>Gross</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ind w:left="60"/>
              <w:spacing w:after="0"/>
              <w:rPr>
                <w:sz w:val="20"/>
                <w:szCs w:val="20"/>
                <w:color w:val="auto"/>
              </w:rPr>
            </w:pPr>
            <w:r>
              <w:rPr>
                <w:rFonts w:ascii="Arial" w:cs="Arial" w:eastAsia="Arial" w:hAnsi="Arial"/>
                <w:sz w:val="17"/>
                <w:szCs w:val="17"/>
                <w:b w:val="1"/>
                <w:bCs w:val="1"/>
                <w:color w:val="auto"/>
              </w:rPr>
              <w:t>Amortization</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ind w:left="220"/>
              <w:spacing w:after="0"/>
              <w:rPr>
                <w:sz w:val="20"/>
                <w:szCs w:val="20"/>
                <w:color w:val="auto"/>
              </w:rPr>
            </w:pPr>
            <w:r>
              <w:rPr>
                <w:rFonts w:ascii="Arial" w:cs="Arial" w:eastAsia="Arial" w:hAnsi="Arial"/>
                <w:sz w:val="17"/>
                <w:szCs w:val="17"/>
                <w:b w:val="1"/>
                <w:bCs w:val="1"/>
                <w:color w:val="auto"/>
              </w:rPr>
              <w:t>Net</w:t>
            </w: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1440" w:type="dxa"/>
            <w:vAlign w:val="bottom"/>
            <w:vMerge w:val="restart"/>
          </w:tcPr>
          <w:p>
            <w:pPr>
              <w:spacing w:after="0"/>
              <w:rPr>
                <w:sz w:val="17"/>
                <w:szCs w:val="17"/>
                <w:color w:val="auto"/>
              </w:rPr>
            </w:pPr>
          </w:p>
        </w:tc>
        <w:tc>
          <w:tcPr>
            <w:tcW w:w="2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440" w:type="dxa"/>
            <w:vAlign w:val="bottom"/>
            <w:vMerge w:val="continue"/>
          </w:tcPr>
          <w:p>
            <w:pPr>
              <w:spacing w:after="0"/>
              <w:rPr>
                <w:sz w:val="17"/>
                <w:szCs w:val="17"/>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7"/>
                <w:szCs w:val="17"/>
                <w:color w:val="auto"/>
              </w:rPr>
              <w:t>Developed Technology</w:t>
            </w:r>
          </w:p>
        </w:tc>
        <w:tc>
          <w:tcPr>
            <w:tcW w:w="1520" w:type="dxa"/>
            <w:vAlign w:val="bottom"/>
            <w:gridSpan w:val="2"/>
            <w:shd w:val="clear" w:color="auto" w:fill="CCEEFF"/>
          </w:tcPr>
          <w:p>
            <w:pPr>
              <w:jc w:val="center"/>
              <w:ind w:left="114"/>
              <w:spacing w:after="0"/>
              <w:rPr>
                <w:sz w:val="20"/>
                <w:szCs w:val="20"/>
                <w:color w:val="auto"/>
              </w:rPr>
            </w:pPr>
            <w:r>
              <w:rPr>
                <w:rFonts w:ascii="Arial" w:cs="Arial" w:eastAsia="Arial" w:hAnsi="Arial"/>
                <w:sz w:val="17"/>
                <w:szCs w:val="17"/>
                <w:color w:val="auto"/>
                <w:w w:val="84"/>
              </w:rPr>
              <w:t>5</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1,586</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(794)</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792</w:t>
            </w:r>
          </w:p>
        </w:tc>
        <w:tc>
          <w:tcPr>
            <w:tcW w:w="120" w:type="dxa"/>
            <w:vAlign w:val="bottom"/>
            <w:shd w:val="clear" w:color="auto" w:fill="CCEEFF"/>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440" w:type="dxa"/>
            <w:vAlign w:val="bottom"/>
          </w:tcPr>
          <w:p>
            <w:pPr>
              <w:spacing w:after="0"/>
              <w:rPr>
                <w:sz w:val="17"/>
                <w:szCs w:val="17"/>
                <w:color w:val="auto"/>
              </w:rPr>
            </w:pPr>
          </w:p>
        </w:tc>
        <w:tc>
          <w:tcPr>
            <w:tcW w:w="2160" w:type="dxa"/>
            <w:vAlign w:val="bottom"/>
          </w:tcPr>
          <w:p>
            <w:pPr>
              <w:spacing w:after="0"/>
              <w:rPr>
                <w:sz w:val="20"/>
                <w:szCs w:val="20"/>
                <w:color w:val="auto"/>
              </w:rPr>
            </w:pPr>
            <w:r>
              <w:rPr>
                <w:rFonts w:ascii="Arial" w:cs="Arial" w:eastAsia="Arial" w:hAnsi="Arial"/>
                <w:sz w:val="17"/>
                <w:szCs w:val="17"/>
                <w:color w:val="auto"/>
              </w:rPr>
              <w:t>Customer Relationships</w:t>
            </w:r>
          </w:p>
        </w:tc>
        <w:tc>
          <w:tcPr>
            <w:tcW w:w="1520" w:type="dxa"/>
            <w:vAlign w:val="bottom"/>
            <w:gridSpan w:val="2"/>
          </w:tcPr>
          <w:p>
            <w:pPr>
              <w:jc w:val="center"/>
              <w:ind w:left="114"/>
              <w:spacing w:after="0"/>
              <w:rPr>
                <w:sz w:val="20"/>
                <w:szCs w:val="20"/>
                <w:color w:val="auto"/>
              </w:rPr>
            </w:pPr>
            <w:r>
              <w:rPr>
                <w:rFonts w:ascii="Arial" w:cs="Arial" w:eastAsia="Arial" w:hAnsi="Arial"/>
                <w:sz w:val="17"/>
                <w:szCs w:val="17"/>
                <w:color w:val="auto"/>
                <w:w w:val="84"/>
              </w:rPr>
              <w:t>8</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6,767</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7"/>
                <w:szCs w:val="17"/>
                <w:color w:val="auto"/>
              </w:rPr>
              <w:t>(2,175)</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4,592</w:t>
            </w: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440" w:type="dxa"/>
            <w:vAlign w:val="bottom"/>
          </w:tcPr>
          <w:p>
            <w:pPr>
              <w:spacing w:after="0"/>
              <w:rPr>
                <w:sz w:val="17"/>
                <w:szCs w:val="17"/>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7"/>
                <w:szCs w:val="17"/>
                <w:color w:val="auto"/>
              </w:rPr>
              <w:t>Reseller Relationship</w:t>
            </w:r>
          </w:p>
        </w:tc>
        <w:tc>
          <w:tcPr>
            <w:tcW w:w="1520" w:type="dxa"/>
            <w:vAlign w:val="bottom"/>
            <w:gridSpan w:val="2"/>
            <w:shd w:val="clear" w:color="auto" w:fill="CCEEFF"/>
          </w:tcPr>
          <w:p>
            <w:pPr>
              <w:jc w:val="center"/>
              <w:ind w:left="114"/>
              <w:spacing w:after="0"/>
              <w:rPr>
                <w:sz w:val="20"/>
                <w:szCs w:val="20"/>
                <w:color w:val="auto"/>
              </w:rPr>
            </w:pPr>
            <w:r>
              <w:rPr>
                <w:rFonts w:ascii="Arial" w:cs="Arial" w:eastAsia="Arial" w:hAnsi="Arial"/>
                <w:sz w:val="17"/>
                <w:szCs w:val="17"/>
                <w:color w:val="auto"/>
                <w:w w:val="84"/>
              </w:rPr>
              <w:t>7</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853</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(30)</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823</w:t>
            </w:r>
          </w:p>
        </w:tc>
        <w:tc>
          <w:tcPr>
            <w:tcW w:w="120" w:type="dxa"/>
            <w:vAlign w:val="bottom"/>
            <w:shd w:val="clear" w:color="auto" w:fill="CCEEFF"/>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440" w:type="dxa"/>
            <w:vAlign w:val="bottom"/>
          </w:tcPr>
          <w:p>
            <w:pPr>
              <w:spacing w:after="0"/>
              <w:rPr>
                <w:sz w:val="17"/>
                <w:szCs w:val="17"/>
                <w:color w:val="auto"/>
              </w:rPr>
            </w:pPr>
          </w:p>
        </w:tc>
        <w:tc>
          <w:tcPr>
            <w:tcW w:w="2160" w:type="dxa"/>
            <w:vAlign w:val="bottom"/>
          </w:tcPr>
          <w:p>
            <w:pPr>
              <w:spacing w:after="0"/>
              <w:rPr>
                <w:sz w:val="20"/>
                <w:szCs w:val="20"/>
                <w:color w:val="auto"/>
              </w:rPr>
            </w:pPr>
            <w:r>
              <w:rPr>
                <w:rFonts w:ascii="Arial" w:cs="Arial" w:eastAsia="Arial" w:hAnsi="Arial"/>
                <w:sz w:val="17"/>
                <w:szCs w:val="17"/>
                <w:color w:val="auto"/>
              </w:rPr>
              <w:t>Trade Names</w:t>
            </w:r>
          </w:p>
        </w:tc>
        <w:tc>
          <w:tcPr>
            <w:tcW w:w="1520" w:type="dxa"/>
            <w:vAlign w:val="bottom"/>
            <w:gridSpan w:val="2"/>
          </w:tcPr>
          <w:p>
            <w:pPr>
              <w:jc w:val="center"/>
              <w:ind w:left="114"/>
              <w:spacing w:after="0"/>
              <w:rPr>
                <w:sz w:val="20"/>
                <w:szCs w:val="20"/>
                <w:color w:val="auto"/>
              </w:rPr>
            </w:pPr>
            <w:r>
              <w:rPr>
                <w:rFonts w:ascii="Arial" w:cs="Arial" w:eastAsia="Arial" w:hAnsi="Arial"/>
                <w:sz w:val="17"/>
                <w:szCs w:val="17"/>
                <w:color w:val="auto"/>
                <w:w w:val="84"/>
              </w:rPr>
              <w:t>5</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325</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7"/>
                <w:szCs w:val="17"/>
                <w:color w:val="auto"/>
              </w:rPr>
              <w:t>(253)</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72</w:t>
            </w: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440" w:type="dxa"/>
            <w:vAlign w:val="bottom"/>
          </w:tcPr>
          <w:p>
            <w:pPr>
              <w:spacing w:after="0"/>
              <w:rPr>
                <w:sz w:val="17"/>
                <w:szCs w:val="17"/>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7"/>
                <w:szCs w:val="17"/>
                <w:color w:val="auto"/>
              </w:rPr>
              <w:t>Covenant not-to-compete</w:t>
            </w:r>
          </w:p>
        </w:tc>
        <w:tc>
          <w:tcPr>
            <w:tcW w:w="1520" w:type="dxa"/>
            <w:vAlign w:val="bottom"/>
            <w:gridSpan w:val="2"/>
            <w:shd w:val="clear" w:color="auto" w:fill="CCEEFF"/>
          </w:tcPr>
          <w:p>
            <w:pPr>
              <w:jc w:val="center"/>
              <w:ind w:left="114"/>
              <w:spacing w:after="0"/>
              <w:rPr>
                <w:sz w:val="20"/>
                <w:szCs w:val="20"/>
                <w:color w:val="auto"/>
              </w:rPr>
            </w:pPr>
            <w:r>
              <w:rPr>
                <w:rFonts w:ascii="Arial" w:cs="Arial" w:eastAsia="Arial" w:hAnsi="Arial"/>
                <w:sz w:val="17"/>
                <w:szCs w:val="17"/>
                <w:color w:val="auto"/>
                <w:w w:val="84"/>
              </w:rPr>
              <w:t>4</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182</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(154)</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120" w:type="dxa"/>
            <w:vAlign w:val="bottom"/>
            <w:shd w:val="clear" w:color="auto" w:fill="CCEEFF"/>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1440" w:type="dxa"/>
            <w:vAlign w:val="bottom"/>
          </w:tcPr>
          <w:p>
            <w:pPr>
              <w:spacing w:after="0"/>
              <w:rPr>
                <w:sz w:val="2"/>
                <w:szCs w:val="2"/>
                <w:color w:val="auto"/>
              </w:rPr>
            </w:pPr>
          </w:p>
        </w:tc>
        <w:tc>
          <w:tcPr>
            <w:tcW w:w="2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14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7"/>
                <w:szCs w:val="17"/>
                <w:b w:val="1"/>
                <w:bCs w:val="1"/>
                <w:color w:val="auto"/>
              </w:rPr>
              <w:t>9,713</w:t>
            </w:r>
          </w:p>
        </w:tc>
        <w:tc>
          <w:tcPr>
            <w:tcW w:w="320" w:type="dxa"/>
            <w:vAlign w:val="bottom"/>
            <w:gridSpan w:val="2"/>
          </w:tcPr>
          <w:p>
            <w:pPr>
              <w:jc w:val="right"/>
              <w:ind w:right="40"/>
              <w:spacing w:after="0"/>
              <w:rPr>
                <w:sz w:val="20"/>
                <w:szCs w:val="20"/>
                <w:color w:val="auto"/>
              </w:rPr>
            </w:pPr>
            <w:r>
              <w:rPr>
                <w:rFonts w:ascii="Arial" w:cs="Arial" w:eastAsia="Arial" w:hAnsi="Arial"/>
                <w:sz w:val="17"/>
                <w:szCs w:val="17"/>
                <w:b w:val="1"/>
                <w:bCs w:val="1"/>
                <w:color w:val="auto"/>
              </w:rPr>
              <w:t>$</w:t>
            </w:r>
          </w:p>
        </w:tc>
        <w:tc>
          <w:tcPr>
            <w:tcW w:w="142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(3,406)</w:t>
            </w:r>
          </w:p>
        </w:tc>
        <w:tc>
          <w:tcPr>
            <w:tcW w:w="38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6,307</w:t>
            </w: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2"/>
        </w:trPr>
        <w:tc>
          <w:tcPr>
            <w:tcW w:w="14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jc w:val="right"/>
              <w:ind w:right="714"/>
              <w:spacing w:after="0"/>
              <w:rPr>
                <w:sz w:val="20"/>
                <w:szCs w:val="20"/>
                <w:color w:val="auto"/>
              </w:rPr>
            </w:pPr>
            <w:r>
              <w:rPr>
                <w:rFonts w:ascii="Arial" w:cs="Arial" w:eastAsia="Arial" w:hAnsi="Arial"/>
                <w:sz w:val="17"/>
                <w:szCs w:val="17"/>
                <w:color w:val="auto"/>
              </w:rPr>
              <w:t>F-21</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1440" w:type="dxa"/>
            <w:vAlign w:val="bottom"/>
            <w:tcBorders>
              <w:bottom w:val="single" w:sz="8" w:color="808080"/>
            </w:tcBorders>
          </w:tcPr>
          <w:p>
            <w:pPr>
              <w:spacing w:after="0"/>
              <w:rPr>
                <w:sz w:val="9"/>
                <w:szCs w:val="9"/>
                <w:color w:val="auto"/>
              </w:rPr>
            </w:pPr>
          </w:p>
        </w:tc>
        <w:tc>
          <w:tcPr>
            <w:tcW w:w="21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3" w:name="page44"/>
    <w:bookmarkEnd w:id="4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ASURE SOFTWARE,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thousands, except share and per share data or otherwise noted)</w:t>
      </w:r>
    </w:p>
    <w:p>
      <w:pPr>
        <w:spacing w:after="0" w:line="204" w:lineRule="exact"/>
        <w:rPr>
          <w:sz w:val="20"/>
          <w:szCs w:val="20"/>
          <w:color w:val="auto"/>
        </w:rPr>
      </w:pPr>
    </w:p>
    <w:p>
      <w:pPr>
        <w:jc w:val="both"/>
        <w:ind w:firstLine="616"/>
        <w:spacing w:after="0" w:line="264" w:lineRule="auto"/>
        <w:rPr>
          <w:sz w:val="20"/>
          <w:szCs w:val="20"/>
          <w:color w:val="auto"/>
        </w:rPr>
      </w:pPr>
      <w:r>
        <w:rPr>
          <w:rFonts w:ascii="Arial" w:cs="Arial" w:eastAsia="Arial" w:hAnsi="Arial"/>
          <w:sz w:val="17"/>
          <w:szCs w:val="17"/>
          <w:color w:val="auto"/>
        </w:rPr>
        <w:t>We record amortization expense using the straight-line method over the estimated economic useful lives of the intangible assets, as noted above. Amortization expenses were $1,726 and $680 for 2012 and 2011 respectively, included in Operating Expenses. Amortization expenses recorded in Cost of Sales were $316 and $202 for 2012 and 2011, of which $102 and $19, respectively, related to the acquisitions in those periods.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summarizes the future estimated amortization expense relating to our intangible assets as of December 31, 2012:</w:t>
      </w:r>
    </w:p>
    <w:p>
      <w:pPr>
        <w:spacing w:after="0" w:line="235" w:lineRule="exact"/>
        <w:rPr>
          <w:sz w:val="20"/>
          <w:szCs w:val="20"/>
          <w:color w:val="auto"/>
        </w:rPr>
      </w:pPr>
    </w:p>
    <w:tbl>
      <w:tblPr>
        <w:tblLayout w:type="fixed"/>
        <w:tblInd w:w="1440" w:type="dxa"/>
        <w:tblCellMar>
          <w:top w:w="0" w:type="dxa"/>
          <w:left w:w="0" w:type="dxa"/>
          <w:bottom w:w="0" w:type="dxa"/>
          <w:right w:w="0" w:type="dxa"/>
        </w:tblCellMar>
      </w:tblPr>
      <w:tr>
        <w:trPr>
          <w:trHeight w:val="229"/>
        </w:trPr>
        <w:tc>
          <w:tcPr>
            <w:tcW w:w="6960" w:type="dxa"/>
            <w:vAlign w:val="bottom"/>
            <w:gridSpan w:val="2"/>
          </w:tcPr>
          <w:p>
            <w:pPr>
              <w:spacing w:after="0"/>
              <w:rPr>
                <w:sz w:val="20"/>
                <w:szCs w:val="20"/>
                <w:color w:val="auto"/>
              </w:rPr>
            </w:pPr>
            <w:r>
              <w:rPr>
                <w:rFonts w:ascii="Arial" w:cs="Arial" w:eastAsia="Arial" w:hAnsi="Arial"/>
                <w:sz w:val="17"/>
                <w:szCs w:val="17"/>
                <w:b w:val="1"/>
                <w:bCs w:val="1"/>
                <w:color w:val="auto"/>
              </w:rPr>
              <w:t>Calendar Years</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05"/>
        </w:trPr>
        <w:tc>
          <w:tcPr>
            <w:tcW w:w="20" w:type="dxa"/>
            <w:vAlign w:val="bottom"/>
          </w:tcPr>
          <w:p>
            <w:pPr>
              <w:spacing w:after="0"/>
              <w:rPr>
                <w:sz w:val="17"/>
                <w:szCs w:val="17"/>
                <w:color w:val="auto"/>
              </w:rPr>
            </w:pPr>
          </w:p>
        </w:tc>
        <w:tc>
          <w:tcPr>
            <w:tcW w:w="6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2013</w:t>
            </w:r>
          </w:p>
        </w:tc>
        <w:tc>
          <w:tcPr>
            <w:tcW w:w="60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2,436</w:t>
            </w:r>
          </w:p>
        </w:tc>
        <w:tc>
          <w:tcPr>
            <w:tcW w:w="120" w:type="dxa"/>
            <w:vAlign w:val="bottom"/>
            <w:shd w:val="clear" w:color="auto" w:fill="CCEEFF"/>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6940" w:type="dxa"/>
            <w:vAlign w:val="bottom"/>
          </w:tcPr>
          <w:p>
            <w:pPr>
              <w:spacing w:after="0"/>
              <w:rPr>
                <w:sz w:val="20"/>
                <w:szCs w:val="20"/>
                <w:color w:val="auto"/>
              </w:rPr>
            </w:pPr>
            <w:r>
              <w:rPr>
                <w:rFonts w:ascii="Arial" w:cs="Arial" w:eastAsia="Arial" w:hAnsi="Arial"/>
                <w:sz w:val="17"/>
                <w:szCs w:val="17"/>
                <w:color w:val="auto"/>
              </w:rPr>
              <w:t>2014</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2,250</w:t>
            </w:r>
          </w:p>
        </w:tc>
        <w:tc>
          <w:tcPr>
            <w:tcW w:w="1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7"/>
                <w:szCs w:val="17"/>
                <w:color w:val="auto"/>
              </w:rPr>
              <w:t>2015</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2,096</w:t>
            </w:r>
          </w:p>
        </w:tc>
        <w:tc>
          <w:tcPr>
            <w:tcW w:w="120" w:type="dxa"/>
            <w:vAlign w:val="bottom"/>
            <w:shd w:val="clear" w:color="auto" w:fill="CCEEFF"/>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6940" w:type="dxa"/>
            <w:vAlign w:val="bottom"/>
          </w:tcPr>
          <w:p>
            <w:pPr>
              <w:spacing w:after="0"/>
              <w:rPr>
                <w:sz w:val="20"/>
                <w:szCs w:val="20"/>
                <w:color w:val="auto"/>
              </w:rPr>
            </w:pPr>
            <w:r>
              <w:rPr>
                <w:rFonts w:ascii="Arial" w:cs="Arial" w:eastAsia="Arial" w:hAnsi="Arial"/>
                <w:sz w:val="17"/>
                <w:szCs w:val="17"/>
                <w:color w:val="auto"/>
              </w:rPr>
              <w:t>2016</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1,586</w:t>
            </w:r>
          </w:p>
        </w:tc>
        <w:tc>
          <w:tcPr>
            <w:tcW w:w="1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7"/>
                <w:szCs w:val="17"/>
                <w:color w:val="auto"/>
              </w:rPr>
              <w:t>2017</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1,572</w:t>
            </w:r>
          </w:p>
        </w:tc>
        <w:tc>
          <w:tcPr>
            <w:tcW w:w="120" w:type="dxa"/>
            <w:vAlign w:val="bottom"/>
            <w:shd w:val="clear" w:color="auto" w:fill="CCEEFF"/>
          </w:tcPr>
          <w:p>
            <w:pPr>
              <w:spacing w:after="0"/>
              <w:rPr>
                <w:sz w:val="17"/>
                <w:szCs w:val="17"/>
                <w:color w:val="auto"/>
              </w:rPr>
            </w:pPr>
          </w:p>
        </w:tc>
      </w:tr>
      <w:tr>
        <w:trPr>
          <w:trHeight w:val="211"/>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7"/>
                <w:szCs w:val="17"/>
                <w:color w:val="auto"/>
              </w:rPr>
              <w:t>Thereafter</w:t>
            </w:r>
          </w:p>
        </w:tc>
        <w:tc>
          <w:tcPr>
            <w:tcW w:w="1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2,239</w:t>
            </w:r>
          </w:p>
        </w:tc>
        <w:tc>
          <w:tcPr>
            <w:tcW w:w="120" w:type="dxa"/>
            <w:vAlign w:val="bottom"/>
          </w:tcPr>
          <w:p>
            <w:pPr>
              <w:spacing w:after="0"/>
              <w:rPr>
                <w:sz w:val="18"/>
                <w:szCs w:val="18"/>
                <w:color w:val="auto"/>
              </w:rPr>
            </w:pPr>
          </w:p>
        </w:tc>
      </w:tr>
      <w:tr>
        <w:trPr>
          <w:trHeight w:val="225"/>
        </w:trPr>
        <w:tc>
          <w:tcPr>
            <w:tcW w:w="20" w:type="dxa"/>
            <w:vAlign w:val="bottom"/>
          </w:tcPr>
          <w:p>
            <w:pPr>
              <w:spacing w:after="0"/>
              <w:rPr>
                <w:sz w:val="19"/>
                <w:szCs w:val="19"/>
                <w:color w:val="auto"/>
              </w:rPr>
            </w:pPr>
          </w:p>
        </w:tc>
        <w:tc>
          <w:tcPr>
            <w:tcW w:w="69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12,179</w:t>
            </w:r>
          </w:p>
        </w:tc>
        <w:tc>
          <w:tcPr>
            <w:tcW w:w="120" w:type="dxa"/>
            <w:vAlign w:val="bottom"/>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9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7 - PROPERTY AND EQUIPMENT</w:t>
      </w:r>
    </w:p>
    <w:p>
      <w:pPr>
        <w:spacing w:after="0" w:line="24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Property and equipment and related depreciable useful lives as of December 31, 2012 and 2011 are composed of the following:</w:t>
      </w:r>
    </w:p>
    <w:p>
      <w:pPr>
        <w:spacing w:after="0" w:line="235" w:lineRule="exact"/>
        <w:rPr>
          <w:sz w:val="20"/>
          <w:szCs w:val="20"/>
          <w:color w:val="auto"/>
        </w:rPr>
      </w:pPr>
    </w:p>
    <w:tbl>
      <w:tblPr>
        <w:tblLayout w:type="fixed"/>
        <w:tblInd w:w="144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7"/>
                <w:szCs w:val="17"/>
                <w:b w:val="1"/>
                <w:bCs w:val="1"/>
                <w:color w:val="auto"/>
              </w:rPr>
              <w:t>December 31,</w:t>
            </w:r>
          </w:p>
        </w:tc>
        <w:tc>
          <w:tcPr>
            <w:tcW w:w="9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4"/>
              <w:spacing w:after="0"/>
              <w:rPr>
                <w:sz w:val="20"/>
                <w:szCs w:val="20"/>
                <w:color w:val="auto"/>
              </w:rPr>
            </w:pPr>
            <w:r>
              <w:rPr>
                <w:rFonts w:ascii="Arial" w:cs="Arial" w:eastAsia="Arial" w:hAnsi="Arial"/>
                <w:sz w:val="17"/>
                <w:szCs w:val="17"/>
                <w:b w:val="1"/>
                <w:bCs w:val="1"/>
                <w:color w:val="auto"/>
              </w:rPr>
              <w:t>2012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74"/>
              <w:spacing w:after="0"/>
              <w:rPr>
                <w:sz w:val="20"/>
                <w:szCs w:val="20"/>
                <w:color w:val="auto"/>
              </w:rPr>
            </w:pPr>
            <w:r>
              <w:rPr>
                <w:rFonts w:ascii="Arial" w:cs="Arial" w:eastAsia="Arial" w:hAnsi="Arial"/>
                <w:sz w:val="17"/>
                <w:szCs w:val="17"/>
                <w:b w:val="1"/>
                <w:bCs w:val="1"/>
                <w:color w:val="auto"/>
              </w:rPr>
              <w:t>2011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49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7"/>
                <w:szCs w:val="17"/>
                <w:color w:val="auto"/>
              </w:rPr>
              <w:t>Software: 3-5 years</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3,860</w:t>
            </w:r>
          </w:p>
        </w:tc>
        <w:tc>
          <w:tcPr>
            <w:tcW w:w="12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3,098</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900" w:type="dxa"/>
            <w:vAlign w:val="bottom"/>
          </w:tcPr>
          <w:p>
            <w:pPr>
              <w:spacing w:after="0"/>
              <w:rPr>
                <w:sz w:val="20"/>
                <w:szCs w:val="20"/>
                <w:color w:val="auto"/>
              </w:rPr>
            </w:pPr>
            <w:r>
              <w:rPr>
                <w:rFonts w:ascii="Arial" w:cs="Arial" w:eastAsia="Arial" w:hAnsi="Arial"/>
                <w:sz w:val="17"/>
                <w:szCs w:val="17"/>
                <w:color w:val="auto"/>
              </w:rPr>
              <w:t>Furniture and equipment: 2-5 years</w:t>
            </w: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4,102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3,073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7"/>
                <w:szCs w:val="17"/>
                <w:color w:val="auto"/>
              </w:rPr>
              <w:t>Internal support equipment: 2-4 years</w:t>
            </w:r>
          </w:p>
        </w:tc>
        <w:tc>
          <w:tcPr>
            <w:tcW w:w="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699</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706</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900" w:type="dxa"/>
            <w:vAlign w:val="bottom"/>
          </w:tcPr>
          <w:p>
            <w:pPr>
              <w:spacing w:after="0"/>
              <w:rPr>
                <w:sz w:val="20"/>
                <w:szCs w:val="20"/>
                <w:color w:val="auto"/>
              </w:rPr>
            </w:pPr>
            <w:r>
              <w:rPr>
                <w:rFonts w:ascii="Arial" w:cs="Arial" w:eastAsia="Arial" w:hAnsi="Arial"/>
                <w:sz w:val="17"/>
                <w:szCs w:val="17"/>
                <w:color w:val="auto"/>
              </w:rPr>
              <w:t>Vehicle - 7 years</w:t>
            </w: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7"/>
                <w:szCs w:val="17"/>
                <w:color w:val="auto"/>
              </w:rPr>
              <w:t>Capital leases: lease term or life of the asset</w:t>
            </w:r>
          </w:p>
        </w:tc>
        <w:tc>
          <w:tcPr>
            <w:tcW w:w="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178</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204</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7"/>
                <w:szCs w:val="17"/>
                <w:color w:val="auto"/>
              </w:rPr>
              <w:t>Leasehold improvements: lease term or life of the improvement</w:t>
            </w:r>
          </w:p>
        </w:tc>
        <w:tc>
          <w:tcPr>
            <w:tcW w:w="5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2,153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9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11,034</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9,246</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900" w:type="dxa"/>
            <w:vAlign w:val="bottom"/>
          </w:tcPr>
          <w:p>
            <w:pPr>
              <w:spacing w:after="0"/>
              <w:rPr>
                <w:sz w:val="20"/>
                <w:szCs w:val="20"/>
                <w:color w:val="auto"/>
              </w:rPr>
            </w:pPr>
            <w:r>
              <w:rPr>
                <w:rFonts w:ascii="Arial" w:cs="Arial" w:eastAsia="Arial" w:hAnsi="Arial"/>
                <w:sz w:val="17"/>
                <w:szCs w:val="17"/>
                <w:color w:val="auto"/>
              </w:rPr>
              <w:t>Less accumulated depreciation</w:t>
            </w: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7"/>
                <w:szCs w:val="17"/>
                <w:color w:val="auto"/>
              </w:rPr>
              <w:t>(9,880)</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7"/>
                <w:szCs w:val="17"/>
                <w:color w:val="auto"/>
              </w:rPr>
              <w:t>(8,832)</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tcPr>
          <w:p>
            <w:pPr>
              <w:spacing w:after="0"/>
              <w:rPr>
                <w:sz w:val="19"/>
                <w:szCs w:val="19"/>
                <w:color w:val="auto"/>
              </w:rPr>
            </w:pPr>
          </w:p>
        </w:tc>
        <w:tc>
          <w:tcPr>
            <w:tcW w:w="49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b w:val="1"/>
                <w:bCs w:val="1"/>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1,154</w:t>
            </w:r>
          </w:p>
        </w:tc>
        <w:tc>
          <w:tcPr>
            <w:tcW w:w="12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b w:val="1"/>
                <w:bCs w:val="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414</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9" w:lineRule="exact"/>
        <w:rPr>
          <w:sz w:val="20"/>
          <w:szCs w:val="20"/>
          <w:color w:val="auto"/>
        </w:rPr>
      </w:pPr>
    </w:p>
    <w:p>
      <w:pPr>
        <w:jc w:val="both"/>
        <w:ind w:firstLine="616"/>
        <w:spacing w:after="0" w:line="277" w:lineRule="auto"/>
        <w:rPr>
          <w:sz w:val="20"/>
          <w:szCs w:val="20"/>
          <w:color w:val="auto"/>
        </w:rPr>
      </w:pPr>
      <w:r>
        <w:rPr>
          <w:rFonts w:ascii="Arial" w:cs="Arial" w:eastAsia="Arial" w:hAnsi="Arial"/>
          <w:sz w:val="17"/>
          <w:szCs w:val="17"/>
          <w:color w:val="auto"/>
        </w:rPr>
        <w:t>We record the amortization of our capital leases as depreciation expense on our Consolidated Statements of Comprehensive Income (Loss). Depreciation and amortization expenses relating to property and equipment were approximately $255 and $165 for 2012 and 2011, respectively.</w:t>
      </w:r>
    </w:p>
    <w:p>
      <w:pPr>
        <w:spacing w:after="0" w:line="165" w:lineRule="exact"/>
        <w:rPr>
          <w:sz w:val="20"/>
          <w:szCs w:val="20"/>
          <w:color w:val="auto"/>
        </w:rPr>
      </w:pPr>
    </w:p>
    <w:p>
      <w:pPr>
        <w:jc w:val="both"/>
        <w:ind w:firstLine="616"/>
        <w:spacing w:after="0" w:line="258" w:lineRule="auto"/>
        <w:rPr>
          <w:sz w:val="20"/>
          <w:szCs w:val="20"/>
          <w:color w:val="auto"/>
        </w:rPr>
      </w:pPr>
      <w:r>
        <w:rPr>
          <w:rFonts w:ascii="Arial" w:cs="Arial" w:eastAsia="Arial" w:hAnsi="Arial"/>
          <w:sz w:val="17"/>
          <w:szCs w:val="17"/>
          <w:color w:val="auto"/>
        </w:rPr>
        <w:t>In October, 2012, we entered into a Code Purchase and Perpetual License Agreement (“License Agreement”) with FotoPunch, Inc., a Delaware corporation (“FotoPunch”) that owns and develops facial and voice recognition software for tracking employee time and labor management information for use with mobile and other devices. Under the License Agreement, we acquired a worldwide, perpetual, right to use the code and software in the workforce management hardware, equipment and software solutions industry. We have the right to grant sublicenses to resellers and third parties. For a period of two years, FotoPunch has agreed to assist us in integrating and using the facial and voice recognition software with our solutions.</w:t>
      </w:r>
    </w:p>
    <w:p>
      <w:pPr>
        <w:spacing w:after="0" w:line="207" w:lineRule="exact"/>
        <w:rPr>
          <w:sz w:val="20"/>
          <w:szCs w:val="20"/>
          <w:color w:val="auto"/>
        </w:rPr>
      </w:pPr>
    </w:p>
    <w:p>
      <w:pPr>
        <w:jc w:val="both"/>
        <w:ind w:firstLine="616"/>
        <w:spacing w:after="0" w:line="277" w:lineRule="auto"/>
        <w:rPr>
          <w:sz w:val="20"/>
          <w:szCs w:val="20"/>
          <w:color w:val="auto"/>
        </w:rPr>
      </w:pPr>
      <w:r>
        <w:rPr>
          <w:rFonts w:ascii="Arial" w:cs="Arial" w:eastAsia="Arial" w:hAnsi="Arial"/>
          <w:sz w:val="17"/>
          <w:szCs w:val="17"/>
          <w:color w:val="auto"/>
        </w:rPr>
        <w:t>At the same time, we also entered into a Rights Agreement with FotoPunch under which FotoPunch granted us an option to acquire it or its business and a right of first refusal to match any third party offer.</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4" w:name="page45"/>
    <w:bookmarkEnd w:id="4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5" w:lineRule="exact"/>
        <w:rPr>
          <w:sz w:val="20"/>
          <w:szCs w:val="20"/>
          <w:color w:val="auto"/>
        </w:rPr>
      </w:pPr>
    </w:p>
    <w:p>
      <w:pPr>
        <w:jc w:val="center"/>
        <w:ind w:left="620"/>
        <w:spacing w:after="0"/>
        <w:rPr>
          <w:sz w:val="20"/>
          <w:szCs w:val="20"/>
          <w:color w:val="auto"/>
        </w:rPr>
      </w:pPr>
      <w:r>
        <w:rPr>
          <w:rFonts w:ascii="Arial" w:cs="Arial" w:eastAsia="Arial" w:hAnsi="Arial"/>
          <w:sz w:val="17"/>
          <w:szCs w:val="17"/>
          <w:b w:val="1"/>
          <w:bCs w:val="1"/>
          <w:color w:val="auto"/>
        </w:rPr>
        <w:t>ASURE SOFTWARE, INC.</w:t>
      </w:r>
    </w:p>
    <w:p>
      <w:pPr>
        <w:spacing w:after="0" w:line="27" w:lineRule="exact"/>
        <w:rPr>
          <w:sz w:val="20"/>
          <w:szCs w:val="20"/>
          <w:color w:val="auto"/>
        </w:rPr>
      </w:pPr>
    </w:p>
    <w:p>
      <w:pPr>
        <w:jc w:val="center"/>
        <w:ind w:left="620"/>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10" w:lineRule="exact"/>
        <w:rPr>
          <w:sz w:val="20"/>
          <w:szCs w:val="20"/>
          <w:color w:val="auto"/>
        </w:rPr>
      </w:pPr>
    </w:p>
    <w:p>
      <w:pPr>
        <w:jc w:val="center"/>
        <w:ind w:left="620"/>
        <w:spacing w:after="0"/>
        <w:rPr>
          <w:sz w:val="20"/>
          <w:szCs w:val="20"/>
          <w:color w:val="auto"/>
        </w:rPr>
      </w:pPr>
      <w:r>
        <w:rPr>
          <w:rFonts w:ascii="Arial" w:cs="Arial" w:eastAsia="Arial" w:hAnsi="Arial"/>
          <w:sz w:val="17"/>
          <w:szCs w:val="17"/>
          <w:b w:val="1"/>
          <w:bCs w:val="1"/>
          <w:color w:val="auto"/>
        </w:rPr>
        <w:t>(Amounts in thousands, except share and per share data or otherwise noted)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8 - STOCKHOLDERS’ EQUITY</w:t>
      </w: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STOCK SPLIT</w:t>
      </w:r>
    </w:p>
    <w:p>
      <w:pPr>
        <w:spacing w:after="0" w:line="247" w:lineRule="exact"/>
        <w:rPr>
          <w:sz w:val="20"/>
          <w:szCs w:val="20"/>
          <w:color w:val="auto"/>
        </w:rPr>
      </w:pPr>
    </w:p>
    <w:p>
      <w:pPr>
        <w:jc w:val="both"/>
        <w:ind w:firstLine="616"/>
        <w:spacing w:after="0" w:line="264" w:lineRule="auto"/>
        <w:rPr>
          <w:sz w:val="20"/>
          <w:szCs w:val="20"/>
          <w:color w:val="auto"/>
        </w:rPr>
      </w:pPr>
      <w:r>
        <w:rPr>
          <w:rFonts w:ascii="Arial" w:cs="Arial" w:eastAsia="Arial" w:hAnsi="Arial"/>
          <w:sz w:val="17"/>
          <w:szCs w:val="17"/>
          <w:color w:val="auto"/>
        </w:rPr>
        <w:t>On March 27, 2012, the Board of Directors declared a 3-for-2 stock split, payable April 30, 2012 to the holders of record of our common stock as of the close of business on April 23, 2012. We made cash payments based upon the closing price of our shares on the record date in lieu of the issuance of fractional shares. All prior periods have been adjusted to reflect the impact of the stock split.</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SHARE REPURCHASE PROGRAM</w:t>
      </w:r>
    </w:p>
    <w:p>
      <w:pPr>
        <w:spacing w:after="0" w:line="247" w:lineRule="exact"/>
        <w:rPr>
          <w:sz w:val="20"/>
          <w:szCs w:val="20"/>
          <w:color w:val="auto"/>
        </w:rPr>
      </w:pPr>
    </w:p>
    <w:p>
      <w:pPr>
        <w:jc w:val="both"/>
        <w:ind w:firstLine="616"/>
        <w:spacing w:after="0" w:line="289" w:lineRule="auto"/>
        <w:rPr>
          <w:sz w:val="20"/>
          <w:szCs w:val="20"/>
          <w:color w:val="auto"/>
        </w:rPr>
      </w:pPr>
      <w:r>
        <w:rPr>
          <w:rFonts w:ascii="Arial" w:cs="Arial" w:eastAsia="Arial" w:hAnsi="Arial"/>
          <w:sz w:val="16"/>
          <w:szCs w:val="16"/>
          <w:color w:val="auto"/>
        </w:rPr>
        <w:t>Pursuant to Asure’s stock repurchase plan, we may repurchase up to 450,000 shares of our common stock. We have repurchased a total of 256,000 shares for approximately $5.0 million over the life of the plan. Management will periodically assess repurchasing additional shares, depending on our cash position, market conditions, financial covenants and other factors. While the program remains in place, we did not repurchase any shares during 2012 or 2011.</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STOCK AND STOCK OPTION PLANS</w:t>
      </w:r>
    </w:p>
    <w:p>
      <w:pPr>
        <w:spacing w:after="0" w:line="247" w:lineRule="exact"/>
        <w:rPr>
          <w:sz w:val="20"/>
          <w:szCs w:val="20"/>
          <w:color w:val="auto"/>
        </w:rPr>
      </w:pPr>
    </w:p>
    <w:p>
      <w:pPr>
        <w:jc w:val="both"/>
        <w:ind w:firstLine="616"/>
        <w:spacing w:after="0" w:line="258" w:lineRule="auto"/>
        <w:rPr>
          <w:sz w:val="20"/>
          <w:szCs w:val="20"/>
          <w:color w:val="auto"/>
        </w:rPr>
      </w:pPr>
      <w:r>
        <w:rPr>
          <w:rFonts w:ascii="Arial" w:cs="Arial" w:eastAsia="Arial" w:hAnsi="Arial"/>
          <w:sz w:val="17"/>
          <w:szCs w:val="17"/>
          <w:color w:val="auto"/>
        </w:rPr>
        <w:t>Asure has one active equity plan, the 2009 Equity Plan (the “2009 Plan”). The 2009 Plan provides for the issuance of non-qualified and incentive stock options to our employees and consultants. We generally grant stock options with exercise prices greater than or equal to the fair market value at the time of grant. The options generally vest over three to four years and are exercisable for a period of five to ten years beginning with date of grant. Our shareholders approved an amendment to the 2009 Plan in June 2012 to increase the number of shares reserved under the plan from 525,000 to 900,000. We have a total of 679,000 options granted and outstanding pursuant to the 2009 Plan as of December 31, 2012.</w:t>
      </w:r>
    </w:p>
    <w:p>
      <w:pPr>
        <w:spacing w:after="0" w:line="207" w:lineRule="exact"/>
        <w:rPr>
          <w:sz w:val="20"/>
          <w:szCs w:val="20"/>
          <w:color w:val="auto"/>
        </w:rPr>
      </w:pPr>
    </w:p>
    <w:p>
      <w:pPr>
        <w:jc w:val="both"/>
        <w:ind w:firstLine="616"/>
        <w:spacing w:after="0" w:line="277" w:lineRule="auto"/>
        <w:rPr>
          <w:sz w:val="20"/>
          <w:szCs w:val="20"/>
          <w:color w:val="auto"/>
        </w:rPr>
      </w:pPr>
      <w:r>
        <w:rPr>
          <w:rFonts w:ascii="Arial" w:cs="Arial" w:eastAsia="Arial" w:hAnsi="Arial"/>
          <w:sz w:val="17"/>
          <w:szCs w:val="17"/>
          <w:color w:val="auto"/>
        </w:rPr>
        <w:t>Total compensation expense recognized in the Consolidated Statements of Comprehensive Income (Loss) for stock based awards was $88 and $81 for 2012 and 2011, respectively.</w:t>
      </w:r>
    </w:p>
    <w:p>
      <w:pPr>
        <w:spacing w:after="0" w:line="16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summarizes the assumptions used to develop their fair value for 2012 and 2011:</w:t>
      </w:r>
    </w:p>
    <w:p>
      <w:pPr>
        <w:spacing w:after="0" w:line="209" w:lineRule="exact"/>
        <w:rPr>
          <w:sz w:val="20"/>
          <w:szCs w:val="20"/>
          <w:color w:val="auto"/>
        </w:rPr>
      </w:pPr>
    </w:p>
    <w:p>
      <w:pPr>
        <w:ind w:left="7380"/>
        <w:spacing w:after="0"/>
        <w:rPr>
          <w:sz w:val="20"/>
          <w:szCs w:val="20"/>
          <w:color w:val="auto"/>
        </w:rPr>
      </w:pPr>
      <w:r>
        <w:rPr>
          <w:rFonts w:ascii="Arial" w:cs="Arial" w:eastAsia="Arial" w:hAnsi="Arial"/>
          <w:sz w:val="17"/>
          <w:szCs w:val="17"/>
          <w:b w:val="1"/>
          <w:bCs w:val="1"/>
          <w:color w:val="auto"/>
        </w:rPr>
        <w:t>Year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840" w:type="dxa"/>
            <w:vAlign w:val="bottom"/>
            <w:gridSpan w:val="2"/>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2012</w:t>
            </w:r>
          </w:p>
        </w:tc>
        <w:tc>
          <w:tcPr>
            <w:tcW w:w="44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340" w:type="dxa"/>
            <w:vAlign w:val="bottom"/>
            <w:tcBorders>
              <w:top w:val="single" w:sz="8" w:color="auto"/>
              <w:bottom w:val="single" w:sz="8" w:color="auto"/>
            </w:tcBorders>
            <w:gridSpan w:val="2"/>
          </w:tcPr>
          <w:p>
            <w:pPr>
              <w:jc w:val="right"/>
              <w:ind w:right="414"/>
              <w:spacing w:after="0"/>
              <w:rPr>
                <w:sz w:val="20"/>
                <w:szCs w:val="20"/>
                <w:color w:val="auto"/>
              </w:rPr>
            </w:pPr>
            <w:r>
              <w:rPr>
                <w:rFonts w:ascii="Arial" w:cs="Arial" w:eastAsia="Arial" w:hAnsi="Arial"/>
                <w:sz w:val="17"/>
                <w:szCs w:val="17"/>
                <w:b w:val="1"/>
                <w:bCs w:val="1"/>
                <w:color w:val="auto"/>
              </w:rPr>
              <w:t>2011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440" w:type="dxa"/>
            <w:vAlign w:val="bottom"/>
          </w:tcPr>
          <w:p>
            <w:pPr>
              <w:spacing w:after="0"/>
              <w:rPr>
                <w:sz w:val="17"/>
                <w:szCs w:val="17"/>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Risk-free interest rate</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7"/>
              </w:rPr>
              <w:t>0.350%</w:t>
            </w:r>
          </w:p>
        </w:tc>
        <w:tc>
          <w:tcPr>
            <w:tcW w:w="1540" w:type="dxa"/>
            <w:vAlign w:val="bottom"/>
            <w:gridSpan w:val="4"/>
            <w:shd w:val="clear" w:color="auto" w:fill="CCEEFF"/>
          </w:tcPr>
          <w:p>
            <w:pPr>
              <w:jc w:val="right"/>
              <w:ind w:right="60"/>
              <w:spacing w:after="0"/>
              <w:rPr>
                <w:sz w:val="20"/>
                <w:szCs w:val="20"/>
                <w:color w:val="auto"/>
              </w:rPr>
            </w:pPr>
            <w:r>
              <w:rPr>
                <w:rFonts w:ascii="Arial" w:cs="Arial" w:eastAsia="Arial" w:hAnsi="Arial"/>
                <w:sz w:val="17"/>
                <w:szCs w:val="17"/>
                <w:color w:val="auto"/>
              </w:rPr>
              <w:t>0.875%</w:t>
            </w: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440" w:type="dxa"/>
            <w:vAlign w:val="bottom"/>
          </w:tcPr>
          <w:p>
            <w:pPr>
              <w:spacing w:after="0"/>
              <w:rPr>
                <w:sz w:val="17"/>
                <w:szCs w:val="17"/>
                <w:color w:val="auto"/>
              </w:rPr>
            </w:pPr>
          </w:p>
        </w:tc>
        <w:tc>
          <w:tcPr>
            <w:tcW w:w="6300" w:type="dxa"/>
            <w:vAlign w:val="bottom"/>
            <w:gridSpan w:val="2"/>
          </w:tcPr>
          <w:p>
            <w:pPr>
              <w:spacing w:after="0"/>
              <w:rPr>
                <w:sz w:val="20"/>
                <w:szCs w:val="20"/>
                <w:color w:val="auto"/>
              </w:rPr>
            </w:pPr>
            <w:r>
              <w:rPr>
                <w:rFonts w:ascii="Arial" w:cs="Arial" w:eastAsia="Arial" w:hAnsi="Arial"/>
                <w:sz w:val="17"/>
                <w:szCs w:val="17"/>
                <w:color w:val="auto"/>
              </w:rPr>
              <w:t>Expected volatility</w:t>
            </w:r>
          </w:p>
        </w:tc>
        <w:tc>
          <w:tcPr>
            <w:tcW w:w="440" w:type="dxa"/>
            <w:vAlign w:val="bottom"/>
          </w:tcPr>
          <w:p>
            <w:pPr>
              <w:jc w:val="right"/>
              <w:spacing w:after="0"/>
              <w:rPr>
                <w:sz w:val="20"/>
                <w:szCs w:val="20"/>
                <w:color w:val="auto"/>
              </w:rPr>
            </w:pPr>
            <w:r>
              <w:rPr>
                <w:rFonts w:ascii="Arial" w:cs="Arial" w:eastAsia="Arial" w:hAnsi="Arial"/>
                <w:sz w:val="17"/>
                <w:szCs w:val="17"/>
                <w:color w:val="auto"/>
              </w:rPr>
              <w:t>0.91</w:t>
            </w:r>
          </w:p>
        </w:tc>
        <w:tc>
          <w:tcPr>
            <w:tcW w:w="280" w:type="dxa"/>
            <w:vAlign w:val="bottom"/>
          </w:tcPr>
          <w:p>
            <w:pPr>
              <w:spacing w:after="0"/>
              <w:rPr>
                <w:sz w:val="17"/>
                <w:szCs w:val="17"/>
                <w:color w:val="auto"/>
              </w:rPr>
            </w:pPr>
          </w:p>
        </w:tc>
        <w:tc>
          <w:tcPr>
            <w:tcW w:w="1340" w:type="dxa"/>
            <w:vAlign w:val="bottom"/>
            <w:gridSpan w:val="2"/>
          </w:tcPr>
          <w:p>
            <w:pPr>
              <w:jc w:val="right"/>
              <w:spacing w:after="0"/>
              <w:rPr>
                <w:sz w:val="20"/>
                <w:szCs w:val="20"/>
                <w:color w:val="auto"/>
              </w:rPr>
            </w:pPr>
            <w:r>
              <w:rPr>
                <w:rFonts w:ascii="Arial" w:cs="Arial" w:eastAsia="Arial" w:hAnsi="Arial"/>
                <w:sz w:val="17"/>
                <w:szCs w:val="17"/>
                <w:color w:val="auto"/>
              </w:rPr>
              <w:t>0.91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440" w:type="dxa"/>
            <w:vAlign w:val="bottom"/>
          </w:tcPr>
          <w:p>
            <w:pPr>
              <w:spacing w:after="0"/>
              <w:rPr>
                <w:sz w:val="17"/>
                <w:szCs w:val="17"/>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Expected life in years</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3.75</w:t>
            </w:r>
          </w:p>
        </w:tc>
        <w:tc>
          <w:tcPr>
            <w:tcW w:w="2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3.89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6300" w:type="dxa"/>
            <w:vAlign w:val="bottom"/>
            <w:gridSpan w:val="2"/>
          </w:tcPr>
          <w:p>
            <w:pPr>
              <w:spacing w:after="0"/>
              <w:rPr>
                <w:sz w:val="20"/>
                <w:szCs w:val="20"/>
                <w:color w:val="auto"/>
              </w:rPr>
            </w:pPr>
            <w:r>
              <w:rPr>
                <w:rFonts w:ascii="Arial" w:cs="Arial" w:eastAsia="Arial" w:hAnsi="Arial"/>
                <w:sz w:val="17"/>
                <w:szCs w:val="17"/>
                <w:color w:val="auto"/>
              </w:rPr>
              <w:t>Dividend yield</w:t>
            </w:r>
          </w:p>
        </w:tc>
        <w:tc>
          <w:tcPr>
            <w:tcW w:w="440" w:type="dxa"/>
            <w:vAlign w:val="bottom"/>
          </w:tcPr>
          <w:p>
            <w:pPr>
              <w:jc w:val="right"/>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7740" w:type="dxa"/>
            <w:vAlign w:val="bottom"/>
            <w:gridSpan w:val="3"/>
          </w:tcPr>
          <w:p>
            <w:pPr>
              <w:jc w:val="right"/>
              <w:ind w:right="54"/>
              <w:spacing w:after="0"/>
              <w:rPr>
                <w:sz w:val="20"/>
                <w:szCs w:val="20"/>
                <w:color w:val="auto"/>
              </w:rPr>
            </w:pPr>
            <w:r>
              <w:rPr>
                <w:rFonts w:ascii="Arial" w:cs="Arial" w:eastAsia="Arial" w:hAnsi="Arial"/>
                <w:sz w:val="17"/>
                <w:szCs w:val="17"/>
                <w:color w:val="auto"/>
                <w:w w:val="98"/>
              </w:rPr>
              <w:t>As of December 31, 2012, Asure had reserved shares of common stock for future issuance as follows:</w:t>
            </w: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1440" w:type="dxa"/>
            <w:vAlign w:val="bottom"/>
            <w:vMerge w:val="restart"/>
          </w:tcPr>
          <w:p>
            <w:pPr>
              <w:spacing w:after="0"/>
              <w:rPr>
                <w:sz w:val="20"/>
                <w:szCs w:val="20"/>
                <w:color w:val="auto"/>
              </w:rPr>
            </w:pPr>
          </w:p>
        </w:tc>
        <w:tc>
          <w:tcPr>
            <w:tcW w:w="6300" w:type="dxa"/>
            <w:vAlign w:val="bottom"/>
            <w:gridSpan w:val="2"/>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60" w:type="dxa"/>
            <w:vAlign w:val="bottom"/>
            <w:gridSpan w:val="2"/>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1440" w:type="dxa"/>
            <w:vAlign w:val="bottom"/>
            <w:vMerge w:val="continue"/>
          </w:tcPr>
          <w:p>
            <w:pPr>
              <w:spacing w:after="0"/>
              <w:rPr>
                <w:sz w:val="17"/>
                <w:szCs w:val="17"/>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Options outstanding</w:t>
            </w: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679,000</w:t>
            </w:r>
          </w:p>
        </w:tc>
        <w:tc>
          <w:tcPr>
            <w:tcW w:w="120" w:type="dxa"/>
            <w:vAlign w:val="bottom"/>
            <w:shd w:val="clear" w:color="auto" w:fill="CCEEFF"/>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1440" w:type="dxa"/>
            <w:vAlign w:val="bottom"/>
          </w:tcPr>
          <w:p>
            <w:pPr>
              <w:spacing w:after="0"/>
              <w:rPr>
                <w:sz w:val="18"/>
                <w:szCs w:val="18"/>
                <w:color w:val="auto"/>
              </w:rPr>
            </w:pPr>
          </w:p>
        </w:tc>
        <w:tc>
          <w:tcPr>
            <w:tcW w:w="6300" w:type="dxa"/>
            <w:vAlign w:val="bottom"/>
            <w:gridSpan w:val="2"/>
          </w:tcPr>
          <w:p>
            <w:pPr>
              <w:spacing w:after="0"/>
              <w:rPr>
                <w:sz w:val="20"/>
                <w:szCs w:val="20"/>
                <w:color w:val="auto"/>
              </w:rPr>
            </w:pPr>
            <w:r>
              <w:rPr>
                <w:rFonts w:ascii="Arial" w:cs="Arial" w:eastAsia="Arial" w:hAnsi="Arial"/>
                <w:sz w:val="17"/>
                <w:szCs w:val="17"/>
                <w:color w:val="auto"/>
              </w:rPr>
              <w:t>Options available for future grant</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221,000</w:t>
            </w: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1440" w:type="dxa"/>
            <w:vAlign w:val="bottom"/>
          </w:tcPr>
          <w:p>
            <w:pPr>
              <w:spacing w:after="0"/>
              <w:rPr>
                <w:sz w:val="21"/>
                <w:szCs w:val="21"/>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Shares reserved</w:t>
            </w:r>
          </w:p>
        </w:tc>
        <w:tc>
          <w:tcPr>
            <w:tcW w:w="4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900,000</w:t>
            </w:r>
          </w:p>
        </w:tc>
        <w:tc>
          <w:tcPr>
            <w:tcW w:w="120" w:type="dxa"/>
            <w:vAlign w:val="bottom"/>
            <w:shd w:val="clear" w:color="auto" w:fill="CCEEFF"/>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2"/>
        </w:trPr>
        <w:tc>
          <w:tcPr>
            <w:tcW w:w="1440" w:type="dxa"/>
            <w:vAlign w:val="bottom"/>
          </w:tcPr>
          <w:p>
            <w:pPr>
              <w:spacing w:after="0"/>
              <w:rPr>
                <w:sz w:val="24"/>
                <w:szCs w:val="24"/>
                <w:color w:val="auto"/>
              </w:rPr>
            </w:pPr>
          </w:p>
        </w:tc>
        <w:tc>
          <w:tcPr>
            <w:tcW w:w="6300" w:type="dxa"/>
            <w:vAlign w:val="bottom"/>
            <w:tcBorders>
              <w:top w:val="single" w:sz="8" w:color="CCEEFF"/>
            </w:tcBorders>
            <w:gridSpan w:val="2"/>
          </w:tcPr>
          <w:p>
            <w:pPr>
              <w:ind w:left="4120"/>
              <w:spacing w:after="0"/>
              <w:rPr>
                <w:sz w:val="20"/>
                <w:szCs w:val="20"/>
                <w:color w:val="auto"/>
              </w:rPr>
            </w:pPr>
            <w:r>
              <w:rPr>
                <w:rFonts w:ascii="Arial" w:cs="Arial" w:eastAsia="Arial" w:hAnsi="Arial"/>
                <w:sz w:val="17"/>
                <w:szCs w:val="17"/>
                <w:color w:val="auto"/>
              </w:rPr>
              <w:t>F-23</w:t>
            </w:r>
          </w:p>
        </w:tc>
        <w:tc>
          <w:tcPr>
            <w:tcW w:w="44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1440" w:type="dxa"/>
            <w:vAlign w:val="bottom"/>
            <w:tcBorders>
              <w:bottom w:val="single" w:sz="8" w:color="808080"/>
            </w:tcBorders>
          </w:tcPr>
          <w:p>
            <w:pPr>
              <w:spacing w:after="0"/>
              <w:rPr>
                <w:sz w:val="9"/>
                <w:szCs w:val="9"/>
                <w:color w:val="auto"/>
              </w:rPr>
            </w:pPr>
          </w:p>
        </w:tc>
        <w:tc>
          <w:tcPr>
            <w:tcW w:w="54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5" w:name="page46"/>
    <w:bookmarkEnd w:id="4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5"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ASURE SOFTWARE, INC.</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10"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(Amounts in thousands, except share and per share data or otherwise noted)</w:t>
      </w:r>
    </w:p>
    <w:p>
      <w:pPr>
        <w:spacing w:after="0" w:line="20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summarizes activity under all Plans during 2012 and 2011.</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5220" w:type="dxa"/>
            <w:vAlign w:val="bottom"/>
            <w:gridSpan w:val="6"/>
          </w:tcPr>
          <w:p>
            <w:pPr>
              <w:ind w:left="100"/>
              <w:spacing w:after="0"/>
              <w:rPr>
                <w:sz w:val="20"/>
                <w:szCs w:val="20"/>
                <w:color w:val="auto"/>
              </w:rPr>
            </w:pPr>
            <w:r>
              <w:rPr>
                <w:rFonts w:ascii="Arial" w:cs="Arial" w:eastAsia="Arial" w:hAnsi="Arial"/>
                <w:sz w:val="17"/>
                <w:szCs w:val="17"/>
                <w:b w:val="1"/>
                <w:bCs w:val="1"/>
                <w:color w:val="auto"/>
              </w:rPr>
              <w:t>For the Twelve months ended December 31, 2012</w:t>
            </w:r>
          </w:p>
        </w:tc>
        <w:tc>
          <w:tcPr>
            <w:tcW w:w="4620" w:type="dxa"/>
            <w:vAlign w:val="bottom"/>
            <w:gridSpan w:val="6"/>
          </w:tcPr>
          <w:p>
            <w:pPr>
              <w:jc w:val="right"/>
              <w:ind w:right="900"/>
              <w:spacing w:after="0"/>
              <w:rPr>
                <w:sz w:val="20"/>
                <w:szCs w:val="20"/>
                <w:color w:val="auto"/>
              </w:rPr>
            </w:pPr>
            <w:r>
              <w:rPr>
                <w:rFonts w:ascii="Arial" w:cs="Arial" w:eastAsia="Arial" w:hAnsi="Arial"/>
                <w:sz w:val="17"/>
                <w:szCs w:val="17"/>
                <w:b w:val="1"/>
                <w:bCs w:val="1"/>
                <w:color w:val="auto"/>
                <w:w w:val="93"/>
              </w:rPr>
              <w:t>For the Twelve months ended December 31, 2011</w:t>
            </w:r>
          </w:p>
        </w:tc>
      </w:tr>
      <w:tr>
        <w:trPr>
          <w:trHeight w:val="187"/>
        </w:trPr>
        <w:tc>
          <w:tcPr>
            <w:tcW w:w="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center"/>
              <w:ind w:right="154"/>
              <w:spacing w:after="0" w:line="187" w:lineRule="exact"/>
              <w:rPr>
                <w:sz w:val="20"/>
                <w:szCs w:val="20"/>
                <w:color w:val="auto"/>
              </w:rPr>
            </w:pPr>
            <w:r>
              <w:rPr>
                <w:rFonts w:ascii="Arial" w:cs="Arial" w:eastAsia="Arial" w:hAnsi="Arial"/>
                <w:sz w:val="17"/>
                <w:szCs w:val="17"/>
                <w:b w:val="1"/>
                <w:bCs w:val="1"/>
                <w:color w:val="auto"/>
                <w:w w:val="91"/>
              </w:rPr>
              <w:t>Weighted</w:t>
            </w:r>
          </w:p>
        </w:tc>
        <w:tc>
          <w:tcPr>
            <w:tcW w:w="1320" w:type="dxa"/>
            <w:vAlign w:val="bottom"/>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center"/>
              <w:ind w:right="134"/>
              <w:spacing w:after="0" w:line="187" w:lineRule="exact"/>
              <w:rPr>
                <w:sz w:val="20"/>
                <w:szCs w:val="20"/>
                <w:color w:val="auto"/>
              </w:rPr>
            </w:pPr>
            <w:r>
              <w:rPr>
                <w:rFonts w:ascii="Arial" w:cs="Arial" w:eastAsia="Arial" w:hAnsi="Arial"/>
                <w:sz w:val="17"/>
                <w:szCs w:val="17"/>
                <w:b w:val="1"/>
                <w:bCs w:val="1"/>
                <w:color w:val="auto"/>
                <w:w w:val="88"/>
              </w:rPr>
              <w:t>Weighted</w:t>
            </w:r>
          </w:p>
        </w:tc>
        <w:tc>
          <w:tcPr>
            <w:tcW w:w="660" w:type="dxa"/>
            <w:vAlign w:val="bottom"/>
          </w:tcPr>
          <w:p>
            <w:pPr>
              <w:spacing w:after="0"/>
              <w:rPr>
                <w:sz w:val="16"/>
                <w:szCs w:val="16"/>
                <w:color w:val="auto"/>
              </w:rPr>
            </w:pPr>
          </w:p>
        </w:tc>
      </w:tr>
      <w:tr>
        <w:trPr>
          <w:trHeight w:val="205"/>
        </w:trPr>
        <w:tc>
          <w:tcPr>
            <w:tcW w:w="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60" w:type="dxa"/>
            <w:vAlign w:val="bottom"/>
            <w:gridSpan w:val="2"/>
          </w:tcPr>
          <w:p>
            <w:pPr>
              <w:jc w:val="center"/>
              <w:ind w:right="1560"/>
              <w:spacing w:after="0"/>
              <w:rPr>
                <w:sz w:val="20"/>
                <w:szCs w:val="20"/>
                <w:color w:val="auto"/>
              </w:rPr>
            </w:pPr>
            <w:r>
              <w:rPr>
                <w:rFonts w:ascii="Arial" w:cs="Arial" w:eastAsia="Arial" w:hAnsi="Arial"/>
                <w:sz w:val="17"/>
                <w:szCs w:val="17"/>
                <w:b w:val="1"/>
                <w:bCs w:val="1"/>
                <w:color w:val="auto"/>
                <w:w w:val="86"/>
              </w:rPr>
              <w:t>Average</w:t>
            </w:r>
          </w:p>
        </w:tc>
        <w:tc>
          <w:tcPr>
            <w:tcW w:w="1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gridSpan w:val="2"/>
          </w:tcPr>
          <w:p>
            <w:pPr>
              <w:jc w:val="center"/>
              <w:ind w:right="880"/>
              <w:spacing w:after="0"/>
              <w:rPr>
                <w:sz w:val="20"/>
                <w:szCs w:val="20"/>
                <w:color w:val="auto"/>
              </w:rPr>
            </w:pPr>
            <w:r>
              <w:rPr>
                <w:rFonts w:ascii="Arial" w:cs="Arial" w:eastAsia="Arial" w:hAnsi="Arial"/>
                <w:sz w:val="17"/>
                <w:szCs w:val="17"/>
                <w:b w:val="1"/>
                <w:bCs w:val="1"/>
                <w:color w:val="auto"/>
                <w:w w:val="89"/>
              </w:rPr>
              <w:t>Average</w:t>
            </w:r>
          </w:p>
        </w:tc>
      </w:tr>
      <w:tr>
        <w:trPr>
          <w:trHeight w:val="205"/>
        </w:trPr>
        <w:tc>
          <w:tcPr>
            <w:tcW w:w="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60" w:type="dxa"/>
            <w:vAlign w:val="bottom"/>
            <w:gridSpan w:val="2"/>
          </w:tcPr>
          <w:p>
            <w:pPr>
              <w:jc w:val="center"/>
              <w:ind w:right="1560"/>
              <w:spacing w:after="0"/>
              <w:rPr>
                <w:sz w:val="20"/>
                <w:szCs w:val="20"/>
                <w:color w:val="auto"/>
              </w:rPr>
            </w:pPr>
            <w:r>
              <w:rPr>
                <w:rFonts w:ascii="Arial" w:cs="Arial" w:eastAsia="Arial" w:hAnsi="Arial"/>
                <w:sz w:val="17"/>
                <w:szCs w:val="17"/>
                <w:b w:val="1"/>
                <w:bCs w:val="1"/>
                <w:color w:val="auto"/>
                <w:w w:val="88"/>
              </w:rPr>
              <w:t>Exercise</w:t>
            </w:r>
          </w:p>
        </w:tc>
        <w:tc>
          <w:tcPr>
            <w:tcW w:w="1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gridSpan w:val="2"/>
          </w:tcPr>
          <w:p>
            <w:pPr>
              <w:jc w:val="center"/>
              <w:ind w:right="880"/>
              <w:spacing w:after="0"/>
              <w:rPr>
                <w:sz w:val="20"/>
                <w:szCs w:val="20"/>
                <w:color w:val="auto"/>
              </w:rPr>
            </w:pPr>
            <w:r>
              <w:rPr>
                <w:rFonts w:ascii="Arial" w:cs="Arial" w:eastAsia="Arial" w:hAnsi="Arial"/>
                <w:sz w:val="17"/>
                <w:szCs w:val="17"/>
                <w:b w:val="1"/>
                <w:bCs w:val="1"/>
                <w:color w:val="auto"/>
                <w:w w:val="85"/>
              </w:rPr>
              <w:t>Exercise</w:t>
            </w:r>
          </w:p>
        </w:tc>
      </w:tr>
      <w:tr>
        <w:trPr>
          <w:trHeight w:val="229"/>
        </w:trPr>
        <w:tc>
          <w:tcPr>
            <w:tcW w:w="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920" w:type="dxa"/>
            <w:vAlign w:val="bottom"/>
            <w:gridSpan w:val="2"/>
          </w:tcPr>
          <w:p>
            <w:pPr>
              <w:jc w:val="right"/>
              <w:ind w:right="1080"/>
              <w:spacing w:after="0"/>
              <w:rPr>
                <w:sz w:val="20"/>
                <w:szCs w:val="20"/>
                <w:color w:val="auto"/>
              </w:rPr>
            </w:pPr>
            <w:r>
              <w:rPr>
                <w:rFonts w:ascii="Arial" w:cs="Arial" w:eastAsia="Arial" w:hAnsi="Arial"/>
                <w:sz w:val="17"/>
                <w:szCs w:val="17"/>
                <w:b w:val="1"/>
                <w:bCs w:val="1"/>
                <w:color w:val="auto"/>
              </w:rPr>
              <w:t>Shares</w:t>
            </w: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60" w:type="dxa"/>
            <w:vAlign w:val="bottom"/>
            <w:gridSpan w:val="2"/>
          </w:tcPr>
          <w:p>
            <w:pPr>
              <w:jc w:val="center"/>
              <w:ind w:right="1560"/>
              <w:spacing w:after="0"/>
              <w:rPr>
                <w:sz w:val="20"/>
                <w:szCs w:val="20"/>
                <w:color w:val="auto"/>
              </w:rPr>
            </w:pPr>
            <w:r>
              <w:rPr>
                <w:rFonts w:ascii="Arial" w:cs="Arial" w:eastAsia="Arial" w:hAnsi="Arial"/>
                <w:sz w:val="17"/>
                <w:szCs w:val="17"/>
                <w:b w:val="1"/>
                <w:bCs w:val="1"/>
                <w:color w:val="auto"/>
                <w:w w:val="91"/>
              </w:rPr>
              <w:t>Price</w:t>
            </w:r>
          </w:p>
        </w:tc>
        <w:tc>
          <w:tcPr>
            <w:tcW w:w="1980" w:type="dxa"/>
            <w:vAlign w:val="bottom"/>
            <w:gridSpan w:val="2"/>
          </w:tcPr>
          <w:p>
            <w:pPr>
              <w:jc w:val="right"/>
              <w:ind w:right="1100"/>
              <w:spacing w:after="0"/>
              <w:rPr>
                <w:sz w:val="20"/>
                <w:szCs w:val="20"/>
                <w:color w:val="auto"/>
              </w:rPr>
            </w:pPr>
            <w:r>
              <w:rPr>
                <w:rFonts w:ascii="Arial" w:cs="Arial" w:eastAsia="Arial" w:hAnsi="Arial"/>
                <w:sz w:val="17"/>
                <w:szCs w:val="17"/>
                <w:b w:val="1"/>
                <w:bCs w:val="1"/>
                <w:color w:val="auto"/>
              </w:rPr>
              <w:t>Shares</w:t>
            </w: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gridSpan w:val="2"/>
          </w:tcPr>
          <w:p>
            <w:pPr>
              <w:jc w:val="center"/>
              <w:ind w:right="900"/>
              <w:spacing w:after="0"/>
              <w:rPr>
                <w:sz w:val="20"/>
                <w:szCs w:val="20"/>
                <w:color w:val="auto"/>
              </w:rPr>
            </w:pPr>
            <w:r>
              <w:rPr>
                <w:rFonts w:ascii="Arial" w:cs="Arial" w:eastAsia="Arial" w:hAnsi="Arial"/>
                <w:sz w:val="17"/>
                <w:szCs w:val="17"/>
                <w:b w:val="1"/>
                <w:bCs w:val="1"/>
                <w:color w:val="auto"/>
                <w:w w:val="91"/>
              </w:rPr>
              <w:t>Price</w:t>
            </w:r>
          </w:p>
        </w:tc>
      </w:tr>
      <w:tr>
        <w:trPr>
          <w:trHeight w:val="193"/>
        </w:trPr>
        <w:tc>
          <w:tcPr>
            <w:tcW w:w="20" w:type="dxa"/>
            <w:vAlign w:val="bottom"/>
          </w:tcPr>
          <w:p>
            <w:pPr>
              <w:spacing w:after="0"/>
              <w:rPr>
                <w:sz w:val="16"/>
                <w:szCs w:val="16"/>
                <w:color w:val="auto"/>
              </w:rPr>
            </w:pPr>
          </w:p>
        </w:tc>
        <w:tc>
          <w:tcPr>
            <w:tcW w:w="166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rPr>
              <w:t>Outstanding</w:t>
            </w:r>
          </w:p>
        </w:tc>
        <w:tc>
          <w:tcPr>
            <w:tcW w:w="1220" w:type="dxa"/>
            <w:vAlign w:val="bottom"/>
            <w:tcBorders>
              <w:top w:val="single" w:sz="8" w:color="auto"/>
            </w:tcBorders>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r>
      <w:tr>
        <w:trPr>
          <w:trHeight w:val="205"/>
        </w:trPr>
        <w:tc>
          <w:tcPr>
            <w:tcW w:w="20" w:type="dxa"/>
            <w:vAlign w:val="bottom"/>
          </w:tcPr>
          <w:p>
            <w:pPr>
              <w:spacing w:after="0"/>
              <w:rPr>
                <w:sz w:val="17"/>
                <w:szCs w:val="17"/>
                <w:color w:val="auto"/>
              </w:rPr>
            </w:pPr>
          </w:p>
        </w:tc>
        <w:tc>
          <w:tcPr>
            <w:tcW w:w="16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at the</w:t>
            </w:r>
          </w:p>
        </w:tc>
        <w:tc>
          <w:tcPr>
            <w:tcW w:w="1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16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beginning</w:t>
            </w:r>
          </w:p>
        </w:tc>
        <w:tc>
          <w:tcPr>
            <w:tcW w:w="1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r>
      <w:tr>
        <w:trPr>
          <w:trHeight w:val="218"/>
        </w:trPr>
        <w:tc>
          <w:tcPr>
            <w:tcW w:w="20" w:type="dxa"/>
            <w:vAlign w:val="bottom"/>
          </w:tcPr>
          <w:p>
            <w:pPr>
              <w:spacing w:after="0"/>
              <w:rPr>
                <w:sz w:val="18"/>
                <w:szCs w:val="18"/>
                <w:color w:val="auto"/>
              </w:rPr>
            </w:pPr>
          </w:p>
        </w:tc>
        <w:tc>
          <w:tcPr>
            <w:tcW w:w="16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of the year</w:t>
            </w:r>
          </w:p>
        </w:tc>
        <w:tc>
          <w:tcPr>
            <w:tcW w:w="1920" w:type="dxa"/>
            <w:vAlign w:val="bottom"/>
            <w:gridSpan w:val="2"/>
            <w:shd w:val="clear" w:color="auto" w:fill="CCEEFF"/>
          </w:tcPr>
          <w:p>
            <w:pPr>
              <w:jc w:val="right"/>
              <w:ind w:right="700"/>
              <w:spacing w:after="0"/>
              <w:rPr>
                <w:sz w:val="20"/>
                <w:szCs w:val="20"/>
                <w:color w:val="auto"/>
              </w:rPr>
            </w:pPr>
            <w:r>
              <w:rPr>
                <w:rFonts w:ascii="Arial" w:cs="Arial" w:eastAsia="Arial" w:hAnsi="Arial"/>
                <w:sz w:val="17"/>
                <w:szCs w:val="17"/>
                <w:color w:val="auto"/>
              </w:rPr>
              <w:t>530,000</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2460" w:type="dxa"/>
            <w:vAlign w:val="bottom"/>
            <w:gridSpan w:val="2"/>
            <w:shd w:val="clear" w:color="auto" w:fill="CCEEFF"/>
          </w:tcPr>
          <w:p>
            <w:pPr>
              <w:jc w:val="right"/>
              <w:ind w:right="1320"/>
              <w:spacing w:after="0"/>
              <w:rPr>
                <w:sz w:val="20"/>
                <w:szCs w:val="20"/>
                <w:color w:val="auto"/>
              </w:rPr>
            </w:pPr>
            <w:r>
              <w:rPr>
                <w:rFonts w:ascii="Arial" w:cs="Arial" w:eastAsia="Arial" w:hAnsi="Arial"/>
                <w:sz w:val="17"/>
                <w:szCs w:val="17"/>
                <w:color w:val="auto"/>
              </w:rPr>
              <w:t>2.35</w:t>
            </w:r>
          </w:p>
        </w:tc>
        <w:tc>
          <w:tcPr>
            <w:tcW w:w="1980" w:type="dxa"/>
            <w:vAlign w:val="bottom"/>
            <w:gridSpan w:val="2"/>
            <w:shd w:val="clear" w:color="auto" w:fill="CCEEFF"/>
          </w:tcPr>
          <w:p>
            <w:pPr>
              <w:jc w:val="right"/>
              <w:ind w:right="680"/>
              <w:spacing w:after="0"/>
              <w:rPr>
                <w:sz w:val="20"/>
                <w:szCs w:val="20"/>
                <w:color w:val="auto"/>
              </w:rPr>
            </w:pPr>
            <w:r>
              <w:rPr>
                <w:rFonts w:ascii="Arial" w:cs="Arial" w:eastAsia="Arial" w:hAnsi="Arial"/>
                <w:sz w:val="17"/>
                <w:szCs w:val="17"/>
                <w:color w:val="auto"/>
              </w:rPr>
              <w:t>270,000</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800" w:type="dxa"/>
            <w:vAlign w:val="bottom"/>
            <w:gridSpan w:val="2"/>
            <w:shd w:val="clear" w:color="auto" w:fill="CCEEFF"/>
          </w:tcPr>
          <w:p>
            <w:pPr>
              <w:jc w:val="right"/>
              <w:ind w:right="660"/>
              <w:spacing w:after="0"/>
              <w:rPr>
                <w:sz w:val="20"/>
                <w:szCs w:val="20"/>
                <w:color w:val="auto"/>
              </w:rPr>
            </w:pPr>
            <w:r>
              <w:rPr>
                <w:rFonts w:ascii="Arial" w:cs="Arial" w:eastAsia="Arial" w:hAnsi="Arial"/>
                <w:sz w:val="17"/>
                <w:szCs w:val="17"/>
                <w:color w:val="auto"/>
              </w:rPr>
              <w:t>2.04</w:t>
            </w:r>
          </w:p>
        </w:tc>
      </w:tr>
      <w:tr>
        <w:trPr>
          <w:trHeight w:val="205"/>
        </w:trPr>
        <w:tc>
          <w:tcPr>
            <w:tcW w:w="20" w:type="dxa"/>
            <w:vAlign w:val="bottom"/>
          </w:tcPr>
          <w:p>
            <w:pPr>
              <w:spacing w:after="0"/>
              <w:rPr>
                <w:sz w:val="17"/>
                <w:szCs w:val="17"/>
                <w:color w:val="auto"/>
              </w:rPr>
            </w:pPr>
          </w:p>
        </w:tc>
        <w:tc>
          <w:tcPr>
            <w:tcW w:w="1660" w:type="dxa"/>
            <w:vAlign w:val="bottom"/>
          </w:tcPr>
          <w:p>
            <w:pPr>
              <w:spacing w:after="0"/>
              <w:rPr>
                <w:sz w:val="20"/>
                <w:szCs w:val="20"/>
                <w:color w:val="auto"/>
              </w:rPr>
            </w:pPr>
            <w:r>
              <w:rPr>
                <w:rFonts w:ascii="Arial" w:cs="Arial" w:eastAsia="Arial" w:hAnsi="Arial"/>
                <w:sz w:val="17"/>
                <w:szCs w:val="17"/>
                <w:color w:val="auto"/>
              </w:rPr>
              <w:t>Granted</w:t>
            </w:r>
          </w:p>
        </w:tc>
        <w:tc>
          <w:tcPr>
            <w:tcW w:w="1920" w:type="dxa"/>
            <w:vAlign w:val="bottom"/>
            <w:gridSpan w:val="2"/>
          </w:tcPr>
          <w:p>
            <w:pPr>
              <w:jc w:val="right"/>
              <w:ind w:right="700"/>
              <w:spacing w:after="0"/>
              <w:rPr>
                <w:sz w:val="20"/>
                <w:szCs w:val="20"/>
                <w:color w:val="auto"/>
              </w:rPr>
            </w:pPr>
            <w:r>
              <w:rPr>
                <w:rFonts w:ascii="Arial" w:cs="Arial" w:eastAsia="Arial" w:hAnsi="Arial"/>
                <w:sz w:val="17"/>
                <w:szCs w:val="17"/>
                <w:color w:val="auto"/>
              </w:rPr>
              <w:t>260,000</w:t>
            </w: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60" w:type="dxa"/>
            <w:vAlign w:val="bottom"/>
            <w:gridSpan w:val="2"/>
          </w:tcPr>
          <w:p>
            <w:pPr>
              <w:jc w:val="right"/>
              <w:ind w:right="1320"/>
              <w:spacing w:after="0"/>
              <w:rPr>
                <w:sz w:val="20"/>
                <w:szCs w:val="20"/>
                <w:color w:val="auto"/>
              </w:rPr>
            </w:pPr>
            <w:r>
              <w:rPr>
                <w:rFonts w:ascii="Arial" w:cs="Arial" w:eastAsia="Arial" w:hAnsi="Arial"/>
                <w:sz w:val="17"/>
                <w:szCs w:val="17"/>
                <w:color w:val="auto"/>
              </w:rPr>
              <w:t>6.42</w:t>
            </w:r>
          </w:p>
        </w:tc>
        <w:tc>
          <w:tcPr>
            <w:tcW w:w="1980" w:type="dxa"/>
            <w:vAlign w:val="bottom"/>
            <w:gridSpan w:val="2"/>
          </w:tcPr>
          <w:p>
            <w:pPr>
              <w:jc w:val="right"/>
              <w:ind w:right="680"/>
              <w:spacing w:after="0"/>
              <w:rPr>
                <w:sz w:val="20"/>
                <w:szCs w:val="20"/>
                <w:color w:val="auto"/>
              </w:rPr>
            </w:pPr>
            <w:r>
              <w:rPr>
                <w:rFonts w:ascii="Arial" w:cs="Arial" w:eastAsia="Arial" w:hAnsi="Arial"/>
                <w:sz w:val="17"/>
                <w:szCs w:val="17"/>
                <w:color w:val="auto"/>
              </w:rPr>
              <w:t>470,000</w:t>
            </w: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gridSpan w:val="2"/>
          </w:tcPr>
          <w:p>
            <w:pPr>
              <w:jc w:val="right"/>
              <w:ind w:right="660"/>
              <w:spacing w:after="0"/>
              <w:rPr>
                <w:sz w:val="20"/>
                <w:szCs w:val="20"/>
                <w:color w:val="auto"/>
              </w:rPr>
            </w:pPr>
            <w:r>
              <w:rPr>
                <w:rFonts w:ascii="Arial" w:cs="Arial" w:eastAsia="Arial" w:hAnsi="Arial"/>
                <w:sz w:val="17"/>
                <w:szCs w:val="17"/>
                <w:color w:val="auto"/>
              </w:rPr>
              <w:t>2.40</w:t>
            </w:r>
          </w:p>
        </w:tc>
      </w:tr>
      <w:tr>
        <w:trPr>
          <w:trHeight w:val="205"/>
        </w:trPr>
        <w:tc>
          <w:tcPr>
            <w:tcW w:w="20" w:type="dxa"/>
            <w:vAlign w:val="bottom"/>
          </w:tcPr>
          <w:p>
            <w:pPr>
              <w:spacing w:after="0"/>
              <w:rPr>
                <w:sz w:val="17"/>
                <w:szCs w:val="17"/>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7"/>
                <w:szCs w:val="17"/>
                <w:color w:val="auto"/>
              </w:rPr>
              <w:t>Exercised</w:t>
            </w:r>
          </w:p>
        </w:tc>
        <w:tc>
          <w:tcPr>
            <w:tcW w:w="1920" w:type="dxa"/>
            <w:vAlign w:val="bottom"/>
            <w:gridSpan w:val="2"/>
            <w:shd w:val="clear" w:color="auto" w:fill="CCEEFF"/>
          </w:tcPr>
          <w:p>
            <w:pPr>
              <w:jc w:val="right"/>
              <w:ind w:right="640"/>
              <w:spacing w:after="0"/>
              <w:rPr>
                <w:sz w:val="20"/>
                <w:szCs w:val="20"/>
                <w:color w:val="auto"/>
              </w:rPr>
            </w:pPr>
            <w:r>
              <w:rPr>
                <w:rFonts w:ascii="Arial" w:cs="Arial" w:eastAsia="Arial" w:hAnsi="Arial"/>
                <w:sz w:val="17"/>
                <w:szCs w:val="17"/>
                <w:color w:val="auto"/>
              </w:rPr>
              <w:t>(37,000)</w:t>
            </w: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60" w:type="dxa"/>
            <w:vAlign w:val="bottom"/>
            <w:gridSpan w:val="2"/>
            <w:shd w:val="clear" w:color="auto" w:fill="CCEEFF"/>
          </w:tcPr>
          <w:p>
            <w:pPr>
              <w:jc w:val="right"/>
              <w:ind w:right="1320"/>
              <w:spacing w:after="0"/>
              <w:rPr>
                <w:sz w:val="20"/>
                <w:szCs w:val="20"/>
                <w:color w:val="auto"/>
              </w:rPr>
            </w:pPr>
            <w:r>
              <w:rPr>
                <w:rFonts w:ascii="Arial" w:cs="Arial" w:eastAsia="Arial" w:hAnsi="Arial"/>
                <w:sz w:val="17"/>
                <w:szCs w:val="17"/>
                <w:color w:val="auto"/>
              </w:rPr>
              <w:t>2.01</w:t>
            </w:r>
          </w:p>
        </w:tc>
        <w:tc>
          <w:tcPr>
            <w:tcW w:w="1980" w:type="dxa"/>
            <w:vAlign w:val="bottom"/>
            <w:gridSpan w:val="2"/>
            <w:shd w:val="clear" w:color="auto" w:fill="CCEEFF"/>
          </w:tcPr>
          <w:p>
            <w:pPr>
              <w:jc w:val="right"/>
              <w:ind w:right="640"/>
              <w:spacing w:after="0"/>
              <w:rPr>
                <w:sz w:val="20"/>
                <w:szCs w:val="20"/>
                <w:color w:val="auto"/>
              </w:rPr>
            </w:pPr>
            <w:r>
              <w:rPr>
                <w:rFonts w:ascii="Arial" w:cs="Arial" w:eastAsia="Arial" w:hAnsi="Arial"/>
                <w:sz w:val="17"/>
                <w:szCs w:val="17"/>
                <w:color w:val="auto"/>
              </w:rPr>
              <w:t>(3,000)</w:t>
            </w: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jc w:val="right"/>
              <w:ind w:right="660"/>
              <w:spacing w:after="0"/>
              <w:rPr>
                <w:sz w:val="20"/>
                <w:szCs w:val="20"/>
                <w:color w:val="auto"/>
              </w:rPr>
            </w:pPr>
            <w:r>
              <w:rPr>
                <w:rFonts w:ascii="Arial" w:cs="Arial" w:eastAsia="Arial" w:hAnsi="Arial"/>
                <w:sz w:val="17"/>
                <w:szCs w:val="17"/>
                <w:color w:val="auto"/>
              </w:rPr>
              <w:t>2.09</w:t>
            </w:r>
          </w:p>
        </w:tc>
      </w:tr>
      <w:tr>
        <w:trPr>
          <w:trHeight w:val="211"/>
        </w:trPr>
        <w:tc>
          <w:tcPr>
            <w:tcW w:w="20" w:type="dxa"/>
            <w:vAlign w:val="bottom"/>
          </w:tcPr>
          <w:p>
            <w:pPr>
              <w:spacing w:after="0"/>
              <w:rPr>
                <w:sz w:val="18"/>
                <w:szCs w:val="18"/>
                <w:color w:val="auto"/>
              </w:rPr>
            </w:pPr>
          </w:p>
        </w:tc>
        <w:tc>
          <w:tcPr>
            <w:tcW w:w="1660" w:type="dxa"/>
            <w:vAlign w:val="bottom"/>
          </w:tcPr>
          <w:p>
            <w:pPr>
              <w:spacing w:after="0"/>
              <w:rPr>
                <w:sz w:val="20"/>
                <w:szCs w:val="20"/>
                <w:color w:val="auto"/>
              </w:rPr>
            </w:pPr>
            <w:r>
              <w:rPr>
                <w:rFonts w:ascii="Arial" w:cs="Arial" w:eastAsia="Arial" w:hAnsi="Arial"/>
                <w:sz w:val="17"/>
                <w:szCs w:val="17"/>
                <w:color w:val="auto"/>
              </w:rPr>
              <w:t>Canceled</w:t>
            </w:r>
          </w:p>
        </w:tc>
        <w:tc>
          <w:tcPr>
            <w:tcW w:w="1920" w:type="dxa"/>
            <w:vAlign w:val="bottom"/>
            <w:gridSpan w:val="2"/>
          </w:tcPr>
          <w:p>
            <w:pPr>
              <w:jc w:val="right"/>
              <w:ind w:right="640"/>
              <w:spacing w:after="0"/>
              <w:rPr>
                <w:sz w:val="20"/>
                <w:szCs w:val="20"/>
                <w:color w:val="auto"/>
              </w:rPr>
            </w:pPr>
            <w:r>
              <w:rPr>
                <w:rFonts w:ascii="Arial" w:cs="Arial" w:eastAsia="Arial" w:hAnsi="Arial"/>
                <w:sz w:val="17"/>
                <w:szCs w:val="17"/>
                <w:color w:val="auto"/>
              </w:rPr>
              <w:t>(74,000)</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60" w:type="dxa"/>
            <w:vAlign w:val="bottom"/>
            <w:gridSpan w:val="2"/>
          </w:tcPr>
          <w:p>
            <w:pPr>
              <w:jc w:val="right"/>
              <w:ind w:right="1320"/>
              <w:spacing w:after="0"/>
              <w:rPr>
                <w:sz w:val="20"/>
                <w:szCs w:val="20"/>
                <w:color w:val="auto"/>
              </w:rPr>
            </w:pPr>
            <w:r>
              <w:rPr>
                <w:rFonts w:ascii="Arial" w:cs="Arial" w:eastAsia="Arial" w:hAnsi="Arial"/>
                <w:sz w:val="17"/>
                <w:szCs w:val="17"/>
                <w:color w:val="auto"/>
              </w:rPr>
              <w:t>2.43</w:t>
            </w:r>
          </w:p>
        </w:tc>
        <w:tc>
          <w:tcPr>
            <w:tcW w:w="1980" w:type="dxa"/>
            <w:vAlign w:val="bottom"/>
            <w:gridSpan w:val="2"/>
          </w:tcPr>
          <w:p>
            <w:pPr>
              <w:jc w:val="right"/>
              <w:ind w:right="640"/>
              <w:spacing w:after="0"/>
              <w:rPr>
                <w:sz w:val="20"/>
                <w:szCs w:val="20"/>
                <w:color w:val="auto"/>
              </w:rPr>
            </w:pPr>
            <w:r>
              <w:rPr>
                <w:rFonts w:ascii="Arial" w:cs="Arial" w:eastAsia="Arial" w:hAnsi="Arial"/>
                <w:sz w:val="17"/>
                <w:szCs w:val="17"/>
                <w:color w:val="auto"/>
              </w:rPr>
              <w:t>(207,000)</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gridSpan w:val="2"/>
          </w:tcPr>
          <w:p>
            <w:pPr>
              <w:jc w:val="right"/>
              <w:ind w:right="660"/>
              <w:spacing w:after="0"/>
              <w:rPr>
                <w:sz w:val="20"/>
                <w:szCs w:val="20"/>
                <w:color w:val="auto"/>
              </w:rPr>
            </w:pPr>
            <w:r>
              <w:rPr>
                <w:rFonts w:ascii="Arial" w:cs="Arial" w:eastAsia="Arial" w:hAnsi="Arial"/>
                <w:sz w:val="17"/>
                <w:szCs w:val="17"/>
                <w:color w:val="auto"/>
              </w:rPr>
              <w:t>2.08</w:t>
            </w:r>
          </w:p>
        </w:tc>
      </w:tr>
      <w:tr>
        <w:trPr>
          <w:trHeight w:val="193"/>
        </w:trPr>
        <w:tc>
          <w:tcPr>
            <w:tcW w:w="20" w:type="dxa"/>
            <w:vAlign w:val="bottom"/>
          </w:tcPr>
          <w:p>
            <w:pPr>
              <w:spacing w:after="0"/>
              <w:rPr>
                <w:sz w:val="16"/>
                <w:szCs w:val="16"/>
                <w:color w:val="auto"/>
              </w:rPr>
            </w:pPr>
          </w:p>
        </w:tc>
        <w:tc>
          <w:tcPr>
            <w:tcW w:w="166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rPr>
              <w:t>Outstanding</w:t>
            </w:r>
          </w:p>
        </w:tc>
        <w:tc>
          <w:tcPr>
            <w:tcW w:w="1220" w:type="dxa"/>
            <w:vAlign w:val="bottom"/>
            <w:tcBorders>
              <w:top w:val="single" w:sz="8" w:color="auto"/>
            </w:tcBorders>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r>
      <w:tr>
        <w:trPr>
          <w:trHeight w:val="205"/>
        </w:trPr>
        <w:tc>
          <w:tcPr>
            <w:tcW w:w="20" w:type="dxa"/>
            <w:vAlign w:val="bottom"/>
          </w:tcPr>
          <w:p>
            <w:pPr>
              <w:spacing w:after="0"/>
              <w:rPr>
                <w:sz w:val="17"/>
                <w:szCs w:val="17"/>
                <w:color w:val="auto"/>
              </w:rPr>
            </w:pPr>
          </w:p>
        </w:tc>
        <w:tc>
          <w:tcPr>
            <w:tcW w:w="16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at the end</w:t>
            </w:r>
          </w:p>
        </w:tc>
        <w:tc>
          <w:tcPr>
            <w:tcW w:w="1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r>
      <w:tr>
        <w:trPr>
          <w:trHeight w:val="258"/>
        </w:trPr>
        <w:tc>
          <w:tcPr>
            <w:tcW w:w="20" w:type="dxa"/>
            <w:vAlign w:val="bottom"/>
          </w:tcPr>
          <w:p>
            <w:pPr>
              <w:spacing w:after="0"/>
              <w:rPr>
                <w:sz w:val="22"/>
                <w:szCs w:val="22"/>
                <w:color w:val="auto"/>
              </w:rPr>
            </w:pPr>
          </w:p>
        </w:tc>
        <w:tc>
          <w:tcPr>
            <w:tcW w:w="16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of the year</w:t>
            </w:r>
          </w:p>
        </w:tc>
        <w:tc>
          <w:tcPr>
            <w:tcW w:w="1920" w:type="dxa"/>
            <w:vAlign w:val="bottom"/>
            <w:gridSpan w:val="2"/>
            <w:shd w:val="clear" w:color="auto" w:fill="CCEEFF"/>
          </w:tcPr>
          <w:p>
            <w:pPr>
              <w:jc w:val="right"/>
              <w:ind w:right="700"/>
              <w:spacing w:after="0"/>
              <w:rPr>
                <w:sz w:val="20"/>
                <w:szCs w:val="20"/>
                <w:color w:val="auto"/>
              </w:rPr>
            </w:pPr>
            <w:r>
              <w:rPr>
                <w:rFonts w:ascii="Arial" w:cs="Arial" w:eastAsia="Arial" w:hAnsi="Arial"/>
                <w:sz w:val="17"/>
                <w:szCs w:val="17"/>
                <w:color w:val="auto"/>
              </w:rPr>
              <w:t>679,000</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2460" w:type="dxa"/>
            <w:vAlign w:val="bottom"/>
            <w:gridSpan w:val="2"/>
            <w:shd w:val="clear" w:color="auto" w:fill="CCEEFF"/>
          </w:tcPr>
          <w:p>
            <w:pPr>
              <w:jc w:val="right"/>
              <w:ind w:right="1320"/>
              <w:spacing w:after="0"/>
              <w:rPr>
                <w:sz w:val="20"/>
                <w:szCs w:val="20"/>
                <w:color w:val="auto"/>
              </w:rPr>
            </w:pPr>
            <w:r>
              <w:rPr>
                <w:rFonts w:ascii="Arial" w:cs="Arial" w:eastAsia="Arial" w:hAnsi="Arial"/>
                <w:sz w:val="17"/>
                <w:szCs w:val="17"/>
                <w:color w:val="auto"/>
              </w:rPr>
              <w:t>3.16</w:t>
            </w:r>
          </w:p>
        </w:tc>
        <w:tc>
          <w:tcPr>
            <w:tcW w:w="1980" w:type="dxa"/>
            <w:vAlign w:val="bottom"/>
            <w:gridSpan w:val="2"/>
            <w:shd w:val="clear" w:color="auto" w:fill="CCEEFF"/>
          </w:tcPr>
          <w:p>
            <w:pPr>
              <w:jc w:val="right"/>
              <w:ind w:right="680"/>
              <w:spacing w:after="0"/>
              <w:rPr>
                <w:sz w:val="20"/>
                <w:szCs w:val="20"/>
                <w:color w:val="auto"/>
              </w:rPr>
            </w:pPr>
            <w:r>
              <w:rPr>
                <w:rFonts w:ascii="Arial" w:cs="Arial" w:eastAsia="Arial" w:hAnsi="Arial"/>
                <w:sz w:val="17"/>
                <w:szCs w:val="17"/>
                <w:color w:val="auto"/>
              </w:rPr>
              <w:t>530,000</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800" w:type="dxa"/>
            <w:vAlign w:val="bottom"/>
            <w:gridSpan w:val="2"/>
            <w:shd w:val="clear" w:color="auto" w:fill="CCEEFF"/>
          </w:tcPr>
          <w:p>
            <w:pPr>
              <w:jc w:val="right"/>
              <w:ind w:right="660"/>
              <w:spacing w:after="0"/>
              <w:rPr>
                <w:sz w:val="20"/>
                <w:szCs w:val="20"/>
                <w:color w:val="auto"/>
              </w:rPr>
            </w:pPr>
            <w:r>
              <w:rPr>
                <w:rFonts w:ascii="Arial" w:cs="Arial" w:eastAsia="Arial" w:hAnsi="Arial"/>
                <w:sz w:val="17"/>
                <w:szCs w:val="17"/>
                <w:color w:val="auto"/>
              </w:rPr>
              <w:t>2.35</w:t>
            </w:r>
          </w:p>
        </w:tc>
      </w:tr>
      <w:tr>
        <w:trPr>
          <w:trHeight w:val="184"/>
        </w:trPr>
        <w:tc>
          <w:tcPr>
            <w:tcW w:w="20" w:type="dxa"/>
            <w:vAlign w:val="bottom"/>
          </w:tcPr>
          <w:p>
            <w:pPr>
              <w:spacing w:after="0"/>
              <w:rPr>
                <w:sz w:val="16"/>
                <w:szCs w:val="16"/>
                <w:color w:val="auto"/>
              </w:rPr>
            </w:pPr>
          </w:p>
        </w:tc>
        <w:tc>
          <w:tcPr>
            <w:tcW w:w="1660" w:type="dxa"/>
            <w:vAlign w:val="bottom"/>
            <w:tcBorders>
              <w:top w:val="single" w:sz="8" w:color="CCEEFF"/>
            </w:tcBorders>
          </w:tcPr>
          <w:p>
            <w:pPr>
              <w:spacing w:after="0" w:line="185" w:lineRule="exact"/>
              <w:rPr>
                <w:sz w:val="20"/>
                <w:szCs w:val="20"/>
                <w:color w:val="auto"/>
              </w:rPr>
            </w:pPr>
            <w:r>
              <w:rPr>
                <w:rFonts w:ascii="Arial" w:cs="Arial" w:eastAsia="Arial" w:hAnsi="Arial"/>
                <w:sz w:val="17"/>
                <w:szCs w:val="17"/>
                <w:color w:val="auto"/>
              </w:rPr>
              <w:t>Options</w:t>
            </w:r>
          </w:p>
        </w:tc>
        <w:tc>
          <w:tcPr>
            <w:tcW w:w="1220" w:type="dxa"/>
            <w:vAlign w:val="bottom"/>
            <w:tcBorders>
              <w:top w:val="single" w:sz="8" w:color="auto"/>
            </w:tcBorders>
          </w:tcPr>
          <w:p>
            <w:pPr>
              <w:spacing w:after="0"/>
              <w:rPr>
                <w:sz w:val="16"/>
                <w:szCs w:val="16"/>
                <w:color w:val="auto"/>
              </w:rPr>
            </w:pPr>
          </w:p>
        </w:tc>
        <w:tc>
          <w:tcPr>
            <w:tcW w:w="700" w:type="dxa"/>
            <w:vAlign w:val="bottom"/>
            <w:tcBorders>
              <w:top w:val="single" w:sz="8" w:color="CCEEFF"/>
            </w:tcBorders>
          </w:tcPr>
          <w:p>
            <w:pPr>
              <w:spacing w:after="0"/>
              <w:rPr>
                <w:sz w:val="16"/>
                <w:szCs w:val="16"/>
                <w:color w:val="auto"/>
              </w:rPr>
            </w:pPr>
          </w:p>
        </w:tc>
        <w:tc>
          <w:tcPr>
            <w:tcW w:w="64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140" w:type="dxa"/>
            <w:vAlign w:val="bottom"/>
            <w:tcBorders>
              <w:top w:val="single" w:sz="8" w:color="CCEEFF"/>
            </w:tcBorders>
          </w:tcPr>
          <w:p>
            <w:pPr>
              <w:spacing w:after="0"/>
              <w:rPr>
                <w:sz w:val="16"/>
                <w:szCs w:val="16"/>
                <w:color w:val="auto"/>
              </w:rPr>
            </w:pPr>
          </w:p>
        </w:tc>
        <w:tc>
          <w:tcPr>
            <w:tcW w:w="1320" w:type="dxa"/>
            <w:vAlign w:val="bottom"/>
            <w:tcBorders>
              <w:top w:val="single" w:sz="8" w:color="CCEEFF"/>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680" w:type="dxa"/>
            <w:vAlign w:val="bottom"/>
            <w:tcBorders>
              <w:top w:val="single" w:sz="8" w:color="CCEEFF"/>
            </w:tcBorders>
          </w:tcPr>
          <w:p>
            <w:pPr>
              <w:spacing w:after="0"/>
              <w:rPr>
                <w:sz w:val="16"/>
                <w:szCs w:val="16"/>
                <w:color w:val="auto"/>
              </w:rPr>
            </w:pPr>
          </w:p>
        </w:tc>
        <w:tc>
          <w:tcPr>
            <w:tcW w:w="64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140" w:type="dxa"/>
            <w:vAlign w:val="bottom"/>
            <w:tcBorders>
              <w:top w:val="single" w:sz="8" w:color="CCEEFF"/>
            </w:tcBorders>
          </w:tcPr>
          <w:p>
            <w:pPr>
              <w:spacing w:after="0"/>
              <w:rPr>
                <w:sz w:val="16"/>
                <w:szCs w:val="16"/>
                <w:color w:val="auto"/>
              </w:rPr>
            </w:pPr>
          </w:p>
        </w:tc>
        <w:tc>
          <w:tcPr>
            <w:tcW w:w="660" w:type="dxa"/>
            <w:vAlign w:val="bottom"/>
            <w:tcBorders>
              <w:top w:val="single" w:sz="8" w:color="CCEEFF"/>
            </w:tcBorders>
          </w:tcPr>
          <w:p>
            <w:pPr>
              <w:spacing w:after="0"/>
              <w:rPr>
                <w:sz w:val="16"/>
                <w:szCs w:val="16"/>
                <w:color w:val="auto"/>
              </w:rPr>
            </w:pPr>
          </w:p>
        </w:tc>
      </w:tr>
      <w:tr>
        <w:trPr>
          <w:trHeight w:val="205"/>
        </w:trPr>
        <w:tc>
          <w:tcPr>
            <w:tcW w:w="20" w:type="dxa"/>
            <w:vAlign w:val="bottom"/>
          </w:tcPr>
          <w:p>
            <w:pPr>
              <w:spacing w:after="0"/>
              <w:rPr>
                <w:sz w:val="17"/>
                <w:szCs w:val="17"/>
                <w:color w:val="auto"/>
              </w:rPr>
            </w:pPr>
          </w:p>
        </w:tc>
        <w:tc>
          <w:tcPr>
            <w:tcW w:w="1660" w:type="dxa"/>
            <w:vAlign w:val="bottom"/>
          </w:tcPr>
          <w:p>
            <w:pPr>
              <w:ind w:left="140"/>
              <w:spacing w:after="0"/>
              <w:rPr>
                <w:sz w:val="20"/>
                <w:szCs w:val="20"/>
                <w:color w:val="auto"/>
              </w:rPr>
            </w:pPr>
            <w:r>
              <w:rPr>
                <w:rFonts w:ascii="Arial" w:cs="Arial" w:eastAsia="Arial" w:hAnsi="Arial"/>
                <w:sz w:val="17"/>
                <w:szCs w:val="17"/>
                <w:color w:val="auto"/>
              </w:rPr>
              <w:t>exercisable</w:t>
            </w:r>
          </w:p>
        </w:tc>
        <w:tc>
          <w:tcPr>
            <w:tcW w:w="1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1660" w:type="dxa"/>
            <w:vAlign w:val="bottom"/>
          </w:tcPr>
          <w:p>
            <w:pPr>
              <w:ind w:left="140"/>
              <w:spacing w:after="0"/>
              <w:rPr>
                <w:sz w:val="20"/>
                <w:szCs w:val="20"/>
                <w:color w:val="auto"/>
              </w:rPr>
            </w:pPr>
            <w:r>
              <w:rPr>
                <w:rFonts w:ascii="Arial" w:cs="Arial" w:eastAsia="Arial" w:hAnsi="Arial"/>
                <w:sz w:val="17"/>
                <w:szCs w:val="17"/>
                <w:color w:val="auto"/>
              </w:rPr>
              <w:t>at the end</w:t>
            </w:r>
          </w:p>
        </w:tc>
        <w:tc>
          <w:tcPr>
            <w:tcW w:w="1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18"/>
        </w:trPr>
        <w:tc>
          <w:tcPr>
            <w:tcW w:w="20" w:type="dxa"/>
            <w:vAlign w:val="bottom"/>
          </w:tcPr>
          <w:p>
            <w:pPr>
              <w:spacing w:after="0"/>
              <w:rPr>
                <w:sz w:val="18"/>
                <w:szCs w:val="18"/>
                <w:color w:val="auto"/>
              </w:rPr>
            </w:pPr>
          </w:p>
        </w:tc>
        <w:tc>
          <w:tcPr>
            <w:tcW w:w="1660" w:type="dxa"/>
            <w:vAlign w:val="bottom"/>
          </w:tcPr>
          <w:p>
            <w:pPr>
              <w:ind w:left="140"/>
              <w:spacing w:after="0"/>
              <w:rPr>
                <w:sz w:val="20"/>
                <w:szCs w:val="20"/>
                <w:color w:val="auto"/>
              </w:rPr>
            </w:pPr>
            <w:r>
              <w:rPr>
                <w:rFonts w:ascii="Arial" w:cs="Arial" w:eastAsia="Arial" w:hAnsi="Arial"/>
                <w:sz w:val="17"/>
                <w:szCs w:val="17"/>
                <w:color w:val="auto"/>
              </w:rPr>
              <w:t>of the year</w:t>
            </w:r>
          </w:p>
        </w:tc>
        <w:tc>
          <w:tcPr>
            <w:tcW w:w="1920" w:type="dxa"/>
            <w:vAlign w:val="bottom"/>
            <w:gridSpan w:val="2"/>
          </w:tcPr>
          <w:p>
            <w:pPr>
              <w:jc w:val="right"/>
              <w:ind w:right="700"/>
              <w:spacing w:after="0"/>
              <w:rPr>
                <w:sz w:val="20"/>
                <w:szCs w:val="20"/>
                <w:color w:val="auto"/>
              </w:rPr>
            </w:pPr>
            <w:r>
              <w:rPr>
                <w:rFonts w:ascii="Arial" w:cs="Arial" w:eastAsia="Arial" w:hAnsi="Arial"/>
                <w:sz w:val="17"/>
                <w:szCs w:val="17"/>
                <w:color w:val="auto"/>
              </w:rPr>
              <w:t>242,000</w:t>
            </w:r>
          </w:p>
        </w:tc>
        <w:tc>
          <w:tcPr>
            <w:tcW w:w="8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2.32</w:t>
            </w:r>
          </w:p>
        </w:tc>
        <w:tc>
          <w:tcPr>
            <w:tcW w:w="1320" w:type="dxa"/>
            <w:vAlign w:val="bottom"/>
          </w:tcPr>
          <w:p>
            <w:pPr>
              <w:spacing w:after="0"/>
              <w:rPr>
                <w:sz w:val="18"/>
                <w:szCs w:val="18"/>
                <w:color w:val="auto"/>
              </w:rPr>
            </w:pPr>
          </w:p>
        </w:tc>
        <w:tc>
          <w:tcPr>
            <w:tcW w:w="1980" w:type="dxa"/>
            <w:vAlign w:val="bottom"/>
            <w:gridSpan w:val="2"/>
          </w:tcPr>
          <w:p>
            <w:pPr>
              <w:jc w:val="right"/>
              <w:ind w:right="680"/>
              <w:spacing w:after="0"/>
              <w:rPr>
                <w:sz w:val="20"/>
                <w:szCs w:val="20"/>
                <w:color w:val="auto"/>
              </w:rPr>
            </w:pPr>
            <w:r>
              <w:rPr>
                <w:rFonts w:ascii="Arial" w:cs="Arial" w:eastAsia="Arial" w:hAnsi="Arial"/>
                <w:sz w:val="17"/>
                <w:szCs w:val="17"/>
                <w:color w:val="auto"/>
              </w:rPr>
              <w:t>122,000</w:t>
            </w:r>
          </w:p>
        </w:tc>
        <w:tc>
          <w:tcPr>
            <w:tcW w:w="8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2.20</w:t>
            </w:r>
          </w:p>
        </w:tc>
        <w:tc>
          <w:tcPr>
            <w:tcW w:w="6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84"/>
        </w:trPr>
        <w:tc>
          <w:tcPr>
            <w:tcW w:w="20" w:type="dxa"/>
            <w:vAlign w:val="bottom"/>
          </w:tcPr>
          <w:p>
            <w:pPr>
              <w:spacing w:after="0"/>
              <w:rPr>
                <w:sz w:val="16"/>
                <w:szCs w:val="16"/>
                <w:color w:val="auto"/>
              </w:rPr>
            </w:pPr>
          </w:p>
        </w:tc>
        <w:tc>
          <w:tcPr>
            <w:tcW w:w="166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rPr>
              <w:t>Weighted</w:t>
            </w:r>
          </w:p>
        </w:tc>
        <w:tc>
          <w:tcPr>
            <w:tcW w:w="12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r>
      <w:tr>
        <w:trPr>
          <w:trHeight w:val="205"/>
        </w:trPr>
        <w:tc>
          <w:tcPr>
            <w:tcW w:w="20" w:type="dxa"/>
            <w:vAlign w:val="bottom"/>
          </w:tcPr>
          <w:p>
            <w:pPr>
              <w:spacing w:after="0"/>
              <w:rPr>
                <w:sz w:val="17"/>
                <w:szCs w:val="17"/>
                <w:color w:val="auto"/>
              </w:rPr>
            </w:pPr>
          </w:p>
        </w:tc>
        <w:tc>
          <w:tcPr>
            <w:tcW w:w="16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average fair</w:t>
            </w:r>
          </w:p>
        </w:tc>
        <w:tc>
          <w:tcPr>
            <w:tcW w:w="1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16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value of</w:t>
            </w:r>
          </w:p>
        </w:tc>
        <w:tc>
          <w:tcPr>
            <w:tcW w:w="1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16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options</w:t>
            </w:r>
          </w:p>
        </w:tc>
        <w:tc>
          <w:tcPr>
            <w:tcW w:w="1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16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granted</w:t>
            </w:r>
          </w:p>
        </w:tc>
        <w:tc>
          <w:tcPr>
            <w:tcW w:w="1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16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during the</w:t>
            </w:r>
          </w:p>
        </w:tc>
        <w:tc>
          <w:tcPr>
            <w:tcW w:w="1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r>
      <w:tr>
        <w:trPr>
          <w:trHeight w:val="218"/>
        </w:trPr>
        <w:tc>
          <w:tcPr>
            <w:tcW w:w="20" w:type="dxa"/>
            <w:vAlign w:val="bottom"/>
          </w:tcPr>
          <w:p>
            <w:pPr>
              <w:spacing w:after="0"/>
              <w:rPr>
                <w:sz w:val="18"/>
                <w:szCs w:val="18"/>
                <w:color w:val="auto"/>
              </w:rPr>
            </w:pPr>
          </w:p>
        </w:tc>
        <w:tc>
          <w:tcPr>
            <w:tcW w:w="16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year</w:t>
            </w:r>
          </w:p>
        </w:tc>
        <w:tc>
          <w:tcPr>
            <w:tcW w:w="1920" w:type="dxa"/>
            <w:vAlign w:val="bottom"/>
            <w:gridSpan w:val="2"/>
            <w:shd w:val="clear" w:color="auto" w:fill="CCEEFF"/>
          </w:tcPr>
          <w:p>
            <w:pPr>
              <w:jc w:val="right"/>
              <w:ind w:right="700"/>
              <w:spacing w:after="0"/>
              <w:rPr>
                <w:sz w:val="20"/>
                <w:szCs w:val="20"/>
                <w:color w:val="auto"/>
              </w:rPr>
            </w:pPr>
            <w:r>
              <w:rPr>
                <w:rFonts w:ascii="Arial" w:cs="Arial" w:eastAsia="Arial" w:hAnsi="Arial"/>
                <w:sz w:val="17"/>
                <w:szCs w:val="17"/>
                <w:color w:val="auto"/>
              </w:rPr>
              <w:t>6.42</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680"/>
              <w:spacing w:after="0"/>
              <w:rPr>
                <w:sz w:val="20"/>
                <w:szCs w:val="20"/>
                <w:color w:val="auto"/>
              </w:rPr>
            </w:pPr>
            <w:r>
              <w:rPr>
                <w:rFonts w:ascii="Arial" w:cs="Arial" w:eastAsia="Arial" w:hAnsi="Arial"/>
                <w:sz w:val="17"/>
                <w:szCs w:val="17"/>
                <w:color w:val="auto"/>
              </w:rPr>
              <w:t>1.27</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bl>
    <w:p>
      <w:pPr>
        <w:spacing w:after="0" w:line="21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summarizes the outstanding and exercisable options and their exercise prices as of December 31, 2012:</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160" w:type="dxa"/>
            <w:vAlign w:val="bottom"/>
            <w:gridSpan w:val="3"/>
          </w:tcPr>
          <w:p>
            <w:pPr>
              <w:jc w:val="center"/>
              <w:ind w:right="20"/>
              <w:spacing w:after="0"/>
              <w:rPr>
                <w:sz w:val="20"/>
                <w:szCs w:val="20"/>
                <w:color w:val="auto"/>
              </w:rPr>
            </w:pPr>
            <w:r>
              <w:rPr>
                <w:rFonts w:ascii="Arial" w:cs="Arial" w:eastAsia="Arial" w:hAnsi="Arial"/>
                <w:sz w:val="17"/>
                <w:szCs w:val="17"/>
                <w:b w:val="1"/>
                <w:bCs w:val="1"/>
                <w:color w:val="auto"/>
              </w:rPr>
              <w:t>OPTIONS OUTSTANDING</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740" w:type="dxa"/>
            <w:vAlign w:val="bottom"/>
            <w:gridSpan w:val="6"/>
          </w:tcPr>
          <w:p>
            <w:pPr>
              <w:jc w:val="right"/>
              <w:ind w:right="920"/>
              <w:spacing w:after="0"/>
              <w:rPr>
                <w:sz w:val="20"/>
                <w:szCs w:val="20"/>
                <w:color w:val="auto"/>
              </w:rPr>
            </w:pPr>
            <w:r>
              <w:rPr>
                <w:rFonts w:ascii="Arial" w:cs="Arial" w:eastAsia="Arial" w:hAnsi="Arial"/>
                <w:sz w:val="17"/>
                <w:szCs w:val="17"/>
                <w:b w:val="1"/>
                <w:bCs w:val="1"/>
                <w:color w:val="auto"/>
              </w:rPr>
              <w:t>OPTIONS EXERCISABLE</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940" w:type="dxa"/>
            <w:vAlign w:val="bottom"/>
            <w:tcBorders>
              <w:top w:val="single" w:sz="8" w:color="auto"/>
            </w:tcBorders>
            <w:gridSpan w:val="2"/>
          </w:tcPr>
          <w:p>
            <w:pPr>
              <w:jc w:val="center"/>
              <w:ind w:right="260"/>
              <w:spacing w:after="0" w:line="187" w:lineRule="exact"/>
              <w:rPr>
                <w:sz w:val="20"/>
                <w:szCs w:val="20"/>
                <w:color w:val="auto"/>
              </w:rPr>
            </w:pPr>
            <w:r>
              <w:rPr>
                <w:rFonts w:ascii="Arial" w:cs="Arial" w:eastAsia="Arial" w:hAnsi="Arial"/>
                <w:sz w:val="17"/>
                <w:szCs w:val="17"/>
                <w:b w:val="1"/>
                <w:bCs w:val="1"/>
                <w:color w:val="auto"/>
              </w:rPr>
              <w:t>WEIGHTED-</w:t>
            </w:r>
          </w:p>
        </w:tc>
        <w:tc>
          <w:tcPr>
            <w:tcW w:w="10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6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4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9"/>
              </w:rPr>
              <w:t>AVERAGE</w:t>
            </w: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rPr>
              <w:t>NUMBER</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Arial" w:cs="Arial" w:eastAsia="Arial" w:hAnsi="Arial"/>
                <w:sz w:val="17"/>
                <w:szCs w:val="17"/>
                <w:b w:val="1"/>
                <w:bCs w:val="1"/>
                <w:color w:val="auto"/>
              </w:rPr>
              <w:t>NUMBER</w:t>
            </w:r>
          </w:p>
        </w:tc>
        <w:tc>
          <w:tcPr>
            <w:tcW w:w="220" w:type="dxa"/>
            <w:vAlign w:val="bottom"/>
          </w:tcPr>
          <w:p>
            <w:pPr>
              <w:spacing w:after="0"/>
              <w:rPr>
                <w:sz w:val="17"/>
                <w:szCs w:val="17"/>
                <w:color w:val="auto"/>
              </w:rPr>
            </w:pPr>
          </w:p>
        </w:tc>
        <w:tc>
          <w:tcPr>
            <w:tcW w:w="194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rPr>
              <w:t>REMAINING</w:t>
            </w:r>
          </w:p>
        </w:tc>
        <w:tc>
          <w:tcPr>
            <w:tcW w:w="100" w:type="dxa"/>
            <w:vAlign w:val="bottom"/>
          </w:tcPr>
          <w:p>
            <w:pPr>
              <w:spacing w:after="0"/>
              <w:rPr>
                <w:sz w:val="17"/>
                <w:szCs w:val="17"/>
                <w:color w:val="auto"/>
              </w:rPr>
            </w:pPr>
          </w:p>
        </w:tc>
        <w:tc>
          <w:tcPr>
            <w:tcW w:w="182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rPr>
              <w:t>WEIGHTED-</w:t>
            </w:r>
          </w:p>
        </w:tc>
        <w:tc>
          <w:tcPr>
            <w:tcW w:w="1800" w:type="dxa"/>
            <w:vAlign w:val="bottom"/>
            <w:gridSpan w:val="2"/>
          </w:tcPr>
          <w:p>
            <w:pPr>
              <w:jc w:val="center"/>
              <w:ind w:right="140"/>
              <w:spacing w:after="0"/>
              <w:rPr>
                <w:sz w:val="20"/>
                <w:szCs w:val="20"/>
                <w:color w:val="auto"/>
              </w:rPr>
            </w:pPr>
            <w:r>
              <w:rPr>
                <w:rFonts w:ascii="Arial" w:cs="Arial" w:eastAsia="Arial" w:hAnsi="Arial"/>
                <w:sz w:val="17"/>
                <w:szCs w:val="17"/>
                <w:b w:val="1"/>
                <w:bCs w:val="1"/>
                <w:color w:val="auto"/>
              </w:rPr>
              <w:t>EXERCISABLE</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rPr>
              <w:t>WEIGHTED-</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gridSpan w:val="2"/>
          </w:tcPr>
          <w:p>
            <w:pPr>
              <w:jc w:val="center"/>
              <w:ind w:right="500"/>
              <w:spacing w:after="0"/>
              <w:rPr>
                <w:sz w:val="20"/>
                <w:szCs w:val="20"/>
                <w:color w:val="auto"/>
              </w:rPr>
            </w:pPr>
            <w:r>
              <w:rPr>
                <w:rFonts w:ascii="Arial" w:cs="Arial" w:eastAsia="Arial" w:hAnsi="Arial"/>
                <w:sz w:val="17"/>
                <w:szCs w:val="17"/>
                <w:b w:val="1"/>
                <w:bCs w:val="1"/>
                <w:color w:val="auto"/>
              </w:rPr>
              <w:t>RANGE OF</w:t>
            </w:r>
          </w:p>
        </w:tc>
        <w:tc>
          <w:tcPr>
            <w:tcW w:w="1680" w:type="dxa"/>
            <w:vAlign w:val="bottom"/>
          </w:tcPr>
          <w:p>
            <w:pPr>
              <w:jc w:val="center"/>
              <w:spacing w:after="0"/>
              <w:rPr>
                <w:sz w:val="20"/>
                <w:szCs w:val="20"/>
                <w:color w:val="auto"/>
              </w:rPr>
            </w:pPr>
            <w:r>
              <w:rPr>
                <w:rFonts w:ascii="Arial" w:cs="Arial" w:eastAsia="Arial" w:hAnsi="Arial"/>
                <w:sz w:val="17"/>
                <w:szCs w:val="17"/>
                <w:b w:val="1"/>
                <w:bCs w:val="1"/>
                <w:color w:val="auto"/>
                <w:w w:val="99"/>
              </w:rPr>
              <w:t>OUTSTANDING AT</w:t>
            </w:r>
          </w:p>
        </w:tc>
        <w:tc>
          <w:tcPr>
            <w:tcW w:w="220" w:type="dxa"/>
            <w:vAlign w:val="bottom"/>
          </w:tcPr>
          <w:p>
            <w:pPr>
              <w:spacing w:after="0"/>
              <w:rPr>
                <w:sz w:val="17"/>
                <w:szCs w:val="17"/>
                <w:color w:val="auto"/>
              </w:rPr>
            </w:pPr>
          </w:p>
        </w:tc>
        <w:tc>
          <w:tcPr>
            <w:tcW w:w="194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rPr>
              <w:t>CONTRACTUAL</w:t>
            </w:r>
          </w:p>
        </w:tc>
        <w:tc>
          <w:tcPr>
            <w:tcW w:w="100" w:type="dxa"/>
            <w:vAlign w:val="bottom"/>
          </w:tcPr>
          <w:p>
            <w:pPr>
              <w:spacing w:after="0"/>
              <w:rPr>
                <w:sz w:val="17"/>
                <w:szCs w:val="17"/>
                <w:color w:val="auto"/>
              </w:rPr>
            </w:pPr>
          </w:p>
        </w:tc>
        <w:tc>
          <w:tcPr>
            <w:tcW w:w="182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97"/>
              </w:rPr>
              <w:t>AVERAGE</w:t>
            </w:r>
          </w:p>
        </w:tc>
        <w:tc>
          <w:tcPr>
            <w:tcW w:w="180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w w:val="99"/>
              </w:rPr>
              <w:t>AND VESTED AT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9"/>
              </w:rPr>
              <w:t>AVERAGE</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900" w:type="dxa"/>
            <w:vAlign w:val="bottom"/>
            <w:gridSpan w:val="3"/>
          </w:tcPr>
          <w:p>
            <w:pPr>
              <w:jc w:val="center"/>
              <w:ind w:right="280"/>
              <w:spacing w:after="0"/>
              <w:rPr>
                <w:sz w:val="20"/>
                <w:szCs w:val="20"/>
                <w:color w:val="auto"/>
              </w:rPr>
            </w:pPr>
            <w:r>
              <w:rPr>
                <w:rFonts w:ascii="Arial" w:cs="Arial" w:eastAsia="Arial" w:hAnsi="Arial"/>
                <w:sz w:val="17"/>
                <w:szCs w:val="17"/>
                <w:b w:val="1"/>
                <w:bCs w:val="1"/>
                <w:color w:val="auto"/>
                <w:w w:val="99"/>
              </w:rPr>
              <w:t>EXERCISE PRICES</w:t>
            </w:r>
          </w:p>
        </w:tc>
        <w:tc>
          <w:tcPr>
            <w:tcW w:w="1680" w:type="dxa"/>
            <w:vAlign w:val="bottom"/>
          </w:tcPr>
          <w:p>
            <w:pPr>
              <w:jc w:val="center"/>
              <w:spacing w:after="0"/>
              <w:rPr>
                <w:sz w:val="20"/>
                <w:szCs w:val="20"/>
                <w:color w:val="auto"/>
              </w:rPr>
            </w:pPr>
            <w:r>
              <w:rPr>
                <w:rFonts w:ascii="Arial" w:cs="Arial" w:eastAsia="Arial" w:hAnsi="Arial"/>
                <w:sz w:val="17"/>
                <w:szCs w:val="17"/>
                <w:b w:val="1"/>
                <w:bCs w:val="1"/>
                <w:color w:val="auto"/>
                <w:w w:val="97"/>
              </w:rPr>
              <w:t>DECEMBER 31, 2012</w:t>
            </w:r>
          </w:p>
        </w:tc>
        <w:tc>
          <w:tcPr>
            <w:tcW w:w="220" w:type="dxa"/>
            <w:vAlign w:val="bottom"/>
          </w:tcPr>
          <w:p>
            <w:pPr>
              <w:spacing w:after="0"/>
              <w:rPr>
                <w:sz w:val="19"/>
                <w:szCs w:val="19"/>
                <w:color w:val="auto"/>
              </w:rPr>
            </w:pPr>
          </w:p>
        </w:tc>
        <w:tc>
          <w:tcPr>
            <w:tcW w:w="194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rPr>
              <w:t>LIFE (YEARS)</w:t>
            </w:r>
          </w:p>
        </w:tc>
        <w:tc>
          <w:tcPr>
            <w:tcW w:w="100" w:type="dxa"/>
            <w:vAlign w:val="bottom"/>
          </w:tcPr>
          <w:p>
            <w:pPr>
              <w:spacing w:after="0"/>
              <w:rPr>
                <w:sz w:val="19"/>
                <w:szCs w:val="19"/>
                <w:color w:val="auto"/>
              </w:rPr>
            </w:pPr>
          </w:p>
        </w:tc>
        <w:tc>
          <w:tcPr>
            <w:tcW w:w="182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rPr>
              <w:t>EXERCISE PRICE</w:t>
            </w:r>
          </w:p>
        </w:tc>
        <w:tc>
          <w:tcPr>
            <w:tcW w:w="1800" w:type="dxa"/>
            <w:vAlign w:val="bottom"/>
            <w:gridSpan w:val="2"/>
          </w:tcPr>
          <w:p>
            <w:pPr>
              <w:jc w:val="center"/>
              <w:ind w:right="140"/>
              <w:spacing w:after="0"/>
              <w:rPr>
                <w:sz w:val="20"/>
                <w:szCs w:val="20"/>
                <w:color w:val="auto"/>
              </w:rPr>
            </w:pPr>
            <w:r>
              <w:rPr>
                <w:rFonts w:ascii="Arial" w:cs="Arial" w:eastAsia="Arial" w:hAnsi="Arial"/>
                <w:sz w:val="17"/>
                <w:szCs w:val="17"/>
                <w:b w:val="1"/>
                <w:bCs w:val="1"/>
                <w:color w:val="auto"/>
                <w:w w:val="96"/>
              </w:rPr>
              <w:t>DECEMBER 31, 2011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rPr>
              <w:t>EXERCISE PRICE</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220" w:type="dxa"/>
            <w:vAlign w:val="bottom"/>
            <w:shd w:val="clear" w:color="auto" w:fill="CCEEFF"/>
          </w:tcPr>
          <w:p>
            <w:pPr>
              <w:jc w:val="right"/>
              <w:ind w:right="99"/>
              <w:spacing w:after="0"/>
              <w:rPr>
                <w:sz w:val="20"/>
                <w:szCs w:val="20"/>
                <w:color w:val="auto"/>
              </w:rPr>
            </w:pPr>
            <w:r>
              <w:rPr>
                <w:rFonts w:ascii="Arial" w:cs="Arial" w:eastAsia="Arial" w:hAnsi="Arial"/>
                <w:sz w:val="10"/>
                <w:szCs w:val="10"/>
                <w:color w:val="auto"/>
                <w:w w:val="71"/>
              </w:rPr>
              <w:t>$</w:t>
            </w:r>
          </w:p>
        </w:tc>
        <w:tc>
          <w:tcPr>
            <w:tcW w:w="16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1.50--2.11</w:t>
            </w:r>
          </w:p>
        </w:tc>
        <w:tc>
          <w:tcPr>
            <w:tcW w:w="1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60</w:t>
            </w:r>
          </w:p>
        </w:tc>
        <w:tc>
          <w:tcPr>
            <w:tcW w:w="216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4.33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2.02</w:t>
            </w:r>
          </w:p>
        </w:tc>
        <w:tc>
          <w:tcPr>
            <w:tcW w:w="18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28</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1.93</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gridSpan w:val="2"/>
          </w:tcPr>
          <w:p>
            <w:pPr>
              <w:jc w:val="right"/>
              <w:ind w:right="260"/>
              <w:spacing w:after="0"/>
              <w:rPr>
                <w:sz w:val="20"/>
                <w:szCs w:val="20"/>
                <w:color w:val="auto"/>
              </w:rPr>
            </w:pPr>
            <w:r>
              <w:rPr>
                <w:rFonts w:ascii="Arial" w:cs="Arial" w:eastAsia="Arial" w:hAnsi="Arial"/>
                <w:sz w:val="17"/>
                <w:szCs w:val="17"/>
                <w:color w:val="auto"/>
              </w:rPr>
              <w:t>2.33—2.33</w:t>
            </w:r>
          </w:p>
        </w:tc>
        <w:tc>
          <w:tcPr>
            <w:tcW w:w="1680" w:type="dxa"/>
            <w:vAlign w:val="bottom"/>
          </w:tcPr>
          <w:p>
            <w:pPr>
              <w:jc w:val="right"/>
              <w:spacing w:after="0"/>
              <w:rPr>
                <w:sz w:val="20"/>
                <w:szCs w:val="20"/>
                <w:color w:val="auto"/>
              </w:rPr>
            </w:pPr>
            <w:r>
              <w:rPr>
                <w:rFonts w:ascii="Arial" w:cs="Arial" w:eastAsia="Arial" w:hAnsi="Arial"/>
                <w:sz w:val="17"/>
                <w:szCs w:val="17"/>
                <w:color w:val="auto"/>
              </w:rPr>
              <w:t>467</w:t>
            </w:r>
          </w:p>
        </w:tc>
        <w:tc>
          <w:tcPr>
            <w:tcW w:w="2160" w:type="dxa"/>
            <w:vAlign w:val="bottom"/>
            <w:gridSpan w:val="3"/>
          </w:tcPr>
          <w:p>
            <w:pPr>
              <w:jc w:val="right"/>
              <w:ind w:right="260"/>
              <w:spacing w:after="0"/>
              <w:rPr>
                <w:sz w:val="20"/>
                <w:szCs w:val="20"/>
                <w:color w:val="auto"/>
              </w:rPr>
            </w:pPr>
            <w:r>
              <w:rPr>
                <w:rFonts w:ascii="Arial" w:cs="Arial" w:eastAsia="Arial" w:hAnsi="Arial"/>
                <w:sz w:val="17"/>
                <w:szCs w:val="17"/>
                <w:color w:val="auto"/>
              </w:rPr>
              <w:t>3.49</w:t>
            </w:r>
          </w:p>
        </w:tc>
        <w:tc>
          <w:tcPr>
            <w:tcW w:w="100" w:type="dxa"/>
            <w:vAlign w:val="bottom"/>
          </w:tcPr>
          <w:p>
            <w:pPr>
              <w:spacing w:after="0"/>
              <w:rPr>
                <w:sz w:val="17"/>
                <w:szCs w:val="17"/>
                <w:color w:val="auto"/>
              </w:rPr>
            </w:pPr>
          </w:p>
        </w:tc>
        <w:tc>
          <w:tcPr>
            <w:tcW w:w="1820" w:type="dxa"/>
            <w:vAlign w:val="bottom"/>
            <w:gridSpan w:val="2"/>
          </w:tcPr>
          <w:p>
            <w:pPr>
              <w:jc w:val="right"/>
              <w:ind w:right="260"/>
              <w:spacing w:after="0"/>
              <w:rPr>
                <w:sz w:val="20"/>
                <w:szCs w:val="20"/>
                <w:color w:val="auto"/>
              </w:rPr>
            </w:pPr>
            <w:r>
              <w:rPr>
                <w:rFonts w:ascii="Arial" w:cs="Arial" w:eastAsia="Arial" w:hAnsi="Arial"/>
                <w:sz w:val="17"/>
                <w:szCs w:val="17"/>
                <w:color w:val="auto"/>
              </w:rPr>
              <w:t>2.33</w:t>
            </w:r>
          </w:p>
        </w:tc>
        <w:tc>
          <w:tcPr>
            <w:tcW w:w="1800" w:type="dxa"/>
            <w:vAlign w:val="bottom"/>
            <w:gridSpan w:val="2"/>
          </w:tcPr>
          <w:p>
            <w:pPr>
              <w:jc w:val="right"/>
              <w:ind w:right="140"/>
              <w:spacing w:after="0"/>
              <w:rPr>
                <w:sz w:val="20"/>
                <w:szCs w:val="20"/>
                <w:color w:val="auto"/>
              </w:rPr>
            </w:pPr>
            <w:r>
              <w:rPr>
                <w:rFonts w:ascii="Arial" w:cs="Arial" w:eastAsia="Arial" w:hAnsi="Arial"/>
                <w:sz w:val="17"/>
                <w:szCs w:val="17"/>
                <w:color w:val="auto"/>
              </w:rPr>
              <w:t>208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gridSpan w:val="2"/>
          </w:tcPr>
          <w:p>
            <w:pPr>
              <w:jc w:val="right"/>
              <w:ind w:right="140"/>
              <w:spacing w:after="0"/>
              <w:rPr>
                <w:sz w:val="20"/>
                <w:szCs w:val="20"/>
                <w:color w:val="auto"/>
              </w:rPr>
            </w:pPr>
            <w:r>
              <w:rPr>
                <w:rFonts w:ascii="Arial" w:cs="Arial" w:eastAsia="Arial" w:hAnsi="Arial"/>
                <w:sz w:val="17"/>
                <w:szCs w:val="17"/>
                <w:color w:val="auto"/>
              </w:rPr>
              <w:t>2.33</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2.57—6.42</w:t>
            </w:r>
          </w:p>
        </w:tc>
        <w:tc>
          <w:tcPr>
            <w:tcW w:w="1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153</w:t>
            </w:r>
          </w:p>
        </w:tc>
        <w:tc>
          <w:tcPr>
            <w:tcW w:w="216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5.02</w:t>
            </w:r>
          </w:p>
        </w:tc>
        <w:tc>
          <w:tcPr>
            <w:tcW w:w="10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6.12</w:t>
            </w:r>
          </w:p>
        </w:tc>
        <w:tc>
          <w:tcPr>
            <w:tcW w:w="18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3.72</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vMerge w:val="continue"/>
          </w:tcPr>
          <w:p>
            <w:pPr>
              <w:spacing w:after="0"/>
              <w:rPr>
                <w:sz w:val="19"/>
                <w:szCs w:val="19"/>
                <w:color w:val="auto"/>
              </w:rPr>
            </w:pPr>
          </w:p>
        </w:tc>
        <w:tc>
          <w:tcPr>
            <w:tcW w:w="220" w:type="dxa"/>
            <w:vAlign w:val="bottom"/>
            <w:shd w:val="clear" w:color="auto" w:fill="CCEEFF"/>
          </w:tcPr>
          <w:p>
            <w:pPr>
              <w:jc w:val="right"/>
              <w:ind w:right="99"/>
              <w:spacing w:after="0"/>
              <w:rPr>
                <w:sz w:val="20"/>
                <w:szCs w:val="20"/>
                <w:color w:val="auto"/>
              </w:rPr>
            </w:pPr>
            <w:r>
              <w:rPr>
                <w:rFonts w:ascii="Arial" w:cs="Arial" w:eastAsia="Arial" w:hAnsi="Arial"/>
                <w:sz w:val="10"/>
                <w:szCs w:val="10"/>
                <w:b w:val="1"/>
                <w:bCs w:val="1"/>
                <w:color w:val="auto"/>
                <w:w w:val="71"/>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1.50—6.42</w:t>
            </w:r>
          </w:p>
        </w:tc>
        <w:tc>
          <w:tcPr>
            <w:tcW w:w="260" w:type="dxa"/>
            <w:vAlign w:val="bottom"/>
            <w:shd w:val="clear" w:color="auto" w:fill="CCEEFF"/>
          </w:tcPr>
          <w:p>
            <w:pPr>
              <w:spacing w:after="0"/>
              <w:rPr>
                <w:sz w:val="19"/>
                <w:szCs w:val="19"/>
                <w:color w:val="auto"/>
              </w:rPr>
            </w:pPr>
          </w:p>
        </w:tc>
        <w:tc>
          <w:tcPr>
            <w:tcW w:w="1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679</w:t>
            </w:r>
          </w:p>
        </w:tc>
        <w:tc>
          <w:tcPr>
            <w:tcW w:w="2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3.91</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8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b w:val="1"/>
                <w:bCs w:val="1"/>
                <w:color w:val="auto"/>
              </w:rPr>
              <w:t>3.16</w:t>
            </w:r>
          </w:p>
        </w:tc>
        <w:tc>
          <w:tcPr>
            <w:tcW w:w="18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b w:val="1"/>
                <w:bCs w:val="1"/>
                <w:color w:val="auto"/>
              </w:rPr>
              <w:t>242</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b w:val="1"/>
                <w:bCs w:val="1"/>
                <w:color w:val="auto"/>
              </w:rPr>
              <w:t>$</w:t>
            </w:r>
          </w:p>
        </w:tc>
        <w:tc>
          <w:tcPr>
            <w:tcW w:w="1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b w:val="1"/>
                <w:bCs w:val="1"/>
                <w:color w:val="auto"/>
              </w:rPr>
              <w:t>2.32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5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5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aggregate intrinsic value of options outstanding and options exercisable is $1,917 and $859, respectively, at December 31, 2012.</w:t>
      </w:r>
    </w:p>
    <w:p>
      <w:pPr>
        <w:spacing w:after="0" w:line="356"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520"/>
          </w:cols>
          <w:pgMar w:left="240" w:top="122" w:right="139" w:bottom="1440" w:gutter="0" w:footer="0" w:header="0"/>
        </w:sectPr>
      </w:pPr>
    </w:p>
    <w:bookmarkStart w:id="46" w:name="page47"/>
    <w:bookmarkEnd w:id="4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ASURE SOFTWARE,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thousands, except share and per share data or otherwise noted)</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9 - DEFINED CONTRIBUTION PLAN</w:t>
      </w:r>
    </w:p>
    <w:p>
      <w:pPr>
        <w:spacing w:after="0" w:line="247" w:lineRule="exact"/>
        <w:rPr>
          <w:sz w:val="20"/>
          <w:szCs w:val="20"/>
          <w:color w:val="auto"/>
        </w:rPr>
      </w:pPr>
    </w:p>
    <w:p>
      <w:pPr>
        <w:jc w:val="both"/>
        <w:ind w:firstLine="616"/>
        <w:spacing w:after="0" w:line="277" w:lineRule="auto"/>
        <w:rPr>
          <w:sz w:val="20"/>
          <w:szCs w:val="20"/>
          <w:color w:val="auto"/>
        </w:rPr>
      </w:pPr>
      <w:r>
        <w:rPr>
          <w:rFonts w:ascii="Arial" w:cs="Arial" w:eastAsia="Arial" w:hAnsi="Arial"/>
          <w:sz w:val="17"/>
          <w:szCs w:val="17"/>
          <w:color w:val="auto"/>
        </w:rPr>
        <w:t>We sponsor a defined contribution 401(k) plan that is available to substantially all employees. Our Board of Directors may amend or terminate the plan at any time. We provided no matching contributions to the plan for 2012 and 2011.</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10 - REVENUE CONCENTRATION</w:t>
      </w:r>
    </w:p>
    <w:p>
      <w:pPr>
        <w:spacing w:after="0" w:line="24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During 2012 and 2011, there were no customers who individually represented 10% or more of consolidated revenue.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11 - GAIN ON SALE OF INVESTMENT</w:t>
      </w:r>
    </w:p>
    <w:p>
      <w:pPr>
        <w:spacing w:after="0" w:line="230" w:lineRule="exact"/>
        <w:rPr>
          <w:sz w:val="20"/>
          <w:szCs w:val="20"/>
          <w:color w:val="auto"/>
        </w:rPr>
      </w:pPr>
    </w:p>
    <w:p>
      <w:pPr>
        <w:jc w:val="both"/>
        <w:ind w:firstLine="616"/>
        <w:spacing w:after="0" w:line="278" w:lineRule="auto"/>
        <w:rPr>
          <w:sz w:val="20"/>
          <w:szCs w:val="20"/>
          <w:color w:val="auto"/>
        </w:rPr>
      </w:pPr>
      <w:r>
        <w:rPr>
          <w:rFonts w:ascii="Arial" w:cs="Arial" w:eastAsia="Arial" w:hAnsi="Arial"/>
          <w:sz w:val="16"/>
          <w:szCs w:val="16"/>
          <w:color w:val="auto"/>
        </w:rPr>
        <w:t>In September 2010, we sold 1,312,014 shares of common stock in VTEL Products Corporation (VTEL) to J. Merritt Belisle for $130 with $10 due immediately, $60 due September 30, 2011 and the remaining $60 due September 30, 2012. As of December 31, 2012, the remaining balance on this note receivable was $19. In addition to the note receivable, Asure retains the right to receive 3% of net proceeds of the consideration received by VTEL or its shareholders in connection with a potential change of control. If no such change of control happens within five years, Asure has the right, with written notice, to request VTEL to repurchase this right at fair market value. Asure has not placed a value on this right due to the uncertainty surrounding the future outcome.</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12 - NET LOSS PER SHARE</w:t>
      </w:r>
    </w:p>
    <w:p>
      <w:pPr>
        <w:spacing w:after="0" w:line="247" w:lineRule="exact"/>
        <w:rPr>
          <w:sz w:val="20"/>
          <w:szCs w:val="20"/>
          <w:color w:val="auto"/>
        </w:rPr>
      </w:pPr>
    </w:p>
    <w:p>
      <w:pPr>
        <w:jc w:val="both"/>
        <w:ind w:firstLine="616"/>
        <w:spacing w:after="0" w:line="310" w:lineRule="auto"/>
        <w:rPr>
          <w:sz w:val="20"/>
          <w:szCs w:val="20"/>
          <w:color w:val="auto"/>
        </w:rPr>
      </w:pPr>
      <w:r>
        <w:rPr>
          <w:rFonts w:ascii="Arial" w:cs="Arial" w:eastAsia="Arial" w:hAnsi="Arial"/>
          <w:sz w:val="16"/>
          <w:szCs w:val="16"/>
          <w:color w:val="auto"/>
        </w:rPr>
        <w:t>The following table sets forth the computation of basic and diluted net loss per common share for 2012 and 2011. On April 30, 2012, we completed a 3-for-2 stock split. All prior periods have been adjusted to reflect the impact of the stock split, including the impact on basic and diluted net loss per share.</w:t>
      </w:r>
    </w:p>
    <w:p>
      <w:pPr>
        <w:spacing w:after="0" w:line="141" w:lineRule="exact"/>
        <w:rPr>
          <w:sz w:val="20"/>
          <w:szCs w:val="20"/>
          <w:color w:val="auto"/>
        </w:rPr>
      </w:pPr>
    </w:p>
    <w:p>
      <w:pPr>
        <w:jc w:val="both"/>
        <w:ind w:firstLine="616"/>
        <w:spacing w:after="0" w:line="277" w:lineRule="auto"/>
        <w:rPr>
          <w:sz w:val="20"/>
          <w:szCs w:val="20"/>
          <w:color w:val="auto"/>
        </w:rPr>
      </w:pPr>
      <w:r>
        <w:rPr>
          <w:rFonts w:ascii="Arial" w:cs="Arial" w:eastAsia="Arial" w:hAnsi="Arial"/>
          <w:sz w:val="17"/>
          <w:szCs w:val="17"/>
          <w:color w:val="auto"/>
        </w:rPr>
        <w:t>We have excluded stock options to acquire 679,000 and 530,000 shares for 2012 and 2011, respectively, from the computation of the dilutive stock options because the effect of including the stock options would have been anti-dilutive.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44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560" w:type="dxa"/>
            <w:vAlign w:val="bottom"/>
            <w:gridSpan w:val="2"/>
          </w:tcPr>
          <w:p>
            <w:pPr>
              <w:jc w:val="right"/>
              <w:ind w:right="340"/>
              <w:spacing w:after="0"/>
              <w:rPr>
                <w:sz w:val="20"/>
                <w:szCs w:val="20"/>
                <w:color w:val="auto"/>
              </w:rPr>
            </w:pPr>
            <w:r>
              <w:rPr>
                <w:rFonts w:ascii="Arial" w:cs="Arial" w:eastAsia="Arial" w:hAnsi="Arial"/>
                <w:sz w:val="17"/>
                <w:szCs w:val="17"/>
                <w:b w:val="1"/>
                <w:bCs w:val="1"/>
                <w:color w:val="auto"/>
                <w:w w:val="98"/>
              </w:rPr>
              <w:t>Twelve Months</w:t>
            </w:r>
          </w:p>
        </w:tc>
        <w:tc>
          <w:tcPr>
            <w:tcW w:w="1500" w:type="dxa"/>
            <w:vAlign w:val="bottom"/>
            <w:gridSpan w:val="2"/>
          </w:tcPr>
          <w:p>
            <w:pPr>
              <w:jc w:val="right"/>
              <w:ind w:right="260"/>
              <w:spacing w:after="0"/>
              <w:rPr>
                <w:sz w:val="20"/>
                <w:szCs w:val="20"/>
                <w:color w:val="auto"/>
              </w:rPr>
            </w:pPr>
            <w:r>
              <w:rPr>
                <w:rFonts w:ascii="Arial" w:cs="Arial" w:eastAsia="Arial" w:hAnsi="Arial"/>
                <w:sz w:val="17"/>
                <w:szCs w:val="17"/>
                <w:b w:val="1"/>
                <w:bCs w:val="1"/>
                <w:color w:val="auto"/>
              </w:rPr>
              <w:t>Twelve Months</w:t>
            </w:r>
          </w:p>
        </w:tc>
        <w:tc>
          <w:tcPr>
            <w:tcW w:w="1420" w:type="dxa"/>
            <w:vAlign w:val="bottom"/>
          </w:tcPr>
          <w:p>
            <w:pPr>
              <w:spacing w:after="0"/>
              <w:rPr>
                <w:sz w:val="17"/>
                <w:szCs w:val="17"/>
                <w:color w:val="auto"/>
              </w:rPr>
            </w:pPr>
          </w:p>
        </w:tc>
      </w:tr>
      <w:tr>
        <w:trPr>
          <w:trHeight w:val="205"/>
        </w:trPr>
        <w:tc>
          <w:tcPr>
            <w:tcW w:w="144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560" w:type="dxa"/>
            <w:vAlign w:val="bottom"/>
            <w:gridSpan w:val="2"/>
          </w:tcPr>
          <w:p>
            <w:pPr>
              <w:jc w:val="right"/>
              <w:ind w:right="280"/>
              <w:spacing w:after="0"/>
              <w:rPr>
                <w:sz w:val="20"/>
                <w:szCs w:val="20"/>
                <w:color w:val="auto"/>
              </w:rPr>
            </w:pPr>
            <w:r>
              <w:rPr>
                <w:rFonts w:ascii="Arial" w:cs="Arial" w:eastAsia="Arial" w:hAnsi="Arial"/>
                <w:sz w:val="17"/>
                <w:szCs w:val="17"/>
                <w:b w:val="1"/>
                <w:bCs w:val="1"/>
                <w:color w:val="auto"/>
                <w:w w:val="90"/>
              </w:rPr>
              <w:t>Ended December</w:t>
            </w:r>
          </w:p>
        </w:tc>
        <w:tc>
          <w:tcPr>
            <w:tcW w:w="150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auto"/>
                <w:w w:val="92"/>
              </w:rPr>
              <w:t>Ended December</w:t>
            </w:r>
          </w:p>
        </w:tc>
        <w:tc>
          <w:tcPr>
            <w:tcW w:w="1420" w:type="dxa"/>
            <w:vAlign w:val="bottom"/>
          </w:tcPr>
          <w:p>
            <w:pPr>
              <w:spacing w:after="0"/>
              <w:rPr>
                <w:sz w:val="17"/>
                <w:szCs w:val="17"/>
                <w:color w:val="auto"/>
              </w:rPr>
            </w:pPr>
          </w:p>
        </w:tc>
      </w:tr>
      <w:tr>
        <w:trPr>
          <w:trHeight w:val="205"/>
        </w:trPr>
        <w:tc>
          <w:tcPr>
            <w:tcW w:w="144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2920" w:type="dxa"/>
            <w:vAlign w:val="bottom"/>
            <w:gridSpan w:val="2"/>
          </w:tcPr>
          <w:p>
            <w:pPr>
              <w:jc w:val="right"/>
              <w:ind w:right="514"/>
              <w:spacing w:after="0"/>
              <w:rPr>
                <w:sz w:val="20"/>
                <w:szCs w:val="20"/>
                <w:color w:val="auto"/>
              </w:rPr>
            </w:pPr>
            <w:r>
              <w:rPr>
                <w:rFonts w:ascii="Arial" w:cs="Arial" w:eastAsia="Arial" w:hAnsi="Arial"/>
                <w:sz w:val="17"/>
                <w:szCs w:val="17"/>
                <w:b w:val="1"/>
                <w:bCs w:val="1"/>
                <w:color w:val="auto"/>
              </w:rPr>
              <w:t>31,</w:t>
            </w:r>
          </w:p>
        </w:tc>
        <w:tc>
          <w:tcPr>
            <w:tcW w:w="200" w:type="dxa"/>
            <w:vAlign w:val="bottom"/>
          </w:tcPr>
          <w:p>
            <w:pPr>
              <w:spacing w:after="0"/>
              <w:rPr>
                <w:sz w:val="17"/>
                <w:szCs w:val="17"/>
                <w:color w:val="auto"/>
              </w:rPr>
            </w:pPr>
          </w:p>
        </w:tc>
        <w:tc>
          <w:tcPr>
            <w:tcW w:w="1380" w:type="dxa"/>
            <w:vAlign w:val="bottom"/>
          </w:tcPr>
          <w:p>
            <w:pPr>
              <w:jc w:val="right"/>
              <w:ind w:right="514"/>
              <w:spacing w:after="0"/>
              <w:rPr>
                <w:sz w:val="20"/>
                <w:szCs w:val="20"/>
                <w:color w:val="auto"/>
              </w:rPr>
            </w:pPr>
            <w:r>
              <w:rPr>
                <w:rFonts w:ascii="Arial" w:cs="Arial" w:eastAsia="Arial" w:hAnsi="Arial"/>
                <w:sz w:val="17"/>
                <w:szCs w:val="17"/>
                <w:b w:val="1"/>
                <w:bCs w:val="1"/>
                <w:color w:val="auto"/>
              </w:rPr>
              <w:t>31,</w:t>
            </w: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29"/>
        </w:trPr>
        <w:tc>
          <w:tcPr>
            <w:tcW w:w="144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360" w:type="dxa"/>
            <w:vAlign w:val="bottom"/>
            <w:tcBorders>
              <w:bottom w:val="single" w:sz="8" w:color="auto"/>
            </w:tcBorders>
          </w:tcPr>
          <w:p>
            <w:pPr>
              <w:jc w:val="right"/>
              <w:ind w:right="434"/>
              <w:spacing w:after="0"/>
              <w:rPr>
                <w:sz w:val="20"/>
                <w:szCs w:val="20"/>
                <w:color w:val="auto"/>
              </w:rPr>
            </w:pPr>
            <w:r>
              <w:rPr>
                <w:rFonts w:ascii="Arial" w:cs="Arial" w:eastAsia="Arial" w:hAnsi="Arial"/>
                <w:sz w:val="17"/>
                <w:szCs w:val="17"/>
                <w:b w:val="1"/>
                <w:bCs w:val="1"/>
                <w:color w:val="auto"/>
              </w:rPr>
              <w:t>2012</w:t>
            </w:r>
          </w:p>
        </w:tc>
        <w:tc>
          <w:tcPr>
            <w:tcW w:w="200" w:type="dxa"/>
            <w:vAlign w:val="bottom"/>
          </w:tcPr>
          <w:p>
            <w:pPr>
              <w:spacing w:after="0"/>
              <w:rPr>
                <w:sz w:val="19"/>
                <w:szCs w:val="19"/>
                <w:color w:val="auto"/>
              </w:rPr>
            </w:pPr>
          </w:p>
        </w:tc>
        <w:tc>
          <w:tcPr>
            <w:tcW w:w="1380" w:type="dxa"/>
            <w:vAlign w:val="bottom"/>
            <w:tcBorders>
              <w:bottom w:val="single" w:sz="8" w:color="auto"/>
            </w:tcBorders>
          </w:tcPr>
          <w:p>
            <w:pPr>
              <w:jc w:val="right"/>
              <w:ind w:right="454"/>
              <w:spacing w:after="0"/>
              <w:rPr>
                <w:sz w:val="20"/>
                <w:szCs w:val="20"/>
                <w:color w:val="auto"/>
              </w:rPr>
            </w:pPr>
            <w:r>
              <w:rPr>
                <w:rFonts w:ascii="Arial" w:cs="Arial" w:eastAsia="Arial" w:hAnsi="Arial"/>
                <w:sz w:val="17"/>
                <w:szCs w:val="17"/>
                <w:b w:val="1"/>
                <w:bCs w:val="1"/>
                <w:color w:val="auto"/>
              </w:rPr>
              <w:t>2011</w:t>
            </w: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05"/>
        </w:trPr>
        <w:tc>
          <w:tcPr>
            <w:tcW w:w="1440" w:type="dxa"/>
            <w:vAlign w:val="bottom"/>
          </w:tcPr>
          <w:p>
            <w:pPr>
              <w:spacing w:after="0"/>
              <w:rPr>
                <w:sz w:val="17"/>
                <w:szCs w:val="17"/>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7"/>
                <w:szCs w:val="17"/>
                <w:color w:val="auto"/>
              </w:rPr>
              <w:t>Net Loss</w:t>
            </w:r>
          </w:p>
        </w:tc>
        <w:tc>
          <w:tcPr>
            <w:tcW w:w="312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(3,032)</w:t>
            </w:r>
          </w:p>
        </w:tc>
        <w:tc>
          <w:tcPr>
            <w:tcW w:w="15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(649)</w:t>
            </w:r>
          </w:p>
        </w:tc>
        <w:tc>
          <w:tcPr>
            <w:tcW w:w="1420" w:type="dxa"/>
            <w:vAlign w:val="bottom"/>
          </w:tcPr>
          <w:p>
            <w:pPr>
              <w:spacing w:after="0"/>
              <w:rPr>
                <w:sz w:val="17"/>
                <w:szCs w:val="17"/>
                <w:color w:val="auto"/>
              </w:rPr>
            </w:pPr>
          </w:p>
        </w:tc>
      </w:tr>
      <w:tr>
        <w:trPr>
          <w:trHeight w:val="205"/>
        </w:trPr>
        <w:tc>
          <w:tcPr>
            <w:tcW w:w="1440" w:type="dxa"/>
            <w:vAlign w:val="bottom"/>
          </w:tcPr>
          <w:p>
            <w:pPr>
              <w:spacing w:after="0"/>
              <w:rPr>
                <w:sz w:val="17"/>
                <w:szCs w:val="17"/>
                <w:color w:val="auto"/>
              </w:rPr>
            </w:pPr>
          </w:p>
        </w:tc>
        <w:tc>
          <w:tcPr>
            <w:tcW w:w="3940" w:type="dxa"/>
            <w:vAlign w:val="bottom"/>
          </w:tcPr>
          <w:p>
            <w:pPr>
              <w:spacing w:after="0"/>
              <w:rPr>
                <w:sz w:val="20"/>
                <w:szCs w:val="20"/>
                <w:color w:val="auto"/>
              </w:rPr>
            </w:pPr>
            <w:r>
              <w:rPr>
                <w:rFonts w:ascii="Arial" w:cs="Arial" w:eastAsia="Arial" w:hAnsi="Arial"/>
                <w:sz w:val="17"/>
                <w:szCs w:val="17"/>
                <w:color w:val="auto"/>
                <w:w w:val="93"/>
              </w:rPr>
              <w:t>Weighted-average shares of common stock outstanding</w:t>
            </w:r>
          </w:p>
        </w:tc>
        <w:tc>
          <w:tcPr>
            <w:tcW w:w="2920" w:type="dxa"/>
            <w:vAlign w:val="bottom"/>
            <w:gridSpan w:val="2"/>
          </w:tcPr>
          <w:p>
            <w:pPr>
              <w:jc w:val="right"/>
              <w:spacing w:after="0"/>
              <w:rPr>
                <w:sz w:val="20"/>
                <w:szCs w:val="20"/>
                <w:color w:val="auto"/>
              </w:rPr>
            </w:pPr>
            <w:r>
              <w:rPr>
                <w:rFonts w:ascii="Arial" w:cs="Arial" w:eastAsia="Arial" w:hAnsi="Arial"/>
                <w:sz w:val="17"/>
                <w:szCs w:val="17"/>
                <w:color w:val="auto"/>
              </w:rPr>
              <w:t>5,048,000</w:t>
            </w:r>
          </w:p>
        </w:tc>
        <w:tc>
          <w:tcPr>
            <w:tcW w:w="2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4,628,000</w:t>
            </w: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11"/>
        </w:trPr>
        <w:tc>
          <w:tcPr>
            <w:tcW w:w="1440" w:type="dxa"/>
            <w:vAlign w:val="bottom"/>
          </w:tcPr>
          <w:p>
            <w:pPr>
              <w:spacing w:after="0"/>
              <w:rPr>
                <w:sz w:val="18"/>
                <w:szCs w:val="18"/>
                <w:color w:val="auto"/>
              </w:rPr>
            </w:pPr>
          </w:p>
        </w:tc>
        <w:tc>
          <w:tcPr>
            <w:tcW w:w="394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20" w:type="dxa"/>
            <w:vAlign w:val="bottom"/>
          </w:tcPr>
          <w:p>
            <w:pPr>
              <w:spacing w:after="0"/>
              <w:rPr>
                <w:sz w:val="18"/>
                <w:szCs w:val="18"/>
                <w:color w:val="auto"/>
              </w:rPr>
            </w:pPr>
          </w:p>
        </w:tc>
      </w:tr>
      <w:tr>
        <w:trPr>
          <w:trHeight w:val="211"/>
        </w:trPr>
        <w:tc>
          <w:tcPr>
            <w:tcW w:w="1440" w:type="dxa"/>
            <w:vAlign w:val="bottom"/>
          </w:tcPr>
          <w:p>
            <w:pPr>
              <w:spacing w:after="0"/>
              <w:rPr>
                <w:sz w:val="18"/>
                <w:szCs w:val="18"/>
                <w:color w:val="auto"/>
              </w:rPr>
            </w:pPr>
          </w:p>
        </w:tc>
        <w:tc>
          <w:tcPr>
            <w:tcW w:w="3940" w:type="dxa"/>
            <w:vAlign w:val="bottom"/>
          </w:tcPr>
          <w:p>
            <w:pPr>
              <w:ind w:left="40"/>
              <w:spacing w:after="0"/>
              <w:rPr>
                <w:sz w:val="20"/>
                <w:szCs w:val="20"/>
                <w:color w:val="auto"/>
              </w:rPr>
            </w:pPr>
            <w:r>
              <w:rPr>
                <w:rFonts w:ascii="Arial" w:cs="Arial" w:eastAsia="Arial" w:hAnsi="Arial"/>
                <w:sz w:val="17"/>
                <w:szCs w:val="17"/>
                <w:color w:val="auto"/>
              </w:rPr>
              <w:t>Basic and diluted net loss per share</w:t>
            </w:r>
          </w:p>
        </w:tc>
        <w:tc>
          <w:tcPr>
            <w:tcW w:w="1560" w:type="dxa"/>
            <w:vAlign w:val="bottom"/>
          </w:tcPr>
          <w:p>
            <w:pPr>
              <w:spacing w:after="0"/>
              <w:rPr>
                <w:sz w:val="18"/>
                <w:szCs w:val="18"/>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7"/>
                <w:szCs w:val="17"/>
                <w:color w:val="auto"/>
              </w:rPr>
              <w:t>(0.60)</w:t>
            </w:r>
          </w:p>
        </w:tc>
        <w:tc>
          <w:tcPr>
            <w:tcW w:w="1500" w:type="dxa"/>
            <w:vAlign w:val="bottom"/>
            <w:gridSpan w:val="2"/>
          </w:tcPr>
          <w:p>
            <w:pPr>
              <w:jc w:val="right"/>
              <w:ind w:right="60"/>
              <w:spacing w:after="0"/>
              <w:rPr>
                <w:sz w:val="20"/>
                <w:szCs w:val="20"/>
                <w:color w:val="auto"/>
              </w:rPr>
            </w:pPr>
            <w:r>
              <w:rPr>
                <w:rFonts w:ascii="Arial" w:cs="Arial" w:eastAsia="Arial" w:hAnsi="Arial"/>
                <w:sz w:val="17"/>
                <w:szCs w:val="17"/>
                <w:color w:val="auto"/>
              </w:rPr>
              <w:t>(0.14)</w:t>
            </w:r>
          </w:p>
        </w:tc>
        <w:tc>
          <w:tcPr>
            <w:tcW w:w="1420" w:type="dxa"/>
            <w:vAlign w:val="bottom"/>
          </w:tcPr>
          <w:p>
            <w:pPr>
              <w:spacing w:after="0"/>
              <w:rPr>
                <w:sz w:val="18"/>
                <w:szCs w:val="18"/>
                <w:color w:val="auto"/>
              </w:rPr>
            </w:pPr>
          </w:p>
        </w:tc>
      </w:tr>
      <w:tr>
        <w:trPr>
          <w:trHeight w:val="551"/>
        </w:trPr>
        <w:tc>
          <w:tcPr>
            <w:tcW w:w="144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560" w:type="dxa"/>
            <w:vAlign w:val="bottom"/>
          </w:tcPr>
          <w:p>
            <w:pPr>
              <w:ind w:left="180"/>
              <w:spacing w:after="0"/>
              <w:rPr>
                <w:sz w:val="20"/>
                <w:szCs w:val="20"/>
                <w:color w:val="auto"/>
              </w:rPr>
            </w:pPr>
            <w:r>
              <w:rPr>
                <w:rFonts w:ascii="Arial" w:cs="Arial" w:eastAsia="Arial" w:hAnsi="Arial"/>
                <w:sz w:val="17"/>
                <w:szCs w:val="17"/>
                <w:color w:val="auto"/>
              </w:rPr>
              <w:t>F-25</w:t>
            </w:r>
          </w:p>
        </w:tc>
        <w:tc>
          <w:tcPr>
            <w:tcW w:w="13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13"/>
        </w:trPr>
        <w:tc>
          <w:tcPr>
            <w:tcW w:w="1440" w:type="dxa"/>
            <w:vAlign w:val="bottom"/>
            <w:tcBorders>
              <w:bottom w:val="single" w:sz="8" w:color="808080"/>
            </w:tcBorders>
          </w:tcPr>
          <w:p>
            <w:pPr>
              <w:spacing w:after="0"/>
              <w:rPr>
                <w:sz w:val="9"/>
                <w:szCs w:val="9"/>
                <w:color w:val="auto"/>
              </w:rPr>
            </w:pPr>
          </w:p>
        </w:tc>
        <w:tc>
          <w:tcPr>
            <w:tcW w:w="3940" w:type="dxa"/>
            <w:vAlign w:val="bottom"/>
            <w:tcBorders>
              <w:bottom w:val="single" w:sz="8" w:color="808080"/>
            </w:tcBorders>
          </w:tcPr>
          <w:p>
            <w:pPr>
              <w:spacing w:after="0"/>
              <w:rPr>
                <w:sz w:val="9"/>
                <w:szCs w:val="9"/>
                <w:color w:val="auto"/>
              </w:rPr>
            </w:pPr>
          </w:p>
        </w:tc>
        <w:tc>
          <w:tcPr>
            <w:tcW w:w="156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7" w:name="page48"/>
    <w:bookmarkEnd w:id="4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ASURE SOFTWARE,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(Amounts in thousands, except share and per share data or otherwise noted)</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13 - INCOME TAXES</w:t>
      </w:r>
    </w:p>
    <w:p>
      <w:pPr>
        <w:spacing w:after="0" w:line="24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components of pre-tax loss for the years ended December 31, 2012 and 2011 are as follows:</w:t>
      </w:r>
    </w:p>
    <w:p>
      <w:pPr>
        <w:spacing w:after="0" w:line="235" w:lineRule="exact"/>
        <w:rPr>
          <w:sz w:val="20"/>
          <w:szCs w:val="20"/>
          <w:color w:val="auto"/>
        </w:rPr>
      </w:pPr>
    </w:p>
    <w:tbl>
      <w:tblPr>
        <w:tblLayout w:type="fixed"/>
        <w:tblInd w:w="144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2012</w:t>
            </w:r>
          </w:p>
        </w:tc>
        <w:tc>
          <w:tcPr>
            <w:tcW w:w="5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54"/>
              <w:spacing w:after="0"/>
              <w:rPr>
                <w:sz w:val="20"/>
                <w:szCs w:val="20"/>
                <w:color w:val="auto"/>
              </w:rPr>
            </w:pPr>
            <w:r>
              <w:rPr>
                <w:rFonts w:ascii="Arial" w:cs="Arial" w:eastAsia="Arial" w:hAnsi="Arial"/>
                <w:sz w:val="17"/>
                <w:szCs w:val="17"/>
                <w:b w:val="1"/>
                <w:bCs w:val="1"/>
                <w:color w:val="auto"/>
              </w:rPr>
              <w:t>2011</w:t>
            </w:r>
          </w:p>
        </w:tc>
        <w:tc>
          <w:tcPr>
            <w:tcW w:w="140" w:type="dxa"/>
            <w:vAlign w:val="bottom"/>
          </w:tcPr>
          <w:p>
            <w:pPr>
              <w:spacing w:after="0"/>
              <w:rPr>
                <w:sz w:val="19"/>
                <w:szCs w:val="19"/>
                <w:color w:val="auto"/>
              </w:rPr>
            </w:pPr>
          </w:p>
        </w:tc>
      </w:tr>
      <w:tr>
        <w:trPr>
          <w:trHeight w:val="205"/>
        </w:trPr>
        <w:tc>
          <w:tcPr>
            <w:tcW w:w="20" w:type="dxa"/>
            <w:vAlign w:val="bottom"/>
          </w:tcPr>
          <w:p>
            <w:pPr>
              <w:spacing w:after="0"/>
              <w:rPr>
                <w:sz w:val="17"/>
                <w:szCs w:val="17"/>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7"/>
                <w:szCs w:val="17"/>
                <w:color w:val="auto"/>
              </w:rPr>
              <w:t>Domestic</w:t>
            </w:r>
          </w:p>
        </w:tc>
        <w:tc>
          <w:tcPr>
            <w:tcW w:w="3280" w:type="dxa"/>
            <w:vAlign w:val="bottom"/>
            <w:gridSpan w:val="2"/>
            <w:shd w:val="clear" w:color="auto" w:fill="CCEEFF"/>
          </w:tcPr>
          <w:p>
            <w:pPr>
              <w:jc w:val="right"/>
              <w:ind w:right="694"/>
              <w:spacing w:after="0"/>
              <w:rPr>
                <w:sz w:val="20"/>
                <w:szCs w:val="20"/>
                <w:color w:val="auto"/>
              </w:rPr>
            </w:pPr>
            <w:r>
              <w:rPr>
                <w:rFonts w:ascii="Arial" w:cs="Arial" w:eastAsia="Arial" w:hAnsi="Arial"/>
                <w:sz w:val="17"/>
                <w:szCs w:val="17"/>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6"/>
              </w:rPr>
              <w:t>(1,867)</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(692)</w:t>
            </w:r>
          </w:p>
        </w:tc>
      </w:tr>
      <w:tr>
        <w:trPr>
          <w:trHeight w:val="205"/>
        </w:trPr>
        <w:tc>
          <w:tcPr>
            <w:tcW w:w="20" w:type="dxa"/>
            <w:vAlign w:val="bottom"/>
          </w:tcPr>
          <w:p>
            <w:pPr>
              <w:spacing w:after="0"/>
              <w:rPr>
                <w:sz w:val="17"/>
                <w:szCs w:val="17"/>
                <w:color w:val="auto"/>
              </w:rPr>
            </w:pPr>
          </w:p>
        </w:tc>
        <w:tc>
          <w:tcPr>
            <w:tcW w:w="3020" w:type="dxa"/>
            <w:vAlign w:val="bottom"/>
          </w:tcPr>
          <w:p>
            <w:pPr>
              <w:spacing w:after="0"/>
              <w:rPr>
                <w:sz w:val="20"/>
                <w:szCs w:val="20"/>
                <w:color w:val="auto"/>
              </w:rPr>
            </w:pPr>
            <w:r>
              <w:rPr>
                <w:rFonts w:ascii="Arial" w:cs="Arial" w:eastAsia="Arial" w:hAnsi="Arial"/>
                <w:sz w:val="17"/>
                <w:szCs w:val="17"/>
                <w:color w:val="auto"/>
              </w:rPr>
              <w:t>Foreign</w:t>
            </w:r>
          </w:p>
        </w:tc>
        <w:tc>
          <w:tcPr>
            <w:tcW w:w="2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rPr>
              <w:t>(880)</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115</w:t>
            </w:r>
          </w:p>
        </w:tc>
        <w:tc>
          <w:tcPr>
            <w:tcW w:w="140" w:type="dxa"/>
            <w:vAlign w:val="bottom"/>
          </w:tcPr>
          <w:p>
            <w:pPr>
              <w:spacing w:after="0"/>
              <w:rPr>
                <w:sz w:val="17"/>
                <w:szCs w:val="17"/>
                <w:color w:val="auto"/>
              </w:rPr>
            </w:pPr>
          </w:p>
        </w:tc>
      </w:tr>
      <w:tr>
        <w:trPr>
          <w:trHeight w:val="26"/>
        </w:trPr>
        <w:tc>
          <w:tcPr>
            <w:tcW w:w="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25"/>
        </w:trPr>
        <w:tc>
          <w:tcPr>
            <w:tcW w:w="20" w:type="dxa"/>
            <w:vAlign w:val="bottom"/>
          </w:tcPr>
          <w:p>
            <w:pPr>
              <w:spacing w:after="0"/>
              <w:rPr>
                <w:sz w:val="19"/>
                <w:szCs w:val="19"/>
                <w:color w:val="auto"/>
              </w:rPr>
            </w:pPr>
          </w:p>
        </w:tc>
        <w:tc>
          <w:tcPr>
            <w:tcW w:w="3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3280" w:type="dxa"/>
            <w:vAlign w:val="bottom"/>
            <w:gridSpan w:val="2"/>
            <w:shd w:val="clear" w:color="auto" w:fill="CCEEFF"/>
          </w:tcPr>
          <w:p>
            <w:pPr>
              <w:jc w:val="right"/>
              <w:ind w:right="694"/>
              <w:spacing w:after="0"/>
              <w:rPr>
                <w:sz w:val="20"/>
                <w:szCs w:val="20"/>
                <w:color w:val="auto"/>
              </w:rPr>
            </w:pPr>
            <w:r>
              <w:rPr>
                <w:rFonts w:ascii="Arial" w:cs="Arial" w:eastAsia="Arial" w:hAnsi="Arial"/>
                <w:sz w:val="17"/>
                <w:szCs w:val="17"/>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6"/>
              </w:rPr>
              <w:t>(2,747)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(577)</w:t>
            </w:r>
          </w:p>
        </w:tc>
      </w:tr>
      <w:tr>
        <w:trPr>
          <w:trHeight w:val="20"/>
        </w:trPr>
        <w:tc>
          <w:tcPr>
            <w:tcW w:w="20" w:type="dxa"/>
            <w:vAlign w:val="bottom"/>
          </w:tcPr>
          <w:p>
            <w:pPr>
              <w:spacing w:after="0" w:line="20" w:lineRule="exact"/>
              <w:rPr>
                <w:sz w:val="1"/>
                <w:szCs w:val="1"/>
                <w:color w:val="auto"/>
              </w:rPr>
            </w:pPr>
          </w:p>
        </w:tc>
        <w:tc>
          <w:tcPr>
            <w:tcW w:w="3020" w:type="dxa"/>
            <w:vAlign w:val="bottom"/>
            <w:tcBorders>
              <w:top w:val="single" w:sz="8" w:color="CCEEFF"/>
            </w:tcBorders>
            <w:shd w:val="clear" w:color="auto" w:fill="CCEEFF"/>
          </w:tcPr>
          <w:p>
            <w:pPr>
              <w:spacing w:after="0" w:line="20" w:lineRule="exact"/>
              <w:rPr>
                <w:sz w:val="1"/>
                <w:szCs w:val="1"/>
                <w:color w:val="auto"/>
              </w:rPr>
            </w:pPr>
          </w:p>
        </w:tc>
        <w:tc>
          <w:tcPr>
            <w:tcW w:w="24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193"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components of the provision for income taxes attributable to continuing operations for the years ended December 31, 2012 and 2011 are as follows:</w:t>
      </w:r>
    </w:p>
    <w:p>
      <w:pPr>
        <w:spacing w:after="0" w:line="221" w:lineRule="exact"/>
        <w:rPr>
          <w:sz w:val="20"/>
          <w:szCs w:val="20"/>
          <w:color w:val="auto"/>
        </w:rPr>
      </w:pPr>
    </w:p>
    <w:tbl>
      <w:tblPr>
        <w:tblLayout w:type="fixed"/>
        <w:tblInd w:w="144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5440" w:type="dxa"/>
            <w:vAlign w:val="bottom"/>
          </w:tcPr>
          <w:p>
            <w:pPr>
              <w:spacing w:after="0"/>
              <w:rPr>
                <w:sz w:val="19"/>
                <w:szCs w:val="19"/>
                <w:color w:val="auto"/>
              </w:rPr>
            </w:pPr>
          </w:p>
        </w:tc>
        <w:tc>
          <w:tcPr>
            <w:tcW w:w="980" w:type="dxa"/>
            <w:vAlign w:val="bottom"/>
            <w:tcBorders>
              <w:bottom w:val="single" w:sz="8" w:color="auto"/>
            </w:tcBorders>
          </w:tcPr>
          <w:p>
            <w:pPr>
              <w:jc w:val="right"/>
              <w:ind w:right="62"/>
              <w:spacing w:after="0"/>
              <w:rPr>
                <w:sz w:val="20"/>
                <w:szCs w:val="20"/>
                <w:color w:val="auto"/>
              </w:rPr>
            </w:pPr>
            <w:r>
              <w:rPr>
                <w:rFonts w:ascii="Arial" w:cs="Arial" w:eastAsia="Arial" w:hAnsi="Arial"/>
                <w:sz w:val="17"/>
                <w:szCs w:val="17"/>
                <w:b w:val="1"/>
                <w:bCs w:val="1"/>
                <w:color w:val="auto"/>
              </w:rPr>
              <w:t>2012</w:t>
            </w:r>
          </w:p>
        </w:tc>
        <w:tc>
          <w:tcPr>
            <w:tcW w:w="38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54"/>
              <w:spacing w:after="0"/>
              <w:rPr>
                <w:sz w:val="20"/>
                <w:szCs w:val="20"/>
                <w:color w:val="auto"/>
              </w:rPr>
            </w:pPr>
            <w:r>
              <w:rPr>
                <w:rFonts w:ascii="Arial" w:cs="Arial" w:eastAsia="Arial" w:hAnsi="Arial"/>
                <w:sz w:val="17"/>
                <w:szCs w:val="17"/>
                <w:b w:val="1"/>
                <w:bCs w:val="1"/>
                <w:color w:val="auto"/>
              </w:rPr>
              <w:t>2011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5460" w:type="dxa"/>
            <w:vAlign w:val="bottom"/>
            <w:gridSpan w:val="2"/>
          </w:tcPr>
          <w:p>
            <w:pPr>
              <w:spacing w:after="0"/>
              <w:rPr>
                <w:sz w:val="20"/>
                <w:szCs w:val="20"/>
                <w:color w:val="auto"/>
              </w:rPr>
            </w:pPr>
            <w:r>
              <w:rPr>
                <w:rFonts w:ascii="Arial" w:cs="Arial" w:eastAsia="Arial" w:hAnsi="Arial"/>
                <w:sz w:val="17"/>
                <w:szCs w:val="17"/>
                <w:b w:val="1"/>
                <w:bCs w:val="1"/>
                <w:color w:val="auto"/>
              </w:rPr>
              <w:t>Current:</w:t>
            </w:r>
          </w:p>
        </w:tc>
        <w:tc>
          <w:tcPr>
            <w:tcW w:w="9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7"/>
                <w:szCs w:val="17"/>
                <w:color w:val="auto"/>
              </w:rPr>
              <w:t>Federal</w:t>
            </w:r>
          </w:p>
        </w:tc>
        <w:tc>
          <w:tcPr>
            <w:tcW w:w="980" w:type="dxa"/>
            <w:vAlign w:val="bottom"/>
            <w:shd w:val="clear" w:color="auto" w:fill="CCEEFF"/>
          </w:tcPr>
          <w:p>
            <w:pPr>
              <w:jc w:val="right"/>
              <w:ind w:right="822"/>
              <w:spacing w:after="0"/>
              <w:rPr>
                <w:sz w:val="20"/>
                <w:szCs w:val="20"/>
                <w:color w:val="auto"/>
              </w:rPr>
            </w:pPr>
            <w:r>
              <w:rPr>
                <w:rFonts w:ascii="Arial" w:cs="Arial" w:eastAsia="Arial" w:hAnsi="Arial"/>
                <w:sz w:val="15"/>
                <w:szCs w:val="15"/>
                <w:color w:val="auto"/>
                <w:w w:val="71"/>
              </w:rPr>
              <w:t>$</w:t>
            </w:r>
          </w:p>
        </w:tc>
        <w:tc>
          <w:tcPr>
            <w:tcW w:w="92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b w:val="1"/>
                <w:bCs w:val="1"/>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440" w:type="dxa"/>
            <w:vAlign w:val="bottom"/>
          </w:tcPr>
          <w:p>
            <w:pPr>
              <w:spacing w:after="0"/>
              <w:rPr>
                <w:sz w:val="20"/>
                <w:szCs w:val="20"/>
                <w:color w:val="auto"/>
              </w:rPr>
            </w:pPr>
            <w:r>
              <w:rPr>
                <w:rFonts w:ascii="Arial" w:cs="Arial" w:eastAsia="Arial" w:hAnsi="Arial"/>
                <w:sz w:val="17"/>
                <w:szCs w:val="17"/>
                <w:color w:val="auto"/>
              </w:rPr>
              <w:t>State</w:t>
            </w:r>
          </w:p>
        </w:tc>
        <w:tc>
          <w:tcPr>
            <w:tcW w:w="98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10</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Foreign</w:t>
            </w:r>
          </w:p>
        </w:tc>
        <w:tc>
          <w:tcPr>
            <w:tcW w:w="98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79</w:t>
            </w:r>
          </w:p>
        </w:tc>
        <w:tc>
          <w:tcPr>
            <w:tcW w:w="2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440" w:type="dxa"/>
            <w:vAlign w:val="bottom"/>
          </w:tcPr>
          <w:p>
            <w:pPr>
              <w:spacing w:after="0"/>
              <w:rPr>
                <w:sz w:val="20"/>
                <w:szCs w:val="20"/>
                <w:color w:val="auto"/>
              </w:rPr>
            </w:pPr>
            <w:r>
              <w:rPr>
                <w:rFonts w:ascii="Arial" w:cs="Arial" w:eastAsia="Arial" w:hAnsi="Arial"/>
                <w:sz w:val="17"/>
                <w:szCs w:val="17"/>
                <w:color w:val="auto"/>
              </w:rPr>
              <w:t>Total current</w:t>
            </w:r>
          </w:p>
        </w:tc>
        <w:tc>
          <w:tcPr>
            <w:tcW w:w="98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89</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54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5440" w:type="dxa"/>
            <w:vAlign w:val="bottom"/>
          </w:tcPr>
          <w:p>
            <w:pPr>
              <w:spacing w:after="0"/>
              <w:rPr>
                <w:sz w:val="20"/>
                <w:szCs w:val="20"/>
                <w:color w:val="auto"/>
              </w:rPr>
            </w:pPr>
            <w:r>
              <w:rPr>
                <w:rFonts w:ascii="Arial" w:cs="Arial" w:eastAsia="Arial" w:hAnsi="Arial"/>
                <w:sz w:val="17"/>
                <w:szCs w:val="17"/>
                <w:b w:val="1"/>
                <w:bCs w:val="1"/>
                <w:color w:val="auto"/>
              </w:rPr>
              <w:t>Deferred:</w:t>
            </w:r>
          </w:p>
        </w:tc>
        <w:tc>
          <w:tcPr>
            <w:tcW w:w="9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7"/>
                <w:szCs w:val="17"/>
                <w:color w:val="auto"/>
              </w:rPr>
              <w:t>Federal</w:t>
            </w:r>
          </w:p>
        </w:tc>
        <w:tc>
          <w:tcPr>
            <w:tcW w:w="98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197</w:t>
            </w: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440" w:type="dxa"/>
            <w:vAlign w:val="bottom"/>
          </w:tcPr>
          <w:p>
            <w:pPr>
              <w:spacing w:after="0"/>
              <w:rPr>
                <w:sz w:val="20"/>
                <w:szCs w:val="20"/>
                <w:color w:val="auto"/>
              </w:rPr>
            </w:pPr>
            <w:r>
              <w:rPr>
                <w:rFonts w:ascii="Arial" w:cs="Arial" w:eastAsia="Arial" w:hAnsi="Arial"/>
                <w:sz w:val="17"/>
                <w:szCs w:val="17"/>
                <w:color w:val="auto"/>
              </w:rPr>
              <w:t>State</w:t>
            </w:r>
          </w:p>
        </w:tc>
        <w:tc>
          <w:tcPr>
            <w:tcW w:w="98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23</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7"/>
                <w:szCs w:val="17"/>
                <w:color w:val="auto"/>
              </w:rPr>
              <w:t>Foreign</w:t>
            </w:r>
          </w:p>
        </w:tc>
        <w:tc>
          <w:tcPr>
            <w:tcW w:w="9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(24)</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440" w:type="dxa"/>
            <w:vAlign w:val="bottom"/>
            <w:tcBorders>
              <w:top w:val="single" w:sz="8" w:color="CCEEFF"/>
            </w:tcBorders>
          </w:tcPr>
          <w:p>
            <w:pPr>
              <w:spacing w:after="0"/>
              <w:rPr>
                <w:sz w:val="20"/>
                <w:szCs w:val="20"/>
                <w:color w:val="auto"/>
              </w:rPr>
            </w:pPr>
            <w:r>
              <w:rPr>
                <w:rFonts w:ascii="Arial" w:cs="Arial" w:eastAsia="Arial" w:hAnsi="Arial"/>
                <w:sz w:val="17"/>
                <w:szCs w:val="17"/>
                <w:color w:val="auto"/>
              </w:rPr>
              <w:t>Total deferred</w:t>
            </w:r>
          </w:p>
        </w:tc>
        <w:tc>
          <w:tcPr>
            <w:tcW w:w="98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196</w:t>
            </w:r>
          </w:p>
        </w:tc>
        <w:tc>
          <w:tcPr>
            <w:tcW w:w="240" w:type="dxa"/>
            <w:vAlign w:val="bottom"/>
            <w:tcBorders>
              <w:top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28</w:t>
            </w: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4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440" w:type="dxa"/>
            <w:vAlign w:val="bottom"/>
          </w:tcPr>
          <w:p>
            <w:pPr>
              <w:spacing w:after="0"/>
              <w:rPr>
                <w:sz w:val="17"/>
                <w:szCs w:val="17"/>
                <w:color w:val="auto"/>
              </w:rPr>
            </w:pPr>
          </w:p>
        </w:tc>
        <w:tc>
          <w:tcPr>
            <w:tcW w:w="980" w:type="dxa"/>
            <w:vAlign w:val="bottom"/>
            <w:tcBorders>
              <w:bottom w:val="single" w:sz="8" w:color="auto"/>
            </w:tcBorders>
          </w:tcPr>
          <w:p>
            <w:pPr>
              <w:jc w:val="right"/>
              <w:ind w:right="822"/>
              <w:spacing w:after="0"/>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285</w:t>
            </w:r>
          </w:p>
        </w:tc>
        <w:tc>
          <w:tcPr>
            <w:tcW w:w="2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firstLine="616"/>
        <w:spacing w:after="0" w:line="346" w:lineRule="auto"/>
        <w:rPr>
          <w:sz w:val="20"/>
          <w:szCs w:val="20"/>
          <w:color w:val="auto"/>
        </w:rPr>
      </w:pPr>
      <w:r>
        <w:rPr>
          <w:rFonts w:ascii="Arial" w:cs="Arial" w:eastAsia="Arial" w:hAnsi="Arial"/>
          <w:sz w:val="15"/>
          <w:szCs w:val="15"/>
          <w:color w:val="auto"/>
        </w:rPr>
        <w:t>Deferred income taxes reflect the net tax effects of temporary differences between the carrying amounts of assets and liabilities for financial reporting purposes and the amounts used for income tax purposes. Significant components of the Company’s deferred taxes at December 31, 2012 and 2011 are as follows:</w:t>
      </w:r>
    </w:p>
    <w:p>
      <w:pPr>
        <w:spacing w:after="0" w:line="138" w:lineRule="exact"/>
        <w:rPr>
          <w:sz w:val="20"/>
          <w:szCs w:val="20"/>
          <w:color w:val="auto"/>
        </w:rPr>
      </w:pPr>
    </w:p>
    <w:tbl>
      <w:tblPr>
        <w:tblLayout w:type="fixed"/>
        <w:tblInd w:w="144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14"/>
              <w:spacing w:after="0"/>
              <w:rPr>
                <w:sz w:val="20"/>
                <w:szCs w:val="20"/>
                <w:color w:val="auto"/>
              </w:rPr>
            </w:pPr>
            <w:r>
              <w:rPr>
                <w:rFonts w:ascii="Arial" w:cs="Arial" w:eastAsia="Arial" w:hAnsi="Arial"/>
                <w:sz w:val="17"/>
                <w:szCs w:val="17"/>
                <w:b w:val="1"/>
                <w:bCs w:val="1"/>
                <w:color w:val="auto"/>
              </w:rPr>
              <w:t>2012</w:t>
            </w: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74"/>
              <w:spacing w:after="0"/>
              <w:rPr>
                <w:sz w:val="20"/>
                <w:szCs w:val="20"/>
                <w:color w:val="auto"/>
              </w:rPr>
            </w:pPr>
            <w:r>
              <w:rPr>
                <w:rFonts w:ascii="Arial" w:cs="Arial" w:eastAsia="Arial" w:hAnsi="Arial"/>
                <w:sz w:val="17"/>
                <w:szCs w:val="17"/>
                <w:b w:val="1"/>
                <w:bCs w:val="1"/>
                <w:color w:val="auto"/>
              </w:rPr>
              <w:t>2011</w:t>
            </w: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3460" w:type="dxa"/>
            <w:vAlign w:val="bottom"/>
            <w:gridSpan w:val="2"/>
          </w:tcPr>
          <w:p>
            <w:pPr>
              <w:spacing w:after="0" w:line="193" w:lineRule="exact"/>
              <w:rPr>
                <w:sz w:val="20"/>
                <w:szCs w:val="20"/>
                <w:color w:val="auto"/>
              </w:rPr>
            </w:pPr>
            <w:r>
              <w:rPr>
                <w:rFonts w:ascii="Arial" w:cs="Arial" w:eastAsia="Arial" w:hAnsi="Arial"/>
                <w:sz w:val="17"/>
                <w:szCs w:val="17"/>
                <w:b w:val="1"/>
                <w:bCs w:val="1"/>
                <w:color w:val="auto"/>
              </w:rPr>
              <w:t>DEFERRED TAX ASSETS:</w:t>
            </w: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460" w:type="dxa"/>
            <w:vAlign w:val="bottom"/>
            <w:gridSpan w:val="2"/>
          </w:tcPr>
          <w:p>
            <w:pPr>
              <w:spacing w:after="0"/>
              <w:rPr>
                <w:sz w:val="20"/>
                <w:szCs w:val="20"/>
                <w:color w:val="auto"/>
              </w:rPr>
            </w:pPr>
            <w:r>
              <w:rPr>
                <w:rFonts w:ascii="Arial" w:cs="Arial" w:eastAsia="Arial" w:hAnsi="Arial"/>
                <w:sz w:val="17"/>
                <w:szCs w:val="17"/>
                <w:color w:val="auto"/>
              </w:rPr>
              <w:t>Current deferred tax assets</w:t>
            </w: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4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Deferred revenue</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858</w:t>
            </w:r>
          </w:p>
        </w:tc>
        <w:tc>
          <w:tcPr>
            <w:tcW w:w="7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454</w:t>
            </w: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440" w:type="dxa"/>
            <w:vAlign w:val="bottom"/>
          </w:tcPr>
          <w:p>
            <w:pPr>
              <w:ind w:left="140"/>
              <w:spacing w:after="0"/>
              <w:rPr>
                <w:sz w:val="20"/>
                <w:szCs w:val="20"/>
                <w:color w:val="auto"/>
              </w:rPr>
            </w:pPr>
            <w:r>
              <w:rPr>
                <w:rFonts w:ascii="Arial" w:cs="Arial" w:eastAsia="Arial" w:hAnsi="Arial"/>
                <w:sz w:val="17"/>
                <w:szCs w:val="17"/>
                <w:color w:val="auto"/>
              </w:rPr>
              <w:t>Accrued expenses</w:t>
            </w:r>
          </w:p>
        </w:tc>
        <w:tc>
          <w:tcPr>
            <w:tcW w:w="3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30</w:t>
            </w:r>
          </w:p>
        </w:tc>
        <w:tc>
          <w:tcPr>
            <w:tcW w:w="7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91</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Other</w:t>
            </w:r>
          </w:p>
        </w:tc>
        <w:tc>
          <w:tcPr>
            <w:tcW w:w="3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7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6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919</w:t>
            </w:r>
          </w:p>
        </w:tc>
        <w:tc>
          <w:tcPr>
            <w:tcW w:w="7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552</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4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Valuation allowance</w:t>
            </w:r>
          </w:p>
        </w:tc>
        <w:tc>
          <w:tcPr>
            <w:tcW w:w="320" w:type="dxa"/>
            <w:vAlign w:val="bottom"/>
            <w:shd w:val="clear" w:color="auto" w:fill="CCEEFF"/>
          </w:tcPr>
          <w:p>
            <w:pPr>
              <w:spacing w:after="0"/>
              <w:rPr>
                <w:sz w:val="17"/>
                <w:szCs w:val="17"/>
                <w:color w:val="auto"/>
              </w:rPr>
            </w:pPr>
          </w:p>
        </w:tc>
        <w:tc>
          <w:tcPr>
            <w:tcW w:w="1880" w:type="dxa"/>
            <w:vAlign w:val="bottom"/>
            <w:gridSpan w:val="2"/>
            <w:shd w:val="clear" w:color="auto" w:fill="CCEEFF"/>
          </w:tcPr>
          <w:p>
            <w:pPr>
              <w:jc w:val="right"/>
              <w:ind w:right="640"/>
              <w:spacing w:after="0"/>
              <w:rPr>
                <w:sz w:val="20"/>
                <w:szCs w:val="20"/>
                <w:color w:val="auto"/>
              </w:rPr>
            </w:pPr>
            <w:r>
              <w:rPr>
                <w:rFonts w:ascii="Arial" w:cs="Arial" w:eastAsia="Arial" w:hAnsi="Arial"/>
                <w:sz w:val="17"/>
                <w:szCs w:val="17"/>
                <w:color w:val="auto"/>
              </w:rPr>
              <w:t>(1,003)</w:t>
            </w:r>
          </w:p>
        </w:tc>
        <w:tc>
          <w:tcPr>
            <w:tcW w:w="6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92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(543)</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344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3440" w:type="dxa"/>
            <w:vAlign w:val="bottom"/>
          </w:tcPr>
          <w:p>
            <w:pPr>
              <w:ind w:left="60"/>
              <w:spacing w:after="0"/>
              <w:rPr>
                <w:sz w:val="20"/>
                <w:szCs w:val="20"/>
                <w:color w:val="auto"/>
              </w:rPr>
            </w:pPr>
            <w:r>
              <w:rPr>
                <w:rFonts w:ascii="Arial" w:cs="Arial" w:eastAsia="Arial" w:hAnsi="Arial"/>
                <w:sz w:val="17"/>
                <w:szCs w:val="17"/>
                <w:color w:val="auto"/>
              </w:rPr>
              <w:t>Net current deferred tax assets</w:t>
            </w:r>
          </w:p>
        </w:tc>
        <w:tc>
          <w:tcPr>
            <w:tcW w:w="320" w:type="dxa"/>
            <w:vAlign w:val="bottom"/>
          </w:tcPr>
          <w:p>
            <w:pPr>
              <w:spacing w:after="0"/>
              <w:rPr>
                <w:sz w:val="18"/>
                <w:szCs w:val="18"/>
                <w:color w:val="auto"/>
              </w:rPr>
            </w:pPr>
          </w:p>
        </w:tc>
        <w:tc>
          <w:tcPr>
            <w:tcW w:w="1880" w:type="dxa"/>
            <w:vAlign w:val="bottom"/>
            <w:gridSpan w:val="2"/>
          </w:tcPr>
          <w:p>
            <w:pPr>
              <w:jc w:val="right"/>
              <w:ind w:right="640"/>
              <w:spacing w:after="0"/>
              <w:rPr>
                <w:sz w:val="20"/>
                <w:szCs w:val="20"/>
                <w:color w:val="auto"/>
              </w:rPr>
            </w:pPr>
            <w:r>
              <w:rPr>
                <w:rFonts w:ascii="Arial" w:cs="Arial" w:eastAsia="Arial" w:hAnsi="Arial"/>
                <w:sz w:val="17"/>
                <w:szCs w:val="17"/>
                <w:color w:val="auto"/>
              </w:rPr>
              <w:t>(84)</w:t>
            </w: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9</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44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440" w:type="dxa"/>
            <w:vAlign w:val="bottom"/>
          </w:tcPr>
          <w:p>
            <w:pPr>
              <w:ind w:left="60"/>
              <w:spacing w:after="0"/>
              <w:rPr>
                <w:sz w:val="20"/>
                <w:szCs w:val="20"/>
                <w:color w:val="auto"/>
              </w:rPr>
            </w:pPr>
            <w:r>
              <w:rPr>
                <w:rFonts w:ascii="Arial" w:cs="Arial" w:eastAsia="Arial" w:hAnsi="Arial"/>
                <w:sz w:val="17"/>
                <w:szCs w:val="17"/>
                <w:color w:val="auto"/>
              </w:rPr>
              <w:t>Noncurrent deferred tax assets</w:t>
            </w: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4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Net operating losses</w:t>
            </w: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40,400</w:t>
            </w:r>
          </w:p>
        </w:tc>
        <w:tc>
          <w:tcPr>
            <w:tcW w:w="7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40,718</w:t>
            </w: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440" w:type="dxa"/>
            <w:vAlign w:val="bottom"/>
          </w:tcPr>
          <w:p>
            <w:pPr>
              <w:ind w:left="20"/>
              <w:spacing w:after="0" w:line="193" w:lineRule="exact"/>
              <w:rPr>
                <w:sz w:val="20"/>
                <w:szCs w:val="20"/>
                <w:color w:val="auto"/>
              </w:rPr>
            </w:pPr>
            <w:r>
              <w:rPr>
                <w:rFonts w:ascii="Arial" w:cs="Arial" w:eastAsia="Arial" w:hAnsi="Arial"/>
                <w:sz w:val="17"/>
                <w:szCs w:val="17"/>
                <w:color w:val="auto"/>
              </w:rPr>
              <w:t>Research and development credit</w:t>
            </w: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460" w:type="dxa"/>
            <w:vAlign w:val="bottom"/>
            <w:gridSpan w:val="2"/>
          </w:tcPr>
          <w:p>
            <w:pPr>
              <w:spacing w:after="0"/>
              <w:rPr>
                <w:sz w:val="20"/>
                <w:szCs w:val="20"/>
                <w:color w:val="auto"/>
              </w:rPr>
            </w:pPr>
            <w:r>
              <w:rPr>
                <w:rFonts w:ascii="Arial" w:cs="Arial" w:eastAsia="Arial" w:hAnsi="Arial"/>
                <w:sz w:val="17"/>
                <w:szCs w:val="17"/>
                <w:color w:val="auto"/>
              </w:rPr>
              <w:t>carryforwards</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4,353</w:t>
            </w: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3,875</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Minimum tax credit carryforwards</w:t>
            </w: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w:t>
            </w:r>
          </w:p>
        </w:tc>
        <w:tc>
          <w:tcPr>
            <w:tcW w:w="7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w:t>
            </w: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440" w:type="dxa"/>
            <w:vAlign w:val="bottom"/>
          </w:tcPr>
          <w:p>
            <w:pPr>
              <w:ind w:left="140"/>
              <w:spacing w:after="0"/>
              <w:rPr>
                <w:sz w:val="20"/>
                <w:szCs w:val="20"/>
                <w:color w:val="auto"/>
              </w:rPr>
            </w:pPr>
            <w:r>
              <w:rPr>
                <w:rFonts w:ascii="Arial" w:cs="Arial" w:eastAsia="Arial" w:hAnsi="Arial"/>
                <w:sz w:val="17"/>
                <w:szCs w:val="17"/>
                <w:color w:val="auto"/>
              </w:rPr>
              <w:t>Fixed assets</w:t>
            </w:r>
          </w:p>
        </w:tc>
        <w:tc>
          <w:tcPr>
            <w:tcW w:w="3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171</w:t>
            </w:r>
          </w:p>
        </w:tc>
        <w:tc>
          <w:tcPr>
            <w:tcW w:w="7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367</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4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440" w:type="dxa"/>
            <w:vAlign w:val="bottom"/>
          </w:tcPr>
          <w:p>
            <w:pPr>
              <w:ind w:left="140"/>
              <w:spacing w:after="0"/>
              <w:rPr>
                <w:sz w:val="20"/>
                <w:szCs w:val="20"/>
                <w:color w:val="auto"/>
              </w:rPr>
            </w:pPr>
            <w:r>
              <w:rPr>
                <w:rFonts w:ascii="Arial" w:cs="Arial" w:eastAsia="Arial" w:hAnsi="Arial"/>
                <w:sz w:val="17"/>
                <w:szCs w:val="17"/>
                <w:color w:val="auto"/>
              </w:rPr>
              <w:t>Share based compensation</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w:t>
            </w: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4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45,152</w:t>
            </w:r>
          </w:p>
        </w:tc>
        <w:tc>
          <w:tcPr>
            <w:tcW w:w="7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45,186</w:t>
            </w: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440" w:type="dxa"/>
            <w:vAlign w:val="bottom"/>
          </w:tcPr>
          <w:p>
            <w:pPr>
              <w:ind w:left="140"/>
              <w:spacing w:after="0"/>
              <w:rPr>
                <w:sz w:val="20"/>
                <w:szCs w:val="20"/>
                <w:color w:val="auto"/>
              </w:rPr>
            </w:pPr>
            <w:r>
              <w:rPr>
                <w:rFonts w:ascii="Arial" w:cs="Arial" w:eastAsia="Arial" w:hAnsi="Arial"/>
                <w:sz w:val="17"/>
                <w:szCs w:val="17"/>
                <w:color w:val="auto"/>
              </w:rPr>
              <w:t>Valuation allowance</w:t>
            </w:r>
          </w:p>
        </w:tc>
        <w:tc>
          <w:tcPr>
            <w:tcW w:w="320" w:type="dxa"/>
            <w:vAlign w:val="bottom"/>
          </w:tcPr>
          <w:p>
            <w:pPr>
              <w:spacing w:after="0"/>
              <w:rPr>
                <w:sz w:val="18"/>
                <w:szCs w:val="18"/>
                <w:color w:val="auto"/>
              </w:rPr>
            </w:pPr>
          </w:p>
        </w:tc>
        <w:tc>
          <w:tcPr>
            <w:tcW w:w="1880" w:type="dxa"/>
            <w:vAlign w:val="bottom"/>
            <w:gridSpan w:val="2"/>
          </w:tcPr>
          <w:p>
            <w:pPr>
              <w:jc w:val="right"/>
              <w:ind w:right="640"/>
              <w:spacing w:after="0"/>
              <w:rPr>
                <w:sz w:val="20"/>
                <w:szCs w:val="20"/>
                <w:color w:val="auto"/>
              </w:rPr>
            </w:pPr>
            <w:r>
              <w:rPr>
                <w:rFonts w:ascii="Arial" w:cs="Arial" w:eastAsia="Arial" w:hAnsi="Arial"/>
                <w:sz w:val="17"/>
                <w:szCs w:val="17"/>
                <w:color w:val="auto"/>
              </w:rPr>
              <w:t>(42,955)</w:t>
            </w: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20" w:type="dxa"/>
            <w:vAlign w:val="bottom"/>
            <w:gridSpan w:val="2"/>
          </w:tcPr>
          <w:p>
            <w:pPr>
              <w:jc w:val="right"/>
              <w:ind w:right="620"/>
              <w:spacing w:after="0"/>
              <w:rPr>
                <w:sz w:val="20"/>
                <w:szCs w:val="20"/>
                <w:color w:val="auto"/>
              </w:rPr>
            </w:pPr>
            <w:r>
              <w:rPr>
                <w:rFonts w:ascii="Arial" w:cs="Arial" w:eastAsia="Arial" w:hAnsi="Arial"/>
                <w:sz w:val="17"/>
                <w:szCs w:val="17"/>
                <w:color w:val="auto"/>
              </w:rPr>
              <w:t>(44,449)</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4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7"/>
                <w:szCs w:val="17"/>
                <w:color w:val="auto"/>
              </w:rPr>
              <w:t>Net noncurrent deferred tax assets</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2,197</w:t>
            </w:r>
          </w:p>
        </w:tc>
        <w:tc>
          <w:tcPr>
            <w:tcW w:w="7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737</w:t>
            </w:r>
          </w:p>
        </w:tc>
        <w:tc>
          <w:tcPr>
            <w:tcW w:w="6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3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7"/>
                <w:szCs w:val="17"/>
                <w:color w:val="auto"/>
              </w:rPr>
              <w:t>Noncurrent deferred tax liabilities</w:t>
            </w: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440" w:type="dxa"/>
            <w:vAlign w:val="bottom"/>
          </w:tcPr>
          <w:p>
            <w:pPr>
              <w:ind w:left="140"/>
              <w:spacing w:after="0"/>
              <w:rPr>
                <w:sz w:val="20"/>
                <w:szCs w:val="20"/>
                <w:color w:val="auto"/>
              </w:rPr>
            </w:pPr>
            <w:r>
              <w:rPr>
                <w:rFonts w:ascii="Arial" w:cs="Arial" w:eastAsia="Arial" w:hAnsi="Arial"/>
                <w:sz w:val="17"/>
                <w:szCs w:val="17"/>
                <w:color w:val="auto"/>
              </w:rPr>
              <w:t>Acquired intangibles</w:t>
            </w:r>
          </w:p>
        </w:tc>
        <w:tc>
          <w:tcPr>
            <w:tcW w:w="320" w:type="dxa"/>
            <w:vAlign w:val="bottom"/>
          </w:tcPr>
          <w:p>
            <w:pPr>
              <w:spacing w:after="0"/>
              <w:rPr>
                <w:sz w:val="17"/>
                <w:szCs w:val="17"/>
                <w:color w:val="auto"/>
              </w:rPr>
            </w:pPr>
          </w:p>
        </w:tc>
        <w:tc>
          <w:tcPr>
            <w:tcW w:w="1880" w:type="dxa"/>
            <w:vAlign w:val="bottom"/>
            <w:gridSpan w:val="2"/>
          </w:tcPr>
          <w:p>
            <w:pPr>
              <w:jc w:val="right"/>
              <w:ind w:right="640"/>
              <w:spacing w:after="0"/>
              <w:rPr>
                <w:sz w:val="20"/>
                <w:szCs w:val="20"/>
                <w:color w:val="auto"/>
              </w:rPr>
            </w:pPr>
            <w:r>
              <w:rPr>
                <w:rFonts w:ascii="Arial" w:cs="Arial" w:eastAsia="Arial" w:hAnsi="Arial"/>
                <w:sz w:val="17"/>
                <w:szCs w:val="17"/>
                <w:color w:val="auto"/>
              </w:rPr>
              <w:t>(2,089)</w:t>
            </w: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20" w:type="dxa"/>
            <w:vAlign w:val="bottom"/>
            <w:gridSpan w:val="2"/>
          </w:tcPr>
          <w:p>
            <w:pPr>
              <w:jc w:val="right"/>
              <w:ind w:right="620"/>
              <w:spacing w:after="0"/>
              <w:rPr>
                <w:sz w:val="20"/>
                <w:szCs w:val="20"/>
                <w:color w:val="auto"/>
              </w:rPr>
            </w:pPr>
            <w:r>
              <w:rPr>
                <w:rFonts w:ascii="Arial" w:cs="Arial" w:eastAsia="Arial" w:hAnsi="Arial"/>
                <w:sz w:val="17"/>
                <w:szCs w:val="17"/>
                <w:color w:val="auto"/>
              </w:rPr>
              <w:t>(746)</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4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Goodwill</w:t>
            </w:r>
          </w:p>
        </w:tc>
        <w:tc>
          <w:tcPr>
            <w:tcW w:w="320" w:type="dxa"/>
            <w:vAlign w:val="bottom"/>
            <w:shd w:val="clear" w:color="auto" w:fill="CCEEFF"/>
          </w:tcPr>
          <w:p>
            <w:pPr>
              <w:spacing w:after="0"/>
              <w:rPr>
                <w:sz w:val="17"/>
                <w:szCs w:val="17"/>
                <w:color w:val="auto"/>
              </w:rPr>
            </w:pPr>
          </w:p>
        </w:tc>
        <w:tc>
          <w:tcPr>
            <w:tcW w:w="1880" w:type="dxa"/>
            <w:vAlign w:val="bottom"/>
            <w:gridSpan w:val="2"/>
            <w:shd w:val="clear" w:color="auto" w:fill="CCEEFF"/>
          </w:tcPr>
          <w:p>
            <w:pPr>
              <w:jc w:val="right"/>
              <w:ind w:right="640"/>
              <w:spacing w:after="0"/>
              <w:rPr>
                <w:sz w:val="20"/>
                <w:szCs w:val="20"/>
                <w:color w:val="auto"/>
              </w:rPr>
            </w:pPr>
            <w:r>
              <w:rPr>
                <w:rFonts w:ascii="Arial" w:cs="Arial" w:eastAsia="Arial" w:hAnsi="Arial"/>
                <w:sz w:val="17"/>
                <w:szCs w:val="17"/>
                <w:color w:val="auto"/>
              </w:rPr>
              <w:t>(248)</w:t>
            </w:r>
          </w:p>
        </w:tc>
        <w:tc>
          <w:tcPr>
            <w:tcW w:w="6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92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3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7"/>
                <w:szCs w:val="17"/>
                <w:color w:val="auto"/>
              </w:rPr>
              <w:t>Total noncurrent deferred tax liabilities</w:t>
            </w:r>
          </w:p>
        </w:tc>
        <w:tc>
          <w:tcPr>
            <w:tcW w:w="32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640"/>
              <w:spacing w:after="0"/>
              <w:rPr>
                <w:sz w:val="20"/>
                <w:szCs w:val="20"/>
                <w:color w:val="auto"/>
              </w:rPr>
            </w:pPr>
            <w:r>
              <w:rPr>
                <w:rFonts w:ascii="Arial" w:cs="Arial" w:eastAsia="Arial" w:hAnsi="Arial"/>
                <w:sz w:val="17"/>
                <w:szCs w:val="17"/>
                <w:color w:val="auto"/>
              </w:rPr>
              <w:t>(2,337)</w:t>
            </w: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(774)</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44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700" w:type="dxa"/>
            <w:vAlign w:val="bottom"/>
            <w:tcBorders>
              <w:top w:val="single" w:sz="8" w:color="CCEEFF"/>
            </w:tcBorders>
          </w:tcPr>
          <w:p>
            <w:pPr>
              <w:spacing w:after="0"/>
              <w:rPr>
                <w:sz w:val="17"/>
                <w:szCs w:val="17"/>
                <w:color w:val="auto"/>
              </w:rPr>
            </w:pPr>
          </w:p>
        </w:tc>
        <w:tc>
          <w:tcPr>
            <w:tcW w:w="64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6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440" w:type="dxa"/>
            <w:vAlign w:val="bottom"/>
            <w:shd w:val="clear" w:color="auto" w:fill="CCEEFF"/>
          </w:tcPr>
          <w:p>
            <w:pPr>
              <w:ind w:left="60"/>
              <w:spacing w:after="0"/>
              <w:rPr>
                <w:sz w:val="20"/>
                <w:szCs w:val="20"/>
                <w:color w:val="auto"/>
              </w:rPr>
            </w:pPr>
            <w:r>
              <w:rPr>
                <w:rFonts w:ascii="Arial" w:cs="Arial" w:eastAsia="Arial" w:hAnsi="Arial"/>
                <w:sz w:val="17"/>
                <w:szCs w:val="17"/>
                <w:color w:val="auto"/>
              </w:rPr>
              <w:t>Net current deferred tax asset (liability)</w:t>
            </w:r>
          </w:p>
        </w:tc>
        <w:tc>
          <w:tcPr>
            <w:tcW w:w="32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640"/>
              <w:spacing w:after="0"/>
              <w:rPr>
                <w:sz w:val="20"/>
                <w:szCs w:val="20"/>
                <w:color w:val="auto"/>
              </w:rPr>
            </w:pPr>
            <w:r>
              <w:rPr>
                <w:rFonts w:ascii="Arial" w:cs="Arial" w:eastAsia="Arial" w:hAnsi="Arial"/>
                <w:sz w:val="17"/>
                <w:szCs w:val="17"/>
                <w:color w:val="auto"/>
              </w:rPr>
              <w:t>(84)</w:t>
            </w:r>
          </w:p>
        </w:tc>
        <w:tc>
          <w:tcPr>
            <w:tcW w:w="6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440" w:type="dxa"/>
            <w:vAlign w:val="bottom"/>
          </w:tcPr>
          <w:p>
            <w:pPr>
              <w:ind w:left="60"/>
              <w:spacing w:after="0"/>
              <w:rPr>
                <w:sz w:val="20"/>
                <w:szCs w:val="20"/>
                <w:color w:val="auto"/>
              </w:rPr>
            </w:pPr>
            <w:r>
              <w:rPr>
                <w:rFonts w:ascii="Arial" w:cs="Arial" w:eastAsia="Arial" w:hAnsi="Arial"/>
                <w:sz w:val="17"/>
                <w:szCs w:val="17"/>
                <w:color w:val="auto"/>
              </w:rPr>
              <w:t>Net noncurrent deferred tax liability</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880" w:type="dxa"/>
            <w:vAlign w:val="bottom"/>
            <w:gridSpan w:val="2"/>
          </w:tcPr>
          <w:p>
            <w:pPr>
              <w:jc w:val="right"/>
              <w:ind w:right="640"/>
              <w:spacing w:after="0"/>
              <w:rPr>
                <w:sz w:val="20"/>
                <w:szCs w:val="20"/>
                <w:color w:val="auto"/>
              </w:rPr>
            </w:pPr>
            <w:r>
              <w:rPr>
                <w:rFonts w:ascii="Arial" w:cs="Arial" w:eastAsia="Arial" w:hAnsi="Arial"/>
                <w:sz w:val="17"/>
                <w:szCs w:val="17"/>
                <w:color w:val="auto"/>
              </w:rPr>
              <w:t>(140)</w:t>
            </w:r>
          </w:p>
        </w:tc>
        <w:tc>
          <w:tcPr>
            <w:tcW w:w="98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920" w:type="dxa"/>
            <w:vAlign w:val="bottom"/>
            <w:gridSpan w:val="2"/>
          </w:tcPr>
          <w:p>
            <w:pPr>
              <w:jc w:val="right"/>
              <w:ind w:right="620"/>
              <w:spacing w:after="0"/>
              <w:rPr>
                <w:sz w:val="20"/>
                <w:szCs w:val="20"/>
                <w:color w:val="auto"/>
              </w:rPr>
            </w:pPr>
            <w:r>
              <w:rPr>
                <w:rFonts w:ascii="Arial" w:cs="Arial" w:eastAsia="Arial" w:hAnsi="Arial"/>
                <w:sz w:val="17"/>
                <w:szCs w:val="17"/>
                <w:color w:val="auto"/>
              </w:rPr>
              <w:t>(37)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91440</wp:posOffset>
            </wp:positionV>
            <wp:extent cx="7258050" cy="209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48" w:name="page49"/>
    <w:bookmarkEnd w:id="4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ASURE SOFTWARE,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thousands, except share and per share data or otherwise noted)</w:t>
      </w:r>
    </w:p>
    <w:p>
      <w:pPr>
        <w:spacing w:after="0" w:line="230" w:lineRule="exact"/>
        <w:rPr>
          <w:sz w:val="20"/>
          <w:szCs w:val="20"/>
          <w:color w:val="auto"/>
        </w:rPr>
      </w:pPr>
    </w:p>
    <w:p>
      <w:pPr>
        <w:jc w:val="both"/>
        <w:ind w:firstLine="616"/>
        <w:spacing w:after="0" w:line="289" w:lineRule="auto"/>
        <w:rPr>
          <w:sz w:val="20"/>
          <w:szCs w:val="20"/>
          <w:color w:val="auto"/>
        </w:rPr>
      </w:pPr>
      <w:r>
        <w:rPr>
          <w:rFonts w:ascii="Arial" w:cs="Arial" w:eastAsia="Arial" w:hAnsi="Arial"/>
          <w:sz w:val="16"/>
          <w:szCs w:val="16"/>
          <w:color w:val="auto"/>
        </w:rPr>
        <w:t>At December 31, 2012, we had federal net operating loss carryforwards of approximately $118,135, research and development credit carryforwards of approximately $4,792 and alternative minimum tax credit carryforwards of approximately $161. The net operating loss and research and development credit carryforwards will expire in varying amounts from 2013 through 2033, if not utilized. Minimum tax credit carryforwards carry forward indefinitely.</w:t>
      </w:r>
    </w:p>
    <w:p>
      <w:pPr>
        <w:spacing w:after="0" w:line="157" w:lineRule="exact"/>
        <w:rPr>
          <w:sz w:val="20"/>
          <w:szCs w:val="20"/>
          <w:color w:val="auto"/>
        </w:rPr>
      </w:pPr>
    </w:p>
    <w:p>
      <w:pPr>
        <w:jc w:val="both"/>
        <w:ind w:firstLine="616"/>
        <w:spacing w:after="0" w:line="264" w:lineRule="auto"/>
        <w:rPr>
          <w:sz w:val="20"/>
          <w:szCs w:val="20"/>
          <w:color w:val="auto"/>
        </w:rPr>
      </w:pPr>
      <w:r>
        <w:rPr>
          <w:rFonts w:ascii="Arial" w:cs="Arial" w:eastAsia="Arial" w:hAnsi="Arial"/>
          <w:sz w:val="17"/>
          <w:szCs w:val="17"/>
          <w:color w:val="auto"/>
        </w:rPr>
        <w:t>As a result of our various acquisitions in prior years, we may be subject to a substantial annual limitation in the utilization of the net operating losses and credit carryforwards due to the “change in ownership” provisions of the Internal Revenue Code of 1986. The annual limitation may result in the expiration of net operating losses before utilization.</w:t>
      </w:r>
    </w:p>
    <w:p>
      <w:pPr>
        <w:spacing w:after="0" w:line="176" w:lineRule="exact"/>
        <w:rPr>
          <w:sz w:val="20"/>
          <w:szCs w:val="20"/>
          <w:color w:val="auto"/>
        </w:rPr>
      </w:pPr>
    </w:p>
    <w:p>
      <w:pPr>
        <w:jc w:val="both"/>
        <w:ind w:firstLine="616"/>
        <w:spacing w:after="0" w:line="301" w:lineRule="auto"/>
        <w:rPr>
          <w:sz w:val="20"/>
          <w:szCs w:val="20"/>
          <w:color w:val="auto"/>
        </w:rPr>
      </w:pPr>
      <w:r>
        <w:rPr>
          <w:rFonts w:ascii="Arial" w:cs="Arial" w:eastAsia="Arial" w:hAnsi="Arial"/>
          <w:sz w:val="15"/>
          <w:szCs w:val="15"/>
          <w:color w:val="auto"/>
        </w:rPr>
        <w:t>Due to the uncertainty surrounding the timing of realizing the benefits of its favorable tax attributes in future tax returns, we have placed a valuation allowance against our net deferred tax asset, exclusive of goodwill. During 2012, the valuation allowance decreased by approximately $3,339 due primarily to operations, including expiration of tax carryforwards. The valuation allowance also increased by approximately $2,304 in 2012 due to the acquisition of PeopleCube. Approximately $8,251 of the valuation allowance relates to tax benefits for stock option deductions included in our net operating loss carryforward which we will allocate, if and when realized, directly to contributed capital to the extent the benefits exceed amounts attributable to book deferred compensation expense.</w:t>
      </w:r>
    </w:p>
    <w:p>
      <w:pPr>
        <w:spacing w:after="0" w:line="150" w:lineRule="exact"/>
        <w:rPr>
          <w:sz w:val="20"/>
          <w:szCs w:val="20"/>
          <w:color w:val="auto"/>
        </w:rPr>
      </w:pPr>
    </w:p>
    <w:p>
      <w:pPr>
        <w:jc w:val="both"/>
        <w:ind w:firstLine="616"/>
        <w:spacing w:after="0" w:line="277" w:lineRule="auto"/>
        <w:rPr>
          <w:sz w:val="20"/>
          <w:szCs w:val="20"/>
          <w:color w:val="auto"/>
        </w:rPr>
      </w:pPr>
      <w:r>
        <w:rPr>
          <w:rFonts w:ascii="Arial" w:cs="Arial" w:eastAsia="Arial" w:hAnsi="Arial"/>
          <w:sz w:val="17"/>
          <w:szCs w:val="17"/>
          <w:color w:val="auto"/>
        </w:rPr>
        <w:t>We consider undistributed earnings of our foreign subsidiaries as permanently reinvested and, accordingly, we have made no provision for U.S. federal or state income taxes thereon.</w:t>
      </w:r>
    </w:p>
    <w:p>
      <w:pPr>
        <w:spacing w:after="0" w:line="165" w:lineRule="exact"/>
        <w:rPr>
          <w:sz w:val="20"/>
          <w:szCs w:val="20"/>
          <w:color w:val="auto"/>
        </w:rPr>
      </w:pPr>
    </w:p>
    <w:p>
      <w:pPr>
        <w:jc w:val="both"/>
        <w:ind w:firstLine="616"/>
        <w:spacing w:after="0" w:line="277" w:lineRule="auto"/>
        <w:rPr>
          <w:sz w:val="20"/>
          <w:szCs w:val="20"/>
          <w:color w:val="auto"/>
        </w:rPr>
      </w:pPr>
      <w:r>
        <w:rPr>
          <w:rFonts w:ascii="Arial" w:cs="Arial" w:eastAsia="Arial" w:hAnsi="Arial"/>
          <w:sz w:val="17"/>
          <w:szCs w:val="17"/>
          <w:color w:val="auto"/>
        </w:rPr>
        <w:t>Our provision for income taxes attributable to continuing operations differs from the expected tax expense (benefit) amount computed by applying the statutory federal income tax rate of 34% to income before income taxes as a result of the following:</w:t>
      </w:r>
    </w:p>
    <w:p>
      <w:pPr>
        <w:spacing w:after="0" w:line="159" w:lineRule="exact"/>
        <w:rPr>
          <w:sz w:val="20"/>
          <w:szCs w:val="20"/>
          <w:color w:val="auto"/>
        </w:rPr>
      </w:pPr>
    </w:p>
    <w:tbl>
      <w:tblPr>
        <w:tblLayout w:type="fixed"/>
        <w:tblInd w:w="144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5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92"/>
              </w:rPr>
              <w:t>For the Year</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7"/>
                <w:szCs w:val="17"/>
                <w:b w:val="1"/>
                <w:bCs w:val="1"/>
                <w:color w:val="auto"/>
                <w:w w:val="92"/>
              </w:rPr>
              <w:t>For the Year</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92"/>
              </w:rPr>
              <w:t>Ended</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7"/>
                <w:szCs w:val="17"/>
                <w:b w:val="1"/>
                <w:bCs w:val="1"/>
                <w:color w:val="auto"/>
                <w:w w:val="92"/>
              </w:rPr>
              <w:t>Ended</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90"/>
              </w:rPr>
              <w:t>December 31,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40" w:type="dxa"/>
            <w:vAlign w:val="bottom"/>
          </w:tcPr>
          <w:p>
            <w:pPr>
              <w:spacing w:after="0"/>
              <w:rPr>
                <w:sz w:val="19"/>
                <w:szCs w:val="19"/>
                <w:color w:val="auto"/>
              </w:rPr>
            </w:pPr>
          </w:p>
        </w:tc>
        <w:tc>
          <w:tcPr>
            <w:tcW w:w="1600" w:type="dxa"/>
            <w:vAlign w:val="bottom"/>
            <w:gridSpan w:val="4"/>
          </w:tcPr>
          <w:p>
            <w:pPr>
              <w:jc w:val="center"/>
              <w:ind w:right="180"/>
              <w:spacing w:after="0"/>
              <w:rPr>
                <w:sz w:val="20"/>
                <w:szCs w:val="20"/>
                <w:color w:val="auto"/>
              </w:rPr>
            </w:pPr>
            <w:r>
              <w:rPr>
                <w:rFonts w:ascii="Arial" w:cs="Arial" w:eastAsia="Arial" w:hAnsi="Arial"/>
                <w:sz w:val="17"/>
                <w:szCs w:val="17"/>
                <w:b w:val="1"/>
                <w:bCs w:val="1"/>
                <w:color w:val="auto"/>
                <w:w w:val="90"/>
              </w:rPr>
              <w:t>December 31, 2012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center"/>
              <w:ind w:right="74"/>
              <w:spacing w:after="0"/>
              <w:rPr>
                <w:sz w:val="20"/>
                <w:szCs w:val="20"/>
                <w:color w:val="auto"/>
              </w:rPr>
            </w:pPr>
            <w:r>
              <w:rPr>
                <w:rFonts w:ascii="Arial" w:cs="Arial" w:eastAsia="Arial" w:hAnsi="Arial"/>
                <w:sz w:val="17"/>
                <w:szCs w:val="17"/>
                <w:b w:val="1"/>
                <w:bCs w:val="1"/>
                <w:color w:val="auto"/>
                <w:w w:val="84"/>
              </w:rPr>
              <w:t>2011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53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7"/>
                <w:szCs w:val="17"/>
                <w:color w:val="auto"/>
              </w:rPr>
              <w:t>Computed at statutory rate</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(934)</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(196)</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340" w:type="dxa"/>
            <w:vAlign w:val="bottom"/>
          </w:tcPr>
          <w:p>
            <w:pPr>
              <w:spacing w:after="0"/>
              <w:rPr>
                <w:sz w:val="20"/>
                <w:szCs w:val="20"/>
                <w:color w:val="auto"/>
              </w:rPr>
            </w:pPr>
            <w:r>
              <w:rPr>
                <w:rFonts w:ascii="Arial" w:cs="Arial" w:eastAsia="Arial" w:hAnsi="Arial"/>
                <w:sz w:val="17"/>
                <w:szCs w:val="17"/>
                <w:color w:val="auto"/>
              </w:rPr>
              <w:t>State taxes, net of federal benefit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61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7"/>
                <w:szCs w:val="17"/>
                <w:color w:val="auto"/>
              </w:rPr>
              <w:t>Permanent items and other</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248</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340" w:type="dxa"/>
            <w:vAlign w:val="bottom"/>
          </w:tcPr>
          <w:p>
            <w:pPr>
              <w:spacing w:after="0"/>
              <w:rPr>
                <w:sz w:val="20"/>
                <w:szCs w:val="20"/>
                <w:color w:val="auto"/>
              </w:rPr>
            </w:pPr>
            <w:r>
              <w:rPr>
                <w:rFonts w:ascii="Arial" w:cs="Arial" w:eastAsia="Arial" w:hAnsi="Arial"/>
                <w:sz w:val="17"/>
                <w:szCs w:val="17"/>
                <w:color w:val="auto"/>
              </w:rPr>
              <w:t>Credit carryforwards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667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7"/>
                <w:szCs w:val="17"/>
                <w:color w:val="auto"/>
              </w:rPr>
              <w:t>Foreign income taxed at different rates</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354</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340" w:type="dxa"/>
            <w:vAlign w:val="bottom"/>
          </w:tcPr>
          <w:p>
            <w:pPr>
              <w:spacing w:after="0"/>
              <w:rPr>
                <w:sz w:val="20"/>
                <w:szCs w:val="20"/>
                <w:color w:val="auto"/>
              </w:rPr>
            </w:pPr>
            <w:r>
              <w:rPr>
                <w:rFonts w:ascii="Arial" w:cs="Arial" w:eastAsia="Arial" w:hAnsi="Arial"/>
                <w:sz w:val="17"/>
                <w:szCs w:val="17"/>
                <w:color w:val="auto"/>
              </w:rPr>
              <w:t>Tax carryforwards not benefitted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7"/>
                <w:szCs w:val="17"/>
                <w:color w:val="auto"/>
              </w:rPr>
              <w:t>(111)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239</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tcPr>
          <w:p>
            <w:pPr>
              <w:spacing w:after="0"/>
              <w:rPr>
                <w:sz w:val="19"/>
                <w:szCs w:val="19"/>
                <w:color w:val="auto"/>
              </w:rPr>
            </w:pPr>
          </w:p>
        </w:tc>
        <w:tc>
          <w:tcPr>
            <w:tcW w:w="534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285</w:t>
            </w:r>
          </w:p>
        </w:tc>
        <w:tc>
          <w:tcPr>
            <w:tcW w:w="14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jc w:val="both"/>
        <w:ind w:firstLine="616"/>
        <w:spacing w:after="0" w:line="289" w:lineRule="auto"/>
        <w:rPr>
          <w:sz w:val="20"/>
          <w:szCs w:val="20"/>
          <w:color w:val="auto"/>
        </w:rPr>
      </w:pPr>
      <w:r>
        <w:rPr>
          <w:rFonts w:ascii="Arial" w:cs="Arial" w:eastAsia="Arial" w:hAnsi="Arial"/>
          <w:sz w:val="16"/>
          <w:szCs w:val="16"/>
          <w:color w:val="auto"/>
        </w:rPr>
        <w:t>In August 2007, we adopted ASC 740-10 regarding uncertain tax positions. We did not record any additional tax liability as a result of the adoption of ASC 740-10 and no adjustment was required to the August 1, 2007 balance of retained earnings. The total amount of unrecognized tax benefits as of January 1, 2012 was approximately $1,051. The reconciliation of our unrecognized tax benefits at the beginning and end of the year is as follows:</w:t>
      </w:r>
    </w:p>
    <w:p>
      <w:pPr>
        <w:spacing w:after="0" w:line="169" w:lineRule="exact"/>
        <w:rPr>
          <w:sz w:val="20"/>
          <w:szCs w:val="20"/>
          <w:color w:val="auto"/>
        </w:rPr>
      </w:pPr>
    </w:p>
    <w:tbl>
      <w:tblPr>
        <w:tblLayout w:type="fixed"/>
        <w:tblInd w:w="1440" w:type="dxa"/>
        <w:tblCellMar>
          <w:top w:w="0" w:type="dxa"/>
          <w:left w:w="0" w:type="dxa"/>
          <w:bottom w:w="0" w:type="dxa"/>
          <w:right w:w="0" w:type="dxa"/>
        </w:tblCellMar>
      </w:tblPr>
      <w:tr>
        <w:trPr>
          <w:trHeight w:val="205"/>
        </w:trPr>
        <w:tc>
          <w:tcPr>
            <w:tcW w:w="7060" w:type="dxa"/>
            <w:vAlign w:val="bottom"/>
            <w:shd w:val="clear" w:color="auto" w:fill="CCEEFF"/>
          </w:tcPr>
          <w:p>
            <w:pPr>
              <w:spacing w:after="0"/>
              <w:rPr>
                <w:sz w:val="20"/>
                <w:szCs w:val="20"/>
                <w:color w:val="auto"/>
              </w:rPr>
            </w:pPr>
            <w:r>
              <w:rPr>
                <w:rFonts w:ascii="Arial" w:cs="Arial" w:eastAsia="Arial" w:hAnsi="Arial"/>
                <w:sz w:val="17"/>
                <w:szCs w:val="17"/>
                <w:color w:val="auto"/>
              </w:rPr>
              <w:t>Balance at January 1, 2012</w:t>
            </w:r>
          </w:p>
        </w:tc>
        <w:tc>
          <w:tcPr>
            <w:tcW w:w="54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1,051</w:t>
            </w:r>
          </w:p>
        </w:tc>
        <w:tc>
          <w:tcPr>
            <w:tcW w:w="120" w:type="dxa"/>
            <w:vAlign w:val="bottom"/>
            <w:shd w:val="clear" w:color="auto" w:fill="CCEEFF"/>
          </w:tcPr>
          <w:p>
            <w:pPr>
              <w:spacing w:after="0"/>
              <w:rPr>
                <w:sz w:val="17"/>
                <w:szCs w:val="17"/>
                <w:color w:val="auto"/>
              </w:rPr>
            </w:pPr>
          </w:p>
        </w:tc>
      </w:tr>
      <w:tr>
        <w:trPr>
          <w:trHeight w:val="205"/>
        </w:trPr>
        <w:tc>
          <w:tcPr>
            <w:tcW w:w="7060" w:type="dxa"/>
            <w:vAlign w:val="bottom"/>
          </w:tcPr>
          <w:p>
            <w:pPr>
              <w:spacing w:after="0"/>
              <w:rPr>
                <w:sz w:val="20"/>
                <w:szCs w:val="20"/>
                <w:color w:val="auto"/>
              </w:rPr>
            </w:pPr>
            <w:r>
              <w:rPr>
                <w:rFonts w:ascii="Arial" w:cs="Arial" w:eastAsia="Arial" w:hAnsi="Arial"/>
                <w:sz w:val="17"/>
                <w:szCs w:val="17"/>
                <w:color w:val="auto"/>
              </w:rPr>
              <w:t>Additions based on tax positions related to the current year</w:t>
            </w: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34</w:t>
            </w:r>
          </w:p>
        </w:tc>
        <w:tc>
          <w:tcPr>
            <w:tcW w:w="120" w:type="dxa"/>
            <w:vAlign w:val="bottom"/>
          </w:tcPr>
          <w:p>
            <w:pPr>
              <w:spacing w:after="0"/>
              <w:rPr>
                <w:sz w:val="17"/>
                <w:szCs w:val="17"/>
                <w:color w:val="auto"/>
              </w:rPr>
            </w:pPr>
          </w:p>
        </w:tc>
      </w:tr>
      <w:tr>
        <w:trPr>
          <w:trHeight w:val="205"/>
        </w:trPr>
        <w:tc>
          <w:tcPr>
            <w:tcW w:w="7060" w:type="dxa"/>
            <w:vAlign w:val="bottom"/>
            <w:shd w:val="clear" w:color="auto" w:fill="CCEEFF"/>
          </w:tcPr>
          <w:p>
            <w:pPr>
              <w:spacing w:after="0"/>
              <w:rPr>
                <w:sz w:val="20"/>
                <w:szCs w:val="20"/>
                <w:color w:val="auto"/>
              </w:rPr>
            </w:pPr>
            <w:r>
              <w:rPr>
                <w:rFonts w:ascii="Arial" w:cs="Arial" w:eastAsia="Arial" w:hAnsi="Arial"/>
                <w:sz w:val="17"/>
                <w:szCs w:val="17"/>
                <w:color w:val="auto"/>
              </w:rPr>
              <w:t>Additions for tax positions of prior years</w:t>
            </w: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w:t>
            </w:r>
          </w:p>
        </w:tc>
        <w:tc>
          <w:tcPr>
            <w:tcW w:w="120" w:type="dxa"/>
            <w:vAlign w:val="bottom"/>
            <w:shd w:val="clear" w:color="auto" w:fill="CCEEFF"/>
          </w:tcPr>
          <w:p>
            <w:pPr>
              <w:spacing w:after="0"/>
              <w:rPr>
                <w:sz w:val="17"/>
                <w:szCs w:val="17"/>
                <w:color w:val="auto"/>
              </w:rPr>
            </w:pPr>
          </w:p>
        </w:tc>
      </w:tr>
      <w:tr>
        <w:trPr>
          <w:trHeight w:val="205"/>
        </w:trPr>
        <w:tc>
          <w:tcPr>
            <w:tcW w:w="7060" w:type="dxa"/>
            <w:vAlign w:val="bottom"/>
          </w:tcPr>
          <w:p>
            <w:pPr>
              <w:spacing w:after="0"/>
              <w:rPr>
                <w:sz w:val="20"/>
                <w:szCs w:val="20"/>
                <w:color w:val="auto"/>
              </w:rPr>
            </w:pPr>
            <w:r>
              <w:rPr>
                <w:rFonts w:ascii="Arial" w:cs="Arial" w:eastAsia="Arial" w:hAnsi="Arial"/>
                <w:sz w:val="17"/>
                <w:szCs w:val="17"/>
                <w:color w:val="auto"/>
              </w:rPr>
              <w:t>Balance at December 31, 2012</w:t>
            </w:r>
          </w:p>
        </w:tc>
        <w:tc>
          <w:tcPr>
            <w:tcW w:w="54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1,195</w:t>
            </w:r>
          </w:p>
        </w:tc>
        <w:tc>
          <w:tcPr>
            <w:tcW w:w="120" w:type="dxa"/>
            <w:vAlign w:val="bottom"/>
          </w:tcPr>
          <w:p>
            <w:pPr>
              <w:spacing w:after="0"/>
              <w:rPr>
                <w:sz w:val="17"/>
                <w:szCs w:val="17"/>
                <w:color w:val="auto"/>
              </w:rPr>
            </w:pPr>
          </w:p>
        </w:tc>
      </w:tr>
      <w:tr>
        <w:trPr>
          <w:trHeight w:val="20"/>
        </w:trPr>
        <w:tc>
          <w:tcPr>
            <w:tcW w:w="7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As of December 31, 2012, we had $1,195 of unrecognized tax benefits, which would affect the effective tax rate if recognized.</w:t>
      </w:r>
    </w:p>
    <w:p>
      <w:pPr>
        <w:spacing w:after="0" w:line="215" w:lineRule="exact"/>
        <w:rPr>
          <w:sz w:val="20"/>
          <w:szCs w:val="20"/>
          <w:color w:val="auto"/>
        </w:rPr>
      </w:pPr>
    </w:p>
    <w:p>
      <w:pPr>
        <w:jc w:val="both"/>
        <w:ind w:firstLine="616"/>
        <w:spacing w:after="0" w:line="277" w:lineRule="auto"/>
        <w:rPr>
          <w:sz w:val="20"/>
          <w:szCs w:val="20"/>
          <w:color w:val="auto"/>
        </w:rPr>
      </w:pPr>
      <w:r>
        <w:rPr>
          <w:rFonts w:ascii="Arial" w:cs="Arial" w:eastAsia="Arial" w:hAnsi="Arial"/>
          <w:sz w:val="17"/>
          <w:szCs w:val="17"/>
          <w:color w:val="auto"/>
        </w:rPr>
        <w:t>Our practice is to recognize interest and/or penalties related to income tax matters in income tax expense. During 2012, we recognized $5 of interest and penalties in our income tax expense.</w:t>
      </w:r>
    </w:p>
    <w:p>
      <w:pPr>
        <w:spacing w:after="0" w:line="165" w:lineRule="exact"/>
        <w:rPr>
          <w:sz w:val="20"/>
          <w:szCs w:val="20"/>
          <w:color w:val="auto"/>
        </w:rPr>
      </w:pPr>
    </w:p>
    <w:p>
      <w:pPr>
        <w:jc w:val="both"/>
        <w:ind w:firstLine="616"/>
        <w:spacing w:after="0" w:line="264" w:lineRule="auto"/>
        <w:rPr>
          <w:sz w:val="20"/>
          <w:szCs w:val="20"/>
          <w:color w:val="auto"/>
        </w:rPr>
      </w:pPr>
      <w:r>
        <w:rPr>
          <w:rFonts w:ascii="Arial" w:cs="Arial" w:eastAsia="Arial" w:hAnsi="Arial"/>
          <w:sz w:val="17"/>
          <w:szCs w:val="17"/>
          <w:color w:val="auto"/>
        </w:rPr>
        <w:t>Asure files tax returns in the U.S. federal jurisdiction and in several state and foreign jurisdictions. We are no longer subject to U.S. federal income tax examinations for years ending before July 31, 2009 and are no longer subject to state and local or foreign income tax examinations by tax authorities for years ending before July 31, 2008. Asure is not currently under audit for federal, state or any foreign jurisdictions.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9" w:name="page50"/>
    <w:bookmarkEnd w:id="4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ASURE SOFTWARE,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thousands, except share and per share data or otherwise noted)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14 - LEASE COMMITMENTS</w:t>
      </w:r>
    </w:p>
    <w:p>
      <w:pPr>
        <w:spacing w:after="0" w:line="24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Asure’s future minimum lease payments under all operating and capital leases as of December 31, 2012 are as follows:</w:t>
      </w:r>
    </w:p>
    <w:p>
      <w:pPr>
        <w:spacing w:after="0" w:line="235" w:lineRule="exact"/>
        <w:rPr>
          <w:sz w:val="20"/>
          <w:szCs w:val="20"/>
          <w:color w:val="auto"/>
        </w:rPr>
      </w:pPr>
    </w:p>
    <w:tbl>
      <w:tblPr>
        <w:tblLayout w:type="fixed"/>
        <w:tblInd w:w="144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5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center"/>
              <w:ind w:right="114"/>
              <w:spacing w:after="0"/>
              <w:rPr>
                <w:sz w:val="20"/>
                <w:szCs w:val="20"/>
                <w:color w:val="auto"/>
              </w:rPr>
            </w:pPr>
            <w:r>
              <w:rPr>
                <w:rFonts w:ascii="Arial" w:cs="Arial" w:eastAsia="Arial" w:hAnsi="Arial"/>
                <w:sz w:val="17"/>
                <w:szCs w:val="17"/>
                <w:b w:val="1"/>
                <w:bCs w:val="1"/>
                <w:color w:val="auto"/>
              </w:rPr>
              <w:t>OPERATING</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rPr>
              <w:t>CAPITAL</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center"/>
              <w:ind w:right="134"/>
              <w:spacing w:after="0"/>
              <w:rPr>
                <w:sz w:val="20"/>
                <w:szCs w:val="20"/>
                <w:color w:val="auto"/>
              </w:rPr>
            </w:pPr>
            <w:r>
              <w:rPr>
                <w:rFonts w:ascii="Arial" w:cs="Arial" w:eastAsia="Arial" w:hAnsi="Arial"/>
                <w:sz w:val="17"/>
                <w:szCs w:val="17"/>
                <w:b w:val="1"/>
                <w:bCs w:val="1"/>
                <w:color w:val="auto"/>
                <w:w w:val="98"/>
              </w:rPr>
              <w:t>LEASE</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98"/>
              </w:rPr>
              <w:t>LEASE</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40" w:type="dxa"/>
            <w:vAlign w:val="bottom"/>
          </w:tcPr>
          <w:p>
            <w:pPr>
              <w:ind w:left="1360"/>
              <w:spacing w:after="0"/>
              <w:rPr>
                <w:sz w:val="20"/>
                <w:szCs w:val="20"/>
                <w:color w:val="auto"/>
              </w:rPr>
            </w:pPr>
            <w:r>
              <w:rPr>
                <w:rFonts w:ascii="Arial" w:cs="Arial" w:eastAsia="Arial" w:hAnsi="Arial"/>
                <w:sz w:val="17"/>
                <w:szCs w:val="17"/>
                <w:b w:val="1"/>
                <w:bCs w:val="1"/>
                <w:color w:val="auto"/>
              </w:rPr>
              <w:t>CALENDAR YEAR ENDING:</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center"/>
              <w:ind w:right="134"/>
              <w:spacing w:after="0"/>
              <w:rPr>
                <w:sz w:val="20"/>
                <w:szCs w:val="20"/>
                <w:color w:val="auto"/>
              </w:rPr>
            </w:pPr>
            <w:r>
              <w:rPr>
                <w:rFonts w:ascii="Arial" w:cs="Arial" w:eastAsia="Arial" w:hAnsi="Arial"/>
                <w:sz w:val="17"/>
                <w:szCs w:val="17"/>
                <w:b w:val="1"/>
                <w:bCs w:val="1"/>
                <w:color w:val="auto"/>
              </w:rPr>
              <w:t>OBLIGATIONS</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rPr>
              <w:t>OBLIGATIONS</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2013</w:t>
            </w:r>
          </w:p>
        </w:tc>
        <w:tc>
          <w:tcPr>
            <w:tcW w:w="1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725</w:t>
            </w:r>
          </w:p>
        </w:tc>
        <w:tc>
          <w:tcPr>
            <w:tcW w:w="1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040" w:type="dxa"/>
            <w:vAlign w:val="bottom"/>
          </w:tcPr>
          <w:p>
            <w:pPr>
              <w:spacing w:after="0"/>
              <w:rPr>
                <w:sz w:val="20"/>
                <w:szCs w:val="20"/>
                <w:color w:val="auto"/>
              </w:rPr>
            </w:pPr>
            <w:r>
              <w:rPr>
                <w:rFonts w:ascii="Arial" w:cs="Arial" w:eastAsia="Arial" w:hAnsi="Arial"/>
                <w:sz w:val="17"/>
                <w:szCs w:val="17"/>
                <w:color w:val="auto"/>
              </w:rPr>
              <w:t>2014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604</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80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7"/>
                <w:szCs w:val="17"/>
                <w:color w:val="auto"/>
              </w:rPr>
              <w:t>2015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438</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040" w:type="dxa"/>
            <w:vAlign w:val="bottom"/>
          </w:tcPr>
          <w:p>
            <w:pPr>
              <w:spacing w:after="0"/>
              <w:rPr>
                <w:sz w:val="20"/>
                <w:szCs w:val="20"/>
                <w:color w:val="auto"/>
              </w:rPr>
            </w:pPr>
            <w:r>
              <w:rPr>
                <w:rFonts w:ascii="Arial" w:cs="Arial" w:eastAsia="Arial" w:hAnsi="Arial"/>
                <w:sz w:val="17"/>
                <w:szCs w:val="17"/>
                <w:color w:val="auto"/>
              </w:rPr>
              <w:t>2016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59</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85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2017</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7"/>
                <w:szCs w:val="17"/>
                <w:color w:val="auto"/>
              </w:rPr>
              <w:t>Thereafter</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5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5040" w:type="dxa"/>
            <w:vAlign w:val="bottom"/>
          </w:tcPr>
          <w:p>
            <w:pPr>
              <w:spacing w:after="0"/>
              <w:rPr>
                <w:sz w:val="20"/>
                <w:szCs w:val="20"/>
                <w:color w:val="auto"/>
              </w:rPr>
            </w:pPr>
            <w:r>
              <w:rPr>
                <w:rFonts w:ascii="Arial" w:cs="Arial" w:eastAsia="Arial" w:hAnsi="Arial"/>
                <w:sz w:val="17"/>
                <w:szCs w:val="17"/>
                <w:b w:val="1"/>
                <w:bCs w:val="1"/>
                <w:color w:val="auto"/>
              </w:rPr>
              <w:t>TOTAL</w:t>
            </w:r>
          </w:p>
        </w:tc>
        <w:tc>
          <w:tcPr>
            <w:tcW w:w="200" w:type="dxa"/>
            <w:vAlign w:val="bottom"/>
            <w:gridSpan w:val="2"/>
          </w:tcPr>
          <w:p>
            <w:pPr>
              <w:jc w:val="right"/>
              <w:ind w:right="20"/>
              <w:spacing w:after="0"/>
              <w:rPr>
                <w:sz w:val="20"/>
                <w:szCs w:val="20"/>
                <w:color w:val="auto"/>
              </w:rPr>
            </w:pPr>
            <w:r>
              <w:rPr>
                <w:rFonts w:ascii="Arial" w:cs="Arial" w:eastAsia="Arial" w:hAnsi="Arial"/>
                <w:sz w:val="17"/>
                <w:szCs w:val="17"/>
                <w:b w:val="1"/>
                <w:bCs w:val="1"/>
                <w:color w:val="auto"/>
              </w:rPr>
              <w:t>$</w:t>
            </w:r>
          </w:p>
        </w:tc>
        <w:tc>
          <w:tcPr>
            <w:tcW w:w="1460" w:type="dxa"/>
            <w:vAlign w:val="bottom"/>
          </w:tcPr>
          <w:p>
            <w:pPr>
              <w:jc w:val="right"/>
              <w:spacing w:after="0"/>
              <w:rPr>
                <w:sz w:val="20"/>
                <w:szCs w:val="20"/>
                <w:color w:val="auto"/>
              </w:rPr>
            </w:pPr>
            <w:r>
              <w:rPr>
                <w:rFonts w:ascii="Arial" w:cs="Arial" w:eastAsia="Arial" w:hAnsi="Arial"/>
                <w:sz w:val="17"/>
                <w:szCs w:val="17"/>
                <w:b w:val="1"/>
                <w:bCs w:val="1"/>
                <w:color w:val="auto"/>
              </w:rPr>
              <w:t>1,826</w:t>
            </w:r>
          </w:p>
        </w:tc>
        <w:tc>
          <w:tcPr>
            <w:tcW w:w="280" w:type="dxa"/>
            <w:vAlign w:val="bottom"/>
            <w:gridSpan w:val="2"/>
          </w:tcPr>
          <w:p>
            <w:pPr>
              <w:jc w:val="right"/>
              <w:ind w:right="20"/>
              <w:spacing w:after="0"/>
              <w:rPr>
                <w:sz w:val="20"/>
                <w:szCs w:val="20"/>
                <w:color w:val="auto"/>
              </w:rPr>
            </w:pPr>
            <w:r>
              <w:rPr>
                <w:rFonts w:ascii="Arial" w:cs="Arial" w:eastAsia="Arial" w:hAnsi="Arial"/>
                <w:sz w:val="17"/>
                <w:szCs w:val="17"/>
                <w:b w:val="1"/>
                <w:bCs w:val="1"/>
                <w:color w:val="auto"/>
              </w:rPr>
              <w:t>$</w:t>
            </w:r>
          </w:p>
        </w:tc>
        <w:tc>
          <w:tcPr>
            <w:tcW w:w="1460" w:type="dxa"/>
            <w:vAlign w:val="bottom"/>
          </w:tcPr>
          <w:p>
            <w:pPr>
              <w:jc w:val="right"/>
              <w:spacing w:after="0"/>
              <w:rPr>
                <w:sz w:val="20"/>
                <w:szCs w:val="20"/>
                <w:color w:val="auto"/>
              </w:rPr>
            </w:pPr>
            <w:r>
              <w:rPr>
                <w:rFonts w:ascii="Arial" w:cs="Arial" w:eastAsia="Arial" w:hAnsi="Arial"/>
                <w:sz w:val="17"/>
                <w:szCs w:val="17"/>
                <w:b w:val="1"/>
                <w:bCs w:val="1"/>
                <w:color w:val="auto"/>
              </w:rPr>
              <w:t>389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5040" w:type="dxa"/>
            <w:vAlign w:val="bottom"/>
          </w:tcPr>
          <w:p>
            <w:pPr>
              <w:spacing w:after="0"/>
              <w:rPr>
                <w:sz w:val="20"/>
                <w:szCs w:val="20"/>
                <w:color w:val="auto"/>
              </w:rPr>
            </w:pPr>
            <w:r>
              <w:rPr>
                <w:rFonts w:ascii="Arial" w:cs="Arial" w:eastAsia="Arial" w:hAnsi="Arial"/>
                <w:sz w:val="17"/>
                <w:szCs w:val="17"/>
                <w:color w:val="auto"/>
              </w:rPr>
              <w:t>Less current portion of obligations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gridSpan w:val="2"/>
          </w:tcPr>
          <w:p>
            <w:pPr>
              <w:jc w:val="right"/>
              <w:ind w:right="60"/>
              <w:spacing w:after="0"/>
              <w:rPr>
                <w:sz w:val="20"/>
                <w:szCs w:val="20"/>
                <w:color w:val="auto"/>
              </w:rPr>
            </w:pPr>
            <w:r>
              <w:rPr>
                <w:rFonts w:ascii="Arial" w:cs="Arial" w:eastAsia="Arial" w:hAnsi="Arial"/>
                <w:sz w:val="17"/>
                <w:szCs w:val="17"/>
                <w:color w:val="auto"/>
              </w:rPr>
              <w:t>(82)</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5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vMerge w:val="continue"/>
          </w:tcPr>
          <w:p>
            <w:pPr>
              <w:spacing w:after="0"/>
              <w:rPr>
                <w:sz w:val="19"/>
                <w:szCs w:val="19"/>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7"/>
                <w:szCs w:val="17"/>
                <w:color w:val="auto"/>
              </w:rPr>
              <w:t>Long-term portion of obligations</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307</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9" w:lineRule="exact"/>
        <w:rPr>
          <w:sz w:val="20"/>
          <w:szCs w:val="20"/>
          <w:color w:val="auto"/>
        </w:rPr>
      </w:pPr>
    </w:p>
    <w:p>
      <w:pPr>
        <w:ind w:firstLine="616"/>
        <w:spacing w:after="0" w:line="277" w:lineRule="auto"/>
        <w:rPr>
          <w:sz w:val="20"/>
          <w:szCs w:val="20"/>
          <w:color w:val="auto"/>
        </w:rPr>
      </w:pPr>
      <w:r>
        <w:rPr>
          <w:rFonts w:ascii="Arial" w:cs="Arial" w:eastAsia="Arial" w:hAnsi="Arial"/>
          <w:sz w:val="17"/>
          <w:szCs w:val="17"/>
          <w:color w:val="auto"/>
        </w:rPr>
        <w:t>Total rent expense under all operating leases for 2012 and 2011 were $589 and $433, respectively. For 2012 and 2011, approximately 51% and 76.0%, respectively, of our total operating lease obligations relates to our corporate office facility at Wild Basin in Austin, Texas.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15 – SUBSEQUENT EVENT</w:t>
      </w:r>
    </w:p>
    <w:p>
      <w:pPr>
        <w:spacing w:after="0" w:line="221" w:lineRule="exact"/>
        <w:rPr>
          <w:sz w:val="20"/>
          <w:szCs w:val="20"/>
          <w:color w:val="auto"/>
        </w:rPr>
      </w:pPr>
    </w:p>
    <w:p>
      <w:pPr>
        <w:ind w:firstLine="659"/>
        <w:spacing w:after="0" w:line="277" w:lineRule="auto"/>
        <w:rPr>
          <w:sz w:val="20"/>
          <w:szCs w:val="20"/>
          <w:color w:val="auto"/>
        </w:rPr>
      </w:pPr>
      <w:r>
        <w:rPr>
          <w:rFonts w:ascii="Arial" w:cs="Arial" w:eastAsia="Arial" w:hAnsi="Arial"/>
          <w:sz w:val="17"/>
          <w:szCs w:val="17"/>
          <w:color w:val="auto"/>
        </w:rPr>
        <w:t>On March 29, 2013, we amended our Senior Note Payable that provided for updated financial covenants in exchange for an increase in the floor interest rate from 10% to 11.5%. See Note 5 for more information.</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0" w:name="page51"/>
    <w:bookmarkEnd w:id="5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SIGNATURES</w:t>
      </w:r>
    </w:p>
    <w:p>
      <w:pPr>
        <w:spacing w:after="0" w:line="247" w:lineRule="exact"/>
        <w:rPr>
          <w:sz w:val="20"/>
          <w:szCs w:val="20"/>
          <w:color w:val="auto"/>
        </w:rPr>
      </w:pPr>
    </w:p>
    <w:p>
      <w:pPr>
        <w:ind w:firstLine="43"/>
        <w:spacing w:after="0" w:line="277"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159" w:lineRule="exact"/>
        <w:rPr>
          <w:sz w:val="20"/>
          <w:szCs w:val="20"/>
          <w:color w:val="auto"/>
        </w:rPr>
      </w:pPr>
    </w:p>
    <w:p>
      <w:pPr>
        <w:ind w:left="5320"/>
        <w:spacing w:after="0"/>
        <w:rPr>
          <w:sz w:val="20"/>
          <w:szCs w:val="20"/>
          <w:color w:val="auto"/>
        </w:rPr>
      </w:pPr>
      <w:r>
        <w:rPr>
          <w:rFonts w:ascii="Arial" w:cs="Arial" w:eastAsia="Arial" w:hAnsi="Arial"/>
          <w:sz w:val="17"/>
          <w:szCs w:val="17"/>
          <w:b w:val="1"/>
          <w:bCs w:val="1"/>
          <w:color w:val="auto"/>
        </w:rPr>
        <w:t>ASURE SOFTWARE, INC.</w:t>
      </w:r>
    </w:p>
    <w:p>
      <w:pPr>
        <w:spacing w:after="0" w:line="221" w:lineRule="exact"/>
        <w:rPr>
          <w:sz w:val="20"/>
          <w:szCs w:val="20"/>
          <w:color w:val="auto"/>
        </w:rPr>
      </w:pPr>
    </w:p>
    <w:p>
      <w:pPr>
        <w:spacing w:after="0"/>
        <w:tabs>
          <w:tab w:leader="none" w:pos="5300" w:val="left"/>
          <w:tab w:leader="none" w:pos="6160" w:val="left"/>
        </w:tabs>
        <w:rPr>
          <w:sz w:val="20"/>
          <w:szCs w:val="20"/>
          <w:color w:val="auto"/>
        </w:rPr>
      </w:pPr>
      <w:r>
        <w:rPr>
          <w:rFonts w:ascii="Arial" w:cs="Arial" w:eastAsia="Arial" w:hAnsi="Arial"/>
          <w:sz w:val="17"/>
          <w:szCs w:val="17"/>
          <w:color w:val="auto"/>
        </w:rPr>
        <w:t>April 1, 2013</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6"/>
          <w:szCs w:val="16"/>
          <w:color w:val="auto"/>
        </w:rPr>
        <w:t>/s/  PATRICK GOEPEL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13970</wp:posOffset>
            </wp:positionV>
            <wp:extent cx="2453005" cy="165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453005" cy="16510"/>
                    </a:xfrm>
                    <a:prstGeom prst="rect">
                      <a:avLst/>
                    </a:prstGeom>
                    <a:noFill/>
                  </pic:spPr>
                </pic:pic>
              </a:graphicData>
            </a:graphic>
          </wp:anchor>
        </w:drawing>
      </w:r>
    </w:p>
    <w:p>
      <w:pPr>
        <w:spacing w:after="0" w:line="16" w:lineRule="exact"/>
        <w:rPr>
          <w:sz w:val="20"/>
          <w:szCs w:val="20"/>
          <w:color w:val="auto"/>
        </w:rPr>
      </w:pPr>
    </w:p>
    <w:p>
      <w:pPr>
        <w:ind w:left="6640"/>
        <w:spacing w:after="0"/>
        <w:rPr>
          <w:sz w:val="20"/>
          <w:szCs w:val="20"/>
          <w:color w:val="auto"/>
        </w:rPr>
      </w:pPr>
      <w:r>
        <w:rPr>
          <w:rFonts w:ascii="Arial" w:cs="Arial" w:eastAsia="Arial" w:hAnsi="Arial"/>
          <w:sz w:val="17"/>
          <w:szCs w:val="17"/>
          <w:color w:val="auto"/>
        </w:rPr>
        <w:t>Patrick Goepel</w:t>
      </w:r>
    </w:p>
    <w:p>
      <w:pPr>
        <w:spacing w:after="0" w:line="21" w:lineRule="exact"/>
        <w:rPr>
          <w:sz w:val="20"/>
          <w:szCs w:val="20"/>
          <w:color w:val="auto"/>
        </w:rPr>
      </w:pPr>
    </w:p>
    <w:p>
      <w:pPr>
        <w:ind w:left="6640"/>
        <w:spacing w:after="0"/>
        <w:rPr>
          <w:sz w:val="20"/>
          <w:szCs w:val="20"/>
          <w:color w:val="auto"/>
        </w:rPr>
      </w:pPr>
      <w:r>
        <w:rPr>
          <w:rFonts w:ascii="Arial" w:cs="Arial" w:eastAsia="Arial" w:hAnsi="Arial"/>
          <w:sz w:val="17"/>
          <w:szCs w:val="17"/>
          <w:color w:val="auto"/>
        </w:rPr>
        <w:t>Chief Executive Officer</w:t>
      </w:r>
    </w:p>
    <w:p>
      <w:pPr>
        <w:spacing w:after="0" w:line="200" w:lineRule="exact"/>
        <w:rPr>
          <w:sz w:val="20"/>
          <w:szCs w:val="20"/>
          <w:color w:val="auto"/>
        </w:rPr>
      </w:pPr>
    </w:p>
    <w:p>
      <w:pPr>
        <w:spacing w:after="0" w:line="235" w:lineRule="exact"/>
        <w:rPr>
          <w:sz w:val="20"/>
          <w:szCs w:val="20"/>
          <w:color w:val="auto"/>
        </w:rPr>
      </w:pPr>
    </w:p>
    <w:p>
      <w:pPr>
        <w:spacing w:after="0" w:line="277" w:lineRule="auto"/>
        <w:rPr>
          <w:sz w:val="20"/>
          <w:szCs w:val="20"/>
          <w:color w:val="auto"/>
        </w:rPr>
      </w:pPr>
      <w:r>
        <w:rPr>
          <w:rFonts w:ascii="Arial" w:cs="Arial" w:eastAsia="Arial" w:hAnsi="Arial"/>
          <w:sz w:val="17"/>
          <w:szCs w:val="17"/>
          <w:color w:val="auto"/>
        </w:rPr>
        <w:t>Pursuant to the requirements of the Securities Exchange Act of 1934, this report has been signed by the following persons on behalf of the Registrant and in the capacities and on the date indicated.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80" w:type="dxa"/>
            <w:vAlign w:val="bottom"/>
            <w:tcBorders>
              <w:bottom w:val="single" w:sz="8" w:color="auto"/>
            </w:tcBorders>
          </w:tcPr>
          <w:p>
            <w:pPr>
              <w:spacing w:after="0"/>
              <w:rPr>
                <w:sz w:val="19"/>
                <w:szCs w:val="19"/>
                <w:color w:val="auto"/>
              </w:rPr>
            </w:pPr>
          </w:p>
        </w:tc>
        <w:tc>
          <w:tcPr>
            <w:tcW w:w="3300" w:type="dxa"/>
            <w:vAlign w:val="bottom"/>
            <w:tcBorders>
              <w:bottom w:val="single" w:sz="8" w:color="auto"/>
            </w:tcBorders>
          </w:tcPr>
          <w:p>
            <w:pPr>
              <w:ind w:left="880"/>
              <w:spacing w:after="0"/>
              <w:rPr>
                <w:sz w:val="20"/>
                <w:szCs w:val="20"/>
                <w:color w:val="auto"/>
              </w:rPr>
            </w:pPr>
            <w:r>
              <w:rPr>
                <w:rFonts w:ascii="Arial" w:cs="Arial" w:eastAsia="Arial" w:hAnsi="Arial"/>
                <w:sz w:val="17"/>
                <w:szCs w:val="17"/>
                <w:b w:val="1"/>
                <w:bCs w:val="1"/>
                <w:color w:val="auto"/>
              </w:rPr>
              <w:t>Signature</w:t>
            </w:r>
          </w:p>
        </w:tc>
        <w:tc>
          <w:tcPr>
            <w:tcW w:w="900" w:type="dxa"/>
            <w:vAlign w:val="bottom"/>
          </w:tcPr>
          <w:p>
            <w:pPr>
              <w:spacing w:after="0"/>
              <w:rPr>
                <w:sz w:val="19"/>
                <w:szCs w:val="19"/>
                <w:color w:val="auto"/>
              </w:rPr>
            </w:pPr>
          </w:p>
        </w:tc>
        <w:tc>
          <w:tcPr>
            <w:tcW w:w="2900" w:type="dxa"/>
            <w:vAlign w:val="bottom"/>
            <w:tcBorders>
              <w:bottom w:val="single" w:sz="8" w:color="auto"/>
            </w:tcBorders>
          </w:tcPr>
          <w:p>
            <w:pPr>
              <w:jc w:val="right"/>
              <w:ind w:right="1214"/>
              <w:spacing w:after="0"/>
              <w:rPr>
                <w:sz w:val="20"/>
                <w:szCs w:val="20"/>
                <w:color w:val="auto"/>
              </w:rPr>
            </w:pPr>
            <w:r>
              <w:rPr>
                <w:rFonts w:ascii="Arial" w:cs="Arial" w:eastAsia="Arial" w:hAnsi="Arial"/>
                <w:sz w:val="17"/>
                <w:szCs w:val="17"/>
                <w:b w:val="1"/>
                <w:bCs w:val="1"/>
                <w:color w:val="auto"/>
              </w:rPr>
              <w:t>Title</w:t>
            </w:r>
          </w:p>
        </w:tc>
        <w:tc>
          <w:tcPr>
            <w:tcW w:w="900" w:type="dxa"/>
            <w:vAlign w:val="bottom"/>
          </w:tcPr>
          <w:p>
            <w:pPr>
              <w:spacing w:after="0"/>
              <w:rPr>
                <w:sz w:val="19"/>
                <w:szCs w:val="19"/>
                <w:color w:val="auto"/>
              </w:rPr>
            </w:pPr>
          </w:p>
        </w:tc>
        <w:tc>
          <w:tcPr>
            <w:tcW w:w="264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Date</w:t>
            </w:r>
          </w:p>
        </w:tc>
      </w:tr>
      <w:tr>
        <w:trPr>
          <w:trHeight w:val="416"/>
        </w:trPr>
        <w:tc>
          <w:tcPr>
            <w:tcW w:w="780" w:type="dxa"/>
            <w:vAlign w:val="bottom"/>
            <w:tcBorders>
              <w:bottom w:val="single" w:sz="8" w:color="auto"/>
            </w:tcBorders>
          </w:tcPr>
          <w:p>
            <w:pPr>
              <w:ind w:left="380"/>
              <w:spacing w:after="0"/>
              <w:rPr>
                <w:sz w:val="20"/>
                <w:szCs w:val="20"/>
                <w:color w:val="auto"/>
              </w:rPr>
            </w:pPr>
            <w:r>
              <w:rPr>
                <w:rFonts w:ascii="Arial" w:cs="Arial" w:eastAsia="Arial" w:hAnsi="Arial"/>
                <w:sz w:val="17"/>
                <w:szCs w:val="17"/>
                <w:color w:val="auto"/>
              </w:rPr>
              <w:t>/s/</w:t>
            </w:r>
          </w:p>
        </w:tc>
        <w:tc>
          <w:tcPr>
            <w:tcW w:w="3300" w:type="dxa"/>
            <w:vAlign w:val="bottom"/>
            <w:tcBorders>
              <w:bottom w:val="single" w:sz="8" w:color="auto"/>
            </w:tcBorders>
          </w:tcPr>
          <w:p>
            <w:pPr>
              <w:ind w:left="240"/>
              <w:spacing w:after="0"/>
              <w:rPr>
                <w:sz w:val="20"/>
                <w:szCs w:val="20"/>
                <w:color w:val="auto"/>
              </w:rPr>
            </w:pPr>
            <w:r>
              <w:rPr>
                <w:rFonts w:ascii="Arial" w:cs="Arial" w:eastAsia="Arial" w:hAnsi="Arial"/>
                <w:sz w:val="17"/>
                <w:szCs w:val="17"/>
                <w:color w:val="auto"/>
              </w:rPr>
              <w:t>PATRICK GOEPEL</w:t>
            </w:r>
          </w:p>
        </w:tc>
        <w:tc>
          <w:tcPr>
            <w:tcW w:w="3800" w:type="dxa"/>
            <w:vAlign w:val="bottom"/>
            <w:gridSpan w:val="2"/>
          </w:tcPr>
          <w:p>
            <w:pPr>
              <w:ind w:left="900"/>
              <w:spacing w:after="0"/>
              <w:rPr>
                <w:sz w:val="20"/>
                <w:szCs w:val="20"/>
                <w:color w:val="auto"/>
              </w:rPr>
            </w:pPr>
            <w:r>
              <w:rPr>
                <w:rFonts w:ascii="Arial" w:cs="Arial" w:eastAsia="Arial" w:hAnsi="Arial"/>
                <w:sz w:val="17"/>
                <w:szCs w:val="17"/>
                <w:color w:val="auto"/>
              </w:rPr>
              <w:t>Chief Executive Officer</w:t>
            </w:r>
          </w:p>
        </w:tc>
        <w:tc>
          <w:tcPr>
            <w:tcW w:w="3540" w:type="dxa"/>
            <w:vAlign w:val="bottom"/>
            <w:gridSpan w:val="2"/>
          </w:tcPr>
          <w:p>
            <w:pPr>
              <w:ind w:left="900"/>
              <w:spacing w:after="0"/>
              <w:rPr>
                <w:sz w:val="20"/>
                <w:szCs w:val="20"/>
                <w:color w:val="auto"/>
              </w:rPr>
            </w:pPr>
            <w:r>
              <w:rPr>
                <w:rFonts w:ascii="Arial" w:cs="Arial" w:eastAsia="Arial" w:hAnsi="Arial"/>
                <w:sz w:val="17"/>
                <w:szCs w:val="17"/>
                <w:color w:val="auto"/>
              </w:rPr>
              <w:t>April 1, 2013</w:t>
            </w:r>
          </w:p>
        </w:tc>
      </w:tr>
      <w:tr>
        <w:trPr>
          <w:trHeight w:val="193"/>
        </w:trPr>
        <w:tc>
          <w:tcPr>
            <w:tcW w:w="780" w:type="dxa"/>
            <w:vAlign w:val="bottom"/>
          </w:tcPr>
          <w:p>
            <w:pPr>
              <w:spacing w:after="0"/>
              <w:rPr>
                <w:sz w:val="16"/>
                <w:szCs w:val="16"/>
                <w:color w:val="auto"/>
              </w:rPr>
            </w:pPr>
          </w:p>
        </w:tc>
        <w:tc>
          <w:tcPr>
            <w:tcW w:w="3300" w:type="dxa"/>
            <w:vAlign w:val="bottom"/>
          </w:tcPr>
          <w:p>
            <w:pPr>
              <w:ind w:left="380"/>
              <w:spacing w:after="0" w:line="193" w:lineRule="exact"/>
              <w:rPr>
                <w:sz w:val="20"/>
                <w:szCs w:val="20"/>
                <w:color w:val="auto"/>
              </w:rPr>
            </w:pPr>
            <w:r>
              <w:rPr>
                <w:rFonts w:ascii="Arial" w:cs="Arial" w:eastAsia="Arial" w:hAnsi="Arial"/>
                <w:sz w:val="17"/>
                <w:szCs w:val="17"/>
                <w:color w:val="auto"/>
              </w:rPr>
              <w:t>Patrick Goepel</w:t>
            </w:r>
          </w:p>
        </w:tc>
        <w:tc>
          <w:tcPr>
            <w:tcW w:w="3800" w:type="dxa"/>
            <w:vAlign w:val="bottom"/>
            <w:gridSpan w:val="2"/>
          </w:tcPr>
          <w:p>
            <w:pPr>
              <w:ind w:left="900"/>
              <w:spacing w:after="0" w:line="193" w:lineRule="exact"/>
              <w:rPr>
                <w:sz w:val="20"/>
                <w:szCs w:val="20"/>
                <w:color w:val="auto"/>
              </w:rPr>
            </w:pPr>
            <w:r>
              <w:rPr>
                <w:rFonts w:ascii="Arial" w:cs="Arial" w:eastAsia="Arial" w:hAnsi="Arial"/>
                <w:sz w:val="17"/>
                <w:szCs w:val="17"/>
                <w:color w:val="auto"/>
              </w:rPr>
              <w:t>(Principal Executive Officer)</w:t>
            </w:r>
          </w:p>
        </w:tc>
        <w:tc>
          <w:tcPr>
            <w:tcW w:w="900" w:type="dxa"/>
            <w:vAlign w:val="bottom"/>
          </w:tcPr>
          <w:p>
            <w:pPr>
              <w:spacing w:after="0"/>
              <w:rPr>
                <w:sz w:val="16"/>
                <w:szCs w:val="16"/>
                <w:color w:val="auto"/>
              </w:rPr>
            </w:pPr>
          </w:p>
        </w:tc>
        <w:tc>
          <w:tcPr>
            <w:tcW w:w="2640" w:type="dxa"/>
            <w:vAlign w:val="bottom"/>
          </w:tcPr>
          <w:p>
            <w:pPr>
              <w:spacing w:after="0"/>
              <w:rPr>
                <w:sz w:val="16"/>
                <w:szCs w:val="16"/>
                <w:color w:val="auto"/>
              </w:rPr>
            </w:pPr>
          </w:p>
        </w:tc>
      </w:tr>
      <w:tr>
        <w:trPr>
          <w:trHeight w:val="216"/>
        </w:trPr>
        <w:tc>
          <w:tcPr>
            <w:tcW w:w="7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3800" w:type="dxa"/>
            <w:vAlign w:val="bottom"/>
            <w:gridSpan w:val="2"/>
          </w:tcPr>
          <w:p>
            <w:pPr>
              <w:ind w:left="900"/>
              <w:spacing w:after="0"/>
              <w:rPr>
                <w:sz w:val="20"/>
                <w:szCs w:val="20"/>
                <w:color w:val="auto"/>
              </w:rPr>
            </w:pPr>
            <w:r>
              <w:rPr>
                <w:rFonts w:ascii="Arial" w:cs="Arial" w:eastAsia="Arial" w:hAnsi="Arial"/>
                <w:sz w:val="17"/>
                <w:szCs w:val="17"/>
                <w:color w:val="auto"/>
              </w:rPr>
              <w:t>and Director</w:t>
            </w:r>
          </w:p>
        </w:tc>
        <w:tc>
          <w:tcPr>
            <w:tcW w:w="900" w:type="dxa"/>
            <w:vAlign w:val="bottom"/>
          </w:tcPr>
          <w:p>
            <w:pPr>
              <w:spacing w:after="0"/>
              <w:rPr>
                <w:sz w:val="18"/>
                <w:szCs w:val="18"/>
                <w:color w:val="auto"/>
              </w:rPr>
            </w:pPr>
          </w:p>
        </w:tc>
        <w:tc>
          <w:tcPr>
            <w:tcW w:w="2640" w:type="dxa"/>
            <w:vAlign w:val="bottom"/>
          </w:tcPr>
          <w:p>
            <w:pPr>
              <w:spacing w:after="0"/>
              <w:rPr>
                <w:sz w:val="18"/>
                <w:szCs w:val="18"/>
                <w:color w:val="auto"/>
              </w:rPr>
            </w:pPr>
          </w:p>
        </w:tc>
      </w:tr>
      <w:tr>
        <w:trPr>
          <w:trHeight w:val="418"/>
        </w:trPr>
        <w:tc>
          <w:tcPr>
            <w:tcW w:w="780" w:type="dxa"/>
            <w:vAlign w:val="bottom"/>
            <w:tcBorders>
              <w:bottom w:val="single" w:sz="8" w:color="auto"/>
            </w:tcBorders>
          </w:tcPr>
          <w:p>
            <w:pPr>
              <w:ind w:left="380"/>
              <w:spacing w:after="0"/>
              <w:rPr>
                <w:sz w:val="20"/>
                <w:szCs w:val="20"/>
                <w:color w:val="auto"/>
              </w:rPr>
            </w:pPr>
            <w:r>
              <w:rPr>
                <w:rFonts w:ascii="Arial" w:cs="Arial" w:eastAsia="Arial" w:hAnsi="Arial"/>
                <w:sz w:val="17"/>
                <w:szCs w:val="17"/>
                <w:color w:val="auto"/>
              </w:rPr>
              <w:t>/s/</w:t>
            </w:r>
          </w:p>
        </w:tc>
        <w:tc>
          <w:tcPr>
            <w:tcW w:w="3300" w:type="dxa"/>
            <w:vAlign w:val="bottom"/>
            <w:tcBorders>
              <w:bottom w:val="single" w:sz="8" w:color="auto"/>
            </w:tcBorders>
          </w:tcPr>
          <w:p>
            <w:pPr>
              <w:ind w:left="240"/>
              <w:spacing w:after="0"/>
              <w:rPr>
                <w:sz w:val="20"/>
                <w:szCs w:val="20"/>
                <w:color w:val="auto"/>
              </w:rPr>
            </w:pPr>
            <w:r>
              <w:rPr>
                <w:rFonts w:ascii="Arial" w:cs="Arial" w:eastAsia="Arial" w:hAnsi="Arial"/>
                <w:sz w:val="17"/>
                <w:szCs w:val="17"/>
                <w:color w:val="auto"/>
              </w:rPr>
              <w:t>JENNIFER CROW</w:t>
            </w:r>
          </w:p>
        </w:tc>
        <w:tc>
          <w:tcPr>
            <w:tcW w:w="3800" w:type="dxa"/>
            <w:vAlign w:val="bottom"/>
            <w:gridSpan w:val="2"/>
          </w:tcPr>
          <w:p>
            <w:pPr>
              <w:ind w:left="900"/>
              <w:spacing w:after="0"/>
              <w:rPr>
                <w:sz w:val="20"/>
                <w:szCs w:val="20"/>
                <w:color w:val="auto"/>
              </w:rPr>
            </w:pPr>
            <w:r>
              <w:rPr>
                <w:rFonts w:ascii="Arial" w:cs="Arial" w:eastAsia="Arial" w:hAnsi="Arial"/>
                <w:sz w:val="17"/>
                <w:szCs w:val="17"/>
                <w:color w:val="auto"/>
              </w:rPr>
              <w:t>Chief Financial Officer</w:t>
            </w:r>
          </w:p>
        </w:tc>
        <w:tc>
          <w:tcPr>
            <w:tcW w:w="3540" w:type="dxa"/>
            <w:vAlign w:val="bottom"/>
            <w:gridSpan w:val="2"/>
          </w:tcPr>
          <w:p>
            <w:pPr>
              <w:ind w:left="900"/>
              <w:spacing w:after="0"/>
              <w:rPr>
                <w:sz w:val="20"/>
                <w:szCs w:val="20"/>
                <w:color w:val="auto"/>
              </w:rPr>
            </w:pPr>
            <w:r>
              <w:rPr>
                <w:rFonts w:ascii="Arial" w:cs="Arial" w:eastAsia="Arial" w:hAnsi="Arial"/>
                <w:sz w:val="17"/>
                <w:szCs w:val="17"/>
                <w:color w:val="auto"/>
              </w:rPr>
              <w:t>April 1, 2013</w:t>
            </w:r>
          </w:p>
        </w:tc>
      </w:tr>
      <w:tr>
        <w:trPr>
          <w:trHeight w:val="193"/>
        </w:trPr>
        <w:tc>
          <w:tcPr>
            <w:tcW w:w="780" w:type="dxa"/>
            <w:vAlign w:val="bottom"/>
          </w:tcPr>
          <w:p>
            <w:pPr>
              <w:spacing w:after="0"/>
              <w:rPr>
                <w:sz w:val="16"/>
                <w:szCs w:val="16"/>
                <w:color w:val="auto"/>
              </w:rPr>
            </w:pPr>
          </w:p>
        </w:tc>
        <w:tc>
          <w:tcPr>
            <w:tcW w:w="3300" w:type="dxa"/>
            <w:vAlign w:val="bottom"/>
          </w:tcPr>
          <w:p>
            <w:pPr>
              <w:ind w:left="380"/>
              <w:spacing w:after="0" w:line="193" w:lineRule="exact"/>
              <w:rPr>
                <w:sz w:val="20"/>
                <w:szCs w:val="20"/>
                <w:color w:val="auto"/>
              </w:rPr>
            </w:pPr>
            <w:r>
              <w:rPr>
                <w:rFonts w:ascii="Arial" w:cs="Arial" w:eastAsia="Arial" w:hAnsi="Arial"/>
                <w:sz w:val="17"/>
                <w:szCs w:val="17"/>
                <w:color w:val="auto"/>
              </w:rPr>
              <w:t>Jennifer Crow</w:t>
            </w:r>
          </w:p>
        </w:tc>
        <w:tc>
          <w:tcPr>
            <w:tcW w:w="3800" w:type="dxa"/>
            <w:vAlign w:val="bottom"/>
            <w:gridSpan w:val="2"/>
          </w:tcPr>
          <w:p>
            <w:pPr>
              <w:ind w:left="900"/>
              <w:spacing w:after="0" w:line="193" w:lineRule="exact"/>
              <w:rPr>
                <w:sz w:val="20"/>
                <w:szCs w:val="20"/>
                <w:color w:val="auto"/>
              </w:rPr>
            </w:pPr>
            <w:r>
              <w:rPr>
                <w:rFonts w:ascii="Arial" w:cs="Arial" w:eastAsia="Arial" w:hAnsi="Arial"/>
                <w:sz w:val="17"/>
                <w:szCs w:val="17"/>
                <w:color w:val="auto"/>
              </w:rPr>
              <w:t>(Principal Financial and Accounting</w:t>
            </w:r>
          </w:p>
        </w:tc>
        <w:tc>
          <w:tcPr>
            <w:tcW w:w="900" w:type="dxa"/>
            <w:vAlign w:val="bottom"/>
          </w:tcPr>
          <w:p>
            <w:pPr>
              <w:spacing w:after="0"/>
              <w:rPr>
                <w:sz w:val="16"/>
                <w:szCs w:val="16"/>
                <w:color w:val="auto"/>
              </w:rPr>
            </w:pPr>
          </w:p>
        </w:tc>
        <w:tc>
          <w:tcPr>
            <w:tcW w:w="2640" w:type="dxa"/>
            <w:vAlign w:val="bottom"/>
          </w:tcPr>
          <w:p>
            <w:pPr>
              <w:spacing w:after="0"/>
              <w:rPr>
                <w:sz w:val="16"/>
                <w:szCs w:val="16"/>
                <w:color w:val="auto"/>
              </w:rPr>
            </w:pPr>
          </w:p>
        </w:tc>
      </w:tr>
      <w:tr>
        <w:trPr>
          <w:trHeight w:val="216"/>
        </w:trPr>
        <w:tc>
          <w:tcPr>
            <w:tcW w:w="7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3800" w:type="dxa"/>
            <w:vAlign w:val="bottom"/>
            <w:gridSpan w:val="2"/>
          </w:tcPr>
          <w:p>
            <w:pPr>
              <w:ind w:left="900"/>
              <w:spacing w:after="0"/>
              <w:rPr>
                <w:sz w:val="20"/>
                <w:szCs w:val="20"/>
                <w:color w:val="auto"/>
              </w:rPr>
            </w:pPr>
            <w:r>
              <w:rPr>
                <w:rFonts w:ascii="Arial" w:cs="Arial" w:eastAsia="Arial" w:hAnsi="Arial"/>
                <w:sz w:val="17"/>
                <w:szCs w:val="17"/>
                <w:color w:val="auto"/>
              </w:rPr>
              <w:t>Officer)</w:t>
            </w:r>
          </w:p>
        </w:tc>
        <w:tc>
          <w:tcPr>
            <w:tcW w:w="900" w:type="dxa"/>
            <w:vAlign w:val="bottom"/>
          </w:tcPr>
          <w:p>
            <w:pPr>
              <w:spacing w:after="0"/>
              <w:rPr>
                <w:sz w:val="18"/>
                <w:szCs w:val="18"/>
                <w:color w:val="auto"/>
              </w:rPr>
            </w:pPr>
          </w:p>
        </w:tc>
        <w:tc>
          <w:tcPr>
            <w:tcW w:w="2640" w:type="dxa"/>
            <w:vAlign w:val="bottom"/>
          </w:tcPr>
          <w:p>
            <w:pPr>
              <w:spacing w:after="0"/>
              <w:rPr>
                <w:sz w:val="18"/>
                <w:szCs w:val="18"/>
                <w:color w:val="auto"/>
              </w:rPr>
            </w:pPr>
          </w:p>
        </w:tc>
      </w:tr>
      <w:tr>
        <w:trPr>
          <w:trHeight w:val="418"/>
        </w:trPr>
        <w:tc>
          <w:tcPr>
            <w:tcW w:w="780" w:type="dxa"/>
            <w:vAlign w:val="bottom"/>
            <w:tcBorders>
              <w:bottom w:val="single" w:sz="8" w:color="auto"/>
            </w:tcBorders>
          </w:tcPr>
          <w:p>
            <w:pPr>
              <w:ind w:left="380"/>
              <w:spacing w:after="0"/>
              <w:rPr>
                <w:sz w:val="20"/>
                <w:szCs w:val="20"/>
                <w:color w:val="auto"/>
              </w:rPr>
            </w:pPr>
            <w:r>
              <w:rPr>
                <w:rFonts w:ascii="Arial" w:cs="Arial" w:eastAsia="Arial" w:hAnsi="Arial"/>
                <w:sz w:val="17"/>
                <w:szCs w:val="17"/>
                <w:color w:val="auto"/>
              </w:rPr>
              <w:t>/s/</w:t>
            </w:r>
          </w:p>
        </w:tc>
        <w:tc>
          <w:tcPr>
            <w:tcW w:w="3300" w:type="dxa"/>
            <w:vAlign w:val="bottom"/>
            <w:tcBorders>
              <w:bottom w:val="single" w:sz="8" w:color="auto"/>
            </w:tcBorders>
          </w:tcPr>
          <w:p>
            <w:pPr>
              <w:ind w:left="240"/>
              <w:spacing w:after="0"/>
              <w:rPr>
                <w:sz w:val="20"/>
                <w:szCs w:val="20"/>
                <w:color w:val="auto"/>
              </w:rPr>
            </w:pPr>
            <w:r>
              <w:rPr>
                <w:rFonts w:ascii="Arial" w:cs="Arial" w:eastAsia="Arial" w:hAnsi="Arial"/>
                <w:sz w:val="17"/>
                <w:szCs w:val="17"/>
                <w:color w:val="auto"/>
              </w:rPr>
              <w:t>DAVID SANDBERG</w:t>
            </w:r>
          </w:p>
        </w:tc>
        <w:tc>
          <w:tcPr>
            <w:tcW w:w="3800" w:type="dxa"/>
            <w:vAlign w:val="bottom"/>
            <w:gridSpan w:val="2"/>
          </w:tcPr>
          <w:p>
            <w:pPr>
              <w:ind w:left="900"/>
              <w:spacing w:after="0"/>
              <w:rPr>
                <w:sz w:val="20"/>
                <w:szCs w:val="20"/>
                <w:color w:val="auto"/>
              </w:rPr>
            </w:pPr>
            <w:r>
              <w:rPr>
                <w:rFonts w:ascii="Arial" w:cs="Arial" w:eastAsia="Arial" w:hAnsi="Arial"/>
                <w:sz w:val="17"/>
                <w:szCs w:val="17"/>
                <w:color w:val="auto"/>
              </w:rPr>
              <w:t>Chairman of the Board</w:t>
            </w:r>
          </w:p>
        </w:tc>
        <w:tc>
          <w:tcPr>
            <w:tcW w:w="3540" w:type="dxa"/>
            <w:vAlign w:val="bottom"/>
            <w:gridSpan w:val="2"/>
          </w:tcPr>
          <w:p>
            <w:pPr>
              <w:ind w:left="900"/>
              <w:spacing w:after="0"/>
              <w:rPr>
                <w:sz w:val="20"/>
                <w:szCs w:val="20"/>
                <w:color w:val="auto"/>
              </w:rPr>
            </w:pPr>
            <w:r>
              <w:rPr>
                <w:rFonts w:ascii="Arial" w:cs="Arial" w:eastAsia="Arial" w:hAnsi="Arial"/>
                <w:sz w:val="17"/>
                <w:szCs w:val="17"/>
                <w:color w:val="auto"/>
              </w:rPr>
              <w:t>April 1, 2013</w:t>
            </w:r>
          </w:p>
        </w:tc>
      </w:tr>
      <w:tr>
        <w:trPr>
          <w:trHeight w:val="216"/>
        </w:trPr>
        <w:tc>
          <w:tcPr>
            <w:tcW w:w="780" w:type="dxa"/>
            <w:vAlign w:val="bottom"/>
          </w:tcPr>
          <w:p>
            <w:pPr>
              <w:spacing w:after="0"/>
              <w:rPr>
                <w:sz w:val="18"/>
                <w:szCs w:val="18"/>
                <w:color w:val="auto"/>
              </w:rPr>
            </w:pPr>
          </w:p>
        </w:tc>
        <w:tc>
          <w:tcPr>
            <w:tcW w:w="3300" w:type="dxa"/>
            <w:vAlign w:val="bottom"/>
          </w:tcPr>
          <w:p>
            <w:pPr>
              <w:ind w:left="380"/>
              <w:spacing w:after="0"/>
              <w:rPr>
                <w:sz w:val="20"/>
                <w:szCs w:val="20"/>
                <w:color w:val="auto"/>
              </w:rPr>
            </w:pPr>
            <w:r>
              <w:rPr>
                <w:rFonts w:ascii="Arial" w:cs="Arial" w:eastAsia="Arial" w:hAnsi="Arial"/>
                <w:sz w:val="17"/>
                <w:szCs w:val="17"/>
                <w:color w:val="auto"/>
              </w:rPr>
              <w:t>David Sandberg</w:t>
            </w:r>
          </w:p>
        </w:tc>
        <w:tc>
          <w:tcPr>
            <w:tcW w:w="90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40" w:type="dxa"/>
            <w:vAlign w:val="bottom"/>
          </w:tcPr>
          <w:p>
            <w:pPr>
              <w:spacing w:after="0"/>
              <w:rPr>
                <w:sz w:val="18"/>
                <w:szCs w:val="18"/>
                <w:color w:val="auto"/>
              </w:rPr>
            </w:pPr>
          </w:p>
        </w:tc>
      </w:tr>
      <w:tr>
        <w:trPr>
          <w:trHeight w:val="405"/>
        </w:trPr>
        <w:tc>
          <w:tcPr>
            <w:tcW w:w="780" w:type="dxa"/>
            <w:vAlign w:val="bottom"/>
            <w:tcBorders>
              <w:bottom w:val="single" w:sz="8" w:color="auto"/>
            </w:tcBorders>
          </w:tcPr>
          <w:p>
            <w:pPr>
              <w:ind w:left="380"/>
              <w:spacing w:after="0"/>
              <w:rPr>
                <w:sz w:val="20"/>
                <w:szCs w:val="20"/>
                <w:color w:val="auto"/>
              </w:rPr>
            </w:pPr>
            <w:r>
              <w:rPr>
                <w:rFonts w:ascii="Arial" w:cs="Arial" w:eastAsia="Arial" w:hAnsi="Arial"/>
                <w:sz w:val="17"/>
                <w:szCs w:val="17"/>
                <w:color w:val="auto"/>
              </w:rPr>
              <w:t>/s/</w:t>
            </w:r>
          </w:p>
        </w:tc>
        <w:tc>
          <w:tcPr>
            <w:tcW w:w="3300" w:type="dxa"/>
            <w:vAlign w:val="bottom"/>
            <w:tcBorders>
              <w:bottom w:val="single" w:sz="8" w:color="auto"/>
            </w:tcBorders>
          </w:tcPr>
          <w:p>
            <w:pPr>
              <w:ind w:left="240"/>
              <w:spacing w:after="0"/>
              <w:rPr>
                <w:sz w:val="20"/>
                <w:szCs w:val="20"/>
                <w:color w:val="auto"/>
              </w:rPr>
            </w:pPr>
            <w:r>
              <w:rPr>
                <w:rFonts w:ascii="Arial" w:cs="Arial" w:eastAsia="Arial" w:hAnsi="Arial"/>
                <w:sz w:val="17"/>
                <w:szCs w:val="17"/>
                <w:color w:val="auto"/>
              </w:rPr>
              <w:t>ADRIAN PERTIERRA</w:t>
            </w:r>
          </w:p>
        </w:tc>
        <w:tc>
          <w:tcPr>
            <w:tcW w:w="3800" w:type="dxa"/>
            <w:vAlign w:val="bottom"/>
            <w:gridSpan w:val="2"/>
          </w:tcPr>
          <w:p>
            <w:pPr>
              <w:ind w:left="900"/>
              <w:spacing w:after="0"/>
              <w:rPr>
                <w:sz w:val="20"/>
                <w:szCs w:val="20"/>
                <w:color w:val="auto"/>
              </w:rPr>
            </w:pPr>
            <w:r>
              <w:rPr>
                <w:rFonts w:ascii="Arial" w:cs="Arial" w:eastAsia="Arial" w:hAnsi="Arial"/>
                <w:sz w:val="17"/>
                <w:szCs w:val="17"/>
                <w:color w:val="auto"/>
              </w:rPr>
              <w:t>Director</w:t>
            </w:r>
          </w:p>
        </w:tc>
        <w:tc>
          <w:tcPr>
            <w:tcW w:w="3540" w:type="dxa"/>
            <w:vAlign w:val="bottom"/>
            <w:gridSpan w:val="2"/>
          </w:tcPr>
          <w:p>
            <w:pPr>
              <w:ind w:left="900"/>
              <w:spacing w:after="0"/>
              <w:rPr>
                <w:sz w:val="20"/>
                <w:szCs w:val="20"/>
                <w:color w:val="auto"/>
              </w:rPr>
            </w:pPr>
            <w:r>
              <w:rPr>
                <w:rFonts w:ascii="Arial" w:cs="Arial" w:eastAsia="Arial" w:hAnsi="Arial"/>
                <w:sz w:val="17"/>
                <w:szCs w:val="17"/>
                <w:color w:val="auto"/>
              </w:rPr>
              <w:t>April 1, 2013</w:t>
            </w:r>
          </w:p>
        </w:tc>
      </w:tr>
      <w:tr>
        <w:trPr>
          <w:trHeight w:val="216"/>
        </w:trPr>
        <w:tc>
          <w:tcPr>
            <w:tcW w:w="780" w:type="dxa"/>
            <w:vAlign w:val="bottom"/>
          </w:tcPr>
          <w:p>
            <w:pPr>
              <w:spacing w:after="0"/>
              <w:rPr>
                <w:sz w:val="18"/>
                <w:szCs w:val="18"/>
                <w:color w:val="auto"/>
              </w:rPr>
            </w:pPr>
          </w:p>
        </w:tc>
        <w:tc>
          <w:tcPr>
            <w:tcW w:w="3300" w:type="dxa"/>
            <w:vAlign w:val="bottom"/>
          </w:tcPr>
          <w:p>
            <w:pPr>
              <w:ind w:left="380"/>
              <w:spacing w:after="0"/>
              <w:rPr>
                <w:sz w:val="20"/>
                <w:szCs w:val="20"/>
                <w:color w:val="auto"/>
              </w:rPr>
            </w:pPr>
            <w:r>
              <w:rPr>
                <w:rFonts w:ascii="Arial" w:cs="Arial" w:eastAsia="Arial" w:hAnsi="Arial"/>
                <w:sz w:val="17"/>
                <w:szCs w:val="17"/>
                <w:color w:val="auto"/>
              </w:rPr>
              <w:t>Adrian Pertierra</w:t>
            </w:r>
          </w:p>
        </w:tc>
        <w:tc>
          <w:tcPr>
            <w:tcW w:w="90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40" w:type="dxa"/>
            <w:vAlign w:val="bottom"/>
          </w:tcPr>
          <w:p>
            <w:pPr>
              <w:spacing w:after="0"/>
              <w:rPr>
                <w:sz w:val="18"/>
                <w:szCs w:val="18"/>
                <w:color w:val="auto"/>
              </w:rPr>
            </w:pPr>
          </w:p>
        </w:tc>
      </w:tr>
      <w:tr>
        <w:trPr>
          <w:trHeight w:val="405"/>
        </w:trPr>
        <w:tc>
          <w:tcPr>
            <w:tcW w:w="780" w:type="dxa"/>
            <w:vAlign w:val="bottom"/>
            <w:tcBorders>
              <w:bottom w:val="single" w:sz="8" w:color="auto"/>
            </w:tcBorders>
          </w:tcPr>
          <w:p>
            <w:pPr>
              <w:ind w:left="380"/>
              <w:spacing w:after="0"/>
              <w:rPr>
                <w:sz w:val="20"/>
                <w:szCs w:val="20"/>
                <w:color w:val="auto"/>
              </w:rPr>
            </w:pPr>
            <w:r>
              <w:rPr>
                <w:rFonts w:ascii="Arial" w:cs="Arial" w:eastAsia="Arial" w:hAnsi="Arial"/>
                <w:sz w:val="17"/>
                <w:szCs w:val="17"/>
                <w:color w:val="auto"/>
              </w:rPr>
              <w:t>/s/</w:t>
            </w:r>
          </w:p>
        </w:tc>
        <w:tc>
          <w:tcPr>
            <w:tcW w:w="3300" w:type="dxa"/>
            <w:vAlign w:val="bottom"/>
            <w:tcBorders>
              <w:bottom w:val="single" w:sz="8" w:color="auto"/>
            </w:tcBorders>
          </w:tcPr>
          <w:p>
            <w:pPr>
              <w:ind w:left="240"/>
              <w:spacing w:after="0"/>
              <w:rPr>
                <w:sz w:val="20"/>
                <w:szCs w:val="20"/>
                <w:color w:val="auto"/>
              </w:rPr>
            </w:pPr>
            <w:r>
              <w:rPr>
                <w:rFonts w:ascii="Arial" w:cs="Arial" w:eastAsia="Arial" w:hAnsi="Arial"/>
                <w:sz w:val="17"/>
                <w:szCs w:val="17"/>
                <w:color w:val="auto"/>
              </w:rPr>
              <w:t>J. RANDALL WATERFIELD</w:t>
            </w:r>
          </w:p>
        </w:tc>
        <w:tc>
          <w:tcPr>
            <w:tcW w:w="3800" w:type="dxa"/>
            <w:vAlign w:val="bottom"/>
            <w:gridSpan w:val="2"/>
          </w:tcPr>
          <w:p>
            <w:pPr>
              <w:ind w:left="900"/>
              <w:spacing w:after="0"/>
              <w:rPr>
                <w:sz w:val="20"/>
                <w:szCs w:val="20"/>
                <w:color w:val="auto"/>
              </w:rPr>
            </w:pPr>
            <w:r>
              <w:rPr>
                <w:rFonts w:ascii="Arial" w:cs="Arial" w:eastAsia="Arial" w:hAnsi="Arial"/>
                <w:sz w:val="17"/>
                <w:szCs w:val="17"/>
                <w:color w:val="auto"/>
              </w:rPr>
              <w:t>Director</w:t>
            </w:r>
          </w:p>
        </w:tc>
        <w:tc>
          <w:tcPr>
            <w:tcW w:w="3540" w:type="dxa"/>
            <w:vAlign w:val="bottom"/>
            <w:gridSpan w:val="2"/>
          </w:tcPr>
          <w:p>
            <w:pPr>
              <w:ind w:left="900"/>
              <w:spacing w:after="0"/>
              <w:rPr>
                <w:sz w:val="20"/>
                <w:szCs w:val="20"/>
                <w:color w:val="auto"/>
              </w:rPr>
            </w:pPr>
            <w:r>
              <w:rPr>
                <w:rFonts w:ascii="Arial" w:cs="Arial" w:eastAsia="Arial" w:hAnsi="Arial"/>
                <w:sz w:val="17"/>
                <w:szCs w:val="17"/>
                <w:color w:val="auto"/>
              </w:rPr>
              <w:t>April 1, 2013</w:t>
            </w:r>
          </w:p>
        </w:tc>
      </w:tr>
      <w:tr>
        <w:trPr>
          <w:trHeight w:val="216"/>
        </w:trPr>
        <w:tc>
          <w:tcPr>
            <w:tcW w:w="780" w:type="dxa"/>
            <w:vAlign w:val="bottom"/>
          </w:tcPr>
          <w:p>
            <w:pPr>
              <w:spacing w:after="0"/>
              <w:rPr>
                <w:sz w:val="18"/>
                <w:szCs w:val="18"/>
                <w:color w:val="auto"/>
              </w:rPr>
            </w:pPr>
          </w:p>
        </w:tc>
        <w:tc>
          <w:tcPr>
            <w:tcW w:w="3300" w:type="dxa"/>
            <w:vAlign w:val="bottom"/>
          </w:tcPr>
          <w:p>
            <w:pPr>
              <w:ind w:left="380"/>
              <w:spacing w:after="0"/>
              <w:rPr>
                <w:sz w:val="20"/>
                <w:szCs w:val="20"/>
                <w:color w:val="auto"/>
              </w:rPr>
            </w:pPr>
            <w:r>
              <w:rPr>
                <w:rFonts w:ascii="Arial" w:cs="Arial" w:eastAsia="Arial" w:hAnsi="Arial"/>
                <w:sz w:val="17"/>
                <w:szCs w:val="17"/>
                <w:color w:val="auto"/>
              </w:rPr>
              <w:t>J. Randall Waterfield</w:t>
            </w:r>
          </w:p>
        </w:tc>
        <w:tc>
          <w:tcPr>
            <w:tcW w:w="90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40" w:type="dxa"/>
            <w:vAlign w:val="bottom"/>
          </w:tcPr>
          <w:p>
            <w:pPr>
              <w:spacing w:after="0"/>
              <w:rPr>
                <w:sz w:val="18"/>
                <w:szCs w:val="18"/>
                <w:color w:val="auto"/>
              </w:rPr>
            </w:pPr>
          </w:p>
        </w:tc>
      </w:tr>
      <w:tr>
        <w:trPr>
          <w:trHeight w:val="405"/>
        </w:trPr>
        <w:tc>
          <w:tcPr>
            <w:tcW w:w="780" w:type="dxa"/>
            <w:vAlign w:val="bottom"/>
            <w:tcBorders>
              <w:bottom w:val="single" w:sz="8" w:color="auto"/>
            </w:tcBorders>
          </w:tcPr>
          <w:p>
            <w:pPr>
              <w:ind w:left="380"/>
              <w:spacing w:after="0"/>
              <w:rPr>
                <w:sz w:val="20"/>
                <w:szCs w:val="20"/>
                <w:color w:val="auto"/>
              </w:rPr>
            </w:pPr>
            <w:r>
              <w:rPr>
                <w:rFonts w:ascii="Arial" w:cs="Arial" w:eastAsia="Arial" w:hAnsi="Arial"/>
                <w:sz w:val="17"/>
                <w:szCs w:val="17"/>
                <w:color w:val="auto"/>
              </w:rPr>
              <w:t>/s/</w:t>
            </w:r>
          </w:p>
        </w:tc>
        <w:tc>
          <w:tcPr>
            <w:tcW w:w="3300" w:type="dxa"/>
            <w:vAlign w:val="bottom"/>
            <w:tcBorders>
              <w:bottom w:val="single" w:sz="8" w:color="auto"/>
            </w:tcBorders>
          </w:tcPr>
          <w:p>
            <w:pPr>
              <w:ind w:left="240"/>
              <w:spacing w:after="0"/>
              <w:rPr>
                <w:sz w:val="20"/>
                <w:szCs w:val="20"/>
                <w:color w:val="auto"/>
              </w:rPr>
            </w:pPr>
            <w:r>
              <w:rPr>
                <w:rFonts w:ascii="Arial" w:cs="Arial" w:eastAsia="Arial" w:hAnsi="Arial"/>
                <w:sz w:val="17"/>
                <w:szCs w:val="17"/>
                <w:color w:val="auto"/>
              </w:rPr>
              <w:t>MATTHEW BEHRENT</w:t>
            </w:r>
          </w:p>
        </w:tc>
        <w:tc>
          <w:tcPr>
            <w:tcW w:w="3800" w:type="dxa"/>
            <w:vAlign w:val="bottom"/>
            <w:gridSpan w:val="2"/>
          </w:tcPr>
          <w:p>
            <w:pPr>
              <w:ind w:left="900"/>
              <w:spacing w:after="0"/>
              <w:rPr>
                <w:sz w:val="20"/>
                <w:szCs w:val="20"/>
                <w:color w:val="auto"/>
              </w:rPr>
            </w:pPr>
            <w:r>
              <w:rPr>
                <w:rFonts w:ascii="Arial" w:cs="Arial" w:eastAsia="Arial" w:hAnsi="Arial"/>
                <w:sz w:val="17"/>
                <w:szCs w:val="17"/>
                <w:color w:val="auto"/>
              </w:rPr>
              <w:t>Director</w:t>
            </w:r>
          </w:p>
        </w:tc>
        <w:tc>
          <w:tcPr>
            <w:tcW w:w="3540" w:type="dxa"/>
            <w:vAlign w:val="bottom"/>
            <w:gridSpan w:val="2"/>
          </w:tcPr>
          <w:p>
            <w:pPr>
              <w:ind w:left="900"/>
              <w:spacing w:after="0"/>
              <w:rPr>
                <w:sz w:val="20"/>
                <w:szCs w:val="20"/>
                <w:color w:val="auto"/>
              </w:rPr>
            </w:pPr>
            <w:r>
              <w:rPr>
                <w:rFonts w:ascii="Arial" w:cs="Arial" w:eastAsia="Arial" w:hAnsi="Arial"/>
                <w:sz w:val="17"/>
                <w:szCs w:val="17"/>
                <w:color w:val="auto"/>
              </w:rPr>
              <w:t>April 1, 2013</w:t>
            </w:r>
          </w:p>
        </w:tc>
      </w:tr>
      <w:tr>
        <w:trPr>
          <w:trHeight w:val="216"/>
        </w:trPr>
        <w:tc>
          <w:tcPr>
            <w:tcW w:w="780" w:type="dxa"/>
            <w:vAlign w:val="bottom"/>
          </w:tcPr>
          <w:p>
            <w:pPr>
              <w:spacing w:after="0"/>
              <w:rPr>
                <w:sz w:val="18"/>
                <w:szCs w:val="18"/>
                <w:color w:val="auto"/>
              </w:rPr>
            </w:pPr>
          </w:p>
        </w:tc>
        <w:tc>
          <w:tcPr>
            <w:tcW w:w="3300" w:type="dxa"/>
            <w:vAlign w:val="bottom"/>
          </w:tcPr>
          <w:p>
            <w:pPr>
              <w:ind w:left="380"/>
              <w:spacing w:after="0"/>
              <w:rPr>
                <w:sz w:val="20"/>
                <w:szCs w:val="20"/>
                <w:color w:val="auto"/>
              </w:rPr>
            </w:pPr>
            <w:r>
              <w:rPr>
                <w:rFonts w:ascii="Arial" w:cs="Arial" w:eastAsia="Arial" w:hAnsi="Arial"/>
                <w:sz w:val="17"/>
                <w:szCs w:val="17"/>
                <w:color w:val="auto"/>
              </w:rPr>
              <w:t>Matthew Behrent</w:t>
            </w:r>
          </w:p>
        </w:tc>
        <w:tc>
          <w:tcPr>
            <w:tcW w:w="90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40" w:type="dxa"/>
            <w:vAlign w:val="bottom"/>
          </w:tcPr>
          <w:p>
            <w:pPr>
              <w:spacing w:after="0"/>
              <w:rPr>
                <w:sz w:val="18"/>
                <w:szCs w:val="18"/>
                <w:color w:val="auto"/>
              </w:rPr>
            </w:pPr>
          </w:p>
        </w:tc>
      </w:tr>
      <w:tr>
        <w:trPr>
          <w:trHeight w:val="565"/>
        </w:trPr>
        <w:tc>
          <w:tcPr>
            <w:tcW w:w="7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3800" w:type="dxa"/>
            <w:vAlign w:val="bottom"/>
            <w:gridSpan w:val="2"/>
          </w:tcPr>
          <w:p>
            <w:pPr>
              <w:jc w:val="right"/>
              <w:ind w:right="1994"/>
              <w:spacing w:after="0"/>
              <w:rPr>
                <w:sz w:val="20"/>
                <w:szCs w:val="20"/>
                <w:color w:val="auto"/>
              </w:rPr>
            </w:pPr>
            <w:r>
              <w:rPr>
                <w:rFonts w:ascii="Arial" w:cs="Arial" w:eastAsia="Arial" w:hAnsi="Arial"/>
                <w:sz w:val="17"/>
                <w:szCs w:val="17"/>
                <w:color w:val="auto"/>
              </w:rPr>
              <w:t>22</w:t>
            </w:r>
          </w:p>
        </w:tc>
        <w:tc>
          <w:tcPr>
            <w:tcW w:w="90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113"/>
        </w:trPr>
        <w:tc>
          <w:tcPr>
            <w:tcW w:w="780" w:type="dxa"/>
            <w:vAlign w:val="bottom"/>
            <w:tcBorders>
              <w:bottom w:val="single" w:sz="8" w:color="808080"/>
            </w:tcBorders>
          </w:tcPr>
          <w:p>
            <w:pPr>
              <w:spacing w:after="0"/>
              <w:rPr>
                <w:sz w:val="9"/>
                <w:szCs w:val="9"/>
                <w:color w:val="auto"/>
              </w:rPr>
            </w:pPr>
          </w:p>
        </w:tc>
        <w:tc>
          <w:tcPr>
            <w:tcW w:w="33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9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64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161"/>
        </w:trPr>
        <w:tc>
          <w:tcPr>
            <w:tcW w:w="1000" w:type="dxa"/>
            <w:vAlign w:val="bottom"/>
            <w:gridSpan w:val="2"/>
          </w:tcPr>
          <w:p>
            <w:pPr>
              <w:spacing w:after="0"/>
              <w:rPr>
                <w:rFonts w:ascii="Arial" w:cs="Arial" w:eastAsia="Arial" w:hAnsi="Arial"/>
                <w:sz w:val="14"/>
                <w:szCs w:val="14"/>
                <w:color w:val="0000EE"/>
                <w:w w:val="88"/>
              </w:rPr>
            </w:pPr>
            <w:hyperlink w:anchor="page3">
              <w:r>
                <w:rPr>
                  <w:rFonts w:ascii="Arial" w:cs="Arial" w:eastAsia="Arial" w:hAnsi="Arial"/>
                  <w:sz w:val="14"/>
                  <w:szCs w:val="14"/>
                  <w:color w:val="0000EE"/>
                  <w:w w:val="88"/>
                </w:rPr>
                <w:t>Table of Contents</w:t>
              </w:r>
            </w:hyperlink>
          </w:p>
        </w:tc>
        <w:tc>
          <w:tcPr>
            <w:tcW w:w="10420" w:type="dxa"/>
            <w:vAlign w:val="bottom"/>
          </w:tcPr>
          <w:p>
            <w:pPr>
              <w:spacing w:after="0"/>
              <w:rPr>
                <w:sz w:val="14"/>
                <w:szCs w:val="14"/>
                <w:color w:val="auto"/>
              </w:rPr>
            </w:pPr>
          </w:p>
        </w:tc>
      </w:tr>
      <w:tr>
        <w:trPr>
          <w:trHeight w:val="402"/>
        </w:trPr>
        <w:tc>
          <w:tcPr>
            <w:tcW w:w="9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0420" w:type="dxa"/>
            <w:vAlign w:val="bottom"/>
          </w:tcPr>
          <w:p>
            <w:pPr>
              <w:ind w:left="3860"/>
              <w:spacing w:after="0"/>
              <w:rPr>
                <w:sz w:val="20"/>
                <w:szCs w:val="20"/>
                <w:color w:val="auto"/>
              </w:rPr>
            </w:pPr>
            <w:r>
              <w:rPr>
                <w:rFonts w:ascii="Arial" w:cs="Arial" w:eastAsia="Arial" w:hAnsi="Arial"/>
                <w:sz w:val="17"/>
                <w:szCs w:val="17"/>
                <w:b w:val="1"/>
                <w:bCs w:val="1"/>
                <w:color w:val="auto"/>
              </w:rPr>
              <w:t>INDEX TO EXHIBITS</w:t>
            </w:r>
          </w:p>
        </w:tc>
      </w:tr>
      <w:tr>
        <w:trPr>
          <w:trHeight w:val="394"/>
        </w:trPr>
        <w:tc>
          <w:tcPr>
            <w:tcW w:w="1000" w:type="dxa"/>
            <w:vAlign w:val="bottom"/>
            <w:gridSpan w:val="2"/>
          </w:tcPr>
          <w:p>
            <w:pPr>
              <w:spacing w:after="0"/>
              <w:rPr>
                <w:sz w:val="20"/>
                <w:szCs w:val="20"/>
                <w:color w:val="auto"/>
              </w:rPr>
            </w:pPr>
            <w:r>
              <w:rPr>
                <w:rFonts w:ascii="Arial" w:cs="Arial" w:eastAsia="Arial" w:hAnsi="Arial"/>
                <w:sz w:val="17"/>
                <w:szCs w:val="17"/>
                <w:b w:val="1"/>
                <w:bCs w:val="1"/>
                <w:color w:val="auto"/>
              </w:rPr>
              <w:t>EXHIBIT</w:t>
            </w:r>
          </w:p>
        </w:tc>
        <w:tc>
          <w:tcPr>
            <w:tcW w:w="10420" w:type="dxa"/>
            <w:vAlign w:val="bottom"/>
          </w:tcPr>
          <w:p>
            <w:pPr>
              <w:ind w:left="40"/>
              <w:spacing w:after="0"/>
              <w:rPr>
                <w:sz w:val="20"/>
                <w:szCs w:val="20"/>
                <w:color w:val="auto"/>
              </w:rPr>
            </w:pPr>
            <w:r>
              <w:rPr>
                <w:rFonts w:ascii="Arial" w:cs="Arial" w:eastAsia="Arial" w:hAnsi="Arial"/>
                <w:sz w:val="17"/>
                <w:szCs w:val="17"/>
                <w:b w:val="1"/>
                <w:bCs w:val="1"/>
                <w:color w:val="auto"/>
              </w:rPr>
              <w:t>DOCUMENT DESCRIPTION</w:t>
            </w:r>
          </w:p>
        </w:tc>
      </w:tr>
      <w:tr>
        <w:trPr>
          <w:trHeight w:val="229"/>
        </w:trPr>
        <w:tc>
          <w:tcPr>
            <w:tcW w:w="1000" w:type="dxa"/>
            <w:vAlign w:val="bottom"/>
            <w:tcBorders>
              <w:bottom w:val="single" w:sz="8" w:color="auto"/>
            </w:tcBorders>
            <w:gridSpan w:val="2"/>
          </w:tcPr>
          <w:p>
            <w:pPr>
              <w:spacing w:after="0"/>
              <w:rPr>
                <w:sz w:val="20"/>
                <w:szCs w:val="20"/>
                <w:color w:val="auto"/>
              </w:rPr>
            </w:pPr>
            <w:r>
              <w:rPr>
                <w:rFonts w:ascii="Arial" w:cs="Arial" w:eastAsia="Arial" w:hAnsi="Arial"/>
                <w:sz w:val="17"/>
                <w:szCs w:val="17"/>
                <w:b w:val="1"/>
                <w:bCs w:val="1"/>
                <w:color w:val="auto"/>
              </w:rPr>
              <w:t>NUMBER</w:t>
            </w:r>
          </w:p>
        </w:tc>
        <w:tc>
          <w:tcPr>
            <w:tcW w:w="10420" w:type="dxa"/>
            <w:vAlign w:val="bottom"/>
            <w:tcBorders>
              <w:bottom w:val="single" w:sz="8" w:color="auto"/>
            </w:tcBorders>
          </w:tcPr>
          <w:p>
            <w:pPr>
              <w:spacing w:after="0"/>
              <w:rPr>
                <w:sz w:val="19"/>
                <w:szCs w:val="19"/>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7"/>
                <w:szCs w:val="17"/>
                <w:color w:val="auto"/>
              </w:rPr>
              <w:t>2.1</w:t>
            </w:r>
          </w:p>
        </w:tc>
        <w:tc>
          <w:tcPr>
            <w:tcW w:w="20" w:type="dxa"/>
            <w:vAlign w:val="bottom"/>
          </w:tcPr>
          <w:p>
            <w:pPr>
              <w:spacing w:after="0"/>
              <w:rPr>
                <w:sz w:val="18"/>
                <w:szCs w:val="18"/>
                <w:color w:val="auto"/>
              </w:rPr>
            </w:pPr>
          </w:p>
        </w:tc>
        <w:tc>
          <w:tcPr>
            <w:tcW w:w="10420" w:type="dxa"/>
            <w:vAlign w:val="bottom"/>
          </w:tcPr>
          <w:p>
            <w:pPr>
              <w:ind w:left="40"/>
              <w:spacing w:after="0"/>
              <w:rPr>
                <w:sz w:val="20"/>
                <w:szCs w:val="20"/>
                <w:color w:val="auto"/>
              </w:rPr>
            </w:pPr>
            <w:r>
              <w:rPr>
                <w:rFonts w:ascii="Arial" w:cs="Arial" w:eastAsia="Arial" w:hAnsi="Arial"/>
                <w:sz w:val="17"/>
                <w:szCs w:val="17"/>
                <w:color w:val="auto"/>
              </w:rPr>
              <w:t>Asset Purchase Agreement dated October 1, 2011 by and among Asure Software, Inc., ADI Software, LLC and ADI Time, LLC (1)</w:t>
            </w:r>
          </w:p>
        </w:tc>
      </w:tr>
      <w:tr>
        <w:trPr>
          <w:trHeight w:val="398"/>
        </w:trPr>
        <w:tc>
          <w:tcPr>
            <w:tcW w:w="980" w:type="dxa"/>
            <w:vAlign w:val="bottom"/>
          </w:tcPr>
          <w:p>
            <w:pPr>
              <w:spacing w:after="0"/>
              <w:rPr>
                <w:sz w:val="20"/>
                <w:szCs w:val="20"/>
                <w:color w:val="auto"/>
              </w:rPr>
            </w:pPr>
            <w:r>
              <w:rPr>
                <w:rFonts w:ascii="Arial" w:cs="Arial" w:eastAsia="Arial" w:hAnsi="Arial"/>
                <w:sz w:val="17"/>
                <w:szCs w:val="17"/>
                <w:color w:val="auto"/>
              </w:rPr>
              <w:t>2.2</w:t>
            </w:r>
          </w:p>
        </w:tc>
        <w:tc>
          <w:tcPr>
            <w:tcW w:w="20" w:type="dxa"/>
            <w:vAlign w:val="bottom"/>
          </w:tcPr>
          <w:p>
            <w:pPr>
              <w:spacing w:after="0"/>
              <w:rPr>
                <w:sz w:val="24"/>
                <w:szCs w:val="24"/>
                <w:color w:val="auto"/>
              </w:rPr>
            </w:pPr>
          </w:p>
        </w:tc>
        <w:tc>
          <w:tcPr>
            <w:tcW w:w="10420" w:type="dxa"/>
            <w:vAlign w:val="bottom"/>
          </w:tcPr>
          <w:p>
            <w:pPr>
              <w:ind w:left="40"/>
              <w:spacing w:after="0"/>
              <w:rPr>
                <w:sz w:val="20"/>
                <w:szCs w:val="20"/>
                <w:color w:val="auto"/>
              </w:rPr>
            </w:pPr>
            <w:r>
              <w:rPr>
                <w:rFonts w:ascii="Arial" w:cs="Arial" w:eastAsia="Arial" w:hAnsi="Arial"/>
                <w:sz w:val="17"/>
                <w:szCs w:val="17"/>
                <w:color w:val="auto"/>
              </w:rPr>
              <w:t>Asset Purchase Agreement dated December 14, 2011 by and among Asure Software, Inc., ADI Legiant, LLC and WG Ross Corp. (2)</w:t>
            </w:r>
          </w:p>
        </w:tc>
      </w:tr>
      <w:tr>
        <w:trPr>
          <w:trHeight w:val="411"/>
        </w:trPr>
        <w:tc>
          <w:tcPr>
            <w:tcW w:w="980" w:type="dxa"/>
            <w:vAlign w:val="bottom"/>
          </w:tcPr>
          <w:p>
            <w:pPr>
              <w:spacing w:after="0"/>
              <w:rPr>
                <w:sz w:val="20"/>
                <w:szCs w:val="20"/>
                <w:color w:val="auto"/>
              </w:rPr>
            </w:pPr>
            <w:r>
              <w:rPr>
                <w:rFonts w:ascii="Arial" w:cs="Arial" w:eastAsia="Arial" w:hAnsi="Arial"/>
                <w:sz w:val="17"/>
                <w:szCs w:val="17"/>
                <w:color w:val="auto"/>
              </w:rPr>
              <w:t>2.3</w:t>
            </w:r>
          </w:p>
        </w:tc>
        <w:tc>
          <w:tcPr>
            <w:tcW w:w="20" w:type="dxa"/>
            <w:vAlign w:val="bottom"/>
          </w:tcPr>
          <w:p>
            <w:pPr>
              <w:spacing w:after="0"/>
              <w:rPr>
                <w:sz w:val="24"/>
                <w:szCs w:val="24"/>
                <w:color w:val="auto"/>
              </w:rPr>
            </w:pPr>
          </w:p>
        </w:tc>
        <w:tc>
          <w:tcPr>
            <w:tcW w:w="10420" w:type="dxa"/>
            <w:vAlign w:val="bottom"/>
          </w:tcPr>
          <w:p>
            <w:pPr>
              <w:ind w:left="40"/>
              <w:spacing w:after="0"/>
              <w:rPr>
                <w:sz w:val="20"/>
                <w:szCs w:val="20"/>
                <w:color w:val="auto"/>
              </w:rPr>
            </w:pPr>
            <w:r>
              <w:rPr>
                <w:rFonts w:ascii="Arial" w:cs="Arial" w:eastAsia="Arial" w:hAnsi="Arial"/>
                <w:sz w:val="17"/>
                <w:szCs w:val="17"/>
                <w:color w:val="auto"/>
                <w:w w:val="95"/>
              </w:rPr>
              <w:t>Stock Purchase Agreement dated July 1, 2012 between Meeting maker Holding B.V. and PeopleCube Holding B.V. and Asure Software, Inc. (3)</w:t>
            </w:r>
          </w:p>
        </w:tc>
      </w:tr>
      <w:tr>
        <w:trPr>
          <w:trHeight w:val="411"/>
        </w:trPr>
        <w:tc>
          <w:tcPr>
            <w:tcW w:w="980" w:type="dxa"/>
            <w:vAlign w:val="bottom"/>
          </w:tcPr>
          <w:p>
            <w:pPr>
              <w:spacing w:after="0"/>
              <w:rPr>
                <w:sz w:val="20"/>
                <w:szCs w:val="20"/>
                <w:color w:val="auto"/>
              </w:rPr>
            </w:pPr>
            <w:r>
              <w:rPr>
                <w:rFonts w:ascii="Arial" w:cs="Arial" w:eastAsia="Arial" w:hAnsi="Arial"/>
                <w:sz w:val="17"/>
                <w:szCs w:val="17"/>
                <w:color w:val="auto"/>
              </w:rPr>
              <w:t>2.4</w:t>
            </w:r>
          </w:p>
        </w:tc>
        <w:tc>
          <w:tcPr>
            <w:tcW w:w="20" w:type="dxa"/>
            <w:vAlign w:val="bottom"/>
          </w:tcPr>
          <w:p>
            <w:pPr>
              <w:spacing w:after="0"/>
              <w:rPr>
                <w:sz w:val="24"/>
                <w:szCs w:val="24"/>
                <w:color w:val="auto"/>
              </w:rPr>
            </w:pPr>
          </w:p>
        </w:tc>
        <w:tc>
          <w:tcPr>
            <w:tcW w:w="10420" w:type="dxa"/>
            <w:vAlign w:val="bottom"/>
          </w:tcPr>
          <w:p>
            <w:pPr>
              <w:ind w:left="40"/>
              <w:spacing w:after="0"/>
              <w:rPr>
                <w:sz w:val="20"/>
                <w:szCs w:val="20"/>
                <w:color w:val="auto"/>
              </w:rPr>
            </w:pPr>
            <w:r>
              <w:rPr>
                <w:rFonts w:ascii="Arial" w:cs="Arial" w:eastAsia="Arial" w:hAnsi="Arial"/>
                <w:sz w:val="17"/>
                <w:szCs w:val="17"/>
                <w:color w:val="auto"/>
              </w:rPr>
              <w:t>Code Purchase and Perpetual License Agreement dated October 9, 2012 between Asure Software, Inc. and FotoPunch, Inc. (4)</w:t>
            </w:r>
          </w:p>
        </w:tc>
      </w:tr>
      <w:tr>
        <w:trPr>
          <w:trHeight w:val="411"/>
        </w:trPr>
        <w:tc>
          <w:tcPr>
            <w:tcW w:w="980" w:type="dxa"/>
            <w:vAlign w:val="bottom"/>
          </w:tcPr>
          <w:p>
            <w:pPr>
              <w:spacing w:after="0"/>
              <w:rPr>
                <w:sz w:val="20"/>
                <w:szCs w:val="20"/>
                <w:color w:val="auto"/>
              </w:rPr>
            </w:pPr>
            <w:r>
              <w:rPr>
                <w:rFonts w:ascii="Arial" w:cs="Arial" w:eastAsia="Arial" w:hAnsi="Arial"/>
                <w:sz w:val="17"/>
                <w:szCs w:val="17"/>
                <w:color w:val="auto"/>
              </w:rPr>
              <w:t>3.1</w:t>
            </w:r>
          </w:p>
        </w:tc>
        <w:tc>
          <w:tcPr>
            <w:tcW w:w="20" w:type="dxa"/>
            <w:vAlign w:val="bottom"/>
          </w:tcPr>
          <w:p>
            <w:pPr>
              <w:spacing w:after="0"/>
              <w:rPr>
                <w:sz w:val="24"/>
                <w:szCs w:val="24"/>
                <w:color w:val="auto"/>
              </w:rPr>
            </w:pPr>
          </w:p>
        </w:tc>
        <w:tc>
          <w:tcPr>
            <w:tcW w:w="10420" w:type="dxa"/>
            <w:vAlign w:val="bottom"/>
          </w:tcPr>
          <w:p>
            <w:pPr>
              <w:ind w:left="40"/>
              <w:spacing w:after="0"/>
              <w:rPr>
                <w:sz w:val="20"/>
                <w:szCs w:val="20"/>
                <w:color w:val="auto"/>
              </w:rPr>
            </w:pPr>
            <w:r>
              <w:rPr>
                <w:rFonts w:ascii="Arial" w:cs="Arial" w:eastAsia="Arial" w:hAnsi="Arial"/>
                <w:sz w:val="17"/>
                <w:szCs w:val="17"/>
                <w:color w:val="auto"/>
              </w:rPr>
              <w:t>Restated Certificate of Incorporation (5)</w:t>
            </w:r>
          </w:p>
        </w:tc>
      </w:tr>
      <w:tr>
        <w:trPr>
          <w:trHeight w:val="411"/>
        </w:trPr>
        <w:tc>
          <w:tcPr>
            <w:tcW w:w="980" w:type="dxa"/>
            <w:vAlign w:val="bottom"/>
          </w:tcPr>
          <w:p>
            <w:pPr>
              <w:spacing w:after="0"/>
              <w:rPr>
                <w:sz w:val="20"/>
                <w:szCs w:val="20"/>
                <w:color w:val="auto"/>
              </w:rPr>
            </w:pPr>
            <w:r>
              <w:rPr>
                <w:rFonts w:ascii="Arial" w:cs="Arial" w:eastAsia="Arial" w:hAnsi="Arial"/>
                <w:sz w:val="17"/>
                <w:szCs w:val="17"/>
                <w:color w:val="auto"/>
              </w:rPr>
              <w:t>3.2</w:t>
            </w:r>
          </w:p>
        </w:tc>
        <w:tc>
          <w:tcPr>
            <w:tcW w:w="20" w:type="dxa"/>
            <w:vAlign w:val="bottom"/>
          </w:tcPr>
          <w:p>
            <w:pPr>
              <w:spacing w:after="0"/>
              <w:rPr>
                <w:sz w:val="24"/>
                <w:szCs w:val="24"/>
                <w:color w:val="auto"/>
              </w:rPr>
            </w:pPr>
          </w:p>
        </w:tc>
        <w:tc>
          <w:tcPr>
            <w:tcW w:w="10420" w:type="dxa"/>
            <w:vAlign w:val="bottom"/>
          </w:tcPr>
          <w:p>
            <w:pPr>
              <w:ind w:left="40"/>
              <w:spacing w:after="0"/>
              <w:rPr>
                <w:sz w:val="20"/>
                <w:szCs w:val="20"/>
                <w:color w:val="auto"/>
              </w:rPr>
            </w:pPr>
            <w:r>
              <w:rPr>
                <w:rFonts w:ascii="Arial" w:cs="Arial" w:eastAsia="Arial" w:hAnsi="Arial"/>
                <w:sz w:val="17"/>
                <w:szCs w:val="17"/>
                <w:color w:val="auto"/>
              </w:rPr>
              <w:t>Certificate of Amendment to the Restated Certificate of Incorporation (6)</w:t>
            </w:r>
          </w:p>
        </w:tc>
      </w:tr>
      <w:tr>
        <w:trPr>
          <w:trHeight w:val="411"/>
        </w:trPr>
        <w:tc>
          <w:tcPr>
            <w:tcW w:w="980" w:type="dxa"/>
            <w:vAlign w:val="bottom"/>
          </w:tcPr>
          <w:p>
            <w:pPr>
              <w:spacing w:after="0"/>
              <w:rPr>
                <w:sz w:val="20"/>
                <w:szCs w:val="20"/>
                <w:color w:val="auto"/>
              </w:rPr>
            </w:pPr>
            <w:r>
              <w:rPr>
                <w:rFonts w:ascii="Arial" w:cs="Arial" w:eastAsia="Arial" w:hAnsi="Arial"/>
                <w:sz w:val="17"/>
                <w:szCs w:val="17"/>
                <w:color w:val="auto"/>
              </w:rPr>
              <w:t>3.3</w:t>
            </w:r>
          </w:p>
        </w:tc>
        <w:tc>
          <w:tcPr>
            <w:tcW w:w="20" w:type="dxa"/>
            <w:vAlign w:val="bottom"/>
          </w:tcPr>
          <w:p>
            <w:pPr>
              <w:spacing w:after="0"/>
              <w:rPr>
                <w:sz w:val="24"/>
                <w:szCs w:val="24"/>
                <w:color w:val="auto"/>
              </w:rPr>
            </w:pPr>
          </w:p>
        </w:tc>
        <w:tc>
          <w:tcPr>
            <w:tcW w:w="10420" w:type="dxa"/>
            <w:vAlign w:val="bottom"/>
          </w:tcPr>
          <w:p>
            <w:pPr>
              <w:ind w:left="40"/>
              <w:spacing w:after="0"/>
              <w:rPr>
                <w:sz w:val="20"/>
                <w:szCs w:val="20"/>
                <w:color w:val="auto"/>
              </w:rPr>
            </w:pPr>
            <w:r>
              <w:rPr>
                <w:rFonts w:ascii="Arial" w:cs="Arial" w:eastAsia="Arial" w:hAnsi="Arial"/>
                <w:sz w:val="17"/>
                <w:szCs w:val="17"/>
                <w:color w:val="auto"/>
              </w:rPr>
              <w:t>(Second) Certificate of Amendment to the Restated Certificate of Incorporation (7)</w:t>
            </w:r>
          </w:p>
        </w:tc>
      </w:tr>
      <w:tr>
        <w:trPr>
          <w:trHeight w:val="411"/>
        </w:trPr>
        <w:tc>
          <w:tcPr>
            <w:tcW w:w="980" w:type="dxa"/>
            <w:vAlign w:val="bottom"/>
          </w:tcPr>
          <w:p>
            <w:pPr>
              <w:spacing w:after="0"/>
              <w:rPr>
                <w:sz w:val="20"/>
                <w:szCs w:val="20"/>
                <w:color w:val="auto"/>
              </w:rPr>
            </w:pPr>
            <w:r>
              <w:rPr>
                <w:rFonts w:ascii="Arial" w:cs="Arial" w:eastAsia="Arial" w:hAnsi="Arial"/>
                <w:sz w:val="17"/>
                <w:szCs w:val="17"/>
                <w:color w:val="auto"/>
              </w:rPr>
              <w:t>3.4</w:t>
            </w:r>
          </w:p>
        </w:tc>
        <w:tc>
          <w:tcPr>
            <w:tcW w:w="20" w:type="dxa"/>
            <w:vAlign w:val="bottom"/>
          </w:tcPr>
          <w:p>
            <w:pPr>
              <w:spacing w:after="0"/>
              <w:rPr>
                <w:sz w:val="24"/>
                <w:szCs w:val="24"/>
                <w:color w:val="auto"/>
              </w:rPr>
            </w:pPr>
          </w:p>
        </w:tc>
        <w:tc>
          <w:tcPr>
            <w:tcW w:w="10420" w:type="dxa"/>
            <w:vAlign w:val="bottom"/>
          </w:tcPr>
          <w:p>
            <w:pPr>
              <w:ind w:left="40"/>
              <w:spacing w:after="0"/>
              <w:rPr>
                <w:sz w:val="20"/>
                <w:szCs w:val="20"/>
                <w:color w:val="auto"/>
              </w:rPr>
            </w:pPr>
            <w:r>
              <w:rPr>
                <w:rFonts w:ascii="Arial" w:cs="Arial" w:eastAsia="Arial" w:hAnsi="Arial"/>
                <w:sz w:val="17"/>
                <w:szCs w:val="17"/>
                <w:color w:val="auto"/>
              </w:rPr>
              <w:t>Amended and Restated Bylaws (8)</w:t>
            </w:r>
          </w:p>
        </w:tc>
      </w:tr>
      <w:tr>
        <w:trPr>
          <w:trHeight w:val="411"/>
        </w:trPr>
        <w:tc>
          <w:tcPr>
            <w:tcW w:w="980" w:type="dxa"/>
            <w:vAlign w:val="bottom"/>
          </w:tcPr>
          <w:p>
            <w:pPr>
              <w:spacing w:after="0"/>
              <w:rPr>
                <w:sz w:val="20"/>
                <w:szCs w:val="20"/>
                <w:color w:val="auto"/>
              </w:rPr>
            </w:pPr>
            <w:r>
              <w:rPr>
                <w:rFonts w:ascii="Arial" w:cs="Arial" w:eastAsia="Arial" w:hAnsi="Arial"/>
                <w:sz w:val="17"/>
                <w:szCs w:val="17"/>
                <w:color w:val="auto"/>
              </w:rPr>
              <w:t>4.1</w:t>
            </w:r>
          </w:p>
        </w:tc>
        <w:tc>
          <w:tcPr>
            <w:tcW w:w="20" w:type="dxa"/>
            <w:vAlign w:val="bottom"/>
          </w:tcPr>
          <w:p>
            <w:pPr>
              <w:spacing w:after="0"/>
              <w:rPr>
                <w:sz w:val="24"/>
                <w:szCs w:val="24"/>
                <w:color w:val="auto"/>
              </w:rPr>
            </w:pPr>
          </w:p>
        </w:tc>
        <w:tc>
          <w:tcPr>
            <w:tcW w:w="10420" w:type="dxa"/>
            <w:vAlign w:val="bottom"/>
          </w:tcPr>
          <w:p>
            <w:pPr>
              <w:ind w:left="40"/>
              <w:spacing w:after="0"/>
              <w:rPr>
                <w:sz w:val="20"/>
                <w:szCs w:val="20"/>
                <w:color w:val="auto"/>
              </w:rPr>
            </w:pPr>
            <w:r>
              <w:rPr>
                <w:rFonts w:ascii="Arial" w:cs="Arial" w:eastAsia="Arial" w:hAnsi="Arial"/>
                <w:sz w:val="17"/>
                <w:szCs w:val="17"/>
                <w:color w:val="auto"/>
              </w:rPr>
              <w:t>Specimen Certificate for the Common Stock (9)</w:t>
            </w:r>
          </w:p>
        </w:tc>
      </w:tr>
      <w:tr>
        <w:trPr>
          <w:trHeight w:val="400"/>
        </w:trPr>
        <w:tc>
          <w:tcPr>
            <w:tcW w:w="980" w:type="dxa"/>
            <w:vAlign w:val="bottom"/>
          </w:tcPr>
          <w:p>
            <w:pPr>
              <w:spacing w:after="0"/>
              <w:rPr>
                <w:sz w:val="20"/>
                <w:szCs w:val="20"/>
                <w:color w:val="auto"/>
              </w:rPr>
            </w:pPr>
            <w:r>
              <w:rPr>
                <w:rFonts w:ascii="Arial" w:cs="Arial" w:eastAsia="Arial" w:hAnsi="Arial"/>
                <w:sz w:val="17"/>
                <w:szCs w:val="17"/>
                <w:color w:val="auto"/>
              </w:rPr>
              <w:t>4.2</w:t>
            </w:r>
          </w:p>
        </w:tc>
        <w:tc>
          <w:tcPr>
            <w:tcW w:w="20" w:type="dxa"/>
            <w:vAlign w:val="bottom"/>
          </w:tcPr>
          <w:p>
            <w:pPr>
              <w:spacing w:after="0"/>
              <w:rPr>
                <w:sz w:val="24"/>
                <w:szCs w:val="24"/>
                <w:color w:val="auto"/>
              </w:rPr>
            </w:pPr>
          </w:p>
        </w:tc>
        <w:tc>
          <w:tcPr>
            <w:tcW w:w="10420" w:type="dxa"/>
            <w:vAlign w:val="bottom"/>
          </w:tcPr>
          <w:p>
            <w:pPr>
              <w:ind w:left="40"/>
              <w:spacing w:after="0"/>
              <w:rPr>
                <w:sz w:val="20"/>
                <w:szCs w:val="20"/>
                <w:color w:val="auto"/>
              </w:rPr>
            </w:pPr>
            <w:r>
              <w:rPr>
                <w:rFonts w:ascii="Arial" w:cs="Arial" w:eastAsia="Arial" w:hAnsi="Arial"/>
                <w:sz w:val="17"/>
                <w:szCs w:val="17"/>
                <w:color w:val="auto"/>
                <w:w w:val="91"/>
              </w:rPr>
              <w:t>Amended and Restated Rights Agreement, dated as of October 28, 2009 between Asure Software, Inc. and American Stock Transfer &amp; Trust Company</w:t>
            </w:r>
          </w:p>
        </w:tc>
      </w:tr>
      <w:tr>
        <w:trPr>
          <w:trHeight w:val="216"/>
        </w:trPr>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20" w:type="dxa"/>
            <w:vAlign w:val="bottom"/>
          </w:tcPr>
          <w:p>
            <w:pPr>
              <w:ind w:left="40"/>
              <w:spacing w:after="0"/>
              <w:rPr>
                <w:sz w:val="20"/>
                <w:szCs w:val="20"/>
                <w:color w:val="auto"/>
              </w:rPr>
            </w:pPr>
            <w:r>
              <w:rPr>
                <w:rFonts w:ascii="Arial" w:cs="Arial" w:eastAsia="Arial" w:hAnsi="Arial"/>
                <w:sz w:val="17"/>
                <w:szCs w:val="17"/>
                <w:color w:val="auto"/>
              </w:rPr>
              <w:t>(10)</w:t>
            </w:r>
          </w:p>
        </w:tc>
      </w:tr>
      <w:tr>
        <w:trPr>
          <w:trHeight w:val="411"/>
        </w:trPr>
        <w:tc>
          <w:tcPr>
            <w:tcW w:w="980" w:type="dxa"/>
            <w:vAlign w:val="bottom"/>
          </w:tcPr>
          <w:p>
            <w:pPr>
              <w:spacing w:after="0"/>
              <w:rPr>
                <w:sz w:val="20"/>
                <w:szCs w:val="20"/>
                <w:color w:val="auto"/>
              </w:rPr>
            </w:pPr>
            <w:r>
              <w:rPr>
                <w:rFonts w:ascii="Arial" w:cs="Arial" w:eastAsia="Arial" w:hAnsi="Arial"/>
                <w:sz w:val="17"/>
                <w:szCs w:val="17"/>
                <w:color w:val="auto"/>
              </w:rPr>
              <w:t>4.3</w:t>
            </w:r>
          </w:p>
        </w:tc>
        <w:tc>
          <w:tcPr>
            <w:tcW w:w="20" w:type="dxa"/>
            <w:vAlign w:val="bottom"/>
          </w:tcPr>
          <w:p>
            <w:pPr>
              <w:spacing w:after="0"/>
              <w:rPr>
                <w:sz w:val="24"/>
                <w:szCs w:val="24"/>
                <w:color w:val="auto"/>
              </w:rPr>
            </w:pPr>
          </w:p>
        </w:tc>
        <w:tc>
          <w:tcPr>
            <w:tcW w:w="10420" w:type="dxa"/>
            <w:vAlign w:val="bottom"/>
          </w:tcPr>
          <w:p>
            <w:pPr>
              <w:ind w:left="40"/>
              <w:spacing w:after="0"/>
              <w:rPr>
                <w:sz w:val="20"/>
                <w:szCs w:val="20"/>
                <w:color w:val="auto"/>
              </w:rPr>
            </w:pPr>
            <w:r>
              <w:rPr>
                <w:rFonts w:ascii="Arial" w:cs="Arial" w:eastAsia="Arial" w:hAnsi="Arial"/>
                <w:sz w:val="17"/>
                <w:szCs w:val="17"/>
                <w:color w:val="auto"/>
              </w:rPr>
              <w:t>Amended and Restated Certificate of Designation of Series A Junior Participating Preferred Stock (10)</w:t>
            </w:r>
          </w:p>
        </w:tc>
      </w:tr>
      <w:tr>
        <w:trPr>
          <w:trHeight w:val="411"/>
        </w:trPr>
        <w:tc>
          <w:tcPr>
            <w:tcW w:w="980" w:type="dxa"/>
            <w:vAlign w:val="bottom"/>
          </w:tcPr>
          <w:p>
            <w:pPr>
              <w:spacing w:after="0"/>
              <w:rPr>
                <w:sz w:val="20"/>
                <w:szCs w:val="20"/>
                <w:color w:val="auto"/>
              </w:rPr>
            </w:pPr>
            <w:r>
              <w:rPr>
                <w:rFonts w:ascii="Arial" w:cs="Arial" w:eastAsia="Arial" w:hAnsi="Arial"/>
                <w:sz w:val="17"/>
                <w:szCs w:val="17"/>
                <w:color w:val="auto"/>
              </w:rPr>
              <w:t>4.4</w:t>
            </w:r>
          </w:p>
        </w:tc>
        <w:tc>
          <w:tcPr>
            <w:tcW w:w="20" w:type="dxa"/>
            <w:vAlign w:val="bottom"/>
          </w:tcPr>
          <w:p>
            <w:pPr>
              <w:spacing w:after="0"/>
              <w:rPr>
                <w:sz w:val="24"/>
                <w:szCs w:val="24"/>
                <w:color w:val="auto"/>
              </w:rPr>
            </w:pPr>
          </w:p>
        </w:tc>
        <w:tc>
          <w:tcPr>
            <w:tcW w:w="10420" w:type="dxa"/>
            <w:vAlign w:val="bottom"/>
          </w:tcPr>
          <w:p>
            <w:pPr>
              <w:ind w:left="40"/>
              <w:spacing w:after="0"/>
              <w:rPr>
                <w:sz w:val="20"/>
                <w:szCs w:val="20"/>
                <w:color w:val="auto"/>
              </w:rPr>
            </w:pPr>
            <w:r>
              <w:rPr>
                <w:rFonts w:ascii="Arial" w:cs="Arial" w:eastAsia="Arial" w:hAnsi="Arial"/>
                <w:sz w:val="17"/>
                <w:szCs w:val="17"/>
                <w:color w:val="auto"/>
              </w:rPr>
              <w:t>Form of Rights Certificate (10)</w:t>
            </w:r>
          </w:p>
        </w:tc>
      </w:tr>
      <w:tr>
        <w:trPr>
          <w:trHeight w:val="411"/>
        </w:trPr>
        <w:tc>
          <w:tcPr>
            <w:tcW w:w="980" w:type="dxa"/>
            <w:vAlign w:val="bottom"/>
          </w:tcPr>
          <w:p>
            <w:pPr>
              <w:spacing w:after="0"/>
              <w:rPr>
                <w:sz w:val="20"/>
                <w:szCs w:val="20"/>
                <w:color w:val="auto"/>
              </w:rPr>
            </w:pPr>
            <w:r>
              <w:rPr>
                <w:rFonts w:ascii="Arial" w:cs="Arial" w:eastAsia="Arial" w:hAnsi="Arial"/>
                <w:sz w:val="17"/>
                <w:szCs w:val="17"/>
                <w:color w:val="auto"/>
              </w:rPr>
              <w:t>4.5</w:t>
            </w:r>
          </w:p>
        </w:tc>
        <w:tc>
          <w:tcPr>
            <w:tcW w:w="20" w:type="dxa"/>
            <w:vAlign w:val="bottom"/>
          </w:tcPr>
          <w:p>
            <w:pPr>
              <w:spacing w:after="0"/>
              <w:rPr>
                <w:sz w:val="24"/>
                <w:szCs w:val="24"/>
                <w:color w:val="auto"/>
              </w:rPr>
            </w:pPr>
          </w:p>
        </w:tc>
        <w:tc>
          <w:tcPr>
            <w:tcW w:w="10420" w:type="dxa"/>
            <w:vAlign w:val="bottom"/>
          </w:tcPr>
          <w:p>
            <w:pPr>
              <w:ind w:left="40"/>
              <w:spacing w:after="0"/>
              <w:rPr>
                <w:sz w:val="20"/>
                <w:szCs w:val="20"/>
                <w:color w:val="auto"/>
              </w:rPr>
            </w:pPr>
            <w:r>
              <w:rPr>
                <w:rFonts w:ascii="Arial" w:cs="Arial" w:eastAsia="Arial" w:hAnsi="Arial"/>
                <w:sz w:val="17"/>
                <w:szCs w:val="17"/>
                <w:color w:val="auto"/>
              </w:rPr>
              <w:t>Form of 9% Subordinated Convertible Promissory Note (1)</w:t>
            </w:r>
          </w:p>
        </w:tc>
      </w:tr>
      <w:tr>
        <w:trPr>
          <w:trHeight w:val="411"/>
        </w:trPr>
        <w:tc>
          <w:tcPr>
            <w:tcW w:w="980" w:type="dxa"/>
            <w:vAlign w:val="bottom"/>
          </w:tcPr>
          <w:p>
            <w:pPr>
              <w:spacing w:after="0"/>
              <w:rPr>
                <w:sz w:val="20"/>
                <w:szCs w:val="20"/>
                <w:color w:val="auto"/>
              </w:rPr>
            </w:pPr>
            <w:r>
              <w:rPr>
                <w:rFonts w:ascii="Arial" w:cs="Arial" w:eastAsia="Arial" w:hAnsi="Arial"/>
                <w:sz w:val="17"/>
                <w:szCs w:val="17"/>
                <w:color w:val="auto"/>
              </w:rPr>
              <w:t>4.6</w:t>
            </w:r>
          </w:p>
        </w:tc>
        <w:tc>
          <w:tcPr>
            <w:tcW w:w="20" w:type="dxa"/>
            <w:vAlign w:val="bottom"/>
          </w:tcPr>
          <w:p>
            <w:pPr>
              <w:spacing w:after="0"/>
              <w:rPr>
                <w:sz w:val="24"/>
                <w:szCs w:val="24"/>
                <w:color w:val="auto"/>
              </w:rPr>
            </w:pPr>
          </w:p>
        </w:tc>
        <w:tc>
          <w:tcPr>
            <w:tcW w:w="10420" w:type="dxa"/>
            <w:vAlign w:val="bottom"/>
          </w:tcPr>
          <w:p>
            <w:pPr>
              <w:ind w:left="40"/>
              <w:spacing w:after="0"/>
              <w:rPr>
                <w:sz w:val="20"/>
                <w:szCs w:val="20"/>
                <w:color w:val="auto"/>
              </w:rPr>
            </w:pPr>
            <w:r>
              <w:rPr>
                <w:rFonts w:ascii="Arial" w:cs="Arial" w:eastAsia="Arial" w:hAnsi="Arial"/>
                <w:sz w:val="17"/>
                <w:szCs w:val="17"/>
                <w:color w:val="auto"/>
              </w:rPr>
              <w:t>Form of 15% Subordinated Promissory Note (1)</w:t>
            </w:r>
          </w:p>
        </w:tc>
      </w:tr>
      <w:tr>
        <w:trPr>
          <w:trHeight w:val="411"/>
        </w:trPr>
        <w:tc>
          <w:tcPr>
            <w:tcW w:w="980" w:type="dxa"/>
            <w:vAlign w:val="bottom"/>
          </w:tcPr>
          <w:p>
            <w:pPr>
              <w:spacing w:after="0"/>
              <w:rPr>
                <w:sz w:val="20"/>
                <w:szCs w:val="20"/>
                <w:color w:val="auto"/>
              </w:rPr>
            </w:pPr>
            <w:r>
              <w:rPr>
                <w:rFonts w:ascii="Arial" w:cs="Arial" w:eastAsia="Arial" w:hAnsi="Arial"/>
                <w:sz w:val="17"/>
                <w:szCs w:val="17"/>
                <w:color w:val="auto"/>
              </w:rPr>
              <w:t>4.7</w:t>
            </w:r>
          </w:p>
        </w:tc>
        <w:tc>
          <w:tcPr>
            <w:tcW w:w="20" w:type="dxa"/>
            <w:vAlign w:val="bottom"/>
          </w:tcPr>
          <w:p>
            <w:pPr>
              <w:spacing w:after="0"/>
              <w:rPr>
                <w:sz w:val="24"/>
                <w:szCs w:val="24"/>
                <w:color w:val="auto"/>
              </w:rPr>
            </w:pPr>
          </w:p>
        </w:tc>
        <w:tc>
          <w:tcPr>
            <w:tcW w:w="10420" w:type="dxa"/>
            <w:vAlign w:val="bottom"/>
          </w:tcPr>
          <w:p>
            <w:pPr>
              <w:ind w:left="40"/>
              <w:spacing w:after="0"/>
              <w:rPr>
                <w:sz w:val="20"/>
                <w:szCs w:val="20"/>
                <w:color w:val="auto"/>
              </w:rPr>
            </w:pPr>
            <w:r>
              <w:rPr>
                <w:rFonts w:ascii="Arial" w:cs="Arial" w:eastAsia="Arial" w:hAnsi="Arial"/>
                <w:sz w:val="17"/>
                <w:szCs w:val="17"/>
                <w:color w:val="auto"/>
              </w:rPr>
              <w:t>Form of Securities Purchase Agreement for 9% Subordinated Convertible Promissory Note (1)</w:t>
            </w:r>
          </w:p>
        </w:tc>
      </w:tr>
      <w:tr>
        <w:trPr>
          <w:trHeight w:val="411"/>
        </w:trPr>
        <w:tc>
          <w:tcPr>
            <w:tcW w:w="980" w:type="dxa"/>
            <w:vAlign w:val="bottom"/>
          </w:tcPr>
          <w:p>
            <w:pPr>
              <w:spacing w:after="0"/>
              <w:rPr>
                <w:sz w:val="20"/>
                <w:szCs w:val="20"/>
                <w:color w:val="auto"/>
              </w:rPr>
            </w:pPr>
            <w:r>
              <w:rPr>
                <w:rFonts w:ascii="Arial" w:cs="Arial" w:eastAsia="Arial" w:hAnsi="Arial"/>
                <w:sz w:val="17"/>
                <w:szCs w:val="17"/>
                <w:color w:val="auto"/>
              </w:rPr>
              <w:t>4.8</w:t>
            </w:r>
          </w:p>
        </w:tc>
        <w:tc>
          <w:tcPr>
            <w:tcW w:w="20" w:type="dxa"/>
            <w:vAlign w:val="bottom"/>
          </w:tcPr>
          <w:p>
            <w:pPr>
              <w:spacing w:after="0"/>
              <w:rPr>
                <w:sz w:val="24"/>
                <w:szCs w:val="24"/>
                <w:color w:val="auto"/>
              </w:rPr>
            </w:pPr>
          </w:p>
        </w:tc>
        <w:tc>
          <w:tcPr>
            <w:tcW w:w="10420" w:type="dxa"/>
            <w:vAlign w:val="bottom"/>
          </w:tcPr>
          <w:p>
            <w:pPr>
              <w:ind w:left="40"/>
              <w:spacing w:after="0"/>
              <w:rPr>
                <w:sz w:val="20"/>
                <w:szCs w:val="20"/>
                <w:color w:val="auto"/>
              </w:rPr>
            </w:pPr>
            <w:r>
              <w:rPr>
                <w:rFonts w:ascii="Arial" w:cs="Arial" w:eastAsia="Arial" w:hAnsi="Arial"/>
                <w:sz w:val="17"/>
                <w:szCs w:val="17"/>
                <w:color w:val="auto"/>
              </w:rPr>
              <w:t>Form of Securities Purchase Agreement for 15% Subordinated Promissory Note (1)</w:t>
            </w:r>
          </w:p>
        </w:tc>
      </w:tr>
      <w:tr>
        <w:trPr>
          <w:trHeight w:val="411"/>
        </w:trPr>
        <w:tc>
          <w:tcPr>
            <w:tcW w:w="980" w:type="dxa"/>
            <w:vAlign w:val="bottom"/>
          </w:tcPr>
          <w:p>
            <w:pPr>
              <w:spacing w:after="0"/>
              <w:rPr>
                <w:sz w:val="20"/>
                <w:szCs w:val="20"/>
                <w:color w:val="auto"/>
              </w:rPr>
            </w:pPr>
            <w:r>
              <w:rPr>
                <w:rFonts w:ascii="Arial" w:cs="Arial" w:eastAsia="Arial" w:hAnsi="Arial"/>
                <w:sz w:val="17"/>
                <w:szCs w:val="17"/>
                <w:color w:val="auto"/>
              </w:rPr>
              <w:t>4.9</w:t>
            </w:r>
          </w:p>
        </w:tc>
        <w:tc>
          <w:tcPr>
            <w:tcW w:w="20" w:type="dxa"/>
            <w:vAlign w:val="bottom"/>
          </w:tcPr>
          <w:p>
            <w:pPr>
              <w:spacing w:after="0"/>
              <w:rPr>
                <w:sz w:val="24"/>
                <w:szCs w:val="24"/>
                <w:color w:val="auto"/>
              </w:rPr>
            </w:pPr>
          </w:p>
        </w:tc>
        <w:tc>
          <w:tcPr>
            <w:tcW w:w="10420" w:type="dxa"/>
            <w:vAlign w:val="bottom"/>
          </w:tcPr>
          <w:p>
            <w:pPr>
              <w:ind w:left="40"/>
              <w:spacing w:after="0"/>
              <w:rPr>
                <w:sz w:val="20"/>
                <w:szCs w:val="20"/>
                <w:color w:val="auto"/>
              </w:rPr>
            </w:pPr>
            <w:r>
              <w:rPr>
                <w:rFonts w:ascii="Arial" w:cs="Arial" w:eastAsia="Arial" w:hAnsi="Arial"/>
                <w:sz w:val="17"/>
                <w:szCs w:val="17"/>
                <w:color w:val="auto"/>
              </w:rPr>
              <w:t>Registration Rights Agreement (1)</w:t>
            </w:r>
          </w:p>
        </w:tc>
      </w:tr>
      <w:tr>
        <w:trPr>
          <w:trHeight w:val="552"/>
        </w:trPr>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20" w:type="dxa"/>
            <w:vAlign w:val="bottom"/>
          </w:tcPr>
          <w:p>
            <w:pPr>
              <w:ind w:left="4620"/>
              <w:spacing w:after="0"/>
              <w:rPr>
                <w:sz w:val="20"/>
                <w:szCs w:val="20"/>
                <w:color w:val="auto"/>
              </w:rPr>
            </w:pPr>
            <w:r>
              <w:rPr>
                <w:rFonts w:ascii="Arial" w:cs="Arial" w:eastAsia="Arial" w:hAnsi="Arial"/>
                <w:sz w:val="17"/>
                <w:szCs w:val="17"/>
                <w:color w:val="auto"/>
              </w:rPr>
              <w:t>23</w:t>
            </w:r>
          </w:p>
        </w:tc>
      </w:tr>
      <w:tr>
        <w:trPr>
          <w:trHeight w:val="113"/>
        </w:trPr>
        <w:tc>
          <w:tcPr>
            <w:tcW w:w="9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042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07" w:right="2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161"/>
        </w:trPr>
        <w:tc>
          <w:tcPr>
            <w:tcW w:w="1040" w:type="dxa"/>
            <w:vAlign w:val="bottom"/>
            <w:gridSpan w:val="2"/>
          </w:tcPr>
          <w:p>
            <w:pPr>
              <w:spacing w:after="0"/>
              <w:rPr>
                <w:rFonts w:ascii="Arial" w:cs="Arial" w:eastAsia="Arial" w:hAnsi="Arial"/>
                <w:sz w:val="14"/>
                <w:szCs w:val="14"/>
                <w:color w:val="0000EE"/>
                <w:w w:val="92"/>
              </w:rPr>
            </w:pPr>
            <w:hyperlink w:anchor="page3">
              <w:r>
                <w:rPr>
                  <w:rFonts w:ascii="Arial" w:cs="Arial" w:eastAsia="Arial" w:hAnsi="Arial"/>
                  <w:sz w:val="14"/>
                  <w:szCs w:val="14"/>
                  <w:color w:val="0000EE"/>
                  <w:w w:val="92"/>
                </w:rPr>
                <w:t>Table of Contents</w:t>
              </w:r>
            </w:hyperlink>
          </w:p>
        </w:tc>
        <w:tc>
          <w:tcPr>
            <w:tcW w:w="3840" w:type="dxa"/>
            <w:vAlign w:val="bottom"/>
          </w:tcPr>
          <w:p>
            <w:pPr>
              <w:spacing w:after="0"/>
              <w:rPr>
                <w:sz w:val="14"/>
                <w:szCs w:val="14"/>
                <w:color w:val="auto"/>
              </w:rPr>
            </w:pPr>
          </w:p>
        </w:tc>
        <w:tc>
          <w:tcPr>
            <w:tcW w:w="6240" w:type="dxa"/>
            <w:vAlign w:val="bottom"/>
          </w:tcPr>
          <w:p>
            <w:pPr>
              <w:spacing w:after="0"/>
              <w:rPr>
                <w:sz w:val="14"/>
                <w:szCs w:val="14"/>
                <w:color w:val="auto"/>
              </w:rPr>
            </w:pPr>
          </w:p>
        </w:tc>
      </w:tr>
      <w:tr>
        <w:trPr>
          <w:trHeight w:val="402"/>
        </w:trPr>
        <w:tc>
          <w:tcPr>
            <w:tcW w:w="980" w:type="dxa"/>
            <w:vAlign w:val="bottom"/>
            <w:tcBorders>
              <w:top w:val="single" w:sz="8" w:color="0000EE"/>
            </w:tcBorders>
          </w:tcPr>
          <w:p>
            <w:pPr>
              <w:spacing w:after="0"/>
              <w:rPr>
                <w:sz w:val="20"/>
                <w:szCs w:val="20"/>
                <w:color w:val="auto"/>
              </w:rPr>
            </w:pPr>
            <w:r>
              <w:rPr>
                <w:rFonts w:ascii="Arial" w:cs="Arial" w:eastAsia="Arial" w:hAnsi="Arial"/>
                <w:sz w:val="17"/>
                <w:szCs w:val="17"/>
                <w:color w:val="auto"/>
              </w:rPr>
              <w:t>4.10</w:t>
            </w:r>
          </w:p>
        </w:tc>
        <w:tc>
          <w:tcPr>
            <w:tcW w:w="60" w:type="dxa"/>
            <w:vAlign w:val="bottom"/>
          </w:tcPr>
          <w:p>
            <w:pPr>
              <w:spacing w:after="0"/>
              <w:rPr>
                <w:sz w:val="24"/>
                <w:szCs w:val="24"/>
                <w:color w:val="auto"/>
              </w:rPr>
            </w:pPr>
          </w:p>
        </w:tc>
        <w:tc>
          <w:tcPr>
            <w:tcW w:w="10080" w:type="dxa"/>
            <w:vAlign w:val="bottom"/>
            <w:gridSpan w:val="2"/>
          </w:tcPr>
          <w:p>
            <w:pPr>
              <w:spacing w:after="0"/>
              <w:rPr>
                <w:sz w:val="20"/>
                <w:szCs w:val="20"/>
                <w:color w:val="auto"/>
              </w:rPr>
            </w:pPr>
            <w:r>
              <w:rPr>
                <w:rFonts w:ascii="Arial" w:cs="Arial" w:eastAsia="Arial" w:hAnsi="Arial"/>
                <w:sz w:val="17"/>
                <w:szCs w:val="17"/>
                <w:color w:val="auto"/>
              </w:rPr>
              <w:t>Amended and Restated Registration Rights Agreement dated March 10, 2012 (11)</w:t>
            </w:r>
          </w:p>
        </w:tc>
      </w:tr>
      <w:tr>
        <w:trPr>
          <w:trHeight w:val="411"/>
        </w:trPr>
        <w:tc>
          <w:tcPr>
            <w:tcW w:w="980" w:type="dxa"/>
            <w:vAlign w:val="bottom"/>
          </w:tcPr>
          <w:p>
            <w:pPr>
              <w:spacing w:after="0"/>
              <w:rPr>
                <w:sz w:val="20"/>
                <w:szCs w:val="20"/>
                <w:color w:val="auto"/>
              </w:rPr>
            </w:pPr>
            <w:r>
              <w:rPr>
                <w:rFonts w:ascii="Arial" w:cs="Arial" w:eastAsia="Arial" w:hAnsi="Arial"/>
                <w:sz w:val="17"/>
                <w:szCs w:val="17"/>
                <w:color w:val="auto"/>
              </w:rPr>
              <w:t>4.11</w:t>
            </w:r>
          </w:p>
        </w:tc>
        <w:tc>
          <w:tcPr>
            <w:tcW w:w="60" w:type="dxa"/>
            <w:vAlign w:val="bottom"/>
          </w:tcPr>
          <w:p>
            <w:pPr>
              <w:spacing w:after="0"/>
              <w:rPr>
                <w:sz w:val="24"/>
                <w:szCs w:val="24"/>
                <w:color w:val="auto"/>
              </w:rPr>
            </w:pPr>
          </w:p>
        </w:tc>
        <w:tc>
          <w:tcPr>
            <w:tcW w:w="10080" w:type="dxa"/>
            <w:vAlign w:val="bottom"/>
            <w:gridSpan w:val="2"/>
          </w:tcPr>
          <w:p>
            <w:pPr>
              <w:spacing w:after="0"/>
              <w:rPr>
                <w:sz w:val="20"/>
                <w:szCs w:val="20"/>
                <w:color w:val="auto"/>
              </w:rPr>
            </w:pPr>
            <w:r>
              <w:rPr>
                <w:rFonts w:ascii="Arial" w:cs="Arial" w:eastAsia="Arial" w:hAnsi="Arial"/>
                <w:sz w:val="17"/>
                <w:szCs w:val="17"/>
                <w:color w:val="auto"/>
              </w:rPr>
              <w:t>Amendment Agreement with respect to the Amended and Restated 9% Convertible Promissory Notes (11)</w:t>
            </w:r>
          </w:p>
        </w:tc>
      </w:tr>
      <w:tr>
        <w:trPr>
          <w:trHeight w:val="411"/>
        </w:trPr>
        <w:tc>
          <w:tcPr>
            <w:tcW w:w="980" w:type="dxa"/>
            <w:vAlign w:val="bottom"/>
          </w:tcPr>
          <w:p>
            <w:pPr>
              <w:spacing w:after="0"/>
              <w:rPr>
                <w:sz w:val="20"/>
                <w:szCs w:val="20"/>
                <w:color w:val="auto"/>
              </w:rPr>
            </w:pPr>
            <w:r>
              <w:rPr>
                <w:rFonts w:ascii="Arial" w:cs="Arial" w:eastAsia="Arial" w:hAnsi="Arial"/>
                <w:sz w:val="17"/>
                <w:szCs w:val="17"/>
                <w:color w:val="auto"/>
              </w:rPr>
              <w:t>4.12</w:t>
            </w:r>
          </w:p>
        </w:tc>
        <w:tc>
          <w:tcPr>
            <w:tcW w:w="60" w:type="dxa"/>
            <w:vAlign w:val="bottom"/>
          </w:tcPr>
          <w:p>
            <w:pPr>
              <w:spacing w:after="0"/>
              <w:rPr>
                <w:sz w:val="24"/>
                <w:szCs w:val="24"/>
                <w:color w:val="auto"/>
              </w:rPr>
            </w:pPr>
          </w:p>
        </w:tc>
        <w:tc>
          <w:tcPr>
            <w:tcW w:w="10080" w:type="dxa"/>
            <w:vAlign w:val="bottom"/>
            <w:gridSpan w:val="2"/>
          </w:tcPr>
          <w:p>
            <w:pPr>
              <w:spacing w:after="0"/>
              <w:rPr>
                <w:sz w:val="20"/>
                <w:szCs w:val="20"/>
                <w:color w:val="auto"/>
              </w:rPr>
            </w:pPr>
            <w:r>
              <w:rPr>
                <w:rFonts w:ascii="Arial" w:cs="Arial" w:eastAsia="Arial" w:hAnsi="Arial"/>
                <w:sz w:val="17"/>
                <w:szCs w:val="17"/>
                <w:color w:val="auto"/>
              </w:rPr>
              <w:t>Promissory Note dated October 2011 issued in connection with acquisition of certain assets from ADI Time, LLC (2)</w:t>
            </w:r>
          </w:p>
        </w:tc>
      </w:tr>
      <w:tr>
        <w:trPr>
          <w:trHeight w:val="411"/>
        </w:trPr>
        <w:tc>
          <w:tcPr>
            <w:tcW w:w="980" w:type="dxa"/>
            <w:vAlign w:val="bottom"/>
          </w:tcPr>
          <w:p>
            <w:pPr>
              <w:spacing w:after="0"/>
              <w:rPr>
                <w:sz w:val="20"/>
                <w:szCs w:val="20"/>
                <w:color w:val="auto"/>
              </w:rPr>
            </w:pPr>
            <w:r>
              <w:rPr>
                <w:rFonts w:ascii="Arial" w:cs="Arial" w:eastAsia="Arial" w:hAnsi="Arial"/>
                <w:sz w:val="17"/>
                <w:szCs w:val="17"/>
                <w:color w:val="auto"/>
              </w:rPr>
              <w:t>4.13</w:t>
            </w:r>
          </w:p>
        </w:tc>
        <w:tc>
          <w:tcPr>
            <w:tcW w:w="60" w:type="dxa"/>
            <w:vAlign w:val="bottom"/>
          </w:tcPr>
          <w:p>
            <w:pPr>
              <w:spacing w:after="0"/>
              <w:rPr>
                <w:sz w:val="24"/>
                <w:szCs w:val="24"/>
                <w:color w:val="auto"/>
              </w:rPr>
            </w:pPr>
          </w:p>
        </w:tc>
        <w:tc>
          <w:tcPr>
            <w:tcW w:w="10080" w:type="dxa"/>
            <w:vAlign w:val="bottom"/>
            <w:gridSpan w:val="2"/>
          </w:tcPr>
          <w:p>
            <w:pPr>
              <w:spacing w:after="0"/>
              <w:rPr>
                <w:sz w:val="20"/>
                <w:szCs w:val="20"/>
                <w:color w:val="auto"/>
              </w:rPr>
            </w:pPr>
            <w:r>
              <w:rPr>
                <w:rFonts w:ascii="Arial" w:cs="Arial" w:eastAsia="Arial" w:hAnsi="Arial"/>
                <w:sz w:val="17"/>
                <w:szCs w:val="17"/>
                <w:color w:val="auto"/>
              </w:rPr>
              <w:t>Letter Agreement from Patrick Goepel relating to forfeiture of option rights (2)</w:t>
            </w:r>
          </w:p>
        </w:tc>
      </w:tr>
      <w:tr>
        <w:trPr>
          <w:trHeight w:val="411"/>
        </w:trPr>
        <w:tc>
          <w:tcPr>
            <w:tcW w:w="980" w:type="dxa"/>
            <w:vAlign w:val="bottom"/>
          </w:tcPr>
          <w:p>
            <w:pPr>
              <w:spacing w:after="0"/>
              <w:rPr>
                <w:sz w:val="20"/>
                <w:szCs w:val="20"/>
                <w:color w:val="auto"/>
              </w:rPr>
            </w:pPr>
            <w:r>
              <w:rPr>
                <w:rFonts w:ascii="Arial" w:cs="Arial" w:eastAsia="Arial" w:hAnsi="Arial"/>
                <w:sz w:val="17"/>
                <w:szCs w:val="17"/>
                <w:color w:val="auto"/>
              </w:rPr>
              <w:t>4.14</w:t>
            </w:r>
          </w:p>
        </w:tc>
        <w:tc>
          <w:tcPr>
            <w:tcW w:w="60" w:type="dxa"/>
            <w:vAlign w:val="bottom"/>
          </w:tcPr>
          <w:p>
            <w:pPr>
              <w:spacing w:after="0"/>
              <w:rPr>
                <w:sz w:val="24"/>
                <w:szCs w:val="24"/>
                <w:color w:val="auto"/>
              </w:rPr>
            </w:pPr>
          </w:p>
        </w:tc>
        <w:tc>
          <w:tcPr>
            <w:tcW w:w="10080" w:type="dxa"/>
            <w:vAlign w:val="bottom"/>
            <w:gridSpan w:val="2"/>
          </w:tcPr>
          <w:p>
            <w:pPr>
              <w:spacing w:after="0"/>
              <w:rPr>
                <w:sz w:val="20"/>
                <w:szCs w:val="20"/>
                <w:color w:val="auto"/>
              </w:rPr>
            </w:pPr>
            <w:r>
              <w:rPr>
                <w:rFonts w:ascii="Arial" w:cs="Arial" w:eastAsia="Arial" w:hAnsi="Arial"/>
                <w:sz w:val="17"/>
                <w:szCs w:val="17"/>
                <w:color w:val="auto"/>
              </w:rPr>
              <w:t>Stock Option Agreement for Patrick Goepel (2)</w:t>
            </w:r>
          </w:p>
        </w:tc>
      </w:tr>
      <w:tr>
        <w:trPr>
          <w:trHeight w:val="411"/>
        </w:trPr>
        <w:tc>
          <w:tcPr>
            <w:tcW w:w="980" w:type="dxa"/>
            <w:vAlign w:val="bottom"/>
          </w:tcPr>
          <w:p>
            <w:pPr>
              <w:spacing w:after="0"/>
              <w:rPr>
                <w:sz w:val="20"/>
                <w:szCs w:val="20"/>
                <w:color w:val="auto"/>
              </w:rPr>
            </w:pPr>
            <w:r>
              <w:rPr>
                <w:rFonts w:ascii="Arial" w:cs="Arial" w:eastAsia="Arial" w:hAnsi="Arial"/>
                <w:sz w:val="17"/>
                <w:szCs w:val="17"/>
                <w:color w:val="auto"/>
              </w:rPr>
              <w:t>4.15</w:t>
            </w:r>
          </w:p>
        </w:tc>
        <w:tc>
          <w:tcPr>
            <w:tcW w:w="60" w:type="dxa"/>
            <w:vAlign w:val="bottom"/>
          </w:tcPr>
          <w:p>
            <w:pPr>
              <w:spacing w:after="0"/>
              <w:rPr>
                <w:sz w:val="24"/>
                <w:szCs w:val="24"/>
                <w:color w:val="auto"/>
              </w:rPr>
            </w:pPr>
          </w:p>
        </w:tc>
        <w:tc>
          <w:tcPr>
            <w:tcW w:w="10080" w:type="dxa"/>
            <w:vAlign w:val="bottom"/>
            <w:gridSpan w:val="2"/>
          </w:tcPr>
          <w:p>
            <w:pPr>
              <w:spacing w:after="0"/>
              <w:rPr>
                <w:sz w:val="20"/>
                <w:szCs w:val="20"/>
                <w:color w:val="auto"/>
              </w:rPr>
            </w:pPr>
            <w:r>
              <w:rPr>
                <w:rFonts w:ascii="Arial" w:cs="Arial" w:eastAsia="Arial" w:hAnsi="Arial"/>
                <w:sz w:val="17"/>
                <w:szCs w:val="17"/>
                <w:color w:val="auto"/>
              </w:rPr>
              <w:t>Stock Option Agreement for Steve Rodriguez (2)</w:t>
            </w:r>
          </w:p>
        </w:tc>
      </w:tr>
      <w:tr>
        <w:trPr>
          <w:trHeight w:val="411"/>
        </w:trPr>
        <w:tc>
          <w:tcPr>
            <w:tcW w:w="980" w:type="dxa"/>
            <w:vAlign w:val="bottom"/>
          </w:tcPr>
          <w:p>
            <w:pPr>
              <w:spacing w:after="0"/>
              <w:rPr>
                <w:sz w:val="20"/>
                <w:szCs w:val="20"/>
                <w:color w:val="auto"/>
              </w:rPr>
            </w:pPr>
            <w:r>
              <w:rPr>
                <w:rFonts w:ascii="Arial" w:cs="Arial" w:eastAsia="Arial" w:hAnsi="Arial"/>
                <w:sz w:val="17"/>
                <w:szCs w:val="17"/>
                <w:color w:val="auto"/>
              </w:rPr>
              <w:t>4.16</w:t>
            </w:r>
          </w:p>
        </w:tc>
        <w:tc>
          <w:tcPr>
            <w:tcW w:w="60" w:type="dxa"/>
            <w:vAlign w:val="bottom"/>
          </w:tcPr>
          <w:p>
            <w:pPr>
              <w:spacing w:after="0"/>
              <w:rPr>
                <w:sz w:val="24"/>
                <w:szCs w:val="24"/>
                <w:color w:val="auto"/>
              </w:rPr>
            </w:pPr>
          </w:p>
        </w:tc>
        <w:tc>
          <w:tcPr>
            <w:tcW w:w="10080" w:type="dxa"/>
            <w:vAlign w:val="bottom"/>
            <w:gridSpan w:val="2"/>
          </w:tcPr>
          <w:p>
            <w:pPr>
              <w:spacing w:after="0"/>
              <w:rPr>
                <w:sz w:val="20"/>
                <w:szCs w:val="20"/>
                <w:color w:val="auto"/>
              </w:rPr>
            </w:pPr>
            <w:r>
              <w:rPr>
                <w:rFonts w:ascii="Arial" w:cs="Arial" w:eastAsia="Arial" w:hAnsi="Arial"/>
                <w:sz w:val="17"/>
                <w:szCs w:val="17"/>
                <w:color w:val="auto"/>
              </w:rPr>
              <w:t>Stock Option Agreement for Mike Kinney (2)</w:t>
            </w:r>
          </w:p>
        </w:tc>
      </w:tr>
      <w:tr>
        <w:trPr>
          <w:trHeight w:val="411"/>
        </w:trPr>
        <w:tc>
          <w:tcPr>
            <w:tcW w:w="980" w:type="dxa"/>
            <w:vAlign w:val="bottom"/>
          </w:tcPr>
          <w:p>
            <w:pPr>
              <w:spacing w:after="0"/>
              <w:rPr>
                <w:sz w:val="20"/>
                <w:szCs w:val="20"/>
                <w:color w:val="auto"/>
              </w:rPr>
            </w:pPr>
            <w:r>
              <w:rPr>
                <w:rFonts w:ascii="Arial" w:cs="Arial" w:eastAsia="Arial" w:hAnsi="Arial"/>
                <w:sz w:val="17"/>
                <w:szCs w:val="17"/>
                <w:color w:val="auto"/>
              </w:rPr>
              <w:t>4.17</w:t>
            </w:r>
          </w:p>
        </w:tc>
        <w:tc>
          <w:tcPr>
            <w:tcW w:w="60" w:type="dxa"/>
            <w:vAlign w:val="bottom"/>
          </w:tcPr>
          <w:p>
            <w:pPr>
              <w:spacing w:after="0"/>
              <w:rPr>
                <w:sz w:val="24"/>
                <w:szCs w:val="24"/>
                <w:color w:val="auto"/>
              </w:rPr>
            </w:pPr>
          </w:p>
        </w:tc>
        <w:tc>
          <w:tcPr>
            <w:tcW w:w="10080" w:type="dxa"/>
            <w:vAlign w:val="bottom"/>
            <w:gridSpan w:val="2"/>
          </w:tcPr>
          <w:p>
            <w:pPr>
              <w:spacing w:after="0"/>
              <w:rPr>
                <w:sz w:val="20"/>
                <w:szCs w:val="20"/>
                <w:color w:val="auto"/>
              </w:rPr>
            </w:pPr>
            <w:r>
              <w:rPr>
                <w:rFonts w:ascii="Arial" w:cs="Arial" w:eastAsia="Arial" w:hAnsi="Arial"/>
                <w:sz w:val="17"/>
                <w:szCs w:val="17"/>
                <w:color w:val="auto"/>
              </w:rPr>
              <w:t>Subordinated Promissory Note issued to WG Ross Corp. (2)</w:t>
            </w:r>
          </w:p>
        </w:tc>
      </w:tr>
      <w:tr>
        <w:trPr>
          <w:trHeight w:val="411"/>
        </w:trPr>
        <w:tc>
          <w:tcPr>
            <w:tcW w:w="980" w:type="dxa"/>
            <w:vAlign w:val="bottom"/>
          </w:tcPr>
          <w:p>
            <w:pPr>
              <w:spacing w:after="0"/>
              <w:rPr>
                <w:sz w:val="20"/>
                <w:szCs w:val="20"/>
                <w:color w:val="auto"/>
              </w:rPr>
            </w:pPr>
            <w:r>
              <w:rPr>
                <w:rFonts w:ascii="Arial" w:cs="Arial" w:eastAsia="Arial" w:hAnsi="Arial"/>
                <w:sz w:val="17"/>
                <w:szCs w:val="17"/>
                <w:color w:val="auto"/>
              </w:rPr>
              <w:t>10.1</w:t>
            </w:r>
          </w:p>
        </w:tc>
        <w:tc>
          <w:tcPr>
            <w:tcW w:w="60" w:type="dxa"/>
            <w:vAlign w:val="bottom"/>
          </w:tcPr>
          <w:p>
            <w:pPr>
              <w:spacing w:after="0"/>
              <w:rPr>
                <w:sz w:val="24"/>
                <w:szCs w:val="24"/>
                <w:color w:val="auto"/>
              </w:rPr>
            </w:pPr>
          </w:p>
        </w:tc>
        <w:tc>
          <w:tcPr>
            <w:tcW w:w="10080" w:type="dxa"/>
            <w:vAlign w:val="bottom"/>
            <w:gridSpan w:val="2"/>
          </w:tcPr>
          <w:p>
            <w:pPr>
              <w:spacing w:after="0"/>
              <w:rPr>
                <w:sz w:val="20"/>
                <w:szCs w:val="20"/>
                <w:color w:val="auto"/>
              </w:rPr>
            </w:pPr>
            <w:r>
              <w:rPr>
                <w:rFonts w:ascii="Arial" w:cs="Arial" w:eastAsia="Arial" w:hAnsi="Arial"/>
                <w:sz w:val="17"/>
                <w:szCs w:val="17"/>
                <w:color w:val="auto"/>
              </w:rPr>
              <w:t>Amended Restricted Stock Plan, effective May 23, 2006 (12)</w:t>
            </w:r>
          </w:p>
        </w:tc>
      </w:tr>
      <w:tr>
        <w:trPr>
          <w:trHeight w:val="411"/>
        </w:trPr>
        <w:tc>
          <w:tcPr>
            <w:tcW w:w="980" w:type="dxa"/>
            <w:vAlign w:val="bottom"/>
          </w:tcPr>
          <w:p>
            <w:pPr>
              <w:spacing w:after="0"/>
              <w:rPr>
                <w:sz w:val="20"/>
                <w:szCs w:val="20"/>
                <w:color w:val="auto"/>
              </w:rPr>
            </w:pPr>
            <w:r>
              <w:rPr>
                <w:rFonts w:ascii="Arial" w:cs="Arial" w:eastAsia="Arial" w:hAnsi="Arial"/>
                <w:sz w:val="17"/>
                <w:szCs w:val="17"/>
                <w:color w:val="auto"/>
              </w:rPr>
              <w:t>10.2</w:t>
            </w:r>
          </w:p>
        </w:tc>
        <w:tc>
          <w:tcPr>
            <w:tcW w:w="60" w:type="dxa"/>
            <w:vAlign w:val="bottom"/>
          </w:tcPr>
          <w:p>
            <w:pPr>
              <w:spacing w:after="0"/>
              <w:rPr>
                <w:sz w:val="24"/>
                <w:szCs w:val="24"/>
                <w:color w:val="auto"/>
              </w:rPr>
            </w:pPr>
          </w:p>
        </w:tc>
        <w:tc>
          <w:tcPr>
            <w:tcW w:w="10080" w:type="dxa"/>
            <w:vAlign w:val="bottom"/>
            <w:gridSpan w:val="2"/>
          </w:tcPr>
          <w:p>
            <w:pPr>
              <w:spacing w:after="0"/>
              <w:rPr>
                <w:sz w:val="20"/>
                <w:szCs w:val="20"/>
                <w:color w:val="auto"/>
              </w:rPr>
            </w:pPr>
            <w:r>
              <w:rPr>
                <w:rFonts w:ascii="Arial" w:cs="Arial" w:eastAsia="Arial" w:hAnsi="Arial"/>
                <w:sz w:val="17"/>
                <w:szCs w:val="17"/>
                <w:color w:val="auto"/>
              </w:rPr>
              <w:t>2009 Equity Plan (13)</w:t>
            </w:r>
          </w:p>
        </w:tc>
      </w:tr>
      <w:tr>
        <w:trPr>
          <w:trHeight w:val="411"/>
        </w:trPr>
        <w:tc>
          <w:tcPr>
            <w:tcW w:w="980" w:type="dxa"/>
            <w:vAlign w:val="bottom"/>
          </w:tcPr>
          <w:p>
            <w:pPr>
              <w:spacing w:after="0"/>
              <w:rPr>
                <w:sz w:val="20"/>
                <w:szCs w:val="20"/>
                <w:color w:val="auto"/>
              </w:rPr>
            </w:pPr>
            <w:r>
              <w:rPr>
                <w:rFonts w:ascii="Arial" w:cs="Arial" w:eastAsia="Arial" w:hAnsi="Arial"/>
                <w:sz w:val="17"/>
                <w:szCs w:val="17"/>
                <w:color w:val="auto"/>
              </w:rPr>
              <w:t>10.3</w:t>
            </w:r>
          </w:p>
        </w:tc>
        <w:tc>
          <w:tcPr>
            <w:tcW w:w="60" w:type="dxa"/>
            <w:vAlign w:val="bottom"/>
          </w:tcPr>
          <w:p>
            <w:pPr>
              <w:spacing w:after="0"/>
              <w:rPr>
                <w:sz w:val="24"/>
                <w:szCs w:val="24"/>
                <w:color w:val="auto"/>
              </w:rPr>
            </w:pPr>
          </w:p>
        </w:tc>
        <w:tc>
          <w:tcPr>
            <w:tcW w:w="10080" w:type="dxa"/>
            <w:vAlign w:val="bottom"/>
            <w:gridSpan w:val="2"/>
          </w:tcPr>
          <w:p>
            <w:pPr>
              <w:spacing w:after="0"/>
              <w:rPr>
                <w:sz w:val="20"/>
                <w:szCs w:val="20"/>
                <w:color w:val="auto"/>
              </w:rPr>
            </w:pPr>
            <w:r>
              <w:rPr>
                <w:rFonts w:ascii="Arial" w:cs="Arial" w:eastAsia="Arial" w:hAnsi="Arial"/>
                <w:sz w:val="17"/>
                <w:szCs w:val="17"/>
                <w:color w:val="auto"/>
              </w:rPr>
              <w:t>Amendment No. 2 to the Asure Software, Inc. 2009 Equity Plan (14)</w:t>
            </w:r>
          </w:p>
        </w:tc>
      </w:tr>
      <w:tr>
        <w:trPr>
          <w:trHeight w:val="411"/>
        </w:trPr>
        <w:tc>
          <w:tcPr>
            <w:tcW w:w="980" w:type="dxa"/>
            <w:vAlign w:val="bottom"/>
          </w:tcPr>
          <w:p>
            <w:pPr>
              <w:spacing w:after="0"/>
              <w:rPr>
                <w:sz w:val="20"/>
                <w:szCs w:val="20"/>
                <w:color w:val="auto"/>
              </w:rPr>
            </w:pPr>
            <w:r>
              <w:rPr>
                <w:rFonts w:ascii="Arial" w:cs="Arial" w:eastAsia="Arial" w:hAnsi="Arial"/>
                <w:sz w:val="17"/>
                <w:szCs w:val="17"/>
                <w:color w:val="auto"/>
              </w:rPr>
              <w:t>10.4</w:t>
            </w:r>
          </w:p>
        </w:tc>
        <w:tc>
          <w:tcPr>
            <w:tcW w:w="60" w:type="dxa"/>
            <w:vAlign w:val="bottom"/>
          </w:tcPr>
          <w:p>
            <w:pPr>
              <w:spacing w:after="0"/>
              <w:rPr>
                <w:sz w:val="24"/>
                <w:szCs w:val="24"/>
                <w:color w:val="auto"/>
              </w:rPr>
            </w:pPr>
          </w:p>
        </w:tc>
        <w:tc>
          <w:tcPr>
            <w:tcW w:w="10080" w:type="dxa"/>
            <w:vAlign w:val="bottom"/>
            <w:gridSpan w:val="2"/>
          </w:tcPr>
          <w:p>
            <w:pPr>
              <w:spacing w:after="0"/>
              <w:rPr>
                <w:sz w:val="20"/>
                <w:szCs w:val="20"/>
                <w:color w:val="auto"/>
              </w:rPr>
            </w:pPr>
            <w:r>
              <w:rPr>
                <w:rFonts w:ascii="Arial" w:cs="Arial" w:eastAsia="Arial" w:hAnsi="Arial"/>
                <w:sz w:val="17"/>
                <w:szCs w:val="17"/>
                <w:color w:val="auto"/>
              </w:rPr>
              <w:t>Form of Option Agreement under the 2009 Equity Plan (13)</w:t>
            </w:r>
          </w:p>
        </w:tc>
      </w:tr>
      <w:tr>
        <w:trPr>
          <w:trHeight w:val="411"/>
        </w:trPr>
        <w:tc>
          <w:tcPr>
            <w:tcW w:w="980" w:type="dxa"/>
            <w:vAlign w:val="bottom"/>
          </w:tcPr>
          <w:p>
            <w:pPr>
              <w:spacing w:after="0"/>
              <w:rPr>
                <w:sz w:val="20"/>
                <w:szCs w:val="20"/>
                <w:color w:val="auto"/>
              </w:rPr>
            </w:pPr>
            <w:r>
              <w:rPr>
                <w:rFonts w:ascii="Arial" w:cs="Arial" w:eastAsia="Arial" w:hAnsi="Arial"/>
                <w:sz w:val="17"/>
                <w:szCs w:val="17"/>
                <w:color w:val="auto"/>
              </w:rPr>
              <w:t>10.5</w:t>
            </w:r>
          </w:p>
        </w:tc>
        <w:tc>
          <w:tcPr>
            <w:tcW w:w="60" w:type="dxa"/>
            <w:vAlign w:val="bottom"/>
          </w:tcPr>
          <w:p>
            <w:pPr>
              <w:spacing w:after="0"/>
              <w:rPr>
                <w:sz w:val="24"/>
                <w:szCs w:val="24"/>
                <w:color w:val="auto"/>
              </w:rPr>
            </w:pPr>
          </w:p>
        </w:tc>
        <w:tc>
          <w:tcPr>
            <w:tcW w:w="10080" w:type="dxa"/>
            <w:vAlign w:val="bottom"/>
            <w:gridSpan w:val="2"/>
          </w:tcPr>
          <w:p>
            <w:pPr>
              <w:spacing w:after="0"/>
              <w:rPr>
                <w:sz w:val="20"/>
                <w:szCs w:val="20"/>
                <w:color w:val="auto"/>
              </w:rPr>
            </w:pPr>
            <w:r>
              <w:rPr>
                <w:rFonts w:ascii="Arial" w:cs="Arial" w:eastAsia="Arial" w:hAnsi="Arial"/>
                <w:sz w:val="17"/>
                <w:szCs w:val="17"/>
                <w:color w:val="auto"/>
              </w:rPr>
              <w:t>Purchase Agreement dated September 25,2009 with Patrick Goepel (14)</w:t>
            </w:r>
          </w:p>
        </w:tc>
      </w:tr>
      <w:tr>
        <w:trPr>
          <w:trHeight w:val="411"/>
        </w:trPr>
        <w:tc>
          <w:tcPr>
            <w:tcW w:w="980" w:type="dxa"/>
            <w:vAlign w:val="bottom"/>
          </w:tcPr>
          <w:p>
            <w:pPr>
              <w:spacing w:after="0"/>
              <w:rPr>
                <w:sz w:val="20"/>
                <w:szCs w:val="20"/>
                <w:color w:val="auto"/>
              </w:rPr>
            </w:pPr>
            <w:r>
              <w:rPr>
                <w:rFonts w:ascii="Arial" w:cs="Arial" w:eastAsia="Arial" w:hAnsi="Arial"/>
                <w:sz w:val="17"/>
                <w:szCs w:val="17"/>
                <w:color w:val="auto"/>
              </w:rPr>
              <w:t>10.6</w:t>
            </w:r>
          </w:p>
        </w:tc>
        <w:tc>
          <w:tcPr>
            <w:tcW w:w="60" w:type="dxa"/>
            <w:vAlign w:val="bottom"/>
          </w:tcPr>
          <w:p>
            <w:pPr>
              <w:spacing w:after="0"/>
              <w:rPr>
                <w:sz w:val="24"/>
                <w:szCs w:val="24"/>
                <w:color w:val="auto"/>
              </w:rPr>
            </w:pPr>
          </w:p>
        </w:tc>
        <w:tc>
          <w:tcPr>
            <w:tcW w:w="10080" w:type="dxa"/>
            <w:vAlign w:val="bottom"/>
            <w:gridSpan w:val="2"/>
          </w:tcPr>
          <w:p>
            <w:pPr>
              <w:spacing w:after="0"/>
              <w:rPr>
                <w:sz w:val="20"/>
                <w:szCs w:val="20"/>
                <w:color w:val="auto"/>
              </w:rPr>
            </w:pPr>
            <w:r>
              <w:rPr>
                <w:rFonts w:ascii="Arial" w:cs="Arial" w:eastAsia="Arial" w:hAnsi="Arial"/>
                <w:sz w:val="17"/>
                <w:szCs w:val="17"/>
                <w:color w:val="auto"/>
              </w:rPr>
              <w:t>Amended and Restated Employment Agreement dated July 2, 2011 with Patrick Goepel (2)</w:t>
            </w:r>
          </w:p>
        </w:tc>
      </w:tr>
      <w:tr>
        <w:trPr>
          <w:trHeight w:val="411"/>
        </w:trPr>
        <w:tc>
          <w:tcPr>
            <w:tcW w:w="980" w:type="dxa"/>
            <w:vAlign w:val="bottom"/>
          </w:tcPr>
          <w:p>
            <w:pPr>
              <w:spacing w:after="0"/>
              <w:rPr>
                <w:sz w:val="20"/>
                <w:szCs w:val="20"/>
                <w:color w:val="auto"/>
              </w:rPr>
            </w:pPr>
            <w:r>
              <w:rPr>
                <w:rFonts w:ascii="Arial" w:cs="Arial" w:eastAsia="Arial" w:hAnsi="Arial"/>
                <w:sz w:val="17"/>
                <w:szCs w:val="17"/>
                <w:color w:val="auto"/>
              </w:rPr>
              <w:t>10.7</w:t>
            </w:r>
          </w:p>
        </w:tc>
        <w:tc>
          <w:tcPr>
            <w:tcW w:w="60" w:type="dxa"/>
            <w:vAlign w:val="bottom"/>
          </w:tcPr>
          <w:p>
            <w:pPr>
              <w:spacing w:after="0"/>
              <w:rPr>
                <w:sz w:val="24"/>
                <w:szCs w:val="24"/>
                <w:color w:val="auto"/>
              </w:rPr>
            </w:pPr>
          </w:p>
        </w:tc>
        <w:tc>
          <w:tcPr>
            <w:tcW w:w="10080" w:type="dxa"/>
            <w:vAlign w:val="bottom"/>
            <w:gridSpan w:val="2"/>
          </w:tcPr>
          <w:p>
            <w:pPr>
              <w:spacing w:after="0"/>
              <w:rPr>
                <w:sz w:val="20"/>
                <w:szCs w:val="20"/>
                <w:color w:val="auto"/>
              </w:rPr>
            </w:pPr>
            <w:r>
              <w:rPr>
                <w:rFonts w:ascii="Arial" w:cs="Arial" w:eastAsia="Arial" w:hAnsi="Arial"/>
                <w:sz w:val="17"/>
                <w:szCs w:val="17"/>
                <w:color w:val="auto"/>
              </w:rPr>
              <w:t>Amended and Restated Employment Letter with David Scoglio, dated as of August 15, 2011 (2)</w:t>
            </w:r>
          </w:p>
        </w:tc>
      </w:tr>
      <w:tr>
        <w:trPr>
          <w:trHeight w:val="411"/>
        </w:trPr>
        <w:tc>
          <w:tcPr>
            <w:tcW w:w="980" w:type="dxa"/>
            <w:vAlign w:val="bottom"/>
          </w:tcPr>
          <w:p>
            <w:pPr>
              <w:spacing w:after="0"/>
              <w:rPr>
                <w:sz w:val="20"/>
                <w:szCs w:val="20"/>
                <w:color w:val="auto"/>
              </w:rPr>
            </w:pPr>
            <w:r>
              <w:rPr>
                <w:rFonts w:ascii="Arial" w:cs="Arial" w:eastAsia="Arial" w:hAnsi="Arial"/>
                <w:sz w:val="17"/>
                <w:szCs w:val="17"/>
                <w:color w:val="auto"/>
              </w:rPr>
              <w:t>10.8</w:t>
            </w:r>
          </w:p>
        </w:tc>
        <w:tc>
          <w:tcPr>
            <w:tcW w:w="60" w:type="dxa"/>
            <w:vAlign w:val="bottom"/>
          </w:tcPr>
          <w:p>
            <w:pPr>
              <w:spacing w:after="0"/>
              <w:rPr>
                <w:sz w:val="24"/>
                <w:szCs w:val="24"/>
                <w:color w:val="auto"/>
              </w:rPr>
            </w:pPr>
          </w:p>
        </w:tc>
        <w:tc>
          <w:tcPr>
            <w:tcW w:w="10080" w:type="dxa"/>
            <w:vAlign w:val="bottom"/>
            <w:gridSpan w:val="2"/>
          </w:tcPr>
          <w:p>
            <w:pPr>
              <w:spacing w:after="0"/>
              <w:rPr>
                <w:sz w:val="20"/>
                <w:szCs w:val="20"/>
                <w:color w:val="auto"/>
              </w:rPr>
            </w:pPr>
            <w:r>
              <w:rPr>
                <w:rFonts w:ascii="Arial" w:cs="Arial" w:eastAsia="Arial" w:hAnsi="Arial"/>
                <w:sz w:val="17"/>
                <w:szCs w:val="17"/>
                <w:color w:val="auto"/>
              </w:rPr>
              <w:t>Employment Letter with Mike Kinney, dated as of August 15, 2011 (2)</w:t>
            </w:r>
          </w:p>
        </w:tc>
      </w:tr>
      <w:tr>
        <w:trPr>
          <w:trHeight w:val="411"/>
        </w:trPr>
        <w:tc>
          <w:tcPr>
            <w:tcW w:w="980" w:type="dxa"/>
            <w:vAlign w:val="bottom"/>
          </w:tcPr>
          <w:p>
            <w:pPr>
              <w:spacing w:after="0"/>
              <w:rPr>
                <w:sz w:val="20"/>
                <w:szCs w:val="20"/>
                <w:color w:val="auto"/>
              </w:rPr>
            </w:pPr>
            <w:r>
              <w:rPr>
                <w:rFonts w:ascii="Arial" w:cs="Arial" w:eastAsia="Arial" w:hAnsi="Arial"/>
                <w:sz w:val="17"/>
                <w:szCs w:val="17"/>
                <w:color w:val="auto"/>
              </w:rPr>
              <w:t>10.9</w:t>
            </w:r>
          </w:p>
        </w:tc>
        <w:tc>
          <w:tcPr>
            <w:tcW w:w="60" w:type="dxa"/>
            <w:vAlign w:val="bottom"/>
          </w:tcPr>
          <w:p>
            <w:pPr>
              <w:spacing w:after="0"/>
              <w:rPr>
                <w:sz w:val="24"/>
                <w:szCs w:val="24"/>
                <w:color w:val="auto"/>
              </w:rPr>
            </w:pPr>
          </w:p>
        </w:tc>
        <w:tc>
          <w:tcPr>
            <w:tcW w:w="10080" w:type="dxa"/>
            <w:vAlign w:val="bottom"/>
            <w:gridSpan w:val="2"/>
          </w:tcPr>
          <w:p>
            <w:pPr>
              <w:spacing w:after="0"/>
              <w:rPr>
                <w:sz w:val="20"/>
                <w:szCs w:val="20"/>
                <w:color w:val="auto"/>
              </w:rPr>
            </w:pPr>
            <w:r>
              <w:rPr>
                <w:rFonts w:ascii="Arial" w:cs="Arial" w:eastAsia="Arial" w:hAnsi="Arial"/>
                <w:sz w:val="17"/>
                <w:szCs w:val="17"/>
                <w:color w:val="auto"/>
              </w:rPr>
              <w:t>Employment Letter with Steve Rodriguez, dated as of August 15, 2011 (2)</w:t>
            </w:r>
          </w:p>
        </w:tc>
      </w:tr>
      <w:tr>
        <w:trPr>
          <w:trHeight w:val="411"/>
        </w:trPr>
        <w:tc>
          <w:tcPr>
            <w:tcW w:w="980" w:type="dxa"/>
            <w:vAlign w:val="bottom"/>
          </w:tcPr>
          <w:p>
            <w:pPr>
              <w:spacing w:after="0"/>
              <w:rPr>
                <w:sz w:val="20"/>
                <w:szCs w:val="20"/>
                <w:color w:val="auto"/>
              </w:rPr>
            </w:pPr>
            <w:r>
              <w:rPr>
                <w:rFonts w:ascii="Arial" w:cs="Arial" w:eastAsia="Arial" w:hAnsi="Arial"/>
                <w:sz w:val="17"/>
                <w:szCs w:val="17"/>
                <w:color w:val="auto"/>
              </w:rPr>
              <w:t>10.10</w:t>
            </w:r>
          </w:p>
        </w:tc>
        <w:tc>
          <w:tcPr>
            <w:tcW w:w="60" w:type="dxa"/>
            <w:vAlign w:val="bottom"/>
          </w:tcPr>
          <w:p>
            <w:pPr>
              <w:spacing w:after="0"/>
              <w:rPr>
                <w:sz w:val="24"/>
                <w:szCs w:val="24"/>
                <w:color w:val="auto"/>
              </w:rPr>
            </w:pPr>
          </w:p>
        </w:tc>
        <w:tc>
          <w:tcPr>
            <w:tcW w:w="10080" w:type="dxa"/>
            <w:vAlign w:val="bottom"/>
            <w:gridSpan w:val="2"/>
          </w:tcPr>
          <w:p>
            <w:pPr>
              <w:spacing w:after="0"/>
              <w:rPr>
                <w:sz w:val="20"/>
                <w:szCs w:val="20"/>
                <w:color w:val="auto"/>
              </w:rPr>
            </w:pPr>
            <w:r>
              <w:rPr>
                <w:rFonts w:ascii="Arial" w:cs="Arial" w:eastAsia="Arial" w:hAnsi="Arial"/>
                <w:sz w:val="17"/>
                <w:szCs w:val="17"/>
                <w:color w:val="auto"/>
              </w:rPr>
              <w:t>Credit Agreement between Asure Software, Inc. and JPMorgan Chase Bank, N.A. (1)</w:t>
            </w:r>
          </w:p>
        </w:tc>
      </w:tr>
      <w:tr>
        <w:trPr>
          <w:trHeight w:val="411"/>
        </w:trPr>
        <w:tc>
          <w:tcPr>
            <w:tcW w:w="980" w:type="dxa"/>
            <w:vAlign w:val="bottom"/>
          </w:tcPr>
          <w:p>
            <w:pPr>
              <w:spacing w:after="0"/>
              <w:rPr>
                <w:sz w:val="20"/>
                <w:szCs w:val="20"/>
                <w:color w:val="auto"/>
              </w:rPr>
            </w:pPr>
            <w:r>
              <w:rPr>
                <w:rFonts w:ascii="Arial" w:cs="Arial" w:eastAsia="Arial" w:hAnsi="Arial"/>
                <w:sz w:val="17"/>
                <w:szCs w:val="17"/>
                <w:color w:val="auto"/>
              </w:rPr>
              <w:t>10.11</w:t>
            </w:r>
          </w:p>
        </w:tc>
        <w:tc>
          <w:tcPr>
            <w:tcW w:w="60" w:type="dxa"/>
            <w:vAlign w:val="bottom"/>
          </w:tcPr>
          <w:p>
            <w:pPr>
              <w:spacing w:after="0"/>
              <w:rPr>
                <w:sz w:val="24"/>
                <w:szCs w:val="24"/>
                <w:color w:val="auto"/>
              </w:rPr>
            </w:pPr>
          </w:p>
        </w:tc>
        <w:tc>
          <w:tcPr>
            <w:tcW w:w="10080" w:type="dxa"/>
            <w:vAlign w:val="bottom"/>
            <w:gridSpan w:val="2"/>
          </w:tcPr>
          <w:p>
            <w:pPr>
              <w:spacing w:after="0"/>
              <w:rPr>
                <w:sz w:val="20"/>
                <w:szCs w:val="20"/>
                <w:color w:val="auto"/>
              </w:rPr>
            </w:pPr>
            <w:r>
              <w:rPr>
                <w:rFonts w:ascii="Arial" w:cs="Arial" w:eastAsia="Arial" w:hAnsi="Arial"/>
                <w:sz w:val="17"/>
                <w:szCs w:val="17"/>
                <w:color w:val="auto"/>
              </w:rPr>
              <w:t>Fourth Amendment to Lease Agreement with WB One &amp; Two LTD (15)</w:t>
            </w:r>
          </w:p>
        </w:tc>
      </w:tr>
      <w:tr>
        <w:trPr>
          <w:trHeight w:val="411"/>
        </w:trPr>
        <w:tc>
          <w:tcPr>
            <w:tcW w:w="980" w:type="dxa"/>
            <w:vAlign w:val="bottom"/>
          </w:tcPr>
          <w:p>
            <w:pPr>
              <w:spacing w:after="0"/>
              <w:rPr>
                <w:sz w:val="20"/>
                <w:szCs w:val="20"/>
                <w:color w:val="auto"/>
              </w:rPr>
            </w:pPr>
            <w:r>
              <w:rPr>
                <w:rFonts w:ascii="Arial" w:cs="Arial" w:eastAsia="Arial" w:hAnsi="Arial"/>
                <w:sz w:val="17"/>
                <w:szCs w:val="17"/>
                <w:color w:val="auto"/>
              </w:rPr>
              <w:t>10.12</w:t>
            </w:r>
          </w:p>
        </w:tc>
        <w:tc>
          <w:tcPr>
            <w:tcW w:w="60" w:type="dxa"/>
            <w:vAlign w:val="bottom"/>
          </w:tcPr>
          <w:p>
            <w:pPr>
              <w:spacing w:after="0"/>
              <w:rPr>
                <w:sz w:val="24"/>
                <w:szCs w:val="24"/>
                <w:color w:val="auto"/>
              </w:rPr>
            </w:pPr>
          </w:p>
        </w:tc>
        <w:tc>
          <w:tcPr>
            <w:tcW w:w="10080" w:type="dxa"/>
            <w:vAlign w:val="bottom"/>
            <w:gridSpan w:val="2"/>
          </w:tcPr>
          <w:p>
            <w:pPr>
              <w:spacing w:after="0"/>
              <w:rPr>
                <w:sz w:val="20"/>
                <w:szCs w:val="20"/>
                <w:color w:val="auto"/>
              </w:rPr>
            </w:pPr>
            <w:r>
              <w:rPr>
                <w:rFonts w:ascii="Arial" w:cs="Arial" w:eastAsia="Arial" w:hAnsi="Arial"/>
                <w:sz w:val="17"/>
                <w:szCs w:val="17"/>
                <w:color w:val="auto"/>
              </w:rPr>
              <w:t>Lease Agreement to Premises located at 200 Crossings Boulevard, Warwick, Rhode Island (2)</w:t>
            </w:r>
          </w:p>
        </w:tc>
      </w:tr>
      <w:tr>
        <w:trPr>
          <w:trHeight w:val="411"/>
        </w:trPr>
        <w:tc>
          <w:tcPr>
            <w:tcW w:w="980" w:type="dxa"/>
            <w:vAlign w:val="bottom"/>
          </w:tcPr>
          <w:p>
            <w:pPr>
              <w:spacing w:after="0"/>
              <w:rPr>
                <w:sz w:val="20"/>
                <w:szCs w:val="20"/>
                <w:color w:val="auto"/>
              </w:rPr>
            </w:pPr>
            <w:r>
              <w:rPr>
                <w:rFonts w:ascii="Arial" w:cs="Arial" w:eastAsia="Arial" w:hAnsi="Arial"/>
                <w:sz w:val="17"/>
                <w:szCs w:val="17"/>
                <w:color w:val="auto"/>
              </w:rPr>
              <w:t>10.13</w:t>
            </w:r>
          </w:p>
        </w:tc>
        <w:tc>
          <w:tcPr>
            <w:tcW w:w="60" w:type="dxa"/>
            <w:vAlign w:val="bottom"/>
          </w:tcPr>
          <w:p>
            <w:pPr>
              <w:spacing w:after="0"/>
              <w:rPr>
                <w:sz w:val="24"/>
                <w:szCs w:val="24"/>
                <w:color w:val="auto"/>
              </w:rPr>
            </w:pPr>
          </w:p>
        </w:tc>
        <w:tc>
          <w:tcPr>
            <w:tcW w:w="10080" w:type="dxa"/>
            <w:vAlign w:val="bottom"/>
            <w:gridSpan w:val="2"/>
          </w:tcPr>
          <w:p>
            <w:pPr>
              <w:spacing w:after="0"/>
              <w:rPr>
                <w:sz w:val="20"/>
                <w:szCs w:val="20"/>
                <w:color w:val="auto"/>
              </w:rPr>
            </w:pPr>
            <w:r>
              <w:rPr>
                <w:rFonts w:ascii="Arial" w:cs="Arial" w:eastAsia="Arial" w:hAnsi="Arial"/>
                <w:sz w:val="17"/>
                <w:szCs w:val="17"/>
                <w:color w:val="auto"/>
              </w:rPr>
              <w:t>Sixth Amendment to Lease Agreement with Wild Basin I &amp; II Investors, LP (2)</w:t>
            </w:r>
          </w:p>
        </w:tc>
      </w:tr>
      <w:tr>
        <w:trPr>
          <w:trHeight w:val="374"/>
        </w:trPr>
        <w:tc>
          <w:tcPr>
            <w:tcW w:w="980" w:type="dxa"/>
            <w:vAlign w:val="bottom"/>
          </w:tcPr>
          <w:p>
            <w:pPr>
              <w:spacing w:after="0"/>
              <w:rPr>
                <w:sz w:val="20"/>
                <w:szCs w:val="20"/>
                <w:color w:val="auto"/>
              </w:rPr>
            </w:pPr>
            <w:r>
              <w:rPr>
                <w:rFonts w:ascii="Arial" w:cs="Arial" w:eastAsia="Arial" w:hAnsi="Arial"/>
                <w:sz w:val="17"/>
                <w:szCs w:val="17"/>
                <w:color w:val="auto"/>
              </w:rPr>
              <w:t>10.14</w:t>
            </w:r>
          </w:p>
        </w:tc>
        <w:tc>
          <w:tcPr>
            <w:tcW w:w="60" w:type="dxa"/>
            <w:vAlign w:val="bottom"/>
          </w:tcPr>
          <w:p>
            <w:pPr>
              <w:spacing w:after="0"/>
              <w:rPr>
                <w:sz w:val="24"/>
                <w:szCs w:val="24"/>
                <w:color w:val="auto"/>
              </w:rPr>
            </w:pPr>
          </w:p>
        </w:tc>
        <w:tc>
          <w:tcPr>
            <w:tcW w:w="10080" w:type="dxa"/>
            <w:vAlign w:val="bottom"/>
            <w:tcBorders>
              <w:bottom w:val="single" w:sz="8" w:color="0000EE"/>
            </w:tcBorders>
            <w:gridSpan w:val="2"/>
          </w:tcPr>
          <w:p>
            <w:pPr>
              <w:spacing w:after="0"/>
              <w:rPr>
                <w:sz w:val="20"/>
                <w:szCs w:val="20"/>
                <w:color w:val="auto"/>
              </w:rPr>
            </w:pPr>
            <w:r>
              <w:rPr>
                <w:rFonts w:ascii="Arial" w:cs="Arial" w:eastAsia="Arial" w:hAnsi="Arial"/>
                <w:sz w:val="17"/>
                <w:szCs w:val="17"/>
                <w:color w:val="0000EE"/>
                <w:w w:val="92"/>
              </w:rPr>
              <w:t>First Amendment to Loan Agreement dated March 29, 2013 by and among Asure Software Inc., ADI Software, LLC, Asure Legiant, LLC Meeting</w:t>
            </w:r>
          </w:p>
        </w:tc>
      </w:tr>
      <w:tr>
        <w:trPr>
          <w:trHeight w:val="185"/>
        </w:trPr>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80" w:type="dxa"/>
            <w:vAlign w:val="bottom"/>
            <w:gridSpan w:val="2"/>
          </w:tcPr>
          <w:p>
            <w:pPr>
              <w:spacing w:after="0" w:line="185" w:lineRule="exact"/>
              <w:rPr>
                <w:sz w:val="20"/>
                <w:szCs w:val="20"/>
                <w:color w:val="auto"/>
              </w:rPr>
            </w:pPr>
            <w:r>
              <w:rPr>
                <w:rFonts w:ascii="Arial" w:cs="Arial" w:eastAsia="Arial" w:hAnsi="Arial"/>
                <w:sz w:val="17"/>
                <w:szCs w:val="17"/>
                <w:color w:val="0000EE"/>
              </w:rPr>
              <w:t>Maker - United States, Inc. and Deerpath Funding, LP *</w:t>
            </w:r>
          </w:p>
        </w:tc>
      </w:tr>
      <w:tr>
        <w:trPr>
          <w:trHeight w:val="428"/>
        </w:trPr>
        <w:tc>
          <w:tcPr>
            <w:tcW w:w="980" w:type="dxa"/>
            <w:vAlign w:val="bottom"/>
          </w:tcPr>
          <w:p>
            <w:pPr>
              <w:spacing w:after="0"/>
              <w:rPr>
                <w:sz w:val="20"/>
                <w:szCs w:val="20"/>
                <w:color w:val="auto"/>
              </w:rPr>
            </w:pPr>
            <w:r>
              <w:rPr>
                <w:rFonts w:ascii="Arial" w:cs="Arial" w:eastAsia="Arial" w:hAnsi="Arial"/>
                <w:sz w:val="17"/>
                <w:szCs w:val="17"/>
                <w:color w:val="auto"/>
              </w:rPr>
              <w:t>14</w:t>
            </w:r>
          </w:p>
        </w:tc>
        <w:tc>
          <w:tcPr>
            <w:tcW w:w="60" w:type="dxa"/>
            <w:vAlign w:val="bottom"/>
          </w:tcPr>
          <w:p>
            <w:pPr>
              <w:spacing w:after="0"/>
              <w:rPr>
                <w:sz w:val="24"/>
                <w:szCs w:val="24"/>
                <w:color w:val="auto"/>
              </w:rPr>
            </w:pPr>
          </w:p>
        </w:tc>
        <w:tc>
          <w:tcPr>
            <w:tcW w:w="3840" w:type="dxa"/>
            <w:vAlign w:val="bottom"/>
            <w:tcBorders>
              <w:top w:val="single" w:sz="8" w:color="0000EE"/>
            </w:tcBorders>
          </w:tcPr>
          <w:p>
            <w:pPr>
              <w:spacing w:after="0"/>
              <w:rPr>
                <w:sz w:val="20"/>
                <w:szCs w:val="20"/>
                <w:color w:val="auto"/>
              </w:rPr>
            </w:pPr>
            <w:r>
              <w:rPr>
                <w:rFonts w:ascii="Arial" w:cs="Arial" w:eastAsia="Arial" w:hAnsi="Arial"/>
                <w:sz w:val="17"/>
                <w:szCs w:val="17"/>
                <w:color w:val="auto"/>
              </w:rPr>
              <w:t>Code of Business Conduct and Ethics (8)</w:t>
            </w:r>
          </w:p>
        </w:tc>
        <w:tc>
          <w:tcPr>
            <w:tcW w:w="6240" w:type="dxa"/>
            <w:vAlign w:val="bottom"/>
          </w:tcPr>
          <w:p>
            <w:pPr>
              <w:spacing w:after="0"/>
              <w:rPr>
                <w:sz w:val="24"/>
                <w:szCs w:val="24"/>
                <w:color w:val="auto"/>
              </w:rPr>
            </w:pPr>
          </w:p>
        </w:tc>
      </w:tr>
    </w:tbl>
    <w:p>
      <w:pPr>
        <w:spacing w:after="0" w:line="194" w:lineRule="exact"/>
        <w:rPr>
          <w:sz w:val="20"/>
          <w:szCs w:val="20"/>
          <w:color w:val="auto"/>
        </w:rPr>
      </w:pPr>
    </w:p>
    <w:p>
      <w:pPr>
        <w:ind w:left="1040" w:hanging="1037"/>
        <w:spacing w:after="0"/>
        <w:tabs>
          <w:tab w:leader="none" w:pos="1040" w:val="left"/>
        </w:tabs>
        <w:numPr>
          <w:ilvl w:val="0"/>
          <w:numId w:val="7"/>
        </w:numPr>
        <w:rPr>
          <w:rFonts w:ascii="Arial" w:cs="Arial" w:eastAsia="Arial" w:hAnsi="Arial"/>
          <w:sz w:val="17"/>
          <w:szCs w:val="17"/>
          <w:color w:val="auto"/>
        </w:rPr>
      </w:pPr>
      <w:r>
        <w:rPr>
          <w:rFonts w:ascii="Arial" w:cs="Arial" w:eastAsia="Arial" w:hAnsi="Arial"/>
          <w:sz w:val="17"/>
          <w:szCs w:val="17"/>
          <w:u w:val="single" w:color="auto"/>
          <w:color w:val="0000EE"/>
        </w:rPr>
        <w:t>Subsidiaries of the Company*</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40" w:type="dxa"/>
            <w:vAlign w:val="bottom"/>
          </w:tcPr>
          <w:p>
            <w:pPr>
              <w:jc w:val="right"/>
              <w:ind w:right="654"/>
              <w:spacing w:after="0"/>
              <w:rPr>
                <w:sz w:val="20"/>
                <w:szCs w:val="20"/>
                <w:color w:val="auto"/>
              </w:rPr>
            </w:pPr>
            <w:r>
              <w:rPr>
                <w:rFonts w:ascii="Arial" w:cs="Arial" w:eastAsia="Arial" w:hAnsi="Arial"/>
                <w:sz w:val="17"/>
                <w:szCs w:val="17"/>
                <w:color w:val="auto"/>
                <w:w w:val="84"/>
              </w:rPr>
              <w:t>23.1</w:t>
            </w:r>
          </w:p>
        </w:tc>
        <w:tc>
          <w:tcPr>
            <w:tcW w:w="2260" w:type="dxa"/>
            <w:vAlign w:val="bottom"/>
            <w:tcBorders>
              <w:bottom w:val="single" w:sz="8" w:color="0000EE"/>
            </w:tcBorders>
          </w:tcPr>
          <w:p>
            <w:pPr>
              <w:spacing w:after="0"/>
              <w:rPr>
                <w:sz w:val="20"/>
                <w:szCs w:val="20"/>
                <w:color w:val="auto"/>
              </w:rPr>
            </w:pPr>
            <w:r>
              <w:rPr>
                <w:rFonts w:ascii="Arial" w:cs="Arial" w:eastAsia="Arial" w:hAnsi="Arial"/>
                <w:sz w:val="17"/>
                <w:szCs w:val="17"/>
                <w:color w:val="0000EE"/>
                <w:w w:val="94"/>
              </w:rPr>
              <w:t>Consent of Ernst &amp; Young LLP*</w:t>
            </w:r>
          </w:p>
        </w:tc>
        <w:tc>
          <w:tcPr>
            <w:tcW w:w="6060" w:type="dxa"/>
            <w:vAlign w:val="bottom"/>
            <w:gridSpan w:val="2"/>
          </w:tcPr>
          <w:p>
            <w:pPr>
              <w:spacing w:after="0"/>
              <w:rPr>
                <w:sz w:val="16"/>
                <w:szCs w:val="16"/>
                <w:color w:val="auto"/>
              </w:rPr>
            </w:pPr>
          </w:p>
        </w:tc>
      </w:tr>
      <w:tr>
        <w:trPr>
          <w:trHeight w:val="391"/>
        </w:trPr>
        <w:tc>
          <w:tcPr>
            <w:tcW w:w="1040" w:type="dxa"/>
            <w:vAlign w:val="bottom"/>
          </w:tcPr>
          <w:p>
            <w:pPr>
              <w:jc w:val="right"/>
              <w:ind w:right="654"/>
              <w:spacing w:after="0"/>
              <w:rPr>
                <w:sz w:val="20"/>
                <w:szCs w:val="20"/>
                <w:color w:val="auto"/>
              </w:rPr>
            </w:pPr>
            <w:r>
              <w:rPr>
                <w:rFonts w:ascii="Arial" w:cs="Arial" w:eastAsia="Arial" w:hAnsi="Arial"/>
                <w:sz w:val="17"/>
                <w:szCs w:val="17"/>
                <w:color w:val="auto"/>
                <w:w w:val="84"/>
              </w:rPr>
              <w:t>31.1</w:t>
            </w:r>
          </w:p>
        </w:tc>
        <w:tc>
          <w:tcPr>
            <w:tcW w:w="8320" w:type="dxa"/>
            <w:vAlign w:val="bottom"/>
            <w:gridSpan w:val="3"/>
          </w:tcPr>
          <w:p>
            <w:pPr>
              <w:spacing w:after="0"/>
              <w:rPr>
                <w:sz w:val="20"/>
                <w:szCs w:val="20"/>
                <w:color w:val="auto"/>
              </w:rPr>
            </w:pPr>
            <w:r>
              <w:rPr>
                <w:rFonts w:ascii="Arial" w:cs="Arial" w:eastAsia="Arial" w:hAnsi="Arial"/>
                <w:sz w:val="17"/>
                <w:szCs w:val="17"/>
                <w:color w:val="0000EE"/>
              </w:rPr>
              <w:t>Certification pursuant to Section 302 of the Sarbanes-Oxley Act of 2002*</w:t>
            </w:r>
          </w:p>
        </w:tc>
      </w:tr>
      <w:tr>
        <w:trPr>
          <w:trHeight w:val="20"/>
        </w:trPr>
        <w:tc>
          <w:tcPr>
            <w:tcW w:w="1040" w:type="dxa"/>
            <w:vAlign w:val="bottom"/>
          </w:tcPr>
          <w:p>
            <w:pPr>
              <w:spacing w:after="0" w:line="20" w:lineRule="exact"/>
              <w:rPr>
                <w:sz w:val="1"/>
                <w:szCs w:val="1"/>
                <w:color w:val="auto"/>
              </w:rPr>
            </w:pPr>
          </w:p>
        </w:tc>
        <w:tc>
          <w:tcPr>
            <w:tcW w:w="5040" w:type="dxa"/>
            <w:vAlign w:val="bottom"/>
            <w:gridSpan w:val="2"/>
            <w:shd w:val="clear" w:color="auto" w:fill="0000EE"/>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r>
      <w:tr>
        <w:trPr>
          <w:trHeight w:val="391"/>
        </w:trPr>
        <w:tc>
          <w:tcPr>
            <w:tcW w:w="1040" w:type="dxa"/>
            <w:vAlign w:val="bottom"/>
          </w:tcPr>
          <w:p>
            <w:pPr>
              <w:jc w:val="right"/>
              <w:ind w:right="654"/>
              <w:spacing w:after="0"/>
              <w:rPr>
                <w:sz w:val="20"/>
                <w:szCs w:val="20"/>
                <w:color w:val="auto"/>
              </w:rPr>
            </w:pPr>
            <w:r>
              <w:rPr>
                <w:rFonts w:ascii="Arial" w:cs="Arial" w:eastAsia="Arial" w:hAnsi="Arial"/>
                <w:sz w:val="17"/>
                <w:szCs w:val="17"/>
                <w:color w:val="auto"/>
                <w:w w:val="84"/>
              </w:rPr>
              <w:t>31.2</w:t>
            </w:r>
          </w:p>
        </w:tc>
        <w:tc>
          <w:tcPr>
            <w:tcW w:w="8320" w:type="dxa"/>
            <w:vAlign w:val="bottom"/>
            <w:gridSpan w:val="3"/>
          </w:tcPr>
          <w:p>
            <w:pPr>
              <w:spacing w:after="0"/>
              <w:rPr>
                <w:sz w:val="20"/>
                <w:szCs w:val="20"/>
                <w:color w:val="auto"/>
              </w:rPr>
            </w:pPr>
            <w:r>
              <w:rPr>
                <w:rFonts w:ascii="Arial" w:cs="Arial" w:eastAsia="Arial" w:hAnsi="Arial"/>
                <w:sz w:val="17"/>
                <w:szCs w:val="17"/>
                <w:color w:val="0000EE"/>
              </w:rPr>
              <w:t>Certification pursuant to Section 302 of the Sarbanes-Oxley Act of 2002*</w:t>
            </w:r>
          </w:p>
        </w:tc>
      </w:tr>
      <w:tr>
        <w:trPr>
          <w:trHeight w:val="20"/>
        </w:trPr>
        <w:tc>
          <w:tcPr>
            <w:tcW w:w="1040" w:type="dxa"/>
            <w:vAlign w:val="bottom"/>
          </w:tcPr>
          <w:p>
            <w:pPr>
              <w:spacing w:after="0" w:line="20" w:lineRule="exact"/>
              <w:rPr>
                <w:sz w:val="1"/>
                <w:szCs w:val="1"/>
                <w:color w:val="auto"/>
              </w:rPr>
            </w:pPr>
          </w:p>
        </w:tc>
        <w:tc>
          <w:tcPr>
            <w:tcW w:w="5040" w:type="dxa"/>
            <w:vAlign w:val="bottom"/>
            <w:gridSpan w:val="2"/>
            <w:shd w:val="clear" w:color="auto" w:fill="0000EE"/>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r>
      <w:tr>
        <w:trPr>
          <w:trHeight w:val="391"/>
        </w:trPr>
        <w:tc>
          <w:tcPr>
            <w:tcW w:w="1040" w:type="dxa"/>
            <w:vAlign w:val="bottom"/>
          </w:tcPr>
          <w:p>
            <w:pPr>
              <w:jc w:val="right"/>
              <w:ind w:right="654"/>
              <w:spacing w:after="0"/>
              <w:rPr>
                <w:sz w:val="20"/>
                <w:szCs w:val="20"/>
                <w:color w:val="auto"/>
              </w:rPr>
            </w:pPr>
            <w:r>
              <w:rPr>
                <w:rFonts w:ascii="Arial" w:cs="Arial" w:eastAsia="Arial" w:hAnsi="Arial"/>
                <w:sz w:val="17"/>
                <w:szCs w:val="17"/>
                <w:color w:val="auto"/>
                <w:w w:val="84"/>
              </w:rPr>
              <w:t>32.1</w:t>
            </w:r>
          </w:p>
        </w:tc>
        <w:tc>
          <w:tcPr>
            <w:tcW w:w="8320" w:type="dxa"/>
            <w:vAlign w:val="bottom"/>
            <w:tcBorders>
              <w:bottom w:val="single" w:sz="8" w:color="0000EE"/>
            </w:tcBorders>
            <w:gridSpan w:val="3"/>
          </w:tcPr>
          <w:p>
            <w:pPr>
              <w:spacing w:after="0"/>
              <w:rPr>
                <w:sz w:val="20"/>
                <w:szCs w:val="20"/>
                <w:color w:val="auto"/>
              </w:rPr>
            </w:pPr>
            <w:r>
              <w:rPr>
                <w:rFonts w:ascii="Arial" w:cs="Arial" w:eastAsia="Arial" w:hAnsi="Arial"/>
                <w:sz w:val="17"/>
                <w:szCs w:val="17"/>
                <w:color w:val="0000EE"/>
                <w:w w:val="91"/>
              </w:rPr>
              <w:t>Certification pursuant to 18 U.S.C. Section 1350, as adopted pursuant to Section 906 of the Sarbanes-Oxley Act of 2002*</w:t>
            </w:r>
          </w:p>
        </w:tc>
      </w:tr>
      <w:tr>
        <w:trPr>
          <w:trHeight w:val="391"/>
        </w:trPr>
        <w:tc>
          <w:tcPr>
            <w:tcW w:w="1040" w:type="dxa"/>
            <w:vAlign w:val="bottom"/>
          </w:tcPr>
          <w:p>
            <w:pPr>
              <w:jc w:val="right"/>
              <w:ind w:right="654"/>
              <w:spacing w:after="0"/>
              <w:rPr>
                <w:sz w:val="20"/>
                <w:szCs w:val="20"/>
                <w:color w:val="auto"/>
              </w:rPr>
            </w:pPr>
            <w:r>
              <w:rPr>
                <w:rFonts w:ascii="Arial" w:cs="Arial" w:eastAsia="Arial" w:hAnsi="Arial"/>
                <w:sz w:val="17"/>
                <w:szCs w:val="17"/>
                <w:color w:val="auto"/>
                <w:w w:val="84"/>
              </w:rPr>
              <w:t>32.2</w:t>
            </w:r>
          </w:p>
        </w:tc>
        <w:tc>
          <w:tcPr>
            <w:tcW w:w="8320" w:type="dxa"/>
            <w:vAlign w:val="bottom"/>
            <w:tcBorders>
              <w:bottom w:val="single" w:sz="8" w:color="0000EE"/>
            </w:tcBorders>
            <w:gridSpan w:val="3"/>
          </w:tcPr>
          <w:p>
            <w:pPr>
              <w:spacing w:after="0"/>
              <w:rPr>
                <w:sz w:val="20"/>
                <w:szCs w:val="20"/>
                <w:color w:val="auto"/>
              </w:rPr>
            </w:pPr>
            <w:r>
              <w:rPr>
                <w:rFonts w:ascii="Arial" w:cs="Arial" w:eastAsia="Arial" w:hAnsi="Arial"/>
                <w:sz w:val="17"/>
                <w:szCs w:val="17"/>
                <w:color w:val="0000EE"/>
                <w:w w:val="91"/>
              </w:rPr>
              <w:t>Certification pursuant to 18 U.S.C. Section 1350, as adopted pursuant to Section 906 of the Sarbanes-Oxley Act of 2002*</w:t>
            </w:r>
          </w:p>
        </w:tc>
      </w:tr>
    </w:tbl>
    <w:p>
      <w:pPr>
        <w:spacing w:after="0" w:line="219" w:lineRule="exact"/>
        <w:rPr>
          <w:sz w:val="20"/>
          <w:szCs w:val="20"/>
          <w:color w:val="auto"/>
        </w:rPr>
      </w:pPr>
    </w:p>
    <w:p>
      <w:pPr>
        <w:ind w:left="1040" w:hanging="1037"/>
        <w:spacing w:after="0" w:line="293" w:lineRule="auto"/>
        <w:tabs>
          <w:tab w:leader="none" w:pos="1040" w:val="left"/>
        </w:tabs>
        <w:numPr>
          <w:ilvl w:val="0"/>
          <w:numId w:val="8"/>
        </w:numPr>
        <w:rPr>
          <w:rFonts w:ascii="Arial" w:cs="Arial" w:eastAsia="Arial" w:hAnsi="Arial"/>
          <w:sz w:val="15"/>
          <w:szCs w:val="15"/>
          <w:color w:val="auto"/>
        </w:rPr>
      </w:pPr>
      <w:r>
        <w:rPr>
          <w:rFonts w:ascii="Arial" w:cs="Arial" w:eastAsia="Arial" w:hAnsi="Arial"/>
          <w:sz w:val="15"/>
          <w:szCs w:val="15"/>
          <w:color w:val="auto"/>
        </w:rPr>
        <w:t>The following materials from Asure Software, Inc.’s Annual Report on Form 10-K for the year ended December 31, 2012, formatted in XBRL (Extensible Business Reporting Language): (1) the Consolidated Balance Sheets, (2) the Consolidated Statements of Comprehensive Income (Loss),</w:t>
      </w:r>
    </w:p>
    <w:p>
      <w:pPr>
        <w:ind w:left="1040"/>
        <w:spacing w:after="0"/>
        <w:rPr>
          <w:rFonts w:ascii="Arial" w:cs="Arial" w:eastAsia="Arial" w:hAnsi="Arial"/>
          <w:sz w:val="15"/>
          <w:szCs w:val="15"/>
          <w:color w:val="auto"/>
        </w:rPr>
      </w:pPr>
      <w:r>
        <w:rPr>
          <w:rFonts w:ascii="Arial" w:cs="Arial" w:eastAsia="Arial" w:hAnsi="Arial"/>
          <w:sz w:val="17"/>
          <w:szCs w:val="17"/>
          <w:color w:val="auto"/>
        </w:rPr>
        <w:t>(3) the Consolidated Statements of Cash Flows, and (4) Notes to Consolidated Financial Statements, tagged as blocks of text.</w:t>
      </w:r>
    </w:p>
    <w:p>
      <w:pPr>
        <w:sectPr>
          <w:pgSz w:w="11900" w:h="16838" w:orient="portrait"/>
          <w:cols w:equalWidth="0" w:num="1">
            <w:col w:w="11200"/>
          </w:cols>
          <w:pgMar w:left="240" w:top="107" w:right="459" w:bottom="1440" w:gutter="0" w:footer="0" w:header="0"/>
        </w:sectPr>
      </w:pPr>
    </w:p>
    <w:p>
      <w:pPr>
        <w:spacing w:after="0" w:line="371"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84455</wp:posOffset>
            </wp:positionV>
            <wp:extent cx="7258050" cy="209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200"/>
          </w:cols>
          <w:pgMar w:left="240" w:top="107" w:right="459" w:bottom="1440" w:gutter="0" w:footer="0" w:header="0"/>
          <w:type w:val="continuous"/>
        </w:sectPr>
      </w:pPr>
    </w:p>
    <w:bookmarkStart w:id="53" w:name="page54"/>
    <w:bookmarkEnd w:id="5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ind w:left="620" w:right="680" w:hanging="617"/>
        <w:spacing w:after="0" w:line="277" w:lineRule="auto"/>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Incorporated by reference to the Company’s Quarterly Report on Form 10-Q for the three months ended September 30, 2011 filed with the SEC on November 14, 2011.</w:t>
      </w:r>
    </w:p>
    <w:p>
      <w:pPr>
        <w:spacing w:after="0" w:line="190" w:lineRule="exact"/>
        <w:rPr>
          <w:rFonts w:ascii="Arial" w:cs="Arial" w:eastAsia="Arial" w:hAnsi="Arial"/>
          <w:sz w:val="17"/>
          <w:szCs w:val="17"/>
          <w:color w:val="auto"/>
        </w:rPr>
      </w:pPr>
    </w:p>
    <w:p>
      <w:pPr>
        <w:ind w:left="620" w:hanging="617"/>
        <w:spacing w:after="0"/>
        <w:tabs>
          <w:tab w:leader="none" w:pos="62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Incorporated by reference to the Company’s Annual Report on Form 10-K for the year ended December 31, 2011 filed with the SEC on March 30, 2012.</w:t>
      </w:r>
    </w:p>
    <w:p>
      <w:pPr>
        <w:spacing w:after="0" w:line="226" w:lineRule="exact"/>
        <w:rPr>
          <w:rFonts w:ascii="Arial" w:cs="Arial" w:eastAsia="Arial" w:hAnsi="Arial"/>
          <w:sz w:val="16"/>
          <w:szCs w:val="16"/>
          <w:color w:val="auto"/>
        </w:rPr>
      </w:pPr>
    </w:p>
    <w:p>
      <w:pPr>
        <w:ind w:left="620" w:hanging="617"/>
        <w:spacing w:after="0"/>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Incorporated by reference to the Company’s Current Report on Form 8-K filed with the SEC on July 6, 2012.</w:t>
      </w:r>
    </w:p>
    <w:p>
      <w:pPr>
        <w:spacing w:after="0" w:line="240" w:lineRule="exact"/>
        <w:rPr>
          <w:rFonts w:ascii="Arial" w:cs="Arial" w:eastAsia="Arial" w:hAnsi="Arial"/>
          <w:sz w:val="17"/>
          <w:szCs w:val="17"/>
          <w:color w:val="auto"/>
        </w:rPr>
      </w:pPr>
    </w:p>
    <w:p>
      <w:pPr>
        <w:ind w:left="620" w:hanging="617"/>
        <w:spacing w:after="0"/>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Incorporated by reference to the Company’s Current Report on Form 8-K filed with the SEC on October 15, 2012.</w:t>
      </w:r>
    </w:p>
    <w:p>
      <w:pPr>
        <w:spacing w:after="0" w:line="240" w:lineRule="exact"/>
        <w:rPr>
          <w:rFonts w:ascii="Arial" w:cs="Arial" w:eastAsia="Arial" w:hAnsi="Arial"/>
          <w:sz w:val="17"/>
          <w:szCs w:val="17"/>
          <w:color w:val="auto"/>
        </w:rPr>
      </w:pPr>
    </w:p>
    <w:p>
      <w:pPr>
        <w:ind w:left="620" w:right="120" w:hanging="617"/>
        <w:spacing w:after="0" w:line="277" w:lineRule="auto"/>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Incorporated by reference to the Company’s Quarterly Report on Form 10-Q for the three months ended October 31, 2004 filed with the SEC on December 15, 2004.</w:t>
      </w:r>
    </w:p>
    <w:p>
      <w:pPr>
        <w:spacing w:after="0" w:line="164" w:lineRule="exact"/>
        <w:rPr>
          <w:rFonts w:ascii="Arial" w:cs="Arial" w:eastAsia="Arial" w:hAnsi="Arial"/>
          <w:sz w:val="17"/>
          <w:szCs w:val="17"/>
          <w:color w:val="auto"/>
        </w:rPr>
      </w:pPr>
    </w:p>
    <w:p>
      <w:pPr>
        <w:ind w:left="620" w:hanging="617"/>
        <w:spacing w:after="0"/>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Incorporated by reference to the Company’s Current Report on Form 8-K filed with the SEC on December 29, 2009.</w:t>
      </w:r>
    </w:p>
    <w:p>
      <w:pPr>
        <w:spacing w:after="0" w:line="240" w:lineRule="exact"/>
        <w:rPr>
          <w:rFonts w:ascii="Arial" w:cs="Arial" w:eastAsia="Arial" w:hAnsi="Arial"/>
          <w:sz w:val="17"/>
          <w:szCs w:val="17"/>
          <w:color w:val="auto"/>
        </w:rPr>
      </w:pPr>
    </w:p>
    <w:p>
      <w:pPr>
        <w:ind w:left="620" w:hanging="617"/>
        <w:spacing w:after="0"/>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Incorporated by reference to Appendix C to the Company’s 2012 Proxy Statement filed with the SEC on May 23, 2012.</w:t>
      </w:r>
    </w:p>
    <w:p>
      <w:pPr>
        <w:spacing w:after="0" w:line="240" w:lineRule="exact"/>
        <w:rPr>
          <w:rFonts w:ascii="Arial" w:cs="Arial" w:eastAsia="Arial" w:hAnsi="Arial"/>
          <w:sz w:val="17"/>
          <w:szCs w:val="17"/>
          <w:color w:val="auto"/>
        </w:rPr>
      </w:pPr>
    </w:p>
    <w:p>
      <w:pPr>
        <w:ind w:left="620" w:hanging="617"/>
        <w:spacing w:after="0"/>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Incorporated by reference to the Company’s Current Report on Form 8-K filed with the SEC on September 27, 2012.</w:t>
      </w:r>
    </w:p>
    <w:p>
      <w:pPr>
        <w:spacing w:after="0" w:line="240" w:lineRule="exact"/>
        <w:rPr>
          <w:rFonts w:ascii="Arial" w:cs="Arial" w:eastAsia="Arial" w:hAnsi="Arial"/>
          <w:sz w:val="17"/>
          <w:szCs w:val="17"/>
          <w:color w:val="auto"/>
        </w:rPr>
      </w:pPr>
    </w:p>
    <w:p>
      <w:pPr>
        <w:ind w:left="620" w:hanging="617"/>
        <w:spacing w:after="0"/>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Incorporated by reference to Exhibit 4.1 to the Company’s Registration Statement on Form S-3 filed with the SEC on December 13, 2012.</w:t>
      </w:r>
    </w:p>
    <w:p>
      <w:pPr>
        <w:spacing w:after="0" w:line="240" w:lineRule="exact"/>
        <w:rPr>
          <w:rFonts w:ascii="Arial" w:cs="Arial" w:eastAsia="Arial" w:hAnsi="Arial"/>
          <w:sz w:val="17"/>
          <w:szCs w:val="17"/>
          <w:color w:val="auto"/>
        </w:rPr>
      </w:pPr>
    </w:p>
    <w:p>
      <w:pPr>
        <w:ind w:left="620" w:hanging="617"/>
        <w:spacing w:after="0"/>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Incorporated by reference to the Company’s Current Report on Form 8-K filed with the SEC on October 28, 2009.</w:t>
      </w:r>
    </w:p>
    <w:p>
      <w:pPr>
        <w:spacing w:after="0" w:line="240" w:lineRule="exact"/>
        <w:rPr>
          <w:rFonts w:ascii="Arial" w:cs="Arial" w:eastAsia="Arial" w:hAnsi="Arial"/>
          <w:sz w:val="17"/>
          <w:szCs w:val="17"/>
          <w:color w:val="auto"/>
        </w:rPr>
      </w:pPr>
    </w:p>
    <w:p>
      <w:pPr>
        <w:ind w:left="620" w:hanging="617"/>
        <w:spacing w:after="0"/>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Incorporated by reference to the Company’s Current Report on Form 8-K filed with the SEC on March 12, 2012.</w:t>
      </w:r>
    </w:p>
    <w:p>
      <w:pPr>
        <w:spacing w:after="0" w:line="240" w:lineRule="exact"/>
        <w:rPr>
          <w:rFonts w:ascii="Arial" w:cs="Arial" w:eastAsia="Arial" w:hAnsi="Arial"/>
          <w:sz w:val="17"/>
          <w:szCs w:val="17"/>
          <w:color w:val="auto"/>
        </w:rPr>
      </w:pPr>
    </w:p>
    <w:p>
      <w:pPr>
        <w:ind w:left="620" w:hanging="617"/>
        <w:spacing w:after="0"/>
        <w:tabs>
          <w:tab w:leader="none" w:pos="620" w:val="left"/>
        </w:tabs>
        <w:numPr>
          <w:ilvl w:val="0"/>
          <w:numId w:val="9"/>
        </w:numPr>
        <w:rPr>
          <w:rFonts w:ascii="Arial" w:cs="Arial" w:eastAsia="Arial" w:hAnsi="Arial"/>
          <w:sz w:val="15"/>
          <w:szCs w:val="15"/>
          <w:color w:val="auto"/>
        </w:rPr>
      </w:pPr>
      <w:r>
        <w:rPr>
          <w:rFonts w:ascii="Arial" w:cs="Arial" w:eastAsia="Arial" w:hAnsi="Arial"/>
          <w:sz w:val="15"/>
          <w:szCs w:val="15"/>
          <w:color w:val="auto"/>
        </w:rPr>
        <w:t>Incorporated by reference to the Company’s Quarterly Report on Form 10-Q for the three months ended April 30, 2006 filed with the SEC on June 14, 2006.</w:t>
      </w:r>
    </w:p>
    <w:p>
      <w:pPr>
        <w:spacing w:after="0" w:line="238" w:lineRule="exact"/>
        <w:rPr>
          <w:rFonts w:ascii="Arial" w:cs="Arial" w:eastAsia="Arial" w:hAnsi="Arial"/>
          <w:sz w:val="15"/>
          <w:szCs w:val="15"/>
          <w:color w:val="auto"/>
        </w:rPr>
      </w:pPr>
    </w:p>
    <w:p>
      <w:pPr>
        <w:ind w:left="620" w:hanging="617"/>
        <w:spacing w:after="0"/>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Incorporated by reference to the Company’s Current Report on Form 8-K filed with the SEC on September 25, 2009.</w:t>
      </w:r>
    </w:p>
    <w:p>
      <w:pPr>
        <w:spacing w:after="0" w:line="215" w:lineRule="exact"/>
        <w:rPr>
          <w:rFonts w:ascii="Arial" w:cs="Arial" w:eastAsia="Arial" w:hAnsi="Arial"/>
          <w:sz w:val="17"/>
          <w:szCs w:val="17"/>
          <w:color w:val="auto"/>
        </w:rPr>
      </w:pPr>
    </w:p>
    <w:p>
      <w:pPr>
        <w:ind w:left="620" w:hanging="617"/>
        <w:spacing w:after="0"/>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Incorporated by reference to Appendix B to the Company’s 2012 Proxy Statement filed with the SEC on May 23, 2012.</w:t>
      </w:r>
    </w:p>
    <w:p>
      <w:pPr>
        <w:spacing w:after="0" w:line="240" w:lineRule="exact"/>
        <w:rPr>
          <w:rFonts w:ascii="Arial" w:cs="Arial" w:eastAsia="Arial" w:hAnsi="Arial"/>
          <w:sz w:val="17"/>
          <w:szCs w:val="17"/>
          <w:color w:val="auto"/>
        </w:rPr>
      </w:pPr>
    </w:p>
    <w:p>
      <w:pPr>
        <w:ind w:left="620" w:right="360" w:hanging="617"/>
        <w:spacing w:after="0" w:line="277" w:lineRule="auto"/>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Incorporated by reference to the Company’s Quarterly Report on Form 10-Q for the three months ended March 31, 2010 filed with the SEC on May 17, 2010.</w:t>
      </w:r>
    </w:p>
    <w:p>
      <w:pPr>
        <w:spacing w:after="0" w:line="191" w:lineRule="exact"/>
        <w:rPr>
          <w:sz w:val="20"/>
          <w:szCs w:val="20"/>
          <w:color w:val="auto"/>
        </w:rPr>
      </w:pPr>
    </w:p>
    <w:p>
      <w:pPr>
        <w:ind w:left="620" w:hanging="617"/>
        <w:spacing w:after="0"/>
        <w:tabs>
          <w:tab w:leader="none" w:pos="6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Filed herewith.</w:t>
      </w:r>
    </w:p>
    <w:p>
      <w:pPr>
        <w:spacing w:after="0" w:line="38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360"/>
          </w:cols>
          <w:pgMar w:left="240" w:top="122" w:right="299" w:bottom="1440" w:gutter="0" w:footer="0" w:header="0"/>
        </w:sectPr>
      </w:pPr>
    </w:p>
    <w:bookmarkStart w:id="54" w:name="page55"/>
    <w:bookmarkEnd w:id="54"/>
    <w:p>
      <w:pPr>
        <w:spacing w:after="0"/>
        <w:rPr>
          <w:rFonts w:ascii="Arial" w:cs="Arial" w:eastAsia="Arial" w:hAnsi="Arial"/>
          <w:sz w:val="11"/>
          <w:szCs w:val="11"/>
          <w:u w:val="single" w:color="auto"/>
          <w:color w:val="0000EE"/>
        </w:rPr>
      </w:pPr>
      <w:hyperlink w:anchor="page3">
        <w:r>
          <w:rPr>
            <w:rFonts w:ascii="Arial" w:cs="Arial" w:eastAsia="Arial" w:hAnsi="Arial"/>
            <w:sz w:val="11"/>
            <w:szCs w:val="11"/>
            <w:u w:val="single" w:color="auto"/>
            <w:color w:val="0000EE"/>
          </w:rPr>
          <w:t>Table of Contents</w:t>
        </w:r>
      </w:hyperlink>
    </w:p>
    <w:p>
      <w:pPr>
        <w:sectPr>
          <w:pgSz w:w="11900" w:h="16838" w:orient="portrait"/>
          <w:cols w:equalWidth="0" w:num="1">
            <w:col w:w="10219"/>
          </w:cols>
          <w:pgMar w:left="240" w:top="122" w:right="1440" w:bottom="1440" w:gutter="0" w:footer="0" w:header="0"/>
        </w:sectPr>
      </w:pPr>
    </w:p>
    <w:bookmarkStart w:id="55" w:name="page56"/>
    <w:bookmarkEnd w:id="55"/>
    <w:p>
      <w:pPr>
        <w:jc w:val="right"/>
        <w:spacing w:after="0"/>
        <w:rPr>
          <w:sz w:val="20"/>
          <w:szCs w:val="20"/>
          <w:color w:val="auto"/>
        </w:rPr>
      </w:pPr>
      <w:r>
        <w:rPr>
          <w:rFonts w:ascii="Arial" w:cs="Arial" w:eastAsia="Arial" w:hAnsi="Arial"/>
          <w:sz w:val="17"/>
          <w:szCs w:val="17"/>
          <w:b w:val="1"/>
          <w:bCs w:val="1"/>
          <w:color w:val="auto"/>
        </w:rPr>
        <w:t>EXHIBIT 10.14</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FIRST AMENDMENT TO LOAN AGREEMENT</w:t>
      </w:r>
    </w:p>
    <w:p>
      <w:pPr>
        <w:spacing w:after="0" w:line="247" w:lineRule="exact"/>
        <w:rPr>
          <w:sz w:val="20"/>
          <w:szCs w:val="20"/>
          <w:color w:val="auto"/>
        </w:rPr>
      </w:pPr>
    </w:p>
    <w:p>
      <w:pPr>
        <w:jc w:val="both"/>
        <w:ind w:firstLine="616"/>
        <w:spacing w:after="0" w:line="273" w:lineRule="auto"/>
        <w:rPr>
          <w:sz w:val="20"/>
          <w:szCs w:val="20"/>
          <w:color w:val="auto"/>
        </w:rPr>
      </w:pPr>
      <w:r>
        <w:rPr>
          <w:rFonts w:ascii="Arial" w:cs="Arial" w:eastAsia="Arial" w:hAnsi="Arial"/>
          <w:sz w:val="16"/>
          <w:szCs w:val="16"/>
          <w:color w:val="auto"/>
        </w:rPr>
        <w:t>THIS FIRST AMENDMENT TO LOAN AGREEMENT (this “</w:t>
      </w:r>
      <w:r>
        <w:rPr>
          <w:rFonts w:ascii="Arial" w:cs="Arial" w:eastAsia="Arial" w:hAnsi="Arial"/>
          <w:sz w:val="16"/>
          <w:szCs w:val="16"/>
          <w:b w:val="1"/>
          <w:bCs w:val="1"/>
          <w:i w:val="1"/>
          <w:iCs w:val="1"/>
          <w:color w:val="auto"/>
        </w:rPr>
        <w:t>First Amendment</w:t>
      </w:r>
      <w:r>
        <w:rPr>
          <w:rFonts w:ascii="Arial" w:cs="Arial" w:eastAsia="Arial" w:hAnsi="Arial"/>
          <w:sz w:val="16"/>
          <w:szCs w:val="16"/>
          <w:color w:val="auto"/>
        </w:rPr>
        <w:t>”) is entered into and made effective as of December 31, 2012 (the “</w:t>
      </w:r>
      <w:r>
        <w:rPr>
          <w:rFonts w:ascii="Arial" w:cs="Arial" w:eastAsia="Arial" w:hAnsi="Arial"/>
          <w:sz w:val="16"/>
          <w:szCs w:val="16"/>
          <w:b w:val="1"/>
          <w:bCs w:val="1"/>
          <w:i w:val="1"/>
          <w:iCs w:val="1"/>
          <w:color w:val="auto"/>
        </w:rPr>
        <w:t>First</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Amendment Date</w:t>
      </w:r>
      <w:r>
        <w:rPr>
          <w:rFonts w:ascii="Arial" w:cs="Arial" w:eastAsia="Arial" w:hAnsi="Arial"/>
          <w:sz w:val="16"/>
          <w:szCs w:val="16"/>
          <w:color w:val="auto"/>
        </w:rPr>
        <w:t>”), by and among A</w:t>
      </w:r>
      <w:r>
        <w:rPr>
          <w:rFonts w:ascii="Arial" w:cs="Arial" w:eastAsia="Arial" w:hAnsi="Arial"/>
          <w:sz w:val="10"/>
          <w:szCs w:val="10"/>
          <w:color w:val="auto"/>
        </w:rPr>
        <w:t>SURE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w:t>
      </w:r>
      <w:r>
        <w:rPr>
          <w:rFonts w:ascii="Arial" w:cs="Arial" w:eastAsia="Arial" w:hAnsi="Arial"/>
          <w:sz w:val="10"/>
          <w:szCs w:val="10"/>
          <w:color w:val="auto"/>
        </w:rPr>
        <w:t>OFTWARE</w:t>
      </w:r>
      <w:r>
        <w:rPr>
          <w:rFonts w:ascii="Arial" w:cs="Arial" w:eastAsia="Arial" w:hAnsi="Arial"/>
          <w:sz w:val="16"/>
          <w:szCs w:val="16"/>
          <w:color w:val="auto"/>
        </w:rPr>
        <w:t>, I</w:t>
      </w:r>
      <w:r>
        <w:rPr>
          <w:rFonts w:ascii="Arial" w:cs="Arial" w:eastAsia="Arial" w:hAnsi="Arial"/>
          <w:sz w:val="10"/>
          <w:szCs w:val="10"/>
          <w:color w:val="auto"/>
        </w:rPr>
        <w:t>NC</w:t>
      </w:r>
      <w:r>
        <w:rPr>
          <w:rFonts w:ascii="Arial" w:cs="Arial" w:eastAsia="Arial" w:hAnsi="Arial"/>
          <w:sz w:val="16"/>
          <w:szCs w:val="16"/>
          <w:color w:val="auto"/>
        </w:rPr>
        <w:t>., a Delaware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ADI S</w:t>
      </w:r>
      <w:r>
        <w:rPr>
          <w:rFonts w:ascii="Arial" w:cs="Arial" w:eastAsia="Arial" w:hAnsi="Arial"/>
          <w:sz w:val="10"/>
          <w:szCs w:val="10"/>
          <w:color w:val="auto"/>
        </w:rPr>
        <w:t>OFTWARE</w:t>
      </w:r>
      <w:r>
        <w:rPr>
          <w:rFonts w:ascii="Arial" w:cs="Arial" w:eastAsia="Arial" w:hAnsi="Arial"/>
          <w:sz w:val="16"/>
          <w:szCs w:val="16"/>
          <w:color w:val="auto"/>
        </w:rPr>
        <w:t>, LLC, a Delaware limited liability company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t>
      </w:r>
      <w:r>
        <w:rPr>
          <w:rFonts w:ascii="Arial" w:cs="Arial" w:eastAsia="Arial" w:hAnsi="Arial"/>
          <w:sz w:val="16"/>
          <w:szCs w:val="16"/>
          <w:b w:val="1"/>
          <w:bCs w:val="1"/>
          <w:i w:val="1"/>
          <w:iCs w:val="1"/>
          <w:color w:val="auto"/>
        </w:rPr>
        <w:t>ADI</w:t>
      </w:r>
      <w:r>
        <w:rPr>
          <w:rFonts w:ascii="Arial" w:cs="Arial" w:eastAsia="Arial" w:hAnsi="Arial"/>
          <w:sz w:val="16"/>
          <w:szCs w:val="16"/>
          <w:color w:val="auto"/>
        </w:rPr>
        <w:t>”), A</w:t>
      </w:r>
      <w:r>
        <w:rPr>
          <w:rFonts w:ascii="Arial" w:cs="Arial" w:eastAsia="Arial" w:hAnsi="Arial"/>
          <w:sz w:val="10"/>
          <w:szCs w:val="10"/>
          <w:color w:val="auto"/>
        </w:rPr>
        <w:t>SURE</w:t>
      </w:r>
      <w:r>
        <w:rPr>
          <w:rFonts w:ascii="Arial" w:cs="Arial" w:eastAsia="Arial" w:hAnsi="Arial"/>
          <w:sz w:val="16"/>
          <w:szCs w:val="16"/>
          <w:color w:val="auto"/>
        </w:rPr>
        <w:t xml:space="preserve"> L</w:t>
      </w:r>
      <w:r>
        <w:rPr>
          <w:rFonts w:ascii="Arial" w:cs="Arial" w:eastAsia="Arial" w:hAnsi="Arial"/>
          <w:sz w:val="10"/>
          <w:szCs w:val="10"/>
          <w:color w:val="auto"/>
        </w:rPr>
        <w:t>EGIANT</w:t>
      </w:r>
      <w:r>
        <w:rPr>
          <w:rFonts w:ascii="Arial" w:cs="Arial" w:eastAsia="Arial" w:hAnsi="Arial"/>
          <w:sz w:val="16"/>
          <w:szCs w:val="16"/>
          <w:color w:val="auto"/>
        </w:rPr>
        <w:t>, LLC, a Delaware limited liability company (“</w:t>
      </w:r>
      <w:r>
        <w:rPr>
          <w:rFonts w:ascii="Arial" w:cs="Arial" w:eastAsia="Arial" w:hAnsi="Arial"/>
          <w:sz w:val="16"/>
          <w:szCs w:val="16"/>
          <w:b w:val="1"/>
          <w:bCs w:val="1"/>
          <w:i w:val="1"/>
          <w:iCs w:val="1"/>
          <w:color w:val="auto"/>
        </w:rPr>
        <w:t>Legiant</w:t>
      </w:r>
      <w:r>
        <w:rPr>
          <w:rFonts w:ascii="Arial" w:cs="Arial" w:eastAsia="Arial" w:hAnsi="Arial"/>
          <w:sz w:val="16"/>
          <w:szCs w:val="16"/>
          <w:color w:val="auto"/>
        </w:rPr>
        <w:t>”), M</w:t>
      </w:r>
      <w:r>
        <w:rPr>
          <w:rFonts w:ascii="Arial" w:cs="Arial" w:eastAsia="Arial" w:hAnsi="Arial"/>
          <w:sz w:val="10"/>
          <w:szCs w:val="10"/>
          <w:color w:val="auto"/>
        </w:rPr>
        <w:t>EETING</w:t>
      </w:r>
      <w:r>
        <w:rPr>
          <w:rFonts w:ascii="Arial" w:cs="Arial" w:eastAsia="Arial" w:hAnsi="Arial"/>
          <w:sz w:val="16"/>
          <w:szCs w:val="16"/>
          <w:color w:val="auto"/>
        </w:rPr>
        <w:t xml:space="preserve"> M</w:t>
      </w:r>
      <w:r>
        <w:rPr>
          <w:rFonts w:ascii="Arial" w:cs="Arial" w:eastAsia="Arial" w:hAnsi="Arial"/>
          <w:sz w:val="10"/>
          <w:szCs w:val="10"/>
          <w:color w:val="auto"/>
        </w:rPr>
        <w:t>AKER</w:t>
      </w:r>
      <w:r>
        <w:rPr>
          <w:rFonts w:ascii="Arial" w:cs="Arial" w:eastAsia="Arial" w:hAnsi="Arial"/>
          <w:sz w:val="16"/>
          <w:szCs w:val="16"/>
          <w:color w:val="auto"/>
        </w:rPr>
        <w:t xml:space="preserve"> – U</w:t>
      </w:r>
      <w:r>
        <w:rPr>
          <w:rFonts w:ascii="Arial" w:cs="Arial" w:eastAsia="Arial" w:hAnsi="Arial"/>
          <w:sz w:val="10"/>
          <w:szCs w:val="10"/>
          <w:color w:val="auto"/>
        </w:rPr>
        <w:t>NITED</w:t>
      </w:r>
      <w:r>
        <w:rPr>
          <w:rFonts w:ascii="Arial" w:cs="Arial" w:eastAsia="Arial" w:hAnsi="Arial"/>
          <w:sz w:val="16"/>
          <w:szCs w:val="16"/>
          <w:color w:val="auto"/>
        </w:rPr>
        <w:t xml:space="preserve"> S</w:t>
      </w:r>
      <w:r>
        <w:rPr>
          <w:rFonts w:ascii="Arial" w:cs="Arial" w:eastAsia="Arial" w:hAnsi="Arial"/>
          <w:sz w:val="10"/>
          <w:szCs w:val="10"/>
          <w:color w:val="auto"/>
        </w:rPr>
        <w:t>TATES</w:t>
      </w:r>
      <w:r>
        <w:rPr>
          <w:rFonts w:ascii="Arial" w:cs="Arial" w:eastAsia="Arial" w:hAnsi="Arial"/>
          <w:sz w:val="16"/>
          <w:szCs w:val="16"/>
          <w:color w:val="auto"/>
        </w:rPr>
        <w:t>, I</w:t>
      </w:r>
      <w:r>
        <w:rPr>
          <w:rFonts w:ascii="Arial" w:cs="Arial" w:eastAsia="Arial" w:hAnsi="Arial"/>
          <w:sz w:val="10"/>
          <w:szCs w:val="10"/>
          <w:color w:val="auto"/>
        </w:rPr>
        <w:t>NC</w:t>
      </w:r>
      <w:r>
        <w:rPr>
          <w:rFonts w:ascii="Arial" w:cs="Arial" w:eastAsia="Arial" w:hAnsi="Arial"/>
          <w:sz w:val="16"/>
          <w:szCs w:val="16"/>
          <w:color w:val="auto"/>
        </w:rPr>
        <w:t>., a Delaware corporation doing business as PeopleCube (“</w:t>
      </w:r>
      <w:r>
        <w:rPr>
          <w:rFonts w:ascii="Arial" w:cs="Arial" w:eastAsia="Arial" w:hAnsi="Arial"/>
          <w:sz w:val="16"/>
          <w:szCs w:val="16"/>
          <w:b w:val="1"/>
          <w:bCs w:val="1"/>
          <w:i w:val="1"/>
          <w:iCs w:val="1"/>
          <w:color w:val="auto"/>
        </w:rPr>
        <w:t>PeopleCube</w:t>
      </w:r>
      <w:r>
        <w:rPr>
          <w:rFonts w:ascii="Arial" w:cs="Arial" w:eastAsia="Arial" w:hAnsi="Arial"/>
          <w:sz w:val="16"/>
          <w:szCs w:val="16"/>
          <w:color w:val="auto"/>
        </w:rPr>
        <w:t>”), and the other borrowers from time to time party to the Loan Agreement (defined below) (together with the Company, ADI, Legiant and PeopleCube, each, a “</w:t>
      </w:r>
      <w:r>
        <w:rPr>
          <w:rFonts w:ascii="Arial" w:cs="Arial" w:eastAsia="Arial" w:hAnsi="Arial"/>
          <w:sz w:val="16"/>
          <w:szCs w:val="16"/>
          <w:b w:val="1"/>
          <w:bCs w:val="1"/>
          <w:i w:val="1"/>
          <w:iCs w:val="1"/>
          <w:color w:val="auto"/>
        </w:rPr>
        <w:t>Borrower</w:t>
      </w:r>
      <w:r>
        <w:rPr>
          <w:rFonts w:ascii="Arial" w:cs="Arial" w:eastAsia="Arial" w:hAnsi="Arial"/>
          <w:sz w:val="16"/>
          <w:szCs w:val="16"/>
          <w:color w:val="auto"/>
        </w:rPr>
        <w:t>” and, collectively, “</w:t>
      </w:r>
      <w:r>
        <w:rPr>
          <w:rFonts w:ascii="Arial" w:cs="Arial" w:eastAsia="Arial" w:hAnsi="Arial"/>
          <w:sz w:val="16"/>
          <w:szCs w:val="16"/>
          <w:b w:val="1"/>
          <w:bCs w:val="1"/>
          <w:i w:val="1"/>
          <w:iCs w:val="1"/>
          <w:color w:val="auto"/>
        </w:rPr>
        <w:t>Borrowers</w:t>
      </w:r>
      <w:r>
        <w:rPr>
          <w:rFonts w:ascii="Arial" w:cs="Arial" w:eastAsia="Arial" w:hAnsi="Arial"/>
          <w:sz w:val="16"/>
          <w:szCs w:val="16"/>
          <w:color w:val="auto"/>
        </w:rPr>
        <w:t>”), D</w:t>
      </w:r>
      <w:r>
        <w:rPr>
          <w:rFonts w:ascii="Arial" w:cs="Arial" w:eastAsia="Arial" w:hAnsi="Arial"/>
          <w:sz w:val="10"/>
          <w:szCs w:val="10"/>
          <w:color w:val="auto"/>
        </w:rPr>
        <w:t>EERPATH</w:t>
      </w:r>
      <w:r>
        <w:rPr>
          <w:rFonts w:ascii="Arial" w:cs="Arial" w:eastAsia="Arial" w:hAnsi="Arial"/>
          <w:sz w:val="16"/>
          <w:szCs w:val="16"/>
          <w:color w:val="auto"/>
        </w:rPr>
        <w:t xml:space="preserve"> F</w:t>
      </w:r>
      <w:r>
        <w:rPr>
          <w:rFonts w:ascii="Arial" w:cs="Arial" w:eastAsia="Arial" w:hAnsi="Arial"/>
          <w:sz w:val="10"/>
          <w:szCs w:val="10"/>
          <w:color w:val="auto"/>
        </w:rPr>
        <w:t>UNDING</w:t>
      </w:r>
      <w:r>
        <w:rPr>
          <w:rFonts w:ascii="Arial" w:cs="Arial" w:eastAsia="Arial" w:hAnsi="Arial"/>
          <w:sz w:val="16"/>
          <w:szCs w:val="16"/>
          <w:color w:val="auto"/>
        </w:rPr>
        <w:t>, LP, a Delaware limited partnership (“</w:t>
      </w:r>
      <w:r>
        <w:rPr>
          <w:rFonts w:ascii="Arial" w:cs="Arial" w:eastAsia="Arial" w:hAnsi="Arial"/>
          <w:sz w:val="16"/>
          <w:szCs w:val="16"/>
          <w:b w:val="1"/>
          <w:bCs w:val="1"/>
          <w:i w:val="1"/>
          <w:iCs w:val="1"/>
          <w:color w:val="auto"/>
        </w:rPr>
        <w:t>Deerpath Funding</w:t>
      </w:r>
      <w:r>
        <w:rPr>
          <w:rFonts w:ascii="Arial" w:cs="Arial" w:eastAsia="Arial" w:hAnsi="Arial"/>
          <w:sz w:val="16"/>
          <w:szCs w:val="16"/>
          <w:color w:val="auto"/>
        </w:rPr>
        <w:t>”), and the other lenders from time to time party to the Loan Agreement (together with Deerpath Funding, each, a “</w:t>
      </w:r>
      <w:r>
        <w:rPr>
          <w:rFonts w:ascii="Arial" w:cs="Arial" w:eastAsia="Arial" w:hAnsi="Arial"/>
          <w:sz w:val="16"/>
          <w:szCs w:val="16"/>
          <w:b w:val="1"/>
          <w:bCs w:val="1"/>
          <w:i w:val="1"/>
          <w:iCs w:val="1"/>
          <w:color w:val="auto"/>
        </w:rPr>
        <w:t>Lender</w:t>
      </w:r>
      <w:r>
        <w:rPr>
          <w:rFonts w:ascii="Arial" w:cs="Arial" w:eastAsia="Arial" w:hAnsi="Arial"/>
          <w:sz w:val="16"/>
          <w:szCs w:val="16"/>
          <w:color w:val="auto"/>
        </w:rPr>
        <w:t>” and, collectively, the “</w:t>
      </w:r>
      <w:r>
        <w:rPr>
          <w:rFonts w:ascii="Arial" w:cs="Arial" w:eastAsia="Arial" w:hAnsi="Arial"/>
          <w:sz w:val="16"/>
          <w:szCs w:val="16"/>
          <w:b w:val="1"/>
          <w:bCs w:val="1"/>
          <w:i w:val="1"/>
          <w:iCs w:val="1"/>
          <w:color w:val="auto"/>
        </w:rPr>
        <w:t>Lenders</w:t>
      </w:r>
      <w:r>
        <w:rPr>
          <w:rFonts w:ascii="Arial" w:cs="Arial" w:eastAsia="Arial" w:hAnsi="Arial"/>
          <w:sz w:val="16"/>
          <w:szCs w:val="16"/>
          <w:color w:val="auto"/>
        </w:rPr>
        <w:t>”), and Deerpath Funding, as administrative agent and collateral agent for itself and the other Lenders (in such capacity, “</w:t>
      </w:r>
      <w:r>
        <w:rPr>
          <w:rFonts w:ascii="Arial" w:cs="Arial" w:eastAsia="Arial" w:hAnsi="Arial"/>
          <w:sz w:val="16"/>
          <w:szCs w:val="16"/>
          <w:b w:val="1"/>
          <w:bCs w:val="1"/>
          <w:i w:val="1"/>
          <w:iCs w:val="1"/>
          <w:color w:val="auto"/>
        </w:rPr>
        <w:t>Agent</w:t>
      </w:r>
      <w:r>
        <w:rPr>
          <w:rFonts w:ascii="Arial" w:cs="Arial" w:eastAsia="Arial" w:hAnsi="Arial"/>
          <w:sz w:val="16"/>
          <w:szCs w:val="16"/>
          <w:color w:val="auto"/>
        </w:rPr>
        <w:t>”). Capitalized terms used, but not defined, in this First Amendment have the respective meanings given such terms in the Loan Agreement.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RECITALS</w:t>
      </w:r>
    </w:p>
    <w:p>
      <w:pPr>
        <w:spacing w:after="0" w:line="273" w:lineRule="exact"/>
        <w:rPr>
          <w:sz w:val="20"/>
          <w:szCs w:val="20"/>
          <w:color w:val="auto"/>
        </w:rPr>
      </w:pPr>
    </w:p>
    <w:p>
      <w:pPr>
        <w:jc w:val="both"/>
        <w:ind w:firstLine="619"/>
        <w:spacing w:after="0" w:line="260" w:lineRule="auto"/>
        <w:tabs>
          <w:tab w:leader="none" w:pos="1001" w:val="left"/>
        </w:tabs>
        <w:numPr>
          <w:ilvl w:val="0"/>
          <w:numId w:val="11"/>
        </w:numPr>
        <w:rPr>
          <w:rFonts w:ascii="Arial" w:cs="Arial" w:eastAsia="Arial" w:hAnsi="Arial"/>
          <w:sz w:val="17"/>
          <w:szCs w:val="17"/>
          <w:color w:val="auto"/>
        </w:rPr>
      </w:pPr>
      <w:r>
        <w:rPr>
          <w:rFonts w:ascii="Arial" w:cs="Arial" w:eastAsia="Arial" w:hAnsi="Arial"/>
          <w:sz w:val="17"/>
          <w:szCs w:val="17"/>
          <w:color w:val="auto"/>
        </w:rPr>
        <w:t>Borrowers, Lenders and Agent have entered into that certain Loan Agreement dated effective as of July 1, 2012 (the “</w:t>
      </w:r>
      <w:r>
        <w:rPr>
          <w:rFonts w:ascii="Arial" w:cs="Arial" w:eastAsia="Arial" w:hAnsi="Arial"/>
          <w:sz w:val="17"/>
          <w:szCs w:val="17"/>
          <w:b w:val="1"/>
          <w:bCs w:val="1"/>
          <w:i w:val="1"/>
          <w:iCs w:val="1"/>
          <w:color w:val="auto"/>
        </w:rPr>
        <w:t>Closing Date</w:t>
      </w:r>
      <w:r>
        <w:rPr>
          <w:rFonts w:ascii="Arial" w:cs="Arial" w:eastAsia="Arial" w:hAnsi="Arial"/>
          <w:sz w:val="17"/>
          <w:szCs w:val="17"/>
          <w:color w:val="auto"/>
        </w:rPr>
        <w:t>”) (as amended, restated, supplemented or modified from time to time, the “</w:t>
      </w:r>
      <w:r>
        <w:rPr>
          <w:rFonts w:ascii="Arial" w:cs="Arial" w:eastAsia="Arial" w:hAnsi="Arial"/>
          <w:sz w:val="17"/>
          <w:szCs w:val="17"/>
          <w:b w:val="1"/>
          <w:bCs w:val="1"/>
          <w:i w:val="1"/>
          <w:iCs w:val="1"/>
          <w:color w:val="auto"/>
        </w:rPr>
        <w:t>Loan Agreement</w:t>
      </w:r>
      <w:r>
        <w:rPr>
          <w:rFonts w:ascii="Arial" w:cs="Arial" w:eastAsia="Arial" w:hAnsi="Arial"/>
          <w:sz w:val="17"/>
          <w:szCs w:val="17"/>
          <w:color w:val="auto"/>
        </w:rPr>
        <w:t>”), pursuant to which Lenders have made (i) a single advance senior secured term loan on the Closing Date in the amount of $14,500,000, and (ii) a conditional commitment to provide additional single advance senior secured term loans from time to time following the Closing Date in an aggregate amount not to exceed $5,000,000.</w:t>
      </w:r>
    </w:p>
    <w:p>
      <w:pPr>
        <w:spacing w:after="0" w:line="231" w:lineRule="exact"/>
        <w:rPr>
          <w:rFonts w:ascii="Arial" w:cs="Arial" w:eastAsia="Arial" w:hAnsi="Arial"/>
          <w:sz w:val="17"/>
          <w:szCs w:val="17"/>
          <w:color w:val="auto"/>
        </w:rPr>
      </w:pPr>
    </w:p>
    <w:p>
      <w:pPr>
        <w:ind w:firstLine="619"/>
        <w:spacing w:after="0" w:line="346" w:lineRule="auto"/>
        <w:tabs>
          <w:tab w:leader="none" w:pos="991" w:val="left"/>
        </w:tabs>
        <w:numPr>
          <w:ilvl w:val="0"/>
          <w:numId w:val="11"/>
        </w:numPr>
        <w:rPr>
          <w:rFonts w:ascii="Arial" w:cs="Arial" w:eastAsia="Arial" w:hAnsi="Arial"/>
          <w:sz w:val="15"/>
          <w:szCs w:val="15"/>
          <w:color w:val="auto"/>
        </w:rPr>
      </w:pPr>
      <w:r>
        <w:rPr>
          <w:rFonts w:ascii="Arial" w:cs="Arial" w:eastAsia="Arial" w:hAnsi="Arial"/>
          <w:sz w:val="15"/>
          <w:szCs w:val="15"/>
          <w:color w:val="auto"/>
        </w:rPr>
        <w:t>Borrowers have requested that Lenders (i) increase the Additional Term Loan Commitment from $5,000,000 to $10,000,000 and (ii) agree to make certain other modifications to the Loan Agreement, and Lenders have agreed to the request of Borrowers on the terms and subject to the conditions set forth herein.</w:t>
      </w:r>
    </w:p>
    <w:p>
      <w:pPr>
        <w:spacing w:after="0" w:line="144" w:lineRule="exact"/>
        <w:rPr>
          <w:sz w:val="20"/>
          <w:szCs w:val="20"/>
          <w:color w:val="auto"/>
        </w:rPr>
      </w:pPr>
    </w:p>
    <w:p>
      <w:pPr>
        <w:ind w:left="620"/>
        <w:spacing w:after="0"/>
        <w:rPr>
          <w:sz w:val="20"/>
          <w:szCs w:val="20"/>
          <w:color w:val="auto"/>
        </w:rPr>
      </w:pPr>
      <w:r>
        <w:rPr>
          <w:rFonts w:ascii="Arial" w:cs="Arial" w:eastAsia="Arial" w:hAnsi="Arial"/>
          <w:sz w:val="15"/>
          <w:szCs w:val="15"/>
          <w:color w:val="auto"/>
        </w:rPr>
        <w:t>NOW THEREFORE, for good and valuable consideration, the receipt and sufficiency of which are acknowledged, the undersigned hereby agree as follows:</w:t>
      </w:r>
    </w:p>
    <w:p>
      <w:pPr>
        <w:spacing w:after="0" w:line="290" w:lineRule="exact"/>
        <w:rPr>
          <w:sz w:val="20"/>
          <w:szCs w:val="20"/>
          <w:color w:val="auto"/>
        </w:rPr>
      </w:pPr>
    </w:p>
    <w:p>
      <w:pPr>
        <w:ind w:left="780"/>
        <w:spacing w:after="0"/>
        <w:tabs>
          <w:tab w:leader="none" w:pos="1640" w:val="left"/>
        </w:tabs>
        <w:rPr>
          <w:sz w:val="20"/>
          <w:szCs w:val="20"/>
          <w:color w:val="auto"/>
        </w:rPr>
      </w:pPr>
      <w:r>
        <w:rPr>
          <w:rFonts w:ascii="Arial" w:cs="Arial" w:eastAsia="Arial" w:hAnsi="Arial"/>
          <w:sz w:val="17"/>
          <w:szCs w:val="17"/>
          <w:color w:val="auto"/>
        </w:rPr>
        <w:t>Section 1.</w:t>
      </w:r>
      <w:r>
        <w:rPr>
          <w:sz w:val="20"/>
          <w:szCs w:val="20"/>
          <w:color w:val="auto"/>
        </w:rPr>
        <w:tab/>
      </w:r>
      <w:r>
        <w:rPr>
          <w:rFonts w:ascii="Arial" w:cs="Arial" w:eastAsia="Arial" w:hAnsi="Arial"/>
          <w:sz w:val="15"/>
          <w:szCs w:val="15"/>
          <w:u w:val="single" w:color="auto"/>
          <w:color w:val="auto"/>
        </w:rPr>
        <w:t>Amendments to Loan Agreement.</w:t>
      </w:r>
    </w:p>
    <w:p>
      <w:pPr>
        <w:spacing w:after="0" w:line="267" w:lineRule="exact"/>
        <w:rPr>
          <w:sz w:val="20"/>
          <w:szCs w:val="20"/>
          <w:color w:val="auto"/>
        </w:rPr>
      </w:pPr>
    </w:p>
    <w:p>
      <w:pPr>
        <w:ind w:left="1860"/>
        <w:spacing w:after="0"/>
        <w:tabs>
          <w:tab w:leader="none" w:pos="2260" w:val="left"/>
        </w:tabs>
        <w:rPr>
          <w:sz w:val="20"/>
          <w:szCs w:val="20"/>
          <w:color w:val="auto"/>
        </w:rPr>
      </w:pPr>
      <w:r>
        <w:rPr>
          <w:rFonts w:ascii="Arial" w:cs="Arial" w:eastAsia="Arial" w:hAnsi="Arial"/>
          <w:sz w:val="17"/>
          <w:szCs w:val="17"/>
          <w:color w:val="auto"/>
        </w:rPr>
        <w:t>1.1</w:t>
      </w:r>
      <w:r>
        <w:rPr>
          <w:sz w:val="20"/>
          <w:szCs w:val="20"/>
          <w:color w:val="auto"/>
        </w:rPr>
        <w:tab/>
      </w:r>
      <w:r>
        <w:rPr>
          <w:rFonts w:ascii="Arial" w:cs="Arial" w:eastAsia="Arial" w:hAnsi="Arial"/>
          <w:sz w:val="15"/>
          <w:szCs w:val="15"/>
          <w:color w:val="auto"/>
        </w:rPr>
        <w:t>The Recitals to this First Amendment are incorporated into and made a part of the Loan Agreement.</w:t>
      </w:r>
    </w:p>
    <w:p>
      <w:pPr>
        <w:spacing w:after="0" w:line="267" w:lineRule="exact"/>
        <w:rPr>
          <w:sz w:val="20"/>
          <w:szCs w:val="20"/>
          <w:color w:val="auto"/>
        </w:rPr>
      </w:pPr>
    </w:p>
    <w:p>
      <w:pPr>
        <w:ind w:left="1860"/>
        <w:spacing w:after="0"/>
        <w:tabs>
          <w:tab w:leader="none" w:pos="2260" w:val="left"/>
        </w:tabs>
        <w:rPr>
          <w:sz w:val="20"/>
          <w:szCs w:val="20"/>
          <w:color w:val="auto"/>
        </w:rPr>
      </w:pPr>
      <w:r>
        <w:rPr>
          <w:rFonts w:ascii="Arial" w:cs="Arial" w:eastAsia="Arial" w:hAnsi="Arial"/>
          <w:sz w:val="17"/>
          <w:szCs w:val="17"/>
          <w:color w:val="auto"/>
        </w:rPr>
        <w:t>1.2</w:t>
      </w:r>
      <w:r>
        <w:rPr>
          <w:sz w:val="20"/>
          <w:szCs w:val="20"/>
          <w:color w:val="auto"/>
        </w:rPr>
        <w:tab/>
      </w:r>
      <w:r>
        <w:rPr>
          <w:rFonts w:ascii="Arial" w:cs="Arial" w:eastAsia="Arial" w:hAnsi="Arial"/>
          <w:sz w:val="15"/>
          <w:szCs w:val="15"/>
          <w:b w:val="1"/>
          <w:bCs w:val="1"/>
          <w:i w:val="1"/>
          <w:iCs w:val="1"/>
          <w:color w:val="auto"/>
        </w:rPr>
        <w:t xml:space="preserve">Section 1.1 </w:t>
      </w:r>
      <w:r>
        <w:rPr>
          <w:rFonts w:ascii="Arial" w:cs="Arial" w:eastAsia="Arial" w:hAnsi="Arial"/>
          <w:sz w:val="15"/>
          <w:szCs w:val="15"/>
          <w:color w:val="auto"/>
        </w:rPr>
        <w:t>of the Loan Agreement is amended to add the following definitions:</w:t>
      </w:r>
    </w:p>
    <w:p>
      <w:pPr>
        <w:spacing w:after="0" w:line="241" w:lineRule="exact"/>
        <w:rPr>
          <w:sz w:val="20"/>
          <w:szCs w:val="20"/>
          <w:color w:val="auto"/>
        </w:rPr>
      </w:pPr>
    </w:p>
    <w:p>
      <w:pPr>
        <w:ind w:left="620" w:firstLine="616"/>
        <w:spacing w:after="0" w:line="277" w:lineRule="auto"/>
        <w:rPr>
          <w:sz w:val="20"/>
          <w:szCs w:val="20"/>
          <w:color w:val="auto"/>
        </w:rPr>
      </w:pPr>
      <w:r>
        <w:rPr>
          <w:rFonts w:ascii="Arial" w:cs="Arial" w:eastAsia="Arial" w:hAnsi="Arial"/>
          <w:sz w:val="17"/>
          <w:szCs w:val="17"/>
          <w:b w:val="1"/>
          <w:bCs w:val="1"/>
          <w:i w:val="1"/>
          <w:iCs w:val="1"/>
          <w:color w:val="auto"/>
        </w:rPr>
        <w:t xml:space="preserve">First Amendment </w:t>
      </w:r>
      <w:r>
        <w:rPr>
          <w:rFonts w:ascii="Arial" w:cs="Arial" w:eastAsia="Arial" w:hAnsi="Arial"/>
          <w:sz w:val="17"/>
          <w:szCs w:val="17"/>
          <w:color w:val="auto"/>
        </w:rPr>
        <w:t>means that certain First Amendment to this Agreement dated the First Amendment Date, by and among the Borrowers, Lenders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Agent.</w:t>
      </w:r>
    </w:p>
    <w:p>
      <w:pPr>
        <w:spacing w:after="0" w:line="191" w:lineRule="exact"/>
        <w:rPr>
          <w:sz w:val="20"/>
          <w:szCs w:val="20"/>
          <w:color w:val="auto"/>
        </w:rPr>
      </w:pPr>
    </w:p>
    <w:p>
      <w:pPr>
        <w:ind w:left="1240"/>
        <w:spacing w:after="0"/>
        <w:rPr>
          <w:sz w:val="20"/>
          <w:szCs w:val="20"/>
          <w:color w:val="auto"/>
        </w:rPr>
      </w:pPr>
      <w:r>
        <w:rPr>
          <w:rFonts w:ascii="Arial" w:cs="Arial" w:eastAsia="Arial" w:hAnsi="Arial"/>
          <w:sz w:val="17"/>
          <w:szCs w:val="17"/>
          <w:b w:val="1"/>
          <w:bCs w:val="1"/>
          <w:i w:val="1"/>
          <w:iCs w:val="1"/>
          <w:color w:val="auto"/>
        </w:rPr>
        <w:t xml:space="preserve">First Amendment Date </w:t>
      </w:r>
      <w:r>
        <w:rPr>
          <w:rFonts w:ascii="Arial" w:cs="Arial" w:eastAsia="Arial" w:hAnsi="Arial"/>
          <w:sz w:val="17"/>
          <w:szCs w:val="17"/>
          <w:color w:val="auto"/>
        </w:rPr>
        <w:t>means December 31,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403225</wp:posOffset>
            </wp:positionV>
            <wp:extent cx="7258050" cy="209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6" w:name="page57"/>
    <w:bookmarkEnd w:id="56"/>
    <w:p>
      <w:pPr>
        <w:ind w:left="620"/>
        <w:spacing w:after="0"/>
        <w:rPr>
          <w:sz w:val="20"/>
          <w:szCs w:val="20"/>
          <w:color w:val="auto"/>
        </w:rPr>
      </w:pPr>
      <w:r>
        <w:rPr>
          <w:rFonts w:ascii="Arial" w:cs="Arial" w:eastAsia="Arial" w:hAnsi="Arial"/>
          <w:sz w:val="17"/>
          <w:szCs w:val="17"/>
          <w:b w:val="1"/>
          <w:bCs w:val="1"/>
          <w:i w:val="1"/>
          <w:iCs w:val="1"/>
          <w:color w:val="auto"/>
        </w:rPr>
        <w:t xml:space="preserve">Mandatory 2013 Prepayment </w:t>
      </w:r>
      <w:r>
        <w:rPr>
          <w:rFonts w:ascii="Arial" w:cs="Arial" w:eastAsia="Arial" w:hAnsi="Arial"/>
          <w:sz w:val="17"/>
          <w:szCs w:val="17"/>
          <w:color w:val="auto"/>
        </w:rPr>
        <w:t>is defined in</w:t>
      </w:r>
      <w:r>
        <w:rPr>
          <w:rFonts w:ascii="Arial" w:cs="Arial" w:eastAsia="Arial" w:hAnsi="Arial"/>
          <w:sz w:val="17"/>
          <w:szCs w:val="17"/>
          <w:b w:val="1"/>
          <w:bCs w:val="1"/>
          <w:i w:val="1"/>
          <w:iCs w:val="1"/>
          <w:color w:val="auto"/>
        </w:rPr>
        <w:t xml:space="preserve"> Section 2.5(d)</w:t>
      </w:r>
      <w:r>
        <w:rPr>
          <w:rFonts w:ascii="Arial" w:cs="Arial" w:eastAsia="Arial" w:hAnsi="Arial"/>
          <w:sz w:val="17"/>
          <w:szCs w:val="17"/>
          <w:color w:val="auto"/>
        </w:rPr>
        <w:t>.</w:t>
      </w:r>
    </w:p>
    <w:p>
      <w:pPr>
        <w:spacing w:after="0" w:line="267" w:lineRule="exact"/>
        <w:rPr>
          <w:sz w:val="20"/>
          <w:szCs w:val="20"/>
          <w:color w:val="auto"/>
        </w:rPr>
      </w:pPr>
    </w:p>
    <w:p>
      <w:pPr>
        <w:ind w:firstLine="1232"/>
        <w:spacing w:after="0" w:line="277" w:lineRule="auto"/>
        <w:rPr>
          <w:sz w:val="20"/>
          <w:szCs w:val="20"/>
          <w:color w:val="auto"/>
        </w:rPr>
      </w:pPr>
      <w:r>
        <w:rPr>
          <w:rFonts w:ascii="Arial" w:cs="Arial" w:eastAsia="Arial" w:hAnsi="Arial"/>
          <w:sz w:val="17"/>
          <w:szCs w:val="17"/>
          <w:color w:val="auto"/>
        </w:rPr>
        <w:t xml:space="preserve">1.3 </w:t>
      </w:r>
      <w:r>
        <w:rPr>
          <w:rFonts w:ascii="Arial" w:cs="Arial" w:eastAsia="Arial" w:hAnsi="Arial"/>
          <w:sz w:val="17"/>
          <w:szCs w:val="17"/>
          <w:b w:val="1"/>
          <w:bCs w:val="1"/>
          <w:i w:val="1"/>
          <w:iCs w:val="1"/>
          <w:color w:val="auto"/>
        </w:rPr>
        <w:t>Section 1.1</w:t>
      </w:r>
      <w:r>
        <w:rPr>
          <w:rFonts w:ascii="Arial" w:cs="Arial" w:eastAsia="Arial" w:hAnsi="Arial"/>
          <w:sz w:val="17"/>
          <w:szCs w:val="17"/>
          <w:color w:val="auto"/>
        </w:rPr>
        <w:t xml:space="preserve"> of the Loan Agreement is amended to delete the definition of “Additional Term Loan Commitment” in its entirety and replace it with the following:</w:t>
      </w:r>
    </w:p>
    <w:p>
      <w:pPr>
        <w:spacing w:after="0" w:line="191"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 xml:space="preserve">Additional Term Loan Commitment </w:t>
      </w:r>
      <w:r>
        <w:rPr>
          <w:rFonts w:ascii="Arial" w:cs="Arial" w:eastAsia="Arial" w:hAnsi="Arial"/>
          <w:sz w:val="17"/>
          <w:szCs w:val="17"/>
          <w:color w:val="auto"/>
        </w:rPr>
        <w:t>means $10,000,000.</w:t>
      </w:r>
    </w:p>
    <w:p>
      <w:pPr>
        <w:spacing w:after="0" w:line="267" w:lineRule="exact"/>
        <w:rPr>
          <w:sz w:val="20"/>
          <w:szCs w:val="20"/>
          <w:color w:val="auto"/>
        </w:rPr>
      </w:pPr>
    </w:p>
    <w:p>
      <w:pPr>
        <w:ind w:left="1240"/>
        <w:spacing w:after="0"/>
        <w:tabs>
          <w:tab w:leader="none" w:pos="1640" w:val="left"/>
        </w:tabs>
        <w:rPr>
          <w:sz w:val="20"/>
          <w:szCs w:val="20"/>
          <w:color w:val="auto"/>
        </w:rPr>
      </w:pPr>
      <w:r>
        <w:rPr>
          <w:rFonts w:ascii="Arial" w:cs="Arial" w:eastAsia="Arial" w:hAnsi="Arial"/>
          <w:sz w:val="17"/>
          <w:szCs w:val="17"/>
          <w:color w:val="auto"/>
        </w:rPr>
        <w:t>1.4</w:t>
      </w:r>
      <w:r>
        <w:rPr>
          <w:sz w:val="20"/>
          <w:szCs w:val="20"/>
          <w:color w:val="auto"/>
        </w:rPr>
        <w:tab/>
      </w:r>
      <w:r>
        <w:rPr>
          <w:rFonts w:ascii="Arial" w:cs="Arial" w:eastAsia="Arial" w:hAnsi="Arial"/>
          <w:sz w:val="15"/>
          <w:szCs w:val="15"/>
          <w:b w:val="1"/>
          <w:bCs w:val="1"/>
          <w:i w:val="1"/>
          <w:iCs w:val="1"/>
          <w:color w:val="auto"/>
        </w:rPr>
        <w:t xml:space="preserve">Sections 2.4(b) </w:t>
      </w:r>
      <w:r>
        <w:rPr>
          <w:rFonts w:ascii="Arial" w:cs="Arial" w:eastAsia="Arial" w:hAnsi="Arial"/>
          <w:sz w:val="15"/>
          <w:szCs w:val="15"/>
          <w:color w:val="auto"/>
        </w:rPr>
        <w:t>and</w:t>
      </w:r>
      <w:r>
        <w:rPr>
          <w:rFonts w:ascii="Arial" w:cs="Arial" w:eastAsia="Arial" w:hAnsi="Arial"/>
          <w:sz w:val="15"/>
          <w:szCs w:val="15"/>
          <w:b w:val="1"/>
          <w:bCs w:val="1"/>
          <w:i w:val="1"/>
          <w:iCs w:val="1"/>
          <w:color w:val="auto"/>
        </w:rPr>
        <w:t xml:space="preserve"> 2.4(c) </w:t>
      </w:r>
      <w:r>
        <w:rPr>
          <w:rFonts w:ascii="Arial" w:cs="Arial" w:eastAsia="Arial" w:hAnsi="Arial"/>
          <w:sz w:val="15"/>
          <w:szCs w:val="15"/>
          <w:color w:val="auto"/>
        </w:rPr>
        <w:t>of the Loan Agreement are deleted in their entirety and replaced with the following:</w:t>
      </w:r>
    </w:p>
    <w:p>
      <w:pPr>
        <w:spacing w:after="0" w:line="241" w:lineRule="exact"/>
        <w:rPr>
          <w:sz w:val="20"/>
          <w:szCs w:val="20"/>
          <w:color w:val="auto"/>
        </w:rPr>
      </w:pPr>
    </w:p>
    <w:p>
      <w:pPr>
        <w:jc w:val="both"/>
        <w:ind w:left="620" w:firstLine="616"/>
        <w:spacing w:after="0" w:line="260" w:lineRule="auto"/>
        <w:rPr>
          <w:sz w:val="20"/>
          <w:szCs w:val="20"/>
          <w:color w:val="auto"/>
        </w:rPr>
      </w:pPr>
      <w:r>
        <w:rPr>
          <w:rFonts w:ascii="Arial" w:cs="Arial" w:eastAsia="Arial" w:hAnsi="Arial"/>
          <w:sz w:val="17"/>
          <w:szCs w:val="17"/>
          <w:color w:val="auto"/>
        </w:rPr>
        <w:t xml:space="preserve">“(b) Concurrently with (and in addition to) any and all payments of the Term Loan Principal Debt that are funded on or prior to the third anniversary of the First Amendment Date other than (x) Annual Excess Cash Flow Prepayments, (y) required quarterly amortization payments pursuant to </w:t>
      </w:r>
      <w:r>
        <w:rPr>
          <w:rFonts w:ascii="Arial" w:cs="Arial" w:eastAsia="Arial" w:hAnsi="Arial"/>
          <w:sz w:val="17"/>
          <w:szCs w:val="17"/>
          <w:b w:val="1"/>
          <w:bCs w:val="1"/>
          <w:i w:val="1"/>
          <w:iCs w:val="1"/>
          <w:color w:val="auto"/>
        </w:rPr>
        <w:t>Section 3.2(b)</w:t>
      </w:r>
      <w:r>
        <w:rPr>
          <w:rFonts w:ascii="Arial" w:cs="Arial" w:eastAsia="Arial" w:hAnsi="Arial"/>
          <w:sz w:val="17"/>
          <w:szCs w:val="17"/>
          <w:color w:val="auto"/>
        </w:rPr>
        <w:t xml:space="preserve">, and (z) as set forth in </w:t>
      </w:r>
      <w:r>
        <w:rPr>
          <w:rFonts w:ascii="Arial" w:cs="Arial" w:eastAsia="Arial" w:hAnsi="Arial"/>
          <w:sz w:val="17"/>
          <w:szCs w:val="17"/>
          <w:b w:val="1"/>
          <w:bCs w:val="1"/>
          <w:i w:val="1"/>
          <w:iCs w:val="1"/>
          <w:color w:val="auto"/>
        </w:rPr>
        <w:t>Sections 2.5(b)(i)</w:t>
      </w:r>
      <w:r>
        <w:rPr>
          <w:rFonts w:ascii="Arial" w:cs="Arial" w:eastAsia="Arial" w:hAnsi="Arial"/>
          <w:sz w:val="17"/>
          <w:szCs w:val="17"/>
          <w:i w:val="1"/>
          <w:iCs w:val="1"/>
          <w:color w:val="auto"/>
        </w:rPr>
        <w:t>,</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2.5(b)(iii)</w:t>
      </w:r>
      <w:r>
        <w:rPr>
          <w:rFonts w:ascii="Arial" w:cs="Arial" w:eastAsia="Arial" w:hAnsi="Arial"/>
          <w:sz w:val="17"/>
          <w:szCs w:val="17"/>
          <w:i w:val="1"/>
          <w:iCs w:val="1"/>
          <w:color w:val="auto"/>
        </w:rPr>
        <w:t>,</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2.5(b)(v)</w:t>
      </w:r>
      <w:r>
        <w:rPr>
          <w:rFonts w:ascii="Arial" w:cs="Arial" w:eastAsia="Arial" w:hAnsi="Arial"/>
          <w:sz w:val="17"/>
          <w:szCs w:val="17"/>
          <w:b w:val="1"/>
          <w:bCs w:val="1"/>
          <w:color w:val="auto"/>
        </w:rPr>
        <w:t>,</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2.5(d)</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3.7</w:t>
      </w:r>
      <w:r>
        <w:rPr>
          <w:rFonts w:ascii="Arial" w:cs="Arial" w:eastAsia="Arial" w:hAnsi="Arial"/>
          <w:sz w:val="17"/>
          <w:szCs w:val="17"/>
          <w:color w:val="auto"/>
        </w:rPr>
        <w:t xml:space="preserve"> and </w:t>
      </w:r>
      <w:r>
        <w:rPr>
          <w:rFonts w:ascii="Arial" w:cs="Arial" w:eastAsia="Arial" w:hAnsi="Arial"/>
          <w:sz w:val="17"/>
          <w:szCs w:val="17"/>
          <w:b w:val="1"/>
          <w:bCs w:val="1"/>
          <w:i w:val="1"/>
          <w:iCs w:val="1"/>
          <w:color w:val="auto"/>
        </w:rPr>
        <w:t>3.8</w:t>
      </w:r>
      <w:r>
        <w:rPr>
          <w:rFonts w:ascii="Arial" w:cs="Arial" w:eastAsia="Arial" w:hAnsi="Arial"/>
          <w:sz w:val="17"/>
          <w:szCs w:val="17"/>
          <w:color w:val="auto"/>
        </w:rPr>
        <w:t>, Borrowers shall pay to Lenders a premium in cash, as follows:</w:t>
      </w:r>
    </w:p>
    <w:p>
      <w:pPr>
        <w:spacing w:after="0" w:line="231" w:lineRule="exact"/>
        <w:rPr>
          <w:sz w:val="20"/>
          <w:szCs w:val="20"/>
          <w:color w:val="auto"/>
        </w:rPr>
      </w:pPr>
    </w:p>
    <w:p>
      <w:pPr>
        <w:ind w:left="1240" w:firstLine="2455"/>
        <w:spacing w:after="0" w:line="277" w:lineRule="auto"/>
        <w:tabs>
          <w:tab w:leader="none" w:pos="4071" w:val="left"/>
        </w:tabs>
        <w:numPr>
          <w:ilvl w:val="0"/>
          <w:numId w:val="12"/>
        </w:numPr>
        <w:rPr>
          <w:rFonts w:ascii="Arial" w:cs="Arial" w:eastAsia="Arial" w:hAnsi="Arial"/>
          <w:sz w:val="17"/>
          <w:szCs w:val="17"/>
          <w:color w:val="auto"/>
        </w:rPr>
      </w:pPr>
      <w:r>
        <w:rPr>
          <w:rFonts w:ascii="Arial" w:cs="Arial" w:eastAsia="Arial" w:hAnsi="Arial"/>
          <w:sz w:val="17"/>
          <w:szCs w:val="17"/>
          <w:color w:val="auto"/>
        </w:rPr>
        <w:t>five percent (5.00%) of the amount of Term Loan Principal Debt paid if such prepayment occurs on or prior to the first anniversary of the First Amendment Date;</w:t>
      </w:r>
    </w:p>
    <w:p>
      <w:pPr>
        <w:spacing w:after="0" w:line="216" w:lineRule="exact"/>
        <w:rPr>
          <w:rFonts w:ascii="Arial" w:cs="Arial" w:eastAsia="Arial" w:hAnsi="Arial"/>
          <w:sz w:val="17"/>
          <w:szCs w:val="17"/>
          <w:color w:val="auto"/>
        </w:rPr>
      </w:pPr>
    </w:p>
    <w:p>
      <w:pPr>
        <w:ind w:left="1240" w:firstLine="2455"/>
        <w:spacing w:after="0" w:line="346" w:lineRule="auto"/>
        <w:tabs>
          <w:tab w:leader="none" w:pos="4119" w:val="left"/>
        </w:tabs>
        <w:numPr>
          <w:ilvl w:val="0"/>
          <w:numId w:val="12"/>
        </w:numPr>
        <w:rPr>
          <w:rFonts w:ascii="Arial" w:cs="Arial" w:eastAsia="Arial" w:hAnsi="Arial"/>
          <w:sz w:val="15"/>
          <w:szCs w:val="15"/>
          <w:color w:val="auto"/>
        </w:rPr>
      </w:pPr>
      <w:r>
        <w:rPr>
          <w:rFonts w:ascii="Arial" w:cs="Arial" w:eastAsia="Arial" w:hAnsi="Arial"/>
          <w:sz w:val="15"/>
          <w:szCs w:val="15"/>
          <w:color w:val="auto"/>
        </w:rPr>
        <w:t>four percent (4.00%) of the amount of Term Loan Principal Debt paid if such prepayment occurs after the first anniversary of the First Amendment Date and on or prior to the second anniversary of the First Amendment Date; or</w:t>
      </w:r>
    </w:p>
    <w:p>
      <w:pPr>
        <w:spacing w:after="0" w:line="170" w:lineRule="exact"/>
        <w:rPr>
          <w:rFonts w:ascii="Arial" w:cs="Arial" w:eastAsia="Arial" w:hAnsi="Arial"/>
          <w:sz w:val="15"/>
          <w:szCs w:val="15"/>
          <w:color w:val="auto"/>
        </w:rPr>
      </w:pPr>
    </w:p>
    <w:p>
      <w:pPr>
        <w:ind w:left="1240" w:firstLine="2455"/>
        <w:spacing w:after="0" w:line="310" w:lineRule="auto"/>
        <w:tabs>
          <w:tab w:leader="none" w:pos="4166" w:val="left"/>
        </w:tabs>
        <w:numPr>
          <w:ilvl w:val="0"/>
          <w:numId w:val="12"/>
        </w:numPr>
        <w:rPr>
          <w:rFonts w:ascii="Arial" w:cs="Arial" w:eastAsia="Arial" w:hAnsi="Arial"/>
          <w:sz w:val="16"/>
          <w:szCs w:val="16"/>
          <w:color w:val="auto"/>
        </w:rPr>
      </w:pPr>
      <w:r>
        <w:rPr>
          <w:rFonts w:ascii="Arial" w:cs="Arial" w:eastAsia="Arial" w:hAnsi="Arial"/>
          <w:sz w:val="16"/>
          <w:szCs w:val="16"/>
          <w:color w:val="auto"/>
        </w:rPr>
        <w:t>one percent (1.00%) of the amount of Term Loan Principal Debt paid if such prepayment occurs after the second anniversary of the First Amendment Date and on or prior to the third anniversary of the First Amendment Date.</w:t>
      </w:r>
    </w:p>
    <w:p>
      <w:pPr>
        <w:spacing w:after="0" w:line="166" w:lineRule="exact"/>
        <w:rPr>
          <w:sz w:val="20"/>
          <w:szCs w:val="20"/>
          <w:color w:val="auto"/>
        </w:rPr>
      </w:pPr>
    </w:p>
    <w:p>
      <w:pPr>
        <w:jc w:val="both"/>
        <w:ind w:left="620" w:firstLine="616"/>
        <w:spacing w:after="0" w:line="258" w:lineRule="auto"/>
        <w:rPr>
          <w:sz w:val="20"/>
          <w:szCs w:val="20"/>
          <w:color w:val="auto"/>
        </w:rPr>
      </w:pPr>
      <w:r>
        <w:rPr>
          <w:rFonts w:ascii="Arial" w:cs="Arial" w:eastAsia="Arial" w:hAnsi="Arial"/>
          <w:sz w:val="17"/>
          <w:szCs w:val="17"/>
          <w:color w:val="auto"/>
        </w:rPr>
        <w:t>Borrowers acknowledge and agree that the foregoing prepayment premiums shall be made regardless of whether the applicable prepayment was made voluntarily or involuntarily, or before or after acceleration of the Obligation, and regardless of whether the payment is made in connection with a Change of Control or Liquidity Event, as liquidated damages and compensation for the costs of making funds available under this Agreement, and as a consequence of a reasonable calculation of the Lenders’ lost profits in view of the difficulties and impracticability of determining actual damages resulting from such payment.</w:t>
      </w:r>
    </w:p>
    <w:p>
      <w:pPr>
        <w:spacing w:after="0" w:line="207" w:lineRule="exact"/>
        <w:rPr>
          <w:sz w:val="20"/>
          <w:szCs w:val="20"/>
          <w:color w:val="auto"/>
        </w:rPr>
      </w:pPr>
    </w:p>
    <w:p>
      <w:pPr>
        <w:jc w:val="both"/>
        <w:ind w:left="620" w:firstLine="611"/>
        <w:spacing w:after="0" w:line="264" w:lineRule="auto"/>
        <w:tabs>
          <w:tab w:leader="none" w:pos="1939" w:val="left"/>
        </w:tabs>
        <w:numPr>
          <w:ilvl w:val="0"/>
          <w:numId w:val="13"/>
        </w:numPr>
        <w:rPr>
          <w:rFonts w:ascii="Arial" w:cs="Arial" w:eastAsia="Arial" w:hAnsi="Arial"/>
          <w:sz w:val="17"/>
          <w:szCs w:val="17"/>
          <w:color w:val="auto"/>
        </w:rPr>
      </w:pPr>
      <w:r>
        <w:rPr>
          <w:rFonts w:ascii="Arial" w:cs="Arial" w:eastAsia="Arial" w:hAnsi="Arial"/>
          <w:sz w:val="17"/>
          <w:szCs w:val="17"/>
          <w:color w:val="auto"/>
        </w:rPr>
        <w:t>From and after the first day immediately after the third anniversary of the First Amendment Date, Borrowers may make optional prepayments of the Term Loan Principal Debt without premium or penalty, subject to subsection (a) above. Amounts repaid or prepaid in respect of the Term Notes may not be re-borrowed without the Lenders’ written consent.”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-393700</wp:posOffset>
            </wp:positionH>
            <wp:positionV relativeFrom="paragraph">
              <wp:posOffset>378460</wp:posOffset>
            </wp:positionV>
            <wp:extent cx="7258050" cy="209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800"/>
          </w:cols>
          <w:pgMar w:left="860" w:top="499" w:right="239" w:bottom="1440" w:gutter="0" w:footer="0" w:header="0"/>
        </w:sectPr>
      </w:pPr>
    </w:p>
    <w:bookmarkStart w:id="57" w:name="page58"/>
    <w:bookmarkEnd w:id="57"/>
    <w:p>
      <w:pPr>
        <w:ind w:left="1860"/>
        <w:spacing w:after="0"/>
        <w:tabs>
          <w:tab w:leader="none" w:pos="2260" w:val="left"/>
        </w:tabs>
        <w:rPr>
          <w:sz w:val="20"/>
          <w:szCs w:val="20"/>
          <w:color w:val="auto"/>
        </w:rPr>
      </w:pPr>
      <w:r>
        <w:rPr>
          <w:rFonts w:ascii="Arial" w:cs="Arial" w:eastAsia="Arial" w:hAnsi="Arial"/>
          <w:sz w:val="17"/>
          <w:szCs w:val="17"/>
          <w:color w:val="auto"/>
        </w:rPr>
        <w:t>1.5</w:t>
      </w:r>
      <w:r>
        <w:rPr>
          <w:sz w:val="20"/>
          <w:szCs w:val="20"/>
          <w:color w:val="auto"/>
        </w:rPr>
        <w:tab/>
      </w:r>
      <w:r>
        <w:rPr>
          <w:rFonts w:ascii="Arial" w:cs="Arial" w:eastAsia="Arial" w:hAnsi="Arial"/>
          <w:sz w:val="15"/>
          <w:szCs w:val="15"/>
          <w:color w:val="auto"/>
        </w:rPr>
        <w:t xml:space="preserve">A new </w:t>
      </w:r>
      <w:r>
        <w:rPr>
          <w:rFonts w:ascii="Arial" w:cs="Arial" w:eastAsia="Arial" w:hAnsi="Arial"/>
          <w:sz w:val="15"/>
          <w:szCs w:val="15"/>
          <w:b w:val="1"/>
          <w:bCs w:val="1"/>
          <w:i w:val="1"/>
          <w:iCs w:val="1"/>
          <w:color w:val="auto"/>
        </w:rPr>
        <w:t>Section 2.5(d)</w:t>
      </w:r>
      <w:r>
        <w:rPr>
          <w:rFonts w:ascii="Arial" w:cs="Arial" w:eastAsia="Arial" w:hAnsi="Arial"/>
          <w:sz w:val="15"/>
          <w:szCs w:val="15"/>
          <w:color w:val="auto"/>
        </w:rPr>
        <w:t xml:space="preserve"> of the Loan Agreement is added to the Loan Agreement, as follows:</w:t>
      </w:r>
    </w:p>
    <w:p>
      <w:pPr>
        <w:spacing w:after="0" w:line="241" w:lineRule="exact"/>
        <w:rPr>
          <w:sz w:val="20"/>
          <w:szCs w:val="20"/>
          <w:color w:val="auto"/>
        </w:rPr>
      </w:pPr>
    </w:p>
    <w:p>
      <w:pPr>
        <w:jc w:val="both"/>
        <w:ind w:left="1240" w:firstLine="616"/>
        <w:spacing w:after="0" w:line="289" w:lineRule="auto"/>
        <w:rPr>
          <w:sz w:val="20"/>
          <w:szCs w:val="20"/>
          <w:color w:val="auto"/>
        </w:rPr>
      </w:pPr>
      <w:r>
        <w:rPr>
          <w:rFonts w:ascii="Arial" w:cs="Arial" w:eastAsia="Arial" w:hAnsi="Arial"/>
          <w:sz w:val="16"/>
          <w:szCs w:val="16"/>
          <w:color w:val="auto"/>
        </w:rPr>
        <w:t xml:space="preserve">“(d) </w:t>
      </w:r>
      <w:r>
        <w:rPr>
          <w:rFonts w:ascii="Arial" w:cs="Arial" w:eastAsia="Arial" w:hAnsi="Arial"/>
          <w:sz w:val="16"/>
          <w:szCs w:val="16"/>
          <w:u w:val="single" w:color="auto"/>
          <w:color w:val="auto"/>
        </w:rPr>
        <w:t>Mandatory 2013 Prepayment</w:t>
      </w:r>
      <w:r>
        <w:rPr>
          <w:rFonts w:ascii="Arial" w:cs="Arial" w:eastAsia="Arial" w:hAnsi="Arial"/>
          <w:sz w:val="16"/>
          <w:szCs w:val="16"/>
          <w:color w:val="auto"/>
        </w:rPr>
        <w:t>. On or prior to October 31, 2013, Borrowers shall make a mandatory prepayment of the Term Loan Principal Debt in an amount equal to $2,000,000 (the “</w:t>
      </w:r>
      <w:r>
        <w:rPr>
          <w:rFonts w:ascii="Arial" w:cs="Arial" w:eastAsia="Arial" w:hAnsi="Arial"/>
          <w:sz w:val="16"/>
          <w:szCs w:val="16"/>
          <w:b w:val="1"/>
          <w:bCs w:val="1"/>
          <w:i w:val="1"/>
          <w:iCs w:val="1"/>
          <w:color w:val="auto"/>
        </w:rPr>
        <w:t>Mandatory 2013 Prepayment</w:t>
      </w:r>
      <w:r>
        <w:rPr>
          <w:rFonts w:ascii="Arial" w:cs="Arial" w:eastAsia="Arial" w:hAnsi="Arial"/>
          <w:sz w:val="16"/>
          <w:szCs w:val="16"/>
          <w:color w:val="auto"/>
        </w:rPr>
        <w:t>”), which prepayment shall be applied to reduce the Term Loan Principal Debt in the reverse order of maturity, beginning with the Term Loan Principal Debt due at the Maturity Date.”</w:t>
      </w:r>
    </w:p>
    <w:p>
      <w:pPr>
        <w:spacing w:after="0" w:line="208" w:lineRule="exact"/>
        <w:rPr>
          <w:sz w:val="20"/>
          <w:szCs w:val="20"/>
          <w:color w:val="auto"/>
        </w:rPr>
      </w:pPr>
    </w:p>
    <w:p>
      <w:pPr>
        <w:ind w:left="1860"/>
        <w:spacing w:after="0"/>
        <w:tabs>
          <w:tab w:leader="none" w:pos="2260" w:val="left"/>
        </w:tabs>
        <w:rPr>
          <w:sz w:val="20"/>
          <w:szCs w:val="20"/>
          <w:color w:val="auto"/>
        </w:rPr>
      </w:pPr>
      <w:r>
        <w:rPr>
          <w:rFonts w:ascii="Arial" w:cs="Arial" w:eastAsia="Arial" w:hAnsi="Arial"/>
          <w:sz w:val="17"/>
          <w:szCs w:val="17"/>
          <w:color w:val="auto"/>
        </w:rPr>
        <w:t>1.6</w:t>
      </w:r>
      <w:r>
        <w:rPr>
          <w:sz w:val="20"/>
          <w:szCs w:val="20"/>
          <w:color w:val="auto"/>
        </w:rPr>
        <w:tab/>
      </w:r>
      <w:r>
        <w:rPr>
          <w:rFonts w:ascii="Arial" w:cs="Arial" w:eastAsia="Arial" w:hAnsi="Arial"/>
          <w:sz w:val="15"/>
          <w:szCs w:val="15"/>
          <w:b w:val="1"/>
          <w:bCs w:val="1"/>
          <w:i w:val="1"/>
          <w:iCs w:val="1"/>
          <w:color w:val="auto"/>
        </w:rPr>
        <w:t xml:space="preserve">Section 3.4(a) </w:t>
      </w:r>
      <w:r>
        <w:rPr>
          <w:rFonts w:ascii="Arial" w:cs="Arial" w:eastAsia="Arial" w:hAnsi="Arial"/>
          <w:sz w:val="15"/>
          <w:szCs w:val="15"/>
          <w:color w:val="auto"/>
        </w:rPr>
        <w:t>of the Loan Agreement is deleted in its entirety and replaced with the following:</w:t>
      </w:r>
    </w:p>
    <w:p>
      <w:pPr>
        <w:spacing w:after="0" w:line="241" w:lineRule="exact"/>
        <w:rPr>
          <w:sz w:val="20"/>
          <w:szCs w:val="20"/>
          <w:color w:val="auto"/>
        </w:rPr>
      </w:pPr>
    </w:p>
    <w:p>
      <w:pPr>
        <w:jc w:val="both"/>
        <w:ind w:left="1240" w:firstLine="616"/>
        <w:spacing w:after="0" w:line="297" w:lineRule="auto"/>
        <w:rPr>
          <w:sz w:val="20"/>
          <w:szCs w:val="20"/>
          <w:color w:val="auto"/>
        </w:rPr>
      </w:pPr>
      <w:r>
        <w:rPr>
          <w:rFonts w:ascii="Arial" w:cs="Arial" w:eastAsia="Arial" w:hAnsi="Arial"/>
          <w:sz w:val="15"/>
          <w:szCs w:val="15"/>
          <w:color w:val="auto"/>
        </w:rPr>
        <w:t xml:space="preserve">“(a) Except as otherwise provided in this Agreement, the Term Loan Principal Debt shall accrue interest at a floating annual rate equal to the LIBOR Rate (as defined in </w:t>
      </w:r>
      <w:r>
        <w:rPr>
          <w:rFonts w:ascii="Arial" w:cs="Arial" w:eastAsia="Arial" w:hAnsi="Arial"/>
          <w:sz w:val="15"/>
          <w:szCs w:val="15"/>
          <w:b w:val="1"/>
          <w:bCs w:val="1"/>
          <w:i w:val="1"/>
          <w:iCs w:val="1"/>
          <w:color w:val="auto"/>
        </w:rPr>
        <w:t>Section 1.1</w:t>
      </w:r>
      <w:r>
        <w:rPr>
          <w:rFonts w:ascii="Arial" w:cs="Arial" w:eastAsia="Arial" w:hAnsi="Arial"/>
          <w:sz w:val="15"/>
          <w:szCs w:val="15"/>
          <w:color w:val="auto"/>
        </w:rPr>
        <w:t xml:space="preserve"> of this Agreement) </w:t>
      </w:r>
      <w:r>
        <w:rPr>
          <w:rFonts w:ascii="Arial" w:cs="Arial" w:eastAsia="Arial" w:hAnsi="Arial"/>
          <w:sz w:val="15"/>
          <w:szCs w:val="15"/>
          <w:i w:val="1"/>
          <w:iCs w:val="1"/>
          <w:color w:val="auto"/>
        </w:rPr>
        <w:t>plus</w:t>
      </w:r>
      <w:r>
        <w:rPr>
          <w:rFonts w:ascii="Arial" w:cs="Arial" w:eastAsia="Arial" w:hAnsi="Arial"/>
          <w:sz w:val="15"/>
          <w:szCs w:val="15"/>
          <w:color w:val="auto"/>
        </w:rPr>
        <w:t xml:space="preserve"> nine and 50/100 percent (9.50%) per annum (the “</w:t>
      </w:r>
      <w:r>
        <w:rPr>
          <w:rFonts w:ascii="Arial" w:cs="Arial" w:eastAsia="Arial" w:hAnsi="Arial"/>
          <w:sz w:val="15"/>
          <w:szCs w:val="15"/>
          <w:b w:val="1"/>
          <w:bCs w:val="1"/>
          <w:i w:val="1"/>
          <w:iCs w:val="1"/>
          <w:color w:val="auto"/>
        </w:rPr>
        <w:t>Term Loan Interest</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auto"/>
        </w:rPr>
        <w:t>Rate</w:t>
      </w:r>
      <w:r>
        <w:rPr>
          <w:rFonts w:ascii="Arial" w:cs="Arial" w:eastAsia="Arial" w:hAnsi="Arial"/>
          <w:sz w:val="15"/>
          <w:szCs w:val="15"/>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provided</w:t>
      </w:r>
      <w:r>
        <w:rPr>
          <w:rFonts w:ascii="Arial" w:cs="Arial" w:eastAsia="Arial" w:hAnsi="Arial"/>
          <w:sz w:val="15"/>
          <w:szCs w:val="15"/>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that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if the Mandatory 2013 Prepayment is not made by May 31, 2013, then the Term Loan Interest Rate shall be equal to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xml:space="preserve">the LIBOR Rate (as defined in </w:t>
      </w:r>
      <w:r>
        <w:rPr>
          <w:rFonts w:ascii="Arial" w:cs="Arial" w:eastAsia="Arial" w:hAnsi="Arial"/>
          <w:sz w:val="15"/>
          <w:szCs w:val="15"/>
          <w:b w:val="1"/>
          <w:bCs w:val="1"/>
          <w:i w:val="1"/>
          <w:iCs w:val="1"/>
          <w:color w:val="auto"/>
        </w:rPr>
        <w:t>Section 1.1</w:t>
      </w:r>
      <w:r>
        <w:rPr>
          <w:rFonts w:ascii="Arial" w:cs="Arial" w:eastAsia="Arial" w:hAnsi="Arial"/>
          <w:sz w:val="15"/>
          <w:szCs w:val="15"/>
          <w:color w:val="auto"/>
        </w:rPr>
        <w:t xml:space="preserve"> of this Agreement) </w:t>
      </w:r>
      <w:r>
        <w:rPr>
          <w:rFonts w:ascii="Arial" w:cs="Arial" w:eastAsia="Arial" w:hAnsi="Arial"/>
          <w:sz w:val="15"/>
          <w:szCs w:val="15"/>
          <w:i w:val="1"/>
          <w:iCs w:val="1"/>
          <w:color w:val="auto"/>
        </w:rPr>
        <w:t>plus</w:t>
      </w:r>
      <w:r>
        <w:rPr>
          <w:rFonts w:ascii="Arial" w:cs="Arial" w:eastAsia="Arial" w:hAnsi="Arial"/>
          <w:sz w:val="15"/>
          <w:szCs w:val="15"/>
          <w:color w:val="auto"/>
        </w:rPr>
        <w:t xml:space="preserve"> twelve and 50/100 percent (12.50%) per annum for the period commencing on June 1, 2013 and ending on the date of payment of the Mandatory 2013 Prepayment. Notwithstanding the foregoing, the Term Loan Interest Rate shall not at any time be (i) less than eleven and 50/100 percent (11.50%) per annum nor (ii) greater than the Maximum Rate.”</w:t>
      </w:r>
    </w:p>
    <w:p>
      <w:pPr>
        <w:spacing w:after="0" w:line="208" w:lineRule="exact"/>
        <w:rPr>
          <w:sz w:val="20"/>
          <w:szCs w:val="20"/>
          <w:color w:val="auto"/>
        </w:rPr>
      </w:pPr>
    </w:p>
    <w:p>
      <w:pPr>
        <w:ind w:left="1860"/>
        <w:spacing w:after="0"/>
        <w:tabs>
          <w:tab w:leader="none" w:pos="2260" w:val="left"/>
        </w:tabs>
        <w:rPr>
          <w:sz w:val="20"/>
          <w:szCs w:val="20"/>
          <w:color w:val="auto"/>
        </w:rPr>
      </w:pPr>
      <w:r>
        <w:rPr>
          <w:rFonts w:ascii="Arial" w:cs="Arial" w:eastAsia="Arial" w:hAnsi="Arial"/>
          <w:sz w:val="17"/>
          <w:szCs w:val="17"/>
          <w:color w:val="auto"/>
        </w:rPr>
        <w:t>1.7</w:t>
      </w:r>
      <w:r>
        <w:rPr>
          <w:sz w:val="20"/>
          <w:szCs w:val="20"/>
          <w:color w:val="auto"/>
        </w:rPr>
        <w:tab/>
      </w:r>
      <w:r>
        <w:rPr>
          <w:rFonts w:ascii="Arial" w:cs="Arial" w:eastAsia="Arial" w:hAnsi="Arial"/>
          <w:sz w:val="15"/>
          <w:szCs w:val="15"/>
          <w:b w:val="1"/>
          <w:bCs w:val="1"/>
          <w:i w:val="1"/>
          <w:iCs w:val="1"/>
          <w:color w:val="auto"/>
        </w:rPr>
        <w:t xml:space="preserve">Section 10.1 </w:t>
      </w:r>
      <w:r>
        <w:rPr>
          <w:rFonts w:ascii="Arial" w:cs="Arial" w:eastAsia="Arial" w:hAnsi="Arial"/>
          <w:sz w:val="15"/>
          <w:szCs w:val="15"/>
          <w:color w:val="auto"/>
        </w:rPr>
        <w:t>of the Loan Agreement is deleted in its entirety and replaced with the following:</w:t>
      </w:r>
    </w:p>
    <w:p>
      <w:pPr>
        <w:spacing w:after="0" w:line="241" w:lineRule="exact"/>
        <w:rPr>
          <w:sz w:val="20"/>
          <w:szCs w:val="20"/>
          <w:color w:val="auto"/>
        </w:rPr>
      </w:pPr>
    </w:p>
    <w:p>
      <w:pPr>
        <w:ind w:left="1860"/>
        <w:spacing w:after="0"/>
        <w:tabs>
          <w:tab w:leader="none" w:pos="2680" w:val="left"/>
        </w:tabs>
        <w:rPr>
          <w:sz w:val="20"/>
          <w:szCs w:val="20"/>
          <w:color w:val="auto"/>
        </w:rPr>
      </w:pPr>
      <w:r>
        <w:rPr>
          <w:rFonts w:ascii="Arial" w:cs="Arial" w:eastAsia="Arial" w:hAnsi="Arial"/>
          <w:sz w:val="17"/>
          <w:szCs w:val="17"/>
          <w:color w:val="auto"/>
        </w:rPr>
        <w:t>“10.1</w:t>
      </w:r>
      <w:r>
        <w:rPr>
          <w:sz w:val="20"/>
          <w:szCs w:val="20"/>
          <w:color w:val="auto"/>
        </w:rPr>
        <w:tab/>
      </w:r>
      <w:r>
        <w:rPr>
          <w:rFonts w:ascii="Arial" w:cs="Arial" w:eastAsia="Arial" w:hAnsi="Arial"/>
          <w:sz w:val="17"/>
          <w:szCs w:val="17"/>
          <w:u w:val="single" w:color="auto"/>
          <w:color w:val="auto"/>
        </w:rPr>
        <w:t>Intentionally Deleted</w:t>
      </w:r>
      <w:r>
        <w:rPr>
          <w:rFonts w:ascii="Arial" w:cs="Arial" w:eastAsia="Arial" w:hAnsi="Arial"/>
          <w:sz w:val="17"/>
          <w:szCs w:val="17"/>
          <w:color w:val="auto"/>
        </w:rPr>
        <w:t>.”</w:t>
      </w:r>
    </w:p>
    <w:p>
      <w:pPr>
        <w:spacing w:after="0" w:line="267" w:lineRule="exact"/>
        <w:rPr>
          <w:sz w:val="20"/>
          <w:szCs w:val="20"/>
          <w:color w:val="auto"/>
        </w:rPr>
      </w:pPr>
    </w:p>
    <w:p>
      <w:pPr>
        <w:ind w:left="1860"/>
        <w:spacing w:after="0"/>
        <w:tabs>
          <w:tab w:leader="none" w:pos="2260" w:val="left"/>
        </w:tabs>
        <w:rPr>
          <w:sz w:val="20"/>
          <w:szCs w:val="20"/>
          <w:color w:val="auto"/>
        </w:rPr>
      </w:pPr>
      <w:r>
        <w:rPr>
          <w:rFonts w:ascii="Arial" w:cs="Arial" w:eastAsia="Arial" w:hAnsi="Arial"/>
          <w:sz w:val="17"/>
          <w:szCs w:val="17"/>
          <w:color w:val="auto"/>
        </w:rPr>
        <w:t>1.8</w:t>
      </w:r>
      <w:r>
        <w:rPr>
          <w:sz w:val="20"/>
          <w:szCs w:val="20"/>
          <w:color w:val="auto"/>
        </w:rPr>
        <w:tab/>
      </w:r>
      <w:r>
        <w:rPr>
          <w:rFonts w:ascii="Arial" w:cs="Arial" w:eastAsia="Arial" w:hAnsi="Arial"/>
          <w:sz w:val="15"/>
          <w:szCs w:val="15"/>
          <w:b w:val="1"/>
          <w:bCs w:val="1"/>
          <w:i w:val="1"/>
          <w:iCs w:val="1"/>
          <w:color w:val="auto"/>
        </w:rPr>
        <w:t xml:space="preserve">Section 10.2 </w:t>
      </w:r>
      <w:r>
        <w:rPr>
          <w:rFonts w:ascii="Arial" w:cs="Arial" w:eastAsia="Arial" w:hAnsi="Arial"/>
          <w:sz w:val="15"/>
          <w:szCs w:val="15"/>
          <w:color w:val="auto"/>
        </w:rPr>
        <w:t>of the Loan Agreement is deleted in its entirety and replaced with the following:</w:t>
      </w:r>
    </w:p>
    <w:p>
      <w:pPr>
        <w:spacing w:after="0" w:line="241" w:lineRule="exact"/>
        <w:rPr>
          <w:sz w:val="20"/>
          <w:szCs w:val="20"/>
          <w:color w:val="auto"/>
        </w:rPr>
      </w:pPr>
    </w:p>
    <w:p>
      <w:pPr>
        <w:jc w:val="both"/>
        <w:ind w:left="1240" w:firstLine="616"/>
        <w:spacing w:after="0" w:line="277" w:lineRule="auto"/>
        <w:rPr>
          <w:sz w:val="20"/>
          <w:szCs w:val="20"/>
          <w:color w:val="auto"/>
        </w:rPr>
      </w:pPr>
      <w:r>
        <w:rPr>
          <w:rFonts w:ascii="Arial" w:cs="Arial" w:eastAsia="Arial" w:hAnsi="Arial"/>
          <w:sz w:val="17"/>
          <w:szCs w:val="17"/>
          <w:color w:val="auto"/>
        </w:rPr>
        <w:t xml:space="preserve">“10.2 </w:t>
      </w:r>
      <w:r>
        <w:rPr>
          <w:rFonts w:ascii="Arial" w:cs="Arial" w:eastAsia="Arial" w:hAnsi="Arial"/>
          <w:sz w:val="17"/>
          <w:szCs w:val="17"/>
          <w:u w:val="single" w:color="auto"/>
          <w:color w:val="auto"/>
        </w:rPr>
        <w:t>Total Debt to EBITDA Ratio</w:t>
      </w:r>
      <w:r>
        <w:rPr>
          <w:rFonts w:ascii="Arial" w:cs="Arial" w:eastAsia="Arial" w:hAnsi="Arial"/>
          <w:sz w:val="17"/>
          <w:szCs w:val="17"/>
          <w:color w:val="auto"/>
        </w:rPr>
        <w:t>. The Total Debt to EBITDA Ratio may not exceed the ratio set out below as of any of the following testing dates: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0" w:type="dxa"/>
            <w:vAlign w:val="bottom"/>
          </w:tcPr>
          <w:p>
            <w:pPr>
              <w:ind w:left="4320"/>
              <w:spacing w:after="0"/>
              <w:rPr>
                <w:sz w:val="20"/>
                <w:szCs w:val="20"/>
                <w:color w:val="auto"/>
              </w:rPr>
            </w:pPr>
            <w:r>
              <w:rPr>
                <w:rFonts w:ascii="Arial" w:cs="Arial" w:eastAsia="Arial" w:hAnsi="Arial"/>
                <w:sz w:val="17"/>
                <w:szCs w:val="17"/>
                <w:color w:val="auto"/>
              </w:rPr>
              <w:t>(a)</w:t>
            </w:r>
          </w:p>
        </w:tc>
        <w:tc>
          <w:tcPr>
            <w:tcW w:w="2820" w:type="dxa"/>
            <w:vAlign w:val="bottom"/>
          </w:tcPr>
          <w:p>
            <w:pPr>
              <w:ind w:left="120"/>
              <w:spacing w:after="0"/>
              <w:rPr>
                <w:sz w:val="20"/>
                <w:szCs w:val="20"/>
                <w:color w:val="auto"/>
              </w:rPr>
            </w:pPr>
            <w:r>
              <w:rPr>
                <w:rFonts w:ascii="Arial" w:cs="Arial" w:eastAsia="Arial" w:hAnsi="Arial"/>
                <w:sz w:val="17"/>
                <w:szCs w:val="17"/>
                <w:color w:val="auto"/>
              </w:rPr>
              <w:t>September 30, 2012</w:t>
            </w:r>
          </w:p>
        </w:tc>
        <w:tc>
          <w:tcPr>
            <w:tcW w:w="4000" w:type="dxa"/>
            <w:vAlign w:val="bottom"/>
          </w:tcPr>
          <w:p>
            <w:pPr>
              <w:ind w:left="1360"/>
              <w:spacing w:after="0"/>
              <w:rPr>
                <w:sz w:val="20"/>
                <w:szCs w:val="20"/>
                <w:color w:val="auto"/>
              </w:rPr>
            </w:pPr>
            <w:r>
              <w:rPr>
                <w:rFonts w:ascii="Arial" w:cs="Arial" w:eastAsia="Arial" w:hAnsi="Arial"/>
                <w:sz w:val="17"/>
                <w:szCs w:val="17"/>
                <w:color w:val="auto"/>
              </w:rPr>
              <w:t>3.75 to 1.00</w:t>
            </w:r>
          </w:p>
        </w:tc>
      </w:tr>
      <w:tr>
        <w:trPr>
          <w:trHeight w:val="462"/>
        </w:trPr>
        <w:tc>
          <w:tcPr>
            <w:tcW w:w="4600" w:type="dxa"/>
            <w:vAlign w:val="bottom"/>
          </w:tcPr>
          <w:p>
            <w:pPr>
              <w:ind w:left="4320"/>
              <w:spacing w:after="0"/>
              <w:rPr>
                <w:sz w:val="20"/>
                <w:szCs w:val="20"/>
                <w:color w:val="auto"/>
              </w:rPr>
            </w:pPr>
            <w:r>
              <w:rPr>
                <w:rFonts w:ascii="Arial" w:cs="Arial" w:eastAsia="Arial" w:hAnsi="Arial"/>
                <w:sz w:val="17"/>
                <w:szCs w:val="17"/>
                <w:color w:val="auto"/>
              </w:rPr>
              <w:t>(b)</w:t>
            </w:r>
          </w:p>
        </w:tc>
        <w:tc>
          <w:tcPr>
            <w:tcW w:w="2820" w:type="dxa"/>
            <w:vAlign w:val="bottom"/>
          </w:tcPr>
          <w:p>
            <w:pPr>
              <w:ind w:left="120"/>
              <w:spacing w:after="0"/>
              <w:rPr>
                <w:sz w:val="20"/>
                <w:szCs w:val="20"/>
                <w:color w:val="auto"/>
              </w:rPr>
            </w:pPr>
            <w:r>
              <w:rPr>
                <w:rFonts w:ascii="Arial" w:cs="Arial" w:eastAsia="Arial" w:hAnsi="Arial"/>
                <w:sz w:val="17"/>
                <w:szCs w:val="17"/>
                <w:color w:val="auto"/>
              </w:rPr>
              <w:t>December 31, 2012</w:t>
            </w:r>
          </w:p>
        </w:tc>
        <w:tc>
          <w:tcPr>
            <w:tcW w:w="4000" w:type="dxa"/>
            <w:vAlign w:val="bottom"/>
          </w:tcPr>
          <w:p>
            <w:pPr>
              <w:ind w:left="1340"/>
              <w:spacing w:after="0"/>
              <w:rPr>
                <w:sz w:val="20"/>
                <w:szCs w:val="20"/>
                <w:color w:val="auto"/>
              </w:rPr>
            </w:pPr>
            <w:r>
              <w:rPr>
                <w:rFonts w:ascii="Arial" w:cs="Arial" w:eastAsia="Arial" w:hAnsi="Arial"/>
                <w:sz w:val="17"/>
                <w:szCs w:val="17"/>
                <w:color w:val="auto"/>
              </w:rPr>
              <w:t>3.50 to 1.00</w:t>
            </w:r>
          </w:p>
        </w:tc>
      </w:tr>
      <w:tr>
        <w:trPr>
          <w:trHeight w:val="462"/>
        </w:trPr>
        <w:tc>
          <w:tcPr>
            <w:tcW w:w="4600" w:type="dxa"/>
            <w:vAlign w:val="bottom"/>
          </w:tcPr>
          <w:p>
            <w:pPr>
              <w:ind w:left="4320"/>
              <w:spacing w:after="0"/>
              <w:rPr>
                <w:sz w:val="20"/>
                <w:szCs w:val="20"/>
                <w:color w:val="auto"/>
              </w:rPr>
            </w:pPr>
            <w:r>
              <w:rPr>
                <w:rFonts w:ascii="Arial" w:cs="Arial" w:eastAsia="Arial" w:hAnsi="Arial"/>
                <w:sz w:val="17"/>
                <w:szCs w:val="17"/>
                <w:color w:val="auto"/>
              </w:rPr>
              <w:t>(c)</w:t>
            </w:r>
          </w:p>
        </w:tc>
        <w:tc>
          <w:tcPr>
            <w:tcW w:w="2820" w:type="dxa"/>
            <w:vAlign w:val="bottom"/>
          </w:tcPr>
          <w:p>
            <w:pPr>
              <w:ind w:left="120"/>
              <w:spacing w:after="0"/>
              <w:rPr>
                <w:sz w:val="20"/>
                <w:szCs w:val="20"/>
                <w:color w:val="auto"/>
              </w:rPr>
            </w:pPr>
            <w:r>
              <w:rPr>
                <w:rFonts w:ascii="Arial" w:cs="Arial" w:eastAsia="Arial" w:hAnsi="Arial"/>
                <w:sz w:val="17"/>
                <w:szCs w:val="17"/>
                <w:color w:val="auto"/>
              </w:rPr>
              <w:t>March 31, 2013</w:t>
            </w:r>
          </w:p>
        </w:tc>
        <w:tc>
          <w:tcPr>
            <w:tcW w:w="4000" w:type="dxa"/>
            <w:vAlign w:val="bottom"/>
          </w:tcPr>
          <w:p>
            <w:pPr>
              <w:ind w:left="1380"/>
              <w:spacing w:after="0"/>
              <w:rPr>
                <w:sz w:val="20"/>
                <w:szCs w:val="20"/>
                <w:color w:val="auto"/>
              </w:rPr>
            </w:pPr>
            <w:r>
              <w:rPr>
                <w:rFonts w:ascii="Arial" w:cs="Arial" w:eastAsia="Arial" w:hAnsi="Arial"/>
                <w:sz w:val="17"/>
                <w:szCs w:val="17"/>
                <w:color w:val="auto"/>
              </w:rPr>
              <w:t>4.50 to 1.00</w:t>
            </w:r>
          </w:p>
        </w:tc>
      </w:tr>
      <w:tr>
        <w:trPr>
          <w:trHeight w:val="462"/>
        </w:trPr>
        <w:tc>
          <w:tcPr>
            <w:tcW w:w="4600" w:type="dxa"/>
            <w:vAlign w:val="bottom"/>
          </w:tcPr>
          <w:p>
            <w:pPr>
              <w:ind w:left="4320"/>
              <w:spacing w:after="0"/>
              <w:rPr>
                <w:sz w:val="20"/>
                <w:szCs w:val="20"/>
                <w:color w:val="auto"/>
              </w:rPr>
            </w:pPr>
            <w:r>
              <w:rPr>
                <w:rFonts w:ascii="Arial" w:cs="Arial" w:eastAsia="Arial" w:hAnsi="Arial"/>
                <w:sz w:val="17"/>
                <w:szCs w:val="17"/>
                <w:color w:val="auto"/>
              </w:rPr>
              <w:t>(d)</w:t>
            </w:r>
          </w:p>
        </w:tc>
        <w:tc>
          <w:tcPr>
            <w:tcW w:w="2820" w:type="dxa"/>
            <w:vAlign w:val="bottom"/>
          </w:tcPr>
          <w:p>
            <w:pPr>
              <w:ind w:left="120"/>
              <w:spacing w:after="0"/>
              <w:rPr>
                <w:sz w:val="20"/>
                <w:szCs w:val="20"/>
                <w:color w:val="auto"/>
              </w:rPr>
            </w:pPr>
            <w:r>
              <w:rPr>
                <w:rFonts w:ascii="Arial" w:cs="Arial" w:eastAsia="Arial" w:hAnsi="Arial"/>
                <w:sz w:val="17"/>
                <w:szCs w:val="17"/>
                <w:color w:val="auto"/>
              </w:rPr>
              <w:t>June 30, 2013</w:t>
            </w:r>
          </w:p>
        </w:tc>
        <w:tc>
          <w:tcPr>
            <w:tcW w:w="4000" w:type="dxa"/>
            <w:vAlign w:val="bottom"/>
          </w:tcPr>
          <w:p>
            <w:pPr>
              <w:ind w:left="1380"/>
              <w:spacing w:after="0"/>
              <w:rPr>
                <w:sz w:val="20"/>
                <w:szCs w:val="20"/>
                <w:color w:val="auto"/>
              </w:rPr>
            </w:pPr>
            <w:r>
              <w:rPr>
                <w:rFonts w:ascii="Arial" w:cs="Arial" w:eastAsia="Arial" w:hAnsi="Arial"/>
                <w:sz w:val="17"/>
                <w:szCs w:val="17"/>
                <w:color w:val="auto"/>
              </w:rPr>
              <w:t>4.00 to 1.00</w:t>
            </w:r>
          </w:p>
        </w:tc>
      </w:tr>
      <w:tr>
        <w:trPr>
          <w:trHeight w:val="462"/>
        </w:trPr>
        <w:tc>
          <w:tcPr>
            <w:tcW w:w="4600" w:type="dxa"/>
            <w:vAlign w:val="bottom"/>
          </w:tcPr>
          <w:p>
            <w:pPr>
              <w:ind w:left="4320"/>
              <w:spacing w:after="0"/>
              <w:rPr>
                <w:sz w:val="20"/>
                <w:szCs w:val="20"/>
                <w:color w:val="auto"/>
              </w:rPr>
            </w:pPr>
            <w:r>
              <w:rPr>
                <w:rFonts w:ascii="Arial" w:cs="Arial" w:eastAsia="Arial" w:hAnsi="Arial"/>
                <w:sz w:val="17"/>
                <w:szCs w:val="17"/>
                <w:color w:val="auto"/>
              </w:rPr>
              <w:t>(e)</w:t>
            </w:r>
          </w:p>
        </w:tc>
        <w:tc>
          <w:tcPr>
            <w:tcW w:w="2820" w:type="dxa"/>
            <w:vAlign w:val="bottom"/>
          </w:tcPr>
          <w:p>
            <w:pPr>
              <w:ind w:left="120"/>
              <w:spacing w:after="0"/>
              <w:rPr>
                <w:sz w:val="20"/>
                <w:szCs w:val="20"/>
                <w:color w:val="auto"/>
              </w:rPr>
            </w:pPr>
            <w:r>
              <w:rPr>
                <w:rFonts w:ascii="Arial" w:cs="Arial" w:eastAsia="Arial" w:hAnsi="Arial"/>
                <w:sz w:val="17"/>
                <w:szCs w:val="17"/>
                <w:color w:val="auto"/>
              </w:rPr>
              <w:t>September 30, 2013</w:t>
            </w:r>
          </w:p>
        </w:tc>
        <w:tc>
          <w:tcPr>
            <w:tcW w:w="4000" w:type="dxa"/>
            <w:vAlign w:val="bottom"/>
          </w:tcPr>
          <w:p>
            <w:pPr>
              <w:ind w:left="1360"/>
              <w:spacing w:after="0"/>
              <w:rPr>
                <w:sz w:val="20"/>
                <w:szCs w:val="20"/>
                <w:color w:val="auto"/>
              </w:rPr>
            </w:pPr>
            <w:r>
              <w:rPr>
                <w:rFonts w:ascii="Arial" w:cs="Arial" w:eastAsia="Arial" w:hAnsi="Arial"/>
                <w:sz w:val="17"/>
                <w:szCs w:val="17"/>
                <w:color w:val="auto"/>
              </w:rPr>
              <w:t>3.50 to 1.00</w:t>
            </w:r>
          </w:p>
        </w:tc>
      </w:tr>
      <w:tr>
        <w:trPr>
          <w:trHeight w:val="462"/>
        </w:trPr>
        <w:tc>
          <w:tcPr>
            <w:tcW w:w="4600" w:type="dxa"/>
            <w:vAlign w:val="bottom"/>
          </w:tcPr>
          <w:p>
            <w:pPr>
              <w:ind w:left="4320"/>
              <w:spacing w:after="0"/>
              <w:rPr>
                <w:sz w:val="20"/>
                <w:szCs w:val="20"/>
                <w:color w:val="auto"/>
              </w:rPr>
            </w:pPr>
            <w:r>
              <w:rPr>
                <w:rFonts w:ascii="Arial" w:cs="Arial" w:eastAsia="Arial" w:hAnsi="Arial"/>
                <w:sz w:val="17"/>
                <w:szCs w:val="17"/>
                <w:color w:val="auto"/>
              </w:rPr>
              <w:t>(f)</w:t>
            </w:r>
          </w:p>
        </w:tc>
        <w:tc>
          <w:tcPr>
            <w:tcW w:w="2820" w:type="dxa"/>
            <w:vAlign w:val="bottom"/>
          </w:tcPr>
          <w:p>
            <w:pPr>
              <w:ind w:left="100"/>
              <w:spacing w:after="0"/>
              <w:rPr>
                <w:sz w:val="20"/>
                <w:szCs w:val="20"/>
                <w:color w:val="auto"/>
              </w:rPr>
            </w:pPr>
            <w:r>
              <w:rPr>
                <w:rFonts w:ascii="Arial" w:cs="Arial" w:eastAsia="Arial" w:hAnsi="Arial"/>
                <w:sz w:val="17"/>
                <w:szCs w:val="17"/>
                <w:color w:val="auto"/>
              </w:rPr>
              <w:t>December 31, 2013</w:t>
            </w:r>
          </w:p>
        </w:tc>
        <w:tc>
          <w:tcPr>
            <w:tcW w:w="4000" w:type="dxa"/>
            <w:vAlign w:val="bottom"/>
          </w:tcPr>
          <w:p>
            <w:pPr>
              <w:ind w:left="1360"/>
              <w:spacing w:after="0"/>
              <w:rPr>
                <w:sz w:val="20"/>
                <w:szCs w:val="20"/>
                <w:color w:val="auto"/>
              </w:rPr>
            </w:pPr>
            <w:r>
              <w:rPr>
                <w:rFonts w:ascii="Arial" w:cs="Arial" w:eastAsia="Arial" w:hAnsi="Arial"/>
                <w:sz w:val="17"/>
                <w:szCs w:val="17"/>
                <w:color w:val="auto"/>
              </w:rPr>
              <w:t>3.00 to 1.00</w:t>
            </w:r>
          </w:p>
        </w:tc>
      </w:tr>
      <w:tr>
        <w:trPr>
          <w:trHeight w:val="627"/>
        </w:trPr>
        <w:tc>
          <w:tcPr>
            <w:tcW w:w="4600" w:type="dxa"/>
            <w:vAlign w:val="bottom"/>
            <w:tcBorders>
              <w:bottom w:val="single" w:sz="8" w:color="808080"/>
            </w:tcBorders>
          </w:tcPr>
          <w:p>
            <w:pPr>
              <w:spacing w:after="0"/>
              <w:rPr>
                <w:sz w:val="24"/>
                <w:szCs w:val="24"/>
                <w:color w:val="auto"/>
              </w:rPr>
            </w:pPr>
          </w:p>
        </w:tc>
        <w:tc>
          <w:tcPr>
            <w:tcW w:w="2820" w:type="dxa"/>
            <w:vAlign w:val="bottom"/>
            <w:tcBorders>
              <w:bottom w:val="single" w:sz="8" w:color="808080"/>
            </w:tcBorders>
          </w:tcPr>
          <w:p>
            <w:pPr>
              <w:spacing w:after="0"/>
              <w:rPr>
                <w:sz w:val="24"/>
                <w:szCs w:val="24"/>
                <w:color w:val="auto"/>
              </w:rPr>
            </w:pPr>
          </w:p>
        </w:tc>
        <w:tc>
          <w:tcPr>
            <w:tcW w:w="40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25" w:right="239" w:bottom="1440" w:gutter="0" w:footer="0" w:header="0"/>
        </w:sectPr>
      </w:pPr>
    </w:p>
    <w:bookmarkStart w:id="58" w:name="page59"/>
    <w:bookmarkEnd w:id="58"/>
    <w:tbl>
      <w:tblPr>
        <w:tblLayout w:type="fixed"/>
        <w:tblInd w:w="4160" w:type="dxa"/>
        <w:tblCellMar>
          <w:top w:w="0" w:type="dxa"/>
          <w:left w:w="0" w:type="dxa"/>
          <w:bottom w:w="0" w:type="dxa"/>
          <w:right w:w="0" w:type="dxa"/>
        </w:tblCellMar>
      </w:tblPr>
      <w:tr>
        <w:trPr>
          <w:trHeight w:val="216"/>
        </w:trPr>
        <w:tc>
          <w:tcPr>
            <w:tcW w:w="300" w:type="dxa"/>
            <w:vAlign w:val="bottom"/>
          </w:tcPr>
          <w:p>
            <w:pPr>
              <w:spacing w:after="0"/>
              <w:rPr>
                <w:sz w:val="20"/>
                <w:szCs w:val="20"/>
                <w:color w:val="auto"/>
              </w:rPr>
            </w:pPr>
            <w:r>
              <w:rPr>
                <w:rFonts w:ascii="Arial" w:cs="Arial" w:eastAsia="Arial" w:hAnsi="Arial"/>
                <w:sz w:val="17"/>
                <w:szCs w:val="17"/>
                <w:color w:val="auto"/>
              </w:rPr>
              <w:t>(g)</w:t>
            </w:r>
          </w:p>
        </w:tc>
        <w:tc>
          <w:tcPr>
            <w:tcW w:w="3500" w:type="dxa"/>
            <w:vAlign w:val="bottom"/>
          </w:tcPr>
          <w:p>
            <w:pPr>
              <w:ind w:left="100"/>
              <w:spacing w:after="0"/>
              <w:rPr>
                <w:sz w:val="20"/>
                <w:szCs w:val="20"/>
                <w:color w:val="auto"/>
              </w:rPr>
            </w:pPr>
            <w:r>
              <w:rPr>
                <w:rFonts w:ascii="Arial" w:cs="Arial" w:eastAsia="Arial" w:hAnsi="Arial"/>
                <w:sz w:val="17"/>
                <w:szCs w:val="17"/>
                <w:color w:val="auto"/>
              </w:rPr>
              <w:t>March 31, 2014</w:t>
            </w:r>
          </w:p>
        </w:tc>
        <w:tc>
          <w:tcPr>
            <w:tcW w:w="1460" w:type="dxa"/>
            <w:vAlign w:val="bottom"/>
          </w:tcPr>
          <w:p>
            <w:pPr>
              <w:ind w:left="640"/>
              <w:spacing w:after="0"/>
              <w:rPr>
                <w:sz w:val="20"/>
                <w:szCs w:val="20"/>
                <w:color w:val="auto"/>
              </w:rPr>
            </w:pPr>
            <w:r>
              <w:rPr>
                <w:rFonts w:ascii="Arial" w:cs="Arial" w:eastAsia="Arial" w:hAnsi="Arial"/>
                <w:sz w:val="17"/>
                <w:szCs w:val="17"/>
                <w:color w:val="auto"/>
                <w:w w:val="89"/>
              </w:rPr>
              <w:t>2.75 to 1.00</w:t>
            </w:r>
          </w:p>
        </w:tc>
      </w:tr>
      <w:tr>
        <w:trPr>
          <w:trHeight w:val="462"/>
        </w:trPr>
        <w:tc>
          <w:tcPr>
            <w:tcW w:w="300" w:type="dxa"/>
            <w:vAlign w:val="bottom"/>
          </w:tcPr>
          <w:p>
            <w:pPr>
              <w:spacing w:after="0"/>
              <w:rPr>
                <w:sz w:val="20"/>
                <w:szCs w:val="20"/>
                <w:color w:val="auto"/>
              </w:rPr>
            </w:pPr>
            <w:r>
              <w:rPr>
                <w:rFonts w:ascii="Arial" w:cs="Arial" w:eastAsia="Arial" w:hAnsi="Arial"/>
                <w:sz w:val="17"/>
                <w:szCs w:val="17"/>
                <w:color w:val="auto"/>
              </w:rPr>
              <w:t>(h)</w:t>
            </w:r>
          </w:p>
        </w:tc>
        <w:tc>
          <w:tcPr>
            <w:tcW w:w="3500" w:type="dxa"/>
            <w:vAlign w:val="bottom"/>
          </w:tcPr>
          <w:p>
            <w:pPr>
              <w:ind w:left="100"/>
              <w:spacing w:after="0"/>
              <w:rPr>
                <w:sz w:val="20"/>
                <w:szCs w:val="20"/>
                <w:color w:val="auto"/>
              </w:rPr>
            </w:pPr>
            <w:r>
              <w:rPr>
                <w:rFonts w:ascii="Arial" w:cs="Arial" w:eastAsia="Arial" w:hAnsi="Arial"/>
                <w:sz w:val="17"/>
                <w:szCs w:val="17"/>
                <w:color w:val="auto"/>
              </w:rPr>
              <w:t>The last day of each fiscal quarter thereafter</w:t>
            </w:r>
          </w:p>
        </w:tc>
        <w:tc>
          <w:tcPr>
            <w:tcW w:w="1460" w:type="dxa"/>
            <w:vAlign w:val="bottom"/>
          </w:tcPr>
          <w:p>
            <w:pPr>
              <w:ind w:left="380"/>
              <w:spacing w:after="0"/>
              <w:rPr>
                <w:sz w:val="20"/>
                <w:szCs w:val="20"/>
                <w:color w:val="auto"/>
              </w:rPr>
            </w:pPr>
            <w:r>
              <w:rPr>
                <w:rFonts w:ascii="Arial" w:cs="Arial" w:eastAsia="Arial" w:hAnsi="Arial"/>
                <w:sz w:val="17"/>
                <w:szCs w:val="17"/>
                <w:color w:val="auto"/>
              </w:rPr>
              <w:t>2.75 to 1.00”</w:t>
            </w:r>
          </w:p>
        </w:tc>
      </w:tr>
    </w:tbl>
    <w:p>
      <w:pPr>
        <w:spacing w:after="0" w:line="246" w:lineRule="exact"/>
        <w:rPr>
          <w:sz w:val="20"/>
          <w:szCs w:val="20"/>
          <w:color w:val="auto"/>
        </w:rPr>
      </w:pPr>
    </w:p>
    <w:p>
      <w:pPr>
        <w:ind w:left="1700"/>
        <w:spacing w:after="0"/>
        <w:tabs>
          <w:tab w:leader="none" w:pos="2100" w:val="left"/>
        </w:tabs>
        <w:rPr>
          <w:sz w:val="20"/>
          <w:szCs w:val="20"/>
          <w:color w:val="auto"/>
        </w:rPr>
      </w:pPr>
      <w:r>
        <w:rPr>
          <w:rFonts w:ascii="Arial" w:cs="Arial" w:eastAsia="Arial" w:hAnsi="Arial"/>
          <w:sz w:val="17"/>
          <w:szCs w:val="17"/>
          <w:color w:val="auto"/>
        </w:rPr>
        <w:t>1.2</w:t>
      </w:r>
      <w:r>
        <w:rPr>
          <w:sz w:val="20"/>
          <w:szCs w:val="20"/>
          <w:color w:val="auto"/>
        </w:rPr>
        <w:tab/>
      </w:r>
      <w:r>
        <w:rPr>
          <w:rFonts w:ascii="Arial" w:cs="Arial" w:eastAsia="Arial" w:hAnsi="Arial"/>
          <w:sz w:val="15"/>
          <w:szCs w:val="15"/>
          <w:b w:val="1"/>
          <w:bCs w:val="1"/>
          <w:i w:val="1"/>
          <w:iCs w:val="1"/>
          <w:color w:val="auto"/>
        </w:rPr>
        <w:t xml:space="preserve">Section 10.3 </w:t>
      </w:r>
      <w:r>
        <w:rPr>
          <w:rFonts w:ascii="Arial" w:cs="Arial" w:eastAsia="Arial" w:hAnsi="Arial"/>
          <w:sz w:val="15"/>
          <w:szCs w:val="15"/>
          <w:color w:val="auto"/>
        </w:rPr>
        <w:t>of the Loan Agreement is deleted in its entirety and replaced with the following:</w:t>
      </w:r>
    </w:p>
    <w:p>
      <w:pPr>
        <w:spacing w:after="0" w:line="241" w:lineRule="exact"/>
        <w:rPr>
          <w:sz w:val="20"/>
          <w:szCs w:val="20"/>
          <w:color w:val="auto"/>
        </w:rPr>
      </w:pPr>
    </w:p>
    <w:p>
      <w:pPr>
        <w:ind w:left="1080" w:firstLine="616"/>
        <w:spacing w:after="0" w:line="277" w:lineRule="auto"/>
        <w:rPr>
          <w:sz w:val="20"/>
          <w:szCs w:val="20"/>
          <w:color w:val="auto"/>
        </w:rPr>
      </w:pPr>
      <w:r>
        <w:rPr>
          <w:rFonts w:ascii="Arial" w:cs="Arial" w:eastAsia="Arial" w:hAnsi="Arial"/>
          <w:sz w:val="17"/>
          <w:szCs w:val="17"/>
          <w:color w:val="auto"/>
        </w:rPr>
        <w:t xml:space="preserve">“10.3 </w:t>
      </w:r>
      <w:r>
        <w:rPr>
          <w:rFonts w:ascii="Arial" w:cs="Arial" w:eastAsia="Arial" w:hAnsi="Arial"/>
          <w:sz w:val="17"/>
          <w:szCs w:val="17"/>
          <w:u w:val="single" w:color="auto"/>
          <w:color w:val="auto"/>
        </w:rPr>
        <w:t>Senior Debt to EBITDA Ratio</w:t>
      </w:r>
      <w:r>
        <w:rPr>
          <w:rFonts w:ascii="Arial" w:cs="Arial" w:eastAsia="Arial" w:hAnsi="Arial"/>
          <w:sz w:val="17"/>
          <w:szCs w:val="17"/>
          <w:color w:val="auto"/>
        </w:rPr>
        <w:t>. The Senior Debt to EBITDA Ratio may not exceed the ratio set out below as of any of the following testing dates:</w:t>
      </w:r>
    </w:p>
    <w:p>
      <w:pPr>
        <w:spacing w:after="0" w:line="216" w:lineRule="exact"/>
        <w:rPr>
          <w:sz w:val="20"/>
          <w:szCs w:val="20"/>
          <w:color w:val="auto"/>
        </w:rPr>
      </w:pPr>
    </w:p>
    <w:tbl>
      <w:tblPr>
        <w:tblLayout w:type="fixed"/>
        <w:tblInd w:w="4160" w:type="dxa"/>
        <w:tblCellMar>
          <w:top w:w="0" w:type="dxa"/>
          <w:left w:w="0" w:type="dxa"/>
          <w:bottom w:w="0" w:type="dxa"/>
          <w:right w:w="0" w:type="dxa"/>
        </w:tblCellMar>
      </w:tblPr>
      <w:tr>
        <w:trPr>
          <w:trHeight w:val="216"/>
        </w:trPr>
        <w:tc>
          <w:tcPr>
            <w:tcW w:w="280" w:type="dxa"/>
            <w:vAlign w:val="bottom"/>
          </w:tcPr>
          <w:p>
            <w:pPr>
              <w:spacing w:after="0"/>
              <w:rPr>
                <w:sz w:val="20"/>
                <w:szCs w:val="20"/>
                <w:color w:val="auto"/>
              </w:rPr>
            </w:pPr>
            <w:r>
              <w:rPr>
                <w:rFonts w:ascii="Arial" w:cs="Arial" w:eastAsia="Arial" w:hAnsi="Arial"/>
                <w:sz w:val="17"/>
                <w:szCs w:val="17"/>
                <w:color w:val="auto"/>
              </w:rPr>
              <w:t>(a)</w:t>
            </w:r>
          </w:p>
        </w:tc>
        <w:tc>
          <w:tcPr>
            <w:tcW w:w="3520" w:type="dxa"/>
            <w:vAlign w:val="bottom"/>
          </w:tcPr>
          <w:p>
            <w:pPr>
              <w:ind w:left="120"/>
              <w:spacing w:after="0"/>
              <w:rPr>
                <w:sz w:val="20"/>
                <w:szCs w:val="20"/>
                <w:color w:val="auto"/>
              </w:rPr>
            </w:pPr>
            <w:r>
              <w:rPr>
                <w:rFonts w:ascii="Arial" w:cs="Arial" w:eastAsia="Arial" w:hAnsi="Arial"/>
                <w:sz w:val="17"/>
                <w:szCs w:val="17"/>
                <w:color w:val="auto"/>
              </w:rPr>
              <w:t>September 30, 2012</w:t>
            </w:r>
          </w:p>
        </w:tc>
        <w:tc>
          <w:tcPr>
            <w:tcW w:w="1520" w:type="dxa"/>
            <w:vAlign w:val="bottom"/>
          </w:tcPr>
          <w:p>
            <w:pPr>
              <w:ind w:left="700"/>
              <w:spacing w:after="0"/>
              <w:rPr>
                <w:sz w:val="20"/>
                <w:szCs w:val="20"/>
                <w:color w:val="auto"/>
              </w:rPr>
            </w:pPr>
            <w:r>
              <w:rPr>
                <w:rFonts w:ascii="Arial" w:cs="Arial" w:eastAsia="Arial" w:hAnsi="Arial"/>
                <w:sz w:val="17"/>
                <w:szCs w:val="17"/>
                <w:color w:val="auto"/>
                <w:w w:val="89"/>
              </w:rPr>
              <w:t>2.75 to 1.00</w:t>
            </w:r>
          </w:p>
        </w:tc>
      </w:tr>
      <w:tr>
        <w:trPr>
          <w:trHeight w:val="462"/>
        </w:trPr>
        <w:tc>
          <w:tcPr>
            <w:tcW w:w="280" w:type="dxa"/>
            <w:vAlign w:val="bottom"/>
          </w:tcPr>
          <w:p>
            <w:pPr>
              <w:spacing w:after="0"/>
              <w:rPr>
                <w:sz w:val="20"/>
                <w:szCs w:val="20"/>
                <w:color w:val="auto"/>
              </w:rPr>
            </w:pPr>
            <w:r>
              <w:rPr>
                <w:rFonts w:ascii="Arial" w:cs="Arial" w:eastAsia="Arial" w:hAnsi="Arial"/>
                <w:sz w:val="17"/>
                <w:szCs w:val="17"/>
                <w:color w:val="auto"/>
              </w:rPr>
              <w:t>(b)</w:t>
            </w:r>
          </w:p>
        </w:tc>
        <w:tc>
          <w:tcPr>
            <w:tcW w:w="3520" w:type="dxa"/>
            <w:vAlign w:val="bottom"/>
          </w:tcPr>
          <w:p>
            <w:pPr>
              <w:ind w:left="120"/>
              <w:spacing w:after="0"/>
              <w:rPr>
                <w:sz w:val="20"/>
                <w:szCs w:val="20"/>
                <w:color w:val="auto"/>
              </w:rPr>
            </w:pPr>
            <w:r>
              <w:rPr>
                <w:rFonts w:ascii="Arial" w:cs="Arial" w:eastAsia="Arial" w:hAnsi="Arial"/>
                <w:sz w:val="17"/>
                <w:szCs w:val="17"/>
                <w:color w:val="auto"/>
              </w:rPr>
              <w:t>December 31, 2012</w:t>
            </w:r>
          </w:p>
        </w:tc>
        <w:tc>
          <w:tcPr>
            <w:tcW w:w="1520" w:type="dxa"/>
            <w:vAlign w:val="bottom"/>
          </w:tcPr>
          <w:p>
            <w:pPr>
              <w:ind w:left="680"/>
              <w:spacing w:after="0"/>
              <w:rPr>
                <w:sz w:val="20"/>
                <w:szCs w:val="20"/>
                <w:color w:val="auto"/>
              </w:rPr>
            </w:pPr>
            <w:r>
              <w:rPr>
                <w:rFonts w:ascii="Arial" w:cs="Arial" w:eastAsia="Arial" w:hAnsi="Arial"/>
                <w:sz w:val="17"/>
                <w:szCs w:val="17"/>
                <w:color w:val="auto"/>
                <w:w w:val="91"/>
              </w:rPr>
              <w:t>2.66 to 1.00</w:t>
            </w:r>
          </w:p>
        </w:tc>
      </w:tr>
      <w:tr>
        <w:trPr>
          <w:trHeight w:val="462"/>
        </w:trPr>
        <w:tc>
          <w:tcPr>
            <w:tcW w:w="280" w:type="dxa"/>
            <w:vAlign w:val="bottom"/>
          </w:tcPr>
          <w:p>
            <w:pPr>
              <w:spacing w:after="0"/>
              <w:rPr>
                <w:sz w:val="20"/>
                <w:szCs w:val="20"/>
                <w:color w:val="auto"/>
              </w:rPr>
            </w:pPr>
            <w:r>
              <w:rPr>
                <w:rFonts w:ascii="Arial" w:cs="Arial" w:eastAsia="Arial" w:hAnsi="Arial"/>
                <w:sz w:val="17"/>
                <w:szCs w:val="17"/>
                <w:color w:val="auto"/>
              </w:rPr>
              <w:t>(c)</w:t>
            </w:r>
          </w:p>
        </w:tc>
        <w:tc>
          <w:tcPr>
            <w:tcW w:w="3520" w:type="dxa"/>
            <w:vAlign w:val="bottom"/>
          </w:tcPr>
          <w:p>
            <w:pPr>
              <w:ind w:left="120"/>
              <w:spacing w:after="0"/>
              <w:rPr>
                <w:sz w:val="20"/>
                <w:szCs w:val="20"/>
                <w:color w:val="auto"/>
              </w:rPr>
            </w:pPr>
            <w:r>
              <w:rPr>
                <w:rFonts w:ascii="Arial" w:cs="Arial" w:eastAsia="Arial" w:hAnsi="Arial"/>
                <w:sz w:val="17"/>
                <w:szCs w:val="17"/>
                <w:color w:val="auto"/>
              </w:rPr>
              <w:t>March 31, 2013</w:t>
            </w:r>
          </w:p>
        </w:tc>
        <w:tc>
          <w:tcPr>
            <w:tcW w:w="1520" w:type="dxa"/>
            <w:vAlign w:val="bottom"/>
          </w:tcPr>
          <w:p>
            <w:pPr>
              <w:ind w:left="680"/>
              <w:spacing w:after="0"/>
              <w:rPr>
                <w:sz w:val="20"/>
                <w:szCs w:val="20"/>
                <w:color w:val="auto"/>
              </w:rPr>
            </w:pPr>
            <w:r>
              <w:rPr>
                <w:rFonts w:ascii="Arial" w:cs="Arial" w:eastAsia="Arial" w:hAnsi="Arial"/>
                <w:sz w:val="17"/>
                <w:szCs w:val="17"/>
                <w:color w:val="auto"/>
                <w:w w:val="91"/>
              </w:rPr>
              <w:t>3.25 to 1.00</w:t>
            </w:r>
          </w:p>
        </w:tc>
      </w:tr>
      <w:tr>
        <w:trPr>
          <w:trHeight w:val="462"/>
        </w:trPr>
        <w:tc>
          <w:tcPr>
            <w:tcW w:w="280" w:type="dxa"/>
            <w:vAlign w:val="bottom"/>
          </w:tcPr>
          <w:p>
            <w:pPr>
              <w:spacing w:after="0"/>
              <w:rPr>
                <w:sz w:val="20"/>
                <w:szCs w:val="20"/>
                <w:color w:val="auto"/>
              </w:rPr>
            </w:pPr>
            <w:r>
              <w:rPr>
                <w:rFonts w:ascii="Arial" w:cs="Arial" w:eastAsia="Arial" w:hAnsi="Arial"/>
                <w:sz w:val="17"/>
                <w:szCs w:val="17"/>
                <w:color w:val="auto"/>
              </w:rPr>
              <w:t>(d)</w:t>
            </w:r>
          </w:p>
        </w:tc>
        <w:tc>
          <w:tcPr>
            <w:tcW w:w="3520" w:type="dxa"/>
            <w:vAlign w:val="bottom"/>
          </w:tcPr>
          <w:p>
            <w:pPr>
              <w:ind w:left="120"/>
              <w:spacing w:after="0"/>
              <w:rPr>
                <w:sz w:val="20"/>
                <w:szCs w:val="20"/>
                <w:color w:val="auto"/>
              </w:rPr>
            </w:pPr>
            <w:r>
              <w:rPr>
                <w:rFonts w:ascii="Arial" w:cs="Arial" w:eastAsia="Arial" w:hAnsi="Arial"/>
                <w:sz w:val="17"/>
                <w:szCs w:val="17"/>
                <w:color w:val="auto"/>
              </w:rPr>
              <w:t>June 30, 2013</w:t>
            </w:r>
          </w:p>
        </w:tc>
        <w:tc>
          <w:tcPr>
            <w:tcW w:w="1520" w:type="dxa"/>
            <w:vAlign w:val="bottom"/>
          </w:tcPr>
          <w:p>
            <w:pPr>
              <w:ind w:left="680"/>
              <w:spacing w:after="0"/>
              <w:rPr>
                <w:sz w:val="20"/>
                <w:szCs w:val="20"/>
                <w:color w:val="auto"/>
              </w:rPr>
            </w:pPr>
            <w:r>
              <w:rPr>
                <w:rFonts w:ascii="Arial" w:cs="Arial" w:eastAsia="Arial" w:hAnsi="Arial"/>
                <w:sz w:val="17"/>
                <w:szCs w:val="17"/>
                <w:color w:val="auto"/>
                <w:w w:val="91"/>
              </w:rPr>
              <w:t>2.75 to 1.00</w:t>
            </w:r>
          </w:p>
        </w:tc>
      </w:tr>
      <w:tr>
        <w:trPr>
          <w:trHeight w:val="462"/>
        </w:trPr>
        <w:tc>
          <w:tcPr>
            <w:tcW w:w="280" w:type="dxa"/>
            <w:vAlign w:val="bottom"/>
          </w:tcPr>
          <w:p>
            <w:pPr>
              <w:spacing w:after="0"/>
              <w:rPr>
                <w:sz w:val="20"/>
                <w:szCs w:val="20"/>
                <w:color w:val="auto"/>
              </w:rPr>
            </w:pPr>
            <w:r>
              <w:rPr>
                <w:rFonts w:ascii="Arial" w:cs="Arial" w:eastAsia="Arial" w:hAnsi="Arial"/>
                <w:sz w:val="17"/>
                <w:szCs w:val="17"/>
                <w:color w:val="auto"/>
              </w:rPr>
              <w:t>(e)</w:t>
            </w:r>
          </w:p>
        </w:tc>
        <w:tc>
          <w:tcPr>
            <w:tcW w:w="3520" w:type="dxa"/>
            <w:vAlign w:val="bottom"/>
          </w:tcPr>
          <w:p>
            <w:pPr>
              <w:ind w:left="120"/>
              <w:spacing w:after="0"/>
              <w:rPr>
                <w:sz w:val="20"/>
                <w:szCs w:val="20"/>
                <w:color w:val="auto"/>
              </w:rPr>
            </w:pPr>
            <w:r>
              <w:rPr>
                <w:rFonts w:ascii="Arial" w:cs="Arial" w:eastAsia="Arial" w:hAnsi="Arial"/>
                <w:sz w:val="17"/>
                <w:szCs w:val="17"/>
                <w:color w:val="auto"/>
              </w:rPr>
              <w:t>September 30, 2013</w:t>
            </w:r>
          </w:p>
        </w:tc>
        <w:tc>
          <w:tcPr>
            <w:tcW w:w="1520" w:type="dxa"/>
            <w:vAlign w:val="bottom"/>
          </w:tcPr>
          <w:p>
            <w:pPr>
              <w:ind w:left="660"/>
              <w:spacing w:after="0"/>
              <w:rPr>
                <w:sz w:val="20"/>
                <w:szCs w:val="20"/>
                <w:color w:val="auto"/>
              </w:rPr>
            </w:pPr>
            <w:r>
              <w:rPr>
                <w:rFonts w:ascii="Arial" w:cs="Arial" w:eastAsia="Arial" w:hAnsi="Arial"/>
                <w:sz w:val="17"/>
                <w:szCs w:val="17"/>
                <w:color w:val="auto"/>
                <w:w w:val="93"/>
              </w:rPr>
              <w:t>2.50 to 1.00</w:t>
            </w:r>
          </w:p>
        </w:tc>
      </w:tr>
      <w:tr>
        <w:trPr>
          <w:trHeight w:val="462"/>
        </w:trPr>
        <w:tc>
          <w:tcPr>
            <w:tcW w:w="280" w:type="dxa"/>
            <w:vAlign w:val="bottom"/>
          </w:tcPr>
          <w:p>
            <w:pPr>
              <w:spacing w:after="0"/>
              <w:rPr>
                <w:sz w:val="20"/>
                <w:szCs w:val="20"/>
                <w:color w:val="auto"/>
              </w:rPr>
            </w:pPr>
            <w:r>
              <w:rPr>
                <w:rFonts w:ascii="Arial" w:cs="Arial" w:eastAsia="Arial" w:hAnsi="Arial"/>
                <w:sz w:val="17"/>
                <w:szCs w:val="17"/>
                <w:color w:val="auto"/>
              </w:rPr>
              <w:t>(f)</w:t>
            </w:r>
          </w:p>
        </w:tc>
        <w:tc>
          <w:tcPr>
            <w:tcW w:w="3520" w:type="dxa"/>
            <w:vAlign w:val="bottom"/>
          </w:tcPr>
          <w:p>
            <w:pPr>
              <w:ind w:left="100"/>
              <w:spacing w:after="0"/>
              <w:rPr>
                <w:sz w:val="20"/>
                <w:szCs w:val="20"/>
                <w:color w:val="auto"/>
              </w:rPr>
            </w:pPr>
            <w:r>
              <w:rPr>
                <w:rFonts w:ascii="Arial" w:cs="Arial" w:eastAsia="Arial" w:hAnsi="Arial"/>
                <w:sz w:val="17"/>
                <w:szCs w:val="17"/>
                <w:color w:val="auto"/>
              </w:rPr>
              <w:t>December 31, 2013</w:t>
            </w:r>
          </w:p>
        </w:tc>
        <w:tc>
          <w:tcPr>
            <w:tcW w:w="1520" w:type="dxa"/>
            <w:vAlign w:val="bottom"/>
          </w:tcPr>
          <w:p>
            <w:pPr>
              <w:ind w:left="700"/>
              <w:spacing w:after="0"/>
              <w:rPr>
                <w:sz w:val="20"/>
                <w:szCs w:val="20"/>
                <w:color w:val="auto"/>
              </w:rPr>
            </w:pPr>
            <w:r>
              <w:rPr>
                <w:rFonts w:ascii="Arial" w:cs="Arial" w:eastAsia="Arial" w:hAnsi="Arial"/>
                <w:sz w:val="17"/>
                <w:szCs w:val="17"/>
                <w:color w:val="auto"/>
                <w:w w:val="89"/>
              </w:rPr>
              <w:t>2.25 to 1.00</w:t>
            </w:r>
          </w:p>
        </w:tc>
      </w:tr>
      <w:tr>
        <w:trPr>
          <w:trHeight w:val="462"/>
        </w:trPr>
        <w:tc>
          <w:tcPr>
            <w:tcW w:w="280" w:type="dxa"/>
            <w:vAlign w:val="bottom"/>
          </w:tcPr>
          <w:p>
            <w:pPr>
              <w:spacing w:after="0"/>
              <w:rPr>
                <w:sz w:val="20"/>
                <w:szCs w:val="20"/>
                <w:color w:val="auto"/>
              </w:rPr>
            </w:pPr>
            <w:r>
              <w:rPr>
                <w:rFonts w:ascii="Arial" w:cs="Arial" w:eastAsia="Arial" w:hAnsi="Arial"/>
                <w:sz w:val="17"/>
                <w:szCs w:val="17"/>
                <w:color w:val="auto"/>
              </w:rPr>
              <w:t>(g)</w:t>
            </w:r>
          </w:p>
        </w:tc>
        <w:tc>
          <w:tcPr>
            <w:tcW w:w="3520" w:type="dxa"/>
            <w:vAlign w:val="bottom"/>
          </w:tcPr>
          <w:p>
            <w:pPr>
              <w:ind w:left="120"/>
              <w:spacing w:after="0"/>
              <w:rPr>
                <w:sz w:val="20"/>
                <w:szCs w:val="20"/>
                <w:color w:val="auto"/>
              </w:rPr>
            </w:pPr>
            <w:r>
              <w:rPr>
                <w:rFonts w:ascii="Arial" w:cs="Arial" w:eastAsia="Arial" w:hAnsi="Arial"/>
                <w:sz w:val="17"/>
                <w:szCs w:val="17"/>
                <w:color w:val="auto"/>
              </w:rPr>
              <w:t>March 31, 2014</w:t>
            </w:r>
          </w:p>
        </w:tc>
        <w:tc>
          <w:tcPr>
            <w:tcW w:w="1520" w:type="dxa"/>
            <w:vAlign w:val="bottom"/>
          </w:tcPr>
          <w:p>
            <w:pPr>
              <w:ind w:left="680"/>
              <w:spacing w:after="0"/>
              <w:rPr>
                <w:sz w:val="20"/>
                <w:szCs w:val="20"/>
                <w:color w:val="auto"/>
              </w:rPr>
            </w:pPr>
            <w:r>
              <w:rPr>
                <w:rFonts w:ascii="Arial" w:cs="Arial" w:eastAsia="Arial" w:hAnsi="Arial"/>
                <w:sz w:val="17"/>
                <w:szCs w:val="17"/>
                <w:color w:val="auto"/>
                <w:w w:val="91"/>
              </w:rPr>
              <w:t>2.00 to 1.00</w:t>
            </w:r>
          </w:p>
        </w:tc>
      </w:tr>
      <w:tr>
        <w:trPr>
          <w:trHeight w:val="462"/>
        </w:trPr>
        <w:tc>
          <w:tcPr>
            <w:tcW w:w="280" w:type="dxa"/>
            <w:vAlign w:val="bottom"/>
          </w:tcPr>
          <w:p>
            <w:pPr>
              <w:spacing w:after="0"/>
              <w:rPr>
                <w:sz w:val="20"/>
                <w:szCs w:val="20"/>
                <w:color w:val="auto"/>
              </w:rPr>
            </w:pPr>
            <w:r>
              <w:rPr>
                <w:rFonts w:ascii="Arial" w:cs="Arial" w:eastAsia="Arial" w:hAnsi="Arial"/>
                <w:sz w:val="17"/>
                <w:szCs w:val="17"/>
                <w:color w:val="auto"/>
              </w:rPr>
              <w:t>(h)</w:t>
            </w:r>
          </w:p>
        </w:tc>
        <w:tc>
          <w:tcPr>
            <w:tcW w:w="3520" w:type="dxa"/>
            <w:vAlign w:val="bottom"/>
          </w:tcPr>
          <w:p>
            <w:pPr>
              <w:ind w:left="120"/>
              <w:spacing w:after="0"/>
              <w:rPr>
                <w:sz w:val="20"/>
                <w:szCs w:val="20"/>
                <w:color w:val="auto"/>
              </w:rPr>
            </w:pPr>
            <w:r>
              <w:rPr>
                <w:rFonts w:ascii="Arial" w:cs="Arial" w:eastAsia="Arial" w:hAnsi="Arial"/>
                <w:sz w:val="17"/>
                <w:szCs w:val="17"/>
                <w:color w:val="auto"/>
              </w:rPr>
              <w:t>June 30, 2014</w:t>
            </w:r>
          </w:p>
        </w:tc>
        <w:tc>
          <w:tcPr>
            <w:tcW w:w="1520" w:type="dxa"/>
            <w:vAlign w:val="bottom"/>
          </w:tcPr>
          <w:p>
            <w:pPr>
              <w:ind w:left="680"/>
              <w:spacing w:after="0"/>
              <w:rPr>
                <w:sz w:val="20"/>
                <w:szCs w:val="20"/>
                <w:color w:val="auto"/>
              </w:rPr>
            </w:pPr>
            <w:r>
              <w:rPr>
                <w:rFonts w:ascii="Arial" w:cs="Arial" w:eastAsia="Arial" w:hAnsi="Arial"/>
                <w:sz w:val="17"/>
                <w:szCs w:val="17"/>
                <w:color w:val="auto"/>
                <w:w w:val="91"/>
              </w:rPr>
              <w:t>2.00 to 1.00</w:t>
            </w:r>
          </w:p>
        </w:tc>
      </w:tr>
      <w:tr>
        <w:trPr>
          <w:trHeight w:val="462"/>
        </w:trPr>
        <w:tc>
          <w:tcPr>
            <w:tcW w:w="280" w:type="dxa"/>
            <w:vAlign w:val="bottom"/>
          </w:tcPr>
          <w:p>
            <w:pPr>
              <w:spacing w:after="0"/>
              <w:rPr>
                <w:sz w:val="20"/>
                <w:szCs w:val="20"/>
                <w:color w:val="auto"/>
              </w:rPr>
            </w:pPr>
            <w:r>
              <w:rPr>
                <w:rFonts w:ascii="Arial" w:cs="Arial" w:eastAsia="Arial" w:hAnsi="Arial"/>
                <w:sz w:val="17"/>
                <w:szCs w:val="17"/>
                <w:color w:val="auto"/>
              </w:rPr>
              <w:t>(i)</w:t>
            </w:r>
          </w:p>
        </w:tc>
        <w:tc>
          <w:tcPr>
            <w:tcW w:w="3520" w:type="dxa"/>
            <w:vAlign w:val="bottom"/>
          </w:tcPr>
          <w:p>
            <w:pPr>
              <w:ind w:left="80"/>
              <w:spacing w:after="0"/>
              <w:rPr>
                <w:sz w:val="20"/>
                <w:szCs w:val="20"/>
                <w:color w:val="auto"/>
              </w:rPr>
            </w:pPr>
            <w:r>
              <w:rPr>
                <w:rFonts w:ascii="Arial" w:cs="Arial" w:eastAsia="Arial" w:hAnsi="Arial"/>
                <w:sz w:val="17"/>
                <w:szCs w:val="17"/>
                <w:color w:val="auto"/>
              </w:rPr>
              <w:t>September 30, 2014</w:t>
            </w:r>
          </w:p>
        </w:tc>
        <w:tc>
          <w:tcPr>
            <w:tcW w:w="1520" w:type="dxa"/>
            <w:vAlign w:val="bottom"/>
          </w:tcPr>
          <w:p>
            <w:pPr>
              <w:ind w:left="680"/>
              <w:spacing w:after="0"/>
              <w:rPr>
                <w:sz w:val="20"/>
                <w:szCs w:val="20"/>
                <w:color w:val="auto"/>
              </w:rPr>
            </w:pPr>
            <w:r>
              <w:rPr>
                <w:rFonts w:ascii="Arial" w:cs="Arial" w:eastAsia="Arial" w:hAnsi="Arial"/>
                <w:sz w:val="17"/>
                <w:szCs w:val="17"/>
                <w:color w:val="auto"/>
                <w:w w:val="91"/>
              </w:rPr>
              <w:t>1.75 to 1.00</w:t>
            </w:r>
          </w:p>
        </w:tc>
      </w:tr>
      <w:tr>
        <w:trPr>
          <w:trHeight w:val="462"/>
        </w:trPr>
        <w:tc>
          <w:tcPr>
            <w:tcW w:w="280" w:type="dxa"/>
            <w:vAlign w:val="bottom"/>
          </w:tcPr>
          <w:p>
            <w:pPr>
              <w:spacing w:after="0"/>
              <w:rPr>
                <w:sz w:val="20"/>
                <w:szCs w:val="20"/>
                <w:color w:val="auto"/>
              </w:rPr>
            </w:pPr>
            <w:r>
              <w:rPr>
                <w:rFonts w:ascii="Arial" w:cs="Arial" w:eastAsia="Arial" w:hAnsi="Arial"/>
                <w:sz w:val="17"/>
                <w:szCs w:val="17"/>
                <w:color w:val="auto"/>
              </w:rPr>
              <w:t>(j)</w:t>
            </w:r>
          </w:p>
        </w:tc>
        <w:tc>
          <w:tcPr>
            <w:tcW w:w="3520" w:type="dxa"/>
            <w:vAlign w:val="bottom"/>
          </w:tcPr>
          <w:p>
            <w:pPr>
              <w:ind w:left="80"/>
              <w:spacing w:after="0"/>
              <w:rPr>
                <w:sz w:val="20"/>
                <w:szCs w:val="20"/>
                <w:color w:val="auto"/>
              </w:rPr>
            </w:pPr>
            <w:r>
              <w:rPr>
                <w:rFonts w:ascii="Arial" w:cs="Arial" w:eastAsia="Arial" w:hAnsi="Arial"/>
                <w:sz w:val="17"/>
                <w:szCs w:val="17"/>
                <w:color w:val="auto"/>
              </w:rPr>
              <w:t>December 31, 2014</w:t>
            </w:r>
          </w:p>
        </w:tc>
        <w:tc>
          <w:tcPr>
            <w:tcW w:w="1520" w:type="dxa"/>
            <w:vAlign w:val="bottom"/>
          </w:tcPr>
          <w:p>
            <w:pPr>
              <w:ind w:left="640"/>
              <w:spacing w:after="0"/>
              <w:rPr>
                <w:sz w:val="20"/>
                <w:szCs w:val="20"/>
                <w:color w:val="auto"/>
              </w:rPr>
            </w:pPr>
            <w:r>
              <w:rPr>
                <w:rFonts w:ascii="Arial" w:cs="Arial" w:eastAsia="Arial" w:hAnsi="Arial"/>
                <w:sz w:val="17"/>
                <w:szCs w:val="17"/>
                <w:color w:val="auto"/>
                <w:w w:val="95"/>
              </w:rPr>
              <w:t>1.75 to 1.00</w:t>
            </w:r>
          </w:p>
        </w:tc>
      </w:tr>
      <w:tr>
        <w:trPr>
          <w:trHeight w:val="462"/>
        </w:trPr>
        <w:tc>
          <w:tcPr>
            <w:tcW w:w="3800" w:type="dxa"/>
            <w:vAlign w:val="bottom"/>
            <w:gridSpan w:val="2"/>
          </w:tcPr>
          <w:p>
            <w:pPr>
              <w:spacing w:after="0"/>
              <w:rPr>
                <w:sz w:val="20"/>
                <w:szCs w:val="20"/>
                <w:color w:val="auto"/>
              </w:rPr>
            </w:pPr>
            <w:r>
              <w:rPr>
                <w:rFonts w:ascii="Arial" w:cs="Arial" w:eastAsia="Arial" w:hAnsi="Arial"/>
                <w:sz w:val="17"/>
                <w:szCs w:val="17"/>
                <w:color w:val="auto"/>
              </w:rPr>
              <w:t>(k)   The last day of each fiscal quarter thereafter</w:t>
            </w:r>
          </w:p>
        </w:tc>
        <w:tc>
          <w:tcPr>
            <w:tcW w:w="1520" w:type="dxa"/>
            <w:vAlign w:val="bottom"/>
          </w:tcPr>
          <w:p>
            <w:pPr>
              <w:ind w:left="380"/>
              <w:spacing w:after="0"/>
              <w:rPr>
                <w:sz w:val="20"/>
                <w:szCs w:val="20"/>
                <w:color w:val="auto"/>
              </w:rPr>
            </w:pPr>
            <w:r>
              <w:rPr>
                <w:rFonts w:ascii="Arial" w:cs="Arial" w:eastAsia="Arial" w:hAnsi="Arial"/>
                <w:sz w:val="17"/>
                <w:szCs w:val="17"/>
                <w:color w:val="auto"/>
              </w:rPr>
              <w:t>1.75 to 1.00”</w:t>
            </w:r>
          </w:p>
        </w:tc>
      </w:tr>
    </w:tbl>
    <w:p>
      <w:pPr>
        <w:spacing w:after="0" w:line="246" w:lineRule="exact"/>
        <w:rPr>
          <w:sz w:val="20"/>
          <w:szCs w:val="20"/>
          <w:color w:val="auto"/>
        </w:rPr>
      </w:pPr>
    </w:p>
    <w:p>
      <w:pPr>
        <w:jc w:val="both"/>
        <w:ind w:firstLine="616"/>
        <w:spacing w:after="0" w:line="257" w:lineRule="auto"/>
        <w:rPr>
          <w:sz w:val="20"/>
          <w:szCs w:val="20"/>
          <w:color w:val="auto"/>
        </w:rPr>
      </w:pPr>
      <w:r>
        <w:rPr>
          <w:rFonts w:ascii="Arial" w:cs="Arial" w:eastAsia="Arial" w:hAnsi="Arial"/>
          <w:sz w:val="17"/>
          <w:szCs w:val="17"/>
          <w:color w:val="auto"/>
        </w:rPr>
        <w:t xml:space="preserve">Section 2. </w:t>
      </w:r>
      <w:r>
        <w:rPr>
          <w:rFonts w:ascii="Arial" w:cs="Arial" w:eastAsia="Arial" w:hAnsi="Arial"/>
          <w:sz w:val="17"/>
          <w:szCs w:val="17"/>
          <w:u w:val="single" w:color="auto"/>
          <w:color w:val="auto"/>
        </w:rPr>
        <w:t>Potential Acquisition</w:t>
      </w:r>
      <w:r>
        <w:rPr>
          <w:rFonts w:ascii="Arial" w:cs="Arial" w:eastAsia="Arial" w:hAnsi="Arial"/>
          <w:sz w:val="17"/>
          <w:szCs w:val="17"/>
          <w:color w:val="auto"/>
        </w:rPr>
        <w:t>. Borrowers have informed Lenders and Agent that Borrowers are contemplating an acquisition of a third-party company (the “</w:t>
      </w:r>
      <w:r>
        <w:rPr>
          <w:rFonts w:ascii="Arial" w:cs="Arial" w:eastAsia="Arial" w:hAnsi="Arial"/>
          <w:sz w:val="17"/>
          <w:szCs w:val="17"/>
          <w:b w:val="1"/>
          <w:bCs w:val="1"/>
          <w:i w:val="1"/>
          <w:iCs w:val="1"/>
          <w:color w:val="auto"/>
        </w:rPr>
        <w:t>Potential Acquisition</w:t>
      </w:r>
      <w:r>
        <w:rPr>
          <w:rFonts w:ascii="Arial" w:cs="Arial" w:eastAsia="Arial" w:hAnsi="Arial"/>
          <w:sz w:val="17"/>
          <w:szCs w:val="17"/>
          <w:color w:val="auto"/>
        </w:rPr>
        <w:t xml:space="preserve">”). Lenders and Agent agree to evaluate any request by Borrowers that Lenders and Agent approve the Potential Acquisition and increase the Term Loan to fund the Potential Acquisition; </w:t>
      </w:r>
      <w:r>
        <w:rPr>
          <w:rFonts w:ascii="Arial" w:cs="Arial" w:eastAsia="Arial" w:hAnsi="Arial"/>
          <w:sz w:val="17"/>
          <w:szCs w:val="17"/>
          <w:i w:val="1"/>
          <w:iCs w:val="1"/>
          <w:color w:val="auto"/>
        </w:rPr>
        <w:t>provided, that</w:t>
      </w:r>
      <w:r>
        <w:rPr>
          <w:rFonts w:ascii="Arial" w:cs="Arial" w:eastAsia="Arial" w:hAnsi="Arial"/>
          <w:sz w:val="17"/>
          <w:szCs w:val="17"/>
          <w:color w:val="auto"/>
        </w:rPr>
        <w:t>, for the avoidance of doubt, Lenders reserve the right to decide in their sole and absolute discretion whether Lenders will approve the Potential Acquisition and increase the Term Loan to fund the Potential Acquisition (and if so on what terms), and nothing contained in this First Amendment shall be construed as an agreement or commitment by any Lender or by Agent to approve the Potential Acquisition or any such increase in the Term Loan.</w:t>
      </w:r>
    </w:p>
    <w:p>
      <w:pPr>
        <w:spacing w:after="0" w:line="233" w:lineRule="exact"/>
        <w:rPr>
          <w:sz w:val="20"/>
          <w:szCs w:val="20"/>
          <w:color w:val="auto"/>
        </w:rPr>
      </w:pPr>
    </w:p>
    <w:p>
      <w:pPr>
        <w:jc w:val="both"/>
        <w:ind w:firstLine="616"/>
        <w:spacing w:after="0" w:line="346" w:lineRule="auto"/>
        <w:rPr>
          <w:sz w:val="20"/>
          <w:szCs w:val="20"/>
          <w:color w:val="auto"/>
        </w:rPr>
      </w:pPr>
      <w:r>
        <w:rPr>
          <w:rFonts w:ascii="Arial" w:cs="Arial" w:eastAsia="Arial" w:hAnsi="Arial"/>
          <w:sz w:val="15"/>
          <w:szCs w:val="15"/>
          <w:color w:val="auto"/>
        </w:rPr>
        <w:t xml:space="preserve">Section 3. </w:t>
      </w:r>
      <w:r>
        <w:rPr>
          <w:rFonts w:ascii="Arial" w:cs="Arial" w:eastAsia="Arial" w:hAnsi="Arial"/>
          <w:sz w:val="15"/>
          <w:szCs w:val="15"/>
          <w:u w:val="single" w:color="auto"/>
          <w:color w:val="auto"/>
        </w:rPr>
        <w:t>Fees and Expenses</w:t>
      </w:r>
      <w:r>
        <w:rPr>
          <w:rFonts w:ascii="Arial" w:cs="Arial" w:eastAsia="Arial" w:hAnsi="Arial"/>
          <w:sz w:val="15"/>
          <w:szCs w:val="15"/>
          <w:color w:val="auto"/>
        </w:rPr>
        <w:t>. Concurrently with the execution and delivery of this First Amendment, Borrowers shall pay to Lenders (i) an amendment fee in an amount equal to $239,914.58 (the “</w:t>
      </w:r>
      <w:r>
        <w:rPr>
          <w:rFonts w:ascii="Arial" w:cs="Arial" w:eastAsia="Arial" w:hAnsi="Arial"/>
          <w:sz w:val="15"/>
          <w:szCs w:val="15"/>
          <w:b w:val="1"/>
          <w:bCs w:val="1"/>
          <w:i w:val="1"/>
          <w:iCs w:val="1"/>
          <w:color w:val="auto"/>
        </w:rPr>
        <w:t>First Amendment Fee</w:t>
      </w:r>
      <w:r>
        <w:rPr>
          <w:rFonts w:ascii="Arial" w:cs="Arial" w:eastAsia="Arial" w:hAnsi="Arial"/>
          <w:sz w:val="15"/>
          <w:szCs w:val="15"/>
          <w:color w:val="auto"/>
        </w:rPr>
        <w:t xml:space="preserve">”) and (ii) any other fees and expenses provided for in </w:t>
      </w:r>
      <w:r>
        <w:rPr>
          <w:rFonts w:ascii="Arial" w:cs="Arial" w:eastAsia="Arial" w:hAnsi="Arial"/>
          <w:sz w:val="15"/>
          <w:szCs w:val="15"/>
          <w:b w:val="1"/>
          <w:bCs w:val="1"/>
          <w:i w:val="1"/>
          <w:iCs w:val="1"/>
          <w:color w:val="auto"/>
        </w:rPr>
        <w:t>Section 8.11</w:t>
      </w:r>
      <w:r>
        <w:rPr>
          <w:rFonts w:ascii="Arial" w:cs="Arial" w:eastAsia="Arial" w:hAnsi="Arial"/>
          <w:sz w:val="15"/>
          <w:szCs w:val="15"/>
          <w:color w:val="auto"/>
        </w:rPr>
        <w:t xml:space="preserve"> of the Loan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-101600</wp:posOffset>
            </wp:positionH>
            <wp:positionV relativeFrom="paragraph">
              <wp:posOffset>341630</wp:posOffset>
            </wp:positionV>
            <wp:extent cx="7258050" cy="209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260"/>
          </w:cols>
          <w:pgMar w:left="400" w:top="525" w:right="239" w:bottom="1440" w:gutter="0" w:footer="0" w:header="0"/>
        </w:sectPr>
      </w:pPr>
    </w:p>
    <w:bookmarkStart w:id="59" w:name="page60"/>
    <w:bookmarkEnd w:id="59"/>
    <w:p>
      <w:pPr>
        <w:ind w:left="160" w:firstLine="616"/>
        <w:spacing w:after="0" w:line="277" w:lineRule="auto"/>
        <w:rPr>
          <w:sz w:val="20"/>
          <w:szCs w:val="20"/>
          <w:color w:val="auto"/>
        </w:rPr>
      </w:pPr>
      <w:r>
        <w:rPr>
          <w:rFonts w:ascii="Arial" w:cs="Arial" w:eastAsia="Arial" w:hAnsi="Arial"/>
          <w:sz w:val="17"/>
          <w:szCs w:val="17"/>
          <w:color w:val="auto"/>
        </w:rPr>
        <w:t xml:space="preserve">Section 4. </w:t>
      </w:r>
      <w:r>
        <w:rPr>
          <w:rFonts w:ascii="Arial" w:cs="Arial" w:eastAsia="Arial" w:hAnsi="Arial"/>
          <w:sz w:val="17"/>
          <w:szCs w:val="17"/>
          <w:u w:val="single" w:color="auto"/>
          <w:color w:val="auto"/>
        </w:rPr>
        <w:t>Conditions</w:t>
      </w:r>
      <w:r>
        <w:rPr>
          <w:rFonts w:ascii="Arial" w:cs="Arial" w:eastAsia="Arial" w:hAnsi="Arial"/>
          <w:sz w:val="17"/>
          <w:szCs w:val="17"/>
          <w:color w:val="auto"/>
        </w:rPr>
        <w:t>. This First Amendment shall be effective once each of the following have been received by Agent at the closing of the transactions contemplated by this First Amendment:</w:t>
      </w:r>
    </w:p>
    <w:p>
      <w:pPr>
        <w:spacing w:after="0" w:line="216" w:lineRule="exact"/>
        <w:rPr>
          <w:sz w:val="20"/>
          <w:szCs w:val="20"/>
          <w:color w:val="auto"/>
        </w:rPr>
      </w:pPr>
    </w:p>
    <w:p>
      <w:pPr>
        <w:ind w:left="1240"/>
        <w:spacing w:after="0"/>
        <w:tabs>
          <w:tab w:leader="none" w:pos="1640" w:val="left"/>
        </w:tabs>
        <w:rPr>
          <w:sz w:val="20"/>
          <w:szCs w:val="20"/>
          <w:color w:val="auto"/>
        </w:rPr>
      </w:pPr>
      <w:r>
        <w:rPr>
          <w:rFonts w:ascii="Arial" w:cs="Arial" w:eastAsia="Arial" w:hAnsi="Arial"/>
          <w:sz w:val="17"/>
          <w:szCs w:val="17"/>
          <w:color w:val="auto"/>
        </w:rPr>
        <w:t>4.1</w:t>
      </w:r>
      <w:r>
        <w:rPr>
          <w:sz w:val="20"/>
          <w:szCs w:val="20"/>
          <w:color w:val="auto"/>
        </w:rPr>
        <w:tab/>
      </w:r>
      <w:r>
        <w:rPr>
          <w:rFonts w:ascii="Arial" w:cs="Arial" w:eastAsia="Arial" w:hAnsi="Arial"/>
          <w:sz w:val="15"/>
          <w:szCs w:val="15"/>
          <w:color w:val="auto"/>
        </w:rPr>
        <w:t>this First Amendment, duly executed by Borrowers, Agent and Lenders;</w:t>
      </w:r>
    </w:p>
    <w:p>
      <w:pPr>
        <w:spacing w:after="0" w:line="267" w:lineRule="exact"/>
        <w:rPr>
          <w:sz w:val="20"/>
          <w:szCs w:val="20"/>
          <w:color w:val="auto"/>
        </w:rPr>
      </w:pPr>
    </w:p>
    <w:p>
      <w:pPr>
        <w:ind w:left="1240"/>
        <w:spacing w:after="0"/>
        <w:tabs>
          <w:tab w:leader="none" w:pos="1640" w:val="left"/>
        </w:tabs>
        <w:rPr>
          <w:sz w:val="20"/>
          <w:szCs w:val="20"/>
          <w:color w:val="auto"/>
        </w:rPr>
      </w:pPr>
      <w:r>
        <w:rPr>
          <w:rFonts w:ascii="Arial" w:cs="Arial" w:eastAsia="Arial" w:hAnsi="Arial"/>
          <w:sz w:val="17"/>
          <w:szCs w:val="17"/>
          <w:color w:val="auto"/>
        </w:rPr>
        <w:t>4.2</w:t>
      </w:r>
      <w:r>
        <w:rPr>
          <w:sz w:val="20"/>
          <w:szCs w:val="20"/>
          <w:color w:val="auto"/>
        </w:rPr>
        <w:tab/>
      </w:r>
      <w:r>
        <w:rPr>
          <w:rFonts w:ascii="Arial" w:cs="Arial" w:eastAsia="Arial" w:hAnsi="Arial"/>
          <w:sz w:val="15"/>
          <w:szCs w:val="15"/>
          <w:color w:val="auto"/>
        </w:rPr>
        <w:t>the First Amendment Fee and any other fees and expenses payable under Section 3;</w:t>
      </w:r>
    </w:p>
    <w:p>
      <w:pPr>
        <w:spacing w:after="0" w:line="267" w:lineRule="exact"/>
        <w:rPr>
          <w:sz w:val="20"/>
          <w:szCs w:val="20"/>
          <w:color w:val="auto"/>
        </w:rPr>
      </w:pPr>
    </w:p>
    <w:p>
      <w:pPr>
        <w:ind w:firstLine="1232"/>
        <w:spacing w:after="0" w:line="277" w:lineRule="auto"/>
        <w:rPr>
          <w:sz w:val="20"/>
          <w:szCs w:val="20"/>
          <w:color w:val="auto"/>
        </w:rPr>
      </w:pPr>
      <w:r>
        <w:rPr>
          <w:rFonts w:ascii="Arial" w:cs="Arial" w:eastAsia="Arial" w:hAnsi="Arial"/>
          <w:sz w:val="17"/>
          <w:szCs w:val="17"/>
          <w:color w:val="auto"/>
        </w:rPr>
        <w:t>4.3 a certificate of the secretary of the Company, certifying the resolutions of the boards of directors or managers, as applicable, of each Borrower approving this First Amendment; and</w:t>
      </w:r>
    </w:p>
    <w:p>
      <w:pPr>
        <w:spacing w:after="0" w:line="216" w:lineRule="exact"/>
        <w:rPr>
          <w:sz w:val="20"/>
          <w:szCs w:val="20"/>
          <w:color w:val="auto"/>
        </w:rPr>
      </w:pPr>
    </w:p>
    <w:p>
      <w:pPr>
        <w:ind w:left="1240"/>
        <w:spacing w:after="0"/>
        <w:tabs>
          <w:tab w:leader="none" w:pos="1640" w:val="left"/>
        </w:tabs>
        <w:rPr>
          <w:sz w:val="20"/>
          <w:szCs w:val="20"/>
          <w:color w:val="auto"/>
        </w:rPr>
      </w:pPr>
      <w:r>
        <w:rPr>
          <w:rFonts w:ascii="Arial" w:cs="Arial" w:eastAsia="Arial" w:hAnsi="Arial"/>
          <w:sz w:val="17"/>
          <w:szCs w:val="17"/>
          <w:color w:val="auto"/>
        </w:rPr>
        <w:t>4.4</w:t>
      </w:r>
      <w:r>
        <w:rPr>
          <w:sz w:val="20"/>
          <w:szCs w:val="20"/>
          <w:color w:val="auto"/>
        </w:rPr>
        <w:tab/>
      </w:r>
      <w:r>
        <w:rPr>
          <w:rFonts w:ascii="Arial" w:cs="Arial" w:eastAsia="Arial" w:hAnsi="Arial"/>
          <w:sz w:val="15"/>
          <w:szCs w:val="15"/>
          <w:color w:val="auto"/>
        </w:rPr>
        <w:t>such other documents and instruments as Agent or Lenders may reasonably request.</w:t>
      </w:r>
    </w:p>
    <w:p>
      <w:pPr>
        <w:spacing w:after="0" w:line="267" w:lineRule="exact"/>
        <w:rPr>
          <w:sz w:val="20"/>
          <w:szCs w:val="20"/>
          <w:color w:val="auto"/>
        </w:rPr>
      </w:pPr>
    </w:p>
    <w:p>
      <w:pPr>
        <w:ind w:left="780"/>
        <w:spacing w:after="0"/>
        <w:tabs>
          <w:tab w:leader="none" w:pos="1640" w:val="left"/>
        </w:tabs>
        <w:rPr>
          <w:sz w:val="20"/>
          <w:szCs w:val="20"/>
          <w:color w:val="auto"/>
        </w:rPr>
      </w:pPr>
      <w:r>
        <w:rPr>
          <w:rFonts w:ascii="Arial" w:cs="Arial" w:eastAsia="Arial" w:hAnsi="Arial"/>
          <w:sz w:val="17"/>
          <w:szCs w:val="17"/>
          <w:color w:val="auto"/>
        </w:rPr>
        <w:t>Section 5.</w:t>
      </w:r>
      <w:r>
        <w:rPr>
          <w:sz w:val="20"/>
          <w:szCs w:val="20"/>
          <w:color w:val="auto"/>
        </w:rPr>
        <w:tab/>
      </w:r>
      <w:r>
        <w:rPr>
          <w:rFonts w:ascii="Arial" w:cs="Arial" w:eastAsia="Arial" w:hAnsi="Arial"/>
          <w:sz w:val="15"/>
          <w:szCs w:val="15"/>
          <w:u w:val="single" w:color="auto"/>
          <w:color w:val="auto"/>
        </w:rPr>
        <w:t>Representations and Warranties</w:t>
      </w:r>
      <w:r>
        <w:rPr>
          <w:rFonts w:ascii="Arial" w:cs="Arial" w:eastAsia="Arial" w:hAnsi="Arial"/>
          <w:sz w:val="15"/>
          <w:szCs w:val="15"/>
          <w:color w:val="auto"/>
        </w:rPr>
        <w:t>. Borrowers represent and warrant to Lenders, jointly and severally, that:</w:t>
      </w:r>
    </w:p>
    <w:p>
      <w:pPr>
        <w:spacing w:after="0" w:line="267" w:lineRule="exact"/>
        <w:rPr>
          <w:sz w:val="20"/>
          <w:szCs w:val="20"/>
          <w:color w:val="auto"/>
        </w:rPr>
      </w:pPr>
    </w:p>
    <w:p>
      <w:pPr>
        <w:jc w:val="both"/>
        <w:ind w:left="1240" w:firstLine="1843"/>
        <w:spacing w:after="0" w:line="271" w:lineRule="auto"/>
        <w:tabs>
          <w:tab w:leader="none" w:pos="3483" w:val="left"/>
        </w:tabs>
        <w:numPr>
          <w:ilvl w:val="0"/>
          <w:numId w:val="14"/>
        </w:numPr>
        <w:rPr>
          <w:rFonts w:ascii="Arial" w:cs="Arial" w:eastAsia="Arial" w:hAnsi="Arial"/>
          <w:sz w:val="16"/>
          <w:szCs w:val="16"/>
          <w:color w:val="auto"/>
        </w:rPr>
      </w:pPr>
      <w:r>
        <w:rPr>
          <w:rFonts w:ascii="Arial" w:cs="Arial" w:eastAsia="Arial" w:hAnsi="Arial"/>
          <w:sz w:val="16"/>
          <w:szCs w:val="16"/>
          <w:color w:val="auto"/>
        </w:rPr>
        <w:t>(i) Borrowers possess all requisite power and authority to execute, deliver and comply with the terms of this First Amendment, (ii) this First Amendment has been duly authorized and approved by all requisite corporate and company action on the part of Borrowers, and Borrowers will provide Lenders with evidence of such approval upon request, (iii) no other consent of any Person (other than Agent and Lenders and consents that have been obtained) is required for this First Amendment to be effective, (iv) the execution and delivery of this First Amendment does not violate any of Borrowers’ organizational documents, (v) assuming the due execution and delivery by Agent and Lenders, this First Amendment constitutes a valid and binding agreement of Borrowers, enforceable against Borrowers in accordance with its terms, except as such enforcement may be limited by bankruptcy, insolvency, reorganization, moratorium or other similar laws affecting enforcement of creditors’ rights generally and by general principles of equity (whether applied in a proceeding at law or in equity); (vi) the representations and warranties in each Loan Document to which any Borrower is a party are true and correct in all material respects on and as of the First Amendment Date as though made on the First Amendment Date (except to the extent that such representations and warranties speak to a specific date, in which case such representations and warranties shall be true and correct in all material respects as of such specific date), (vii) each Borrower is in compliance with all covenants and agreements contained in each Loan Document to which it is a party, and (viii) no Default or Potential Default has occurred and is continuing.</w:t>
      </w:r>
    </w:p>
    <w:p>
      <w:pPr>
        <w:spacing w:after="0" w:line="225" w:lineRule="exact"/>
        <w:rPr>
          <w:rFonts w:ascii="Arial" w:cs="Arial" w:eastAsia="Arial" w:hAnsi="Arial"/>
          <w:sz w:val="16"/>
          <w:szCs w:val="16"/>
          <w:color w:val="auto"/>
        </w:rPr>
      </w:pPr>
    </w:p>
    <w:p>
      <w:pPr>
        <w:ind w:left="3520" w:hanging="437"/>
        <w:spacing w:after="0"/>
        <w:tabs>
          <w:tab w:leader="none" w:pos="35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After giving effect to this First Amendment and the transactions contemplated hereby, no Default or Potential</w:t>
      </w:r>
    </w:p>
    <w:p>
      <w:pPr>
        <w:spacing w:after="0" w:line="32" w:lineRule="exact"/>
        <w:rPr>
          <w:rFonts w:ascii="Arial" w:cs="Arial" w:eastAsia="Arial" w:hAnsi="Arial"/>
          <w:sz w:val="16"/>
          <w:szCs w:val="16"/>
          <w:color w:val="auto"/>
        </w:rPr>
      </w:pPr>
    </w:p>
    <w:p>
      <w:pPr>
        <w:ind w:left="1240"/>
        <w:spacing w:after="0"/>
        <w:rPr>
          <w:rFonts w:ascii="Arial" w:cs="Arial" w:eastAsia="Arial" w:hAnsi="Arial"/>
          <w:sz w:val="16"/>
          <w:szCs w:val="16"/>
          <w:color w:val="auto"/>
        </w:rPr>
      </w:pPr>
      <w:r>
        <w:rPr>
          <w:rFonts w:ascii="Arial" w:cs="Arial" w:eastAsia="Arial" w:hAnsi="Arial"/>
          <w:sz w:val="17"/>
          <w:szCs w:val="17"/>
          <w:color w:val="auto"/>
        </w:rPr>
        <w:t>Default will exist.</w:t>
      </w:r>
    </w:p>
    <w:p>
      <w:pPr>
        <w:spacing w:after="0" w:line="255" w:lineRule="exact"/>
        <w:rPr>
          <w:sz w:val="20"/>
          <w:szCs w:val="20"/>
          <w:color w:val="auto"/>
        </w:rPr>
      </w:pPr>
    </w:p>
    <w:p>
      <w:pPr>
        <w:ind w:left="780"/>
        <w:spacing w:after="0"/>
        <w:tabs>
          <w:tab w:leader="none" w:pos="1640" w:val="left"/>
        </w:tabs>
        <w:rPr>
          <w:sz w:val="20"/>
          <w:szCs w:val="20"/>
          <w:color w:val="auto"/>
        </w:rPr>
      </w:pPr>
      <w:r>
        <w:rPr>
          <w:rFonts w:ascii="Arial" w:cs="Arial" w:eastAsia="Arial" w:hAnsi="Arial"/>
          <w:sz w:val="17"/>
          <w:szCs w:val="17"/>
          <w:color w:val="auto"/>
        </w:rPr>
        <w:t>Section 6.</w:t>
      </w:r>
      <w:r>
        <w:rPr>
          <w:sz w:val="20"/>
          <w:szCs w:val="20"/>
          <w:color w:val="auto"/>
        </w:rPr>
        <w:tab/>
      </w:r>
      <w:r>
        <w:rPr>
          <w:rFonts w:ascii="Arial" w:cs="Arial" w:eastAsia="Arial" w:hAnsi="Arial"/>
          <w:sz w:val="15"/>
          <w:szCs w:val="15"/>
          <w:u w:val="single" w:color="auto"/>
          <w:color w:val="auto"/>
        </w:rPr>
        <w:t>Scope of Amendment; Reaffirmation; Release.</w:t>
      </w:r>
    </w:p>
    <w:p>
      <w:pPr>
        <w:spacing w:after="0" w:line="267" w:lineRule="exact"/>
        <w:rPr>
          <w:sz w:val="20"/>
          <w:szCs w:val="20"/>
          <w:color w:val="auto"/>
        </w:rPr>
      </w:pPr>
    </w:p>
    <w:p>
      <w:pPr>
        <w:jc w:val="both"/>
        <w:ind w:left="620" w:firstLine="1232"/>
        <w:spacing w:after="0" w:line="281" w:lineRule="auto"/>
        <w:rPr>
          <w:sz w:val="20"/>
          <w:szCs w:val="20"/>
          <w:color w:val="auto"/>
        </w:rPr>
      </w:pPr>
      <w:r>
        <w:rPr>
          <w:rFonts w:ascii="Arial" w:cs="Arial" w:eastAsia="Arial" w:hAnsi="Arial"/>
          <w:sz w:val="16"/>
          <w:szCs w:val="16"/>
          <w:color w:val="auto"/>
        </w:rPr>
        <w:t>6.1 From and after the First Amendment Date, all references to the Loan Agreement shall refer to the Loan Agreement as amended by this First Amendment. Except as affected by this First Amendment, the Loan Documents are unchanged and continue in full force and effect. However, in the event of any inconsistency between the terms of the Loan Agreement (as amended by this First Amendment) and any other Loan Document, the terms of the Loan Agreement shall control and such other document shall be deemed to be amended to conform to the terms of the Loan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371475</wp:posOffset>
            </wp:positionV>
            <wp:extent cx="7258050" cy="209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525" w:right="239" w:bottom="1440" w:gutter="0" w:footer="0" w:header="0"/>
        </w:sectPr>
      </w:pPr>
    </w:p>
    <w:bookmarkStart w:id="60" w:name="page61"/>
    <w:bookmarkEnd w:id="60"/>
    <w:p>
      <w:pPr>
        <w:jc w:val="both"/>
        <w:ind w:firstLine="1232"/>
        <w:spacing w:after="0" w:line="260" w:lineRule="auto"/>
        <w:rPr>
          <w:sz w:val="20"/>
          <w:szCs w:val="20"/>
          <w:color w:val="auto"/>
        </w:rPr>
      </w:pPr>
      <w:r>
        <w:rPr>
          <w:rFonts w:ascii="Arial" w:cs="Arial" w:eastAsia="Arial" w:hAnsi="Arial"/>
          <w:sz w:val="17"/>
          <w:szCs w:val="17"/>
          <w:color w:val="auto"/>
        </w:rPr>
        <w:t>6.2 Each Borrower hereby (a) ratifies and reaffirms its obligations under the Loan Documents to which it is a party and (b) confirms and agrees that all Loan Documents to which it is a party, including, but not limited to, all Liens granted in favor of Agent or Lenders pursuant to the Security Documents, remain in full force and effect and continue to be legal, valid, and binding obligations, enforceable in accordance with their terms (as the same are affected by this First Amendment).</w:t>
      </w:r>
    </w:p>
    <w:p>
      <w:pPr>
        <w:spacing w:after="0" w:line="231" w:lineRule="exact"/>
        <w:rPr>
          <w:sz w:val="20"/>
          <w:szCs w:val="20"/>
          <w:color w:val="auto"/>
        </w:rPr>
      </w:pPr>
    </w:p>
    <w:p>
      <w:pPr>
        <w:jc w:val="both"/>
        <w:ind w:firstLine="1232"/>
        <w:spacing w:after="0" w:line="273" w:lineRule="auto"/>
        <w:rPr>
          <w:sz w:val="20"/>
          <w:szCs w:val="20"/>
          <w:color w:val="auto"/>
        </w:rPr>
      </w:pPr>
      <w:r>
        <w:rPr>
          <w:rFonts w:ascii="Arial" w:cs="Arial" w:eastAsia="Arial" w:hAnsi="Arial"/>
          <w:sz w:val="16"/>
          <w:szCs w:val="16"/>
          <w:color w:val="auto"/>
        </w:rPr>
        <w:t>6.3 Borrowers and their respective representatives, successors and assigns hereby jointly and severally, knowingly and voluntarily RELEASE, DISCHARGE and FOREVER WAIVE and RELINQUISH any and all claims, demands, obligations, liabilities, defenses, affirmative defenses, setoffs, counterclaims, actions and causes of action of whatsoever kind or nature, whether known or unknown, which each of them has, may have or might have or may assert now or in the future against Agent or any Lender directly or indirectly, arising out of, based upon or in any manner connected with any transaction, event, circumstance, action, failure to act or occurrence of any sort or type, in each case related to, arising from or in connection with the Loans, whether known or unknown, and which occurred, existed, was taken, permitted or begun prior to the First Amendment Date. Borrowers hereby acknowledge and agree that the execution of this First Amendment by Agent and Lenders shall not constitute an acknowledgment of or an admission by Agent or Lenders of the existence of any such claims or of liability for any matter or precedent upon which liability may be asserted.</w:t>
      </w:r>
    </w:p>
    <w:p>
      <w:pPr>
        <w:spacing w:after="0" w:line="225" w:lineRule="exact"/>
        <w:rPr>
          <w:sz w:val="20"/>
          <w:szCs w:val="20"/>
          <w:color w:val="auto"/>
        </w:rPr>
      </w:pPr>
    </w:p>
    <w:p>
      <w:pPr>
        <w:ind w:left="160"/>
        <w:spacing w:after="0"/>
        <w:tabs>
          <w:tab w:leader="none" w:pos="1020" w:val="left"/>
        </w:tabs>
        <w:rPr>
          <w:sz w:val="20"/>
          <w:szCs w:val="20"/>
          <w:color w:val="auto"/>
        </w:rPr>
      </w:pPr>
      <w:r>
        <w:rPr>
          <w:rFonts w:ascii="Arial" w:cs="Arial" w:eastAsia="Arial" w:hAnsi="Arial"/>
          <w:sz w:val="17"/>
          <w:szCs w:val="17"/>
          <w:color w:val="auto"/>
        </w:rPr>
        <w:t>Section 7.</w:t>
      </w:r>
      <w:r>
        <w:rPr>
          <w:sz w:val="20"/>
          <w:szCs w:val="20"/>
          <w:color w:val="auto"/>
        </w:rPr>
        <w:tab/>
      </w:r>
      <w:r>
        <w:rPr>
          <w:rFonts w:ascii="Arial" w:cs="Arial" w:eastAsia="Arial" w:hAnsi="Arial"/>
          <w:sz w:val="15"/>
          <w:szCs w:val="15"/>
          <w:u w:val="single" w:color="auto"/>
          <w:color w:val="auto"/>
        </w:rPr>
        <w:t>Miscellaneous.</w:t>
      </w:r>
    </w:p>
    <w:p>
      <w:pPr>
        <w:spacing w:after="0" w:line="267" w:lineRule="exact"/>
        <w:rPr>
          <w:sz w:val="20"/>
          <w:szCs w:val="20"/>
          <w:color w:val="auto"/>
        </w:rPr>
      </w:pPr>
    </w:p>
    <w:p>
      <w:pPr>
        <w:jc w:val="both"/>
        <w:ind w:firstLine="1232"/>
        <w:spacing w:after="0" w:line="260" w:lineRule="auto"/>
        <w:rPr>
          <w:sz w:val="20"/>
          <w:szCs w:val="20"/>
          <w:color w:val="auto"/>
        </w:rPr>
      </w:pPr>
      <w:r>
        <w:rPr>
          <w:rFonts w:ascii="Arial" w:cs="Arial" w:eastAsia="Arial" w:hAnsi="Arial"/>
          <w:sz w:val="17"/>
          <w:szCs w:val="17"/>
          <w:color w:val="auto"/>
        </w:rPr>
        <w:t xml:space="preserve">7.1 </w:t>
      </w:r>
      <w:r>
        <w:rPr>
          <w:rFonts w:ascii="Arial" w:cs="Arial" w:eastAsia="Arial" w:hAnsi="Arial"/>
          <w:sz w:val="17"/>
          <w:szCs w:val="17"/>
          <w:u w:val="single" w:color="auto"/>
          <w:color w:val="auto"/>
        </w:rPr>
        <w:t>No Waiver of Defaults</w:t>
      </w:r>
      <w:r>
        <w:rPr>
          <w:rFonts w:ascii="Arial" w:cs="Arial" w:eastAsia="Arial" w:hAnsi="Arial"/>
          <w:sz w:val="17"/>
          <w:szCs w:val="17"/>
          <w:color w:val="auto"/>
        </w:rPr>
        <w:t>. This First Amendment does not constitute (a) a waiver of, or a consent to, (i) any provision of the Loan Agreement or any other Loan Document not expressly referred to in this First Amendment, or (ii) any present or future violation of, or Default under, any provision of the Loan Documents, or (b) a waiver of Agent’s or any Lender’s right to insist upon future compliance with each term, covenant, condition and provision of the Loan Documents.</w:t>
      </w:r>
    </w:p>
    <w:p>
      <w:pPr>
        <w:spacing w:after="0" w:line="231" w:lineRule="exact"/>
        <w:rPr>
          <w:sz w:val="20"/>
          <w:szCs w:val="20"/>
          <w:color w:val="auto"/>
        </w:rPr>
      </w:pPr>
    </w:p>
    <w:p>
      <w:pPr>
        <w:ind w:left="1240"/>
        <w:spacing w:after="0"/>
        <w:tabs>
          <w:tab w:leader="none" w:pos="1640" w:val="left"/>
        </w:tabs>
        <w:rPr>
          <w:sz w:val="20"/>
          <w:szCs w:val="20"/>
          <w:color w:val="auto"/>
        </w:rPr>
      </w:pPr>
      <w:r>
        <w:rPr>
          <w:rFonts w:ascii="Arial" w:cs="Arial" w:eastAsia="Arial" w:hAnsi="Arial"/>
          <w:sz w:val="17"/>
          <w:szCs w:val="17"/>
          <w:color w:val="auto"/>
        </w:rPr>
        <w:t>7.2</w:t>
      </w:r>
      <w:r>
        <w:rPr>
          <w:sz w:val="20"/>
          <w:szCs w:val="20"/>
          <w:color w:val="auto"/>
        </w:rPr>
        <w:tab/>
      </w:r>
      <w:r>
        <w:rPr>
          <w:rFonts w:ascii="Arial" w:cs="Arial" w:eastAsia="Arial" w:hAnsi="Arial"/>
          <w:sz w:val="15"/>
          <w:szCs w:val="15"/>
          <w:u w:val="single" w:color="auto"/>
          <w:color w:val="auto"/>
        </w:rPr>
        <w:t>Loan Document</w:t>
      </w:r>
      <w:r>
        <w:rPr>
          <w:rFonts w:ascii="Arial" w:cs="Arial" w:eastAsia="Arial" w:hAnsi="Arial"/>
          <w:sz w:val="15"/>
          <w:szCs w:val="15"/>
          <w:color w:val="auto"/>
        </w:rPr>
        <w:t>. This First Amendment is a Loan Document.</w:t>
      </w:r>
    </w:p>
    <w:p>
      <w:pPr>
        <w:spacing w:after="0" w:line="267" w:lineRule="exact"/>
        <w:rPr>
          <w:sz w:val="20"/>
          <w:szCs w:val="20"/>
          <w:color w:val="auto"/>
        </w:rPr>
      </w:pPr>
    </w:p>
    <w:p>
      <w:pPr>
        <w:jc w:val="both"/>
        <w:ind w:firstLine="1232"/>
        <w:spacing w:after="0" w:line="277" w:lineRule="auto"/>
        <w:rPr>
          <w:sz w:val="20"/>
          <w:szCs w:val="20"/>
          <w:color w:val="auto"/>
        </w:rPr>
      </w:pPr>
      <w:r>
        <w:rPr>
          <w:rFonts w:ascii="Arial" w:cs="Arial" w:eastAsia="Arial" w:hAnsi="Arial"/>
          <w:sz w:val="17"/>
          <w:szCs w:val="17"/>
          <w:color w:val="auto"/>
        </w:rPr>
        <w:t xml:space="preserve">7.3 </w:t>
      </w:r>
      <w:r>
        <w:rPr>
          <w:rFonts w:ascii="Arial" w:cs="Arial" w:eastAsia="Arial" w:hAnsi="Arial"/>
          <w:sz w:val="17"/>
          <w:szCs w:val="17"/>
          <w:u w:val="single" w:color="auto"/>
          <w:color w:val="auto"/>
        </w:rPr>
        <w:t>Form</w:t>
      </w:r>
      <w:r>
        <w:rPr>
          <w:rFonts w:ascii="Arial" w:cs="Arial" w:eastAsia="Arial" w:hAnsi="Arial"/>
          <w:sz w:val="17"/>
          <w:szCs w:val="17"/>
          <w:color w:val="auto"/>
        </w:rPr>
        <w:t>. Each agreement, document, instrument or other writing to be furnished to Agent under any provision of this First Amendment must be in form and substance satisfactory to Agent and its counsel.</w:t>
      </w:r>
    </w:p>
    <w:p>
      <w:pPr>
        <w:spacing w:after="0" w:line="216" w:lineRule="exact"/>
        <w:rPr>
          <w:sz w:val="20"/>
          <w:szCs w:val="20"/>
          <w:color w:val="auto"/>
        </w:rPr>
      </w:pPr>
    </w:p>
    <w:p>
      <w:pPr>
        <w:jc w:val="both"/>
        <w:ind w:firstLine="1232"/>
        <w:spacing w:after="0" w:line="277" w:lineRule="auto"/>
        <w:rPr>
          <w:sz w:val="20"/>
          <w:szCs w:val="20"/>
          <w:color w:val="auto"/>
        </w:rPr>
      </w:pPr>
      <w:r>
        <w:rPr>
          <w:rFonts w:ascii="Arial" w:cs="Arial" w:eastAsia="Arial" w:hAnsi="Arial"/>
          <w:sz w:val="17"/>
          <w:szCs w:val="17"/>
          <w:color w:val="auto"/>
        </w:rPr>
        <w:t xml:space="preserve">7.4 </w:t>
      </w:r>
      <w:r>
        <w:rPr>
          <w:rFonts w:ascii="Arial" w:cs="Arial" w:eastAsia="Arial" w:hAnsi="Arial"/>
          <w:sz w:val="17"/>
          <w:szCs w:val="17"/>
          <w:u w:val="single" w:color="auto"/>
          <w:color w:val="auto"/>
        </w:rPr>
        <w:t>Headings</w:t>
      </w:r>
      <w:r>
        <w:rPr>
          <w:rFonts w:ascii="Arial" w:cs="Arial" w:eastAsia="Arial" w:hAnsi="Arial"/>
          <w:sz w:val="17"/>
          <w:szCs w:val="17"/>
          <w:color w:val="auto"/>
        </w:rPr>
        <w:t>. The headings and captions used in this First Amendment are for convenience only and will not be deemed to limit, amplify or modify the terms of this First Amendment, the Loan Agreement or the other Loan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-393700</wp:posOffset>
            </wp:positionH>
            <wp:positionV relativeFrom="paragraph">
              <wp:posOffset>370840</wp:posOffset>
            </wp:positionV>
            <wp:extent cx="7258050" cy="209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800"/>
          </w:cols>
          <w:pgMar w:left="860" w:top="525" w:right="239" w:bottom="1440" w:gutter="0" w:footer="0" w:header="0"/>
        </w:sectPr>
      </w:pPr>
    </w:p>
    <w:bookmarkStart w:id="61" w:name="page62"/>
    <w:bookmarkEnd w:id="61"/>
    <w:p>
      <w:pPr>
        <w:jc w:val="both"/>
        <w:ind w:firstLine="1232"/>
        <w:spacing w:after="0" w:line="264" w:lineRule="auto"/>
        <w:rPr>
          <w:sz w:val="20"/>
          <w:szCs w:val="20"/>
          <w:color w:val="auto"/>
        </w:rPr>
      </w:pPr>
      <w:r>
        <w:rPr>
          <w:rFonts w:ascii="Arial" w:cs="Arial" w:eastAsia="Arial" w:hAnsi="Arial"/>
          <w:sz w:val="17"/>
          <w:szCs w:val="17"/>
          <w:color w:val="auto"/>
        </w:rPr>
        <w:t xml:space="preserve">7.5 </w:t>
      </w:r>
      <w:r>
        <w:rPr>
          <w:rFonts w:ascii="Arial" w:cs="Arial" w:eastAsia="Arial" w:hAnsi="Arial"/>
          <w:sz w:val="17"/>
          <w:szCs w:val="17"/>
          <w:u w:val="single" w:color="auto"/>
          <w:color w:val="auto"/>
        </w:rPr>
        <w:t>Costs, Expenses and Attorneys’ Fees</w:t>
      </w:r>
      <w:r>
        <w:rPr>
          <w:rFonts w:ascii="Arial" w:cs="Arial" w:eastAsia="Arial" w:hAnsi="Arial"/>
          <w:sz w:val="17"/>
          <w:szCs w:val="17"/>
          <w:color w:val="auto"/>
        </w:rPr>
        <w:t>. Borrowers agree to pay or reimburse Agent and Lenders on demand for all their reasonable and documented out-of-pocket costs and expenses incurred in connection with the preparation, negotiation, and execution of this First Amendment, including, without limitation, the reasonable fees and disbursements of Agent’s and Lenders’ counsel.</w:t>
      </w:r>
    </w:p>
    <w:p>
      <w:pPr>
        <w:spacing w:after="0" w:line="228" w:lineRule="exact"/>
        <w:rPr>
          <w:sz w:val="20"/>
          <w:szCs w:val="20"/>
          <w:color w:val="auto"/>
        </w:rPr>
      </w:pPr>
    </w:p>
    <w:p>
      <w:pPr>
        <w:jc w:val="both"/>
        <w:ind w:firstLine="1232"/>
        <w:spacing w:after="0" w:line="277" w:lineRule="auto"/>
        <w:rPr>
          <w:sz w:val="20"/>
          <w:szCs w:val="20"/>
          <w:color w:val="auto"/>
        </w:rPr>
      </w:pPr>
      <w:r>
        <w:rPr>
          <w:rFonts w:ascii="Arial" w:cs="Arial" w:eastAsia="Arial" w:hAnsi="Arial"/>
          <w:sz w:val="17"/>
          <w:szCs w:val="17"/>
          <w:color w:val="auto"/>
        </w:rPr>
        <w:t xml:space="preserve">7.6 </w:t>
      </w:r>
      <w:r>
        <w:rPr>
          <w:rFonts w:ascii="Arial" w:cs="Arial" w:eastAsia="Arial" w:hAnsi="Arial"/>
          <w:sz w:val="17"/>
          <w:szCs w:val="17"/>
          <w:u w:val="single" w:color="auto"/>
          <w:color w:val="auto"/>
        </w:rPr>
        <w:t>Successors and Assigns</w:t>
      </w:r>
      <w:r>
        <w:rPr>
          <w:rFonts w:ascii="Arial" w:cs="Arial" w:eastAsia="Arial" w:hAnsi="Arial"/>
          <w:sz w:val="17"/>
          <w:szCs w:val="17"/>
          <w:color w:val="auto"/>
        </w:rPr>
        <w:t>. This First Amendment shall be binding upon and inure to the benefit of each of the undersigned and their respective successors and permitted assigns.</w:t>
      </w:r>
    </w:p>
    <w:p>
      <w:pPr>
        <w:spacing w:after="0" w:line="216" w:lineRule="exact"/>
        <w:rPr>
          <w:sz w:val="20"/>
          <w:szCs w:val="20"/>
          <w:color w:val="auto"/>
        </w:rPr>
      </w:pPr>
    </w:p>
    <w:p>
      <w:pPr>
        <w:jc w:val="both"/>
        <w:ind w:firstLine="1232"/>
        <w:spacing w:after="0" w:line="257" w:lineRule="auto"/>
        <w:rPr>
          <w:sz w:val="20"/>
          <w:szCs w:val="20"/>
          <w:color w:val="auto"/>
        </w:rPr>
      </w:pPr>
      <w:r>
        <w:rPr>
          <w:rFonts w:ascii="Arial" w:cs="Arial" w:eastAsia="Arial" w:hAnsi="Arial"/>
          <w:sz w:val="17"/>
          <w:szCs w:val="17"/>
          <w:color w:val="auto"/>
        </w:rPr>
        <w:t xml:space="preserve">7.7 </w:t>
      </w:r>
      <w:r>
        <w:rPr>
          <w:rFonts w:ascii="Arial" w:cs="Arial" w:eastAsia="Arial" w:hAnsi="Arial"/>
          <w:sz w:val="17"/>
          <w:szCs w:val="17"/>
          <w:u w:val="single" w:color="auto"/>
          <w:color w:val="auto"/>
        </w:rPr>
        <w:t>Multiple Counterparts</w:t>
      </w:r>
      <w:r>
        <w:rPr>
          <w:rFonts w:ascii="Arial" w:cs="Arial" w:eastAsia="Arial" w:hAnsi="Arial"/>
          <w:sz w:val="17"/>
          <w:szCs w:val="17"/>
          <w:color w:val="auto"/>
        </w:rPr>
        <w:t xml:space="preserve">. This First Amendment may be executed in any number of counterparts with the same effect as if all signatories had signed the same document. All counterparts must be construed together to constitute one and the same instrument. This First Amendment may be transmitted and signed by facsimile and in .pdf or other electronic format. The effectiveness of any such documents and signatures shall, subject to applicable law, have the same force and effect as manually-signed originals and shall be binding on Borrowers, Agent and Lenders. Agent may also require that any such documents and signatures be confirmed by a manually-signed original; </w:t>
      </w:r>
      <w:r>
        <w:rPr>
          <w:rFonts w:ascii="Arial" w:cs="Arial" w:eastAsia="Arial" w:hAnsi="Arial"/>
          <w:sz w:val="17"/>
          <w:szCs w:val="17"/>
          <w:i w:val="1"/>
          <w:iCs w:val="1"/>
          <w:color w:val="auto"/>
        </w:rPr>
        <w:t>provided, that</w:t>
      </w:r>
      <w:r>
        <w:rPr>
          <w:rFonts w:ascii="Arial" w:cs="Arial" w:eastAsia="Arial" w:hAnsi="Arial"/>
          <w:sz w:val="17"/>
          <w:szCs w:val="17"/>
          <w:color w:val="auto"/>
        </w:rPr>
        <w:t>, the failure to request or deliver the same shall not limit the effectiveness of any facsimile document or signature.</w:t>
      </w:r>
    </w:p>
    <w:p>
      <w:pPr>
        <w:spacing w:after="0" w:line="233" w:lineRule="exact"/>
        <w:rPr>
          <w:sz w:val="20"/>
          <w:szCs w:val="20"/>
          <w:color w:val="auto"/>
        </w:rPr>
      </w:pPr>
    </w:p>
    <w:p>
      <w:pPr>
        <w:jc w:val="both"/>
        <w:ind w:firstLine="1232"/>
        <w:spacing w:after="0" w:line="277" w:lineRule="auto"/>
        <w:rPr>
          <w:sz w:val="20"/>
          <w:szCs w:val="20"/>
          <w:color w:val="auto"/>
        </w:rPr>
      </w:pPr>
      <w:r>
        <w:rPr>
          <w:rFonts w:ascii="Arial" w:cs="Arial" w:eastAsia="Arial" w:hAnsi="Arial"/>
          <w:sz w:val="17"/>
          <w:szCs w:val="17"/>
          <w:color w:val="auto"/>
        </w:rPr>
        <w:t xml:space="preserve">7.8 </w:t>
      </w:r>
      <w:r>
        <w:rPr>
          <w:rFonts w:ascii="Arial" w:cs="Arial" w:eastAsia="Arial" w:hAnsi="Arial"/>
          <w:sz w:val="17"/>
          <w:szCs w:val="17"/>
          <w:u w:val="single" w:color="auto"/>
          <w:color w:val="auto"/>
        </w:rPr>
        <w:t>Governing Law</w:t>
      </w:r>
      <w:r>
        <w:rPr>
          <w:rFonts w:ascii="Arial" w:cs="Arial" w:eastAsia="Arial" w:hAnsi="Arial"/>
          <w:sz w:val="17"/>
          <w:szCs w:val="17"/>
          <w:color w:val="auto"/>
        </w:rPr>
        <w:t>. This First Amendment shall be a contract made under and governed by the internal laws of the State of New York applicable to contracts made and to be performed entirely within such state, without regard to conflict of law principles.</w:t>
      </w:r>
    </w:p>
    <w:p>
      <w:pPr>
        <w:spacing w:after="0" w:line="216" w:lineRule="exact"/>
        <w:rPr>
          <w:sz w:val="20"/>
          <w:szCs w:val="20"/>
          <w:color w:val="auto"/>
        </w:rPr>
      </w:pPr>
    </w:p>
    <w:p>
      <w:pPr>
        <w:jc w:val="both"/>
        <w:ind w:firstLine="1232"/>
        <w:spacing w:after="0" w:line="277" w:lineRule="auto"/>
        <w:rPr>
          <w:sz w:val="20"/>
          <w:szCs w:val="20"/>
          <w:color w:val="auto"/>
        </w:rPr>
      </w:pPr>
      <w:r>
        <w:rPr>
          <w:rFonts w:ascii="Arial" w:cs="Arial" w:eastAsia="Arial" w:hAnsi="Arial"/>
          <w:sz w:val="17"/>
          <w:szCs w:val="17"/>
          <w:color w:val="auto"/>
        </w:rPr>
        <w:t xml:space="preserve">7.9 </w:t>
      </w:r>
      <w:r>
        <w:rPr>
          <w:rFonts w:ascii="Arial" w:cs="Arial" w:eastAsia="Arial" w:hAnsi="Arial"/>
          <w:sz w:val="17"/>
          <w:szCs w:val="17"/>
          <w:u w:val="single" w:color="auto"/>
          <w:color w:val="auto"/>
        </w:rPr>
        <w:t>Arbitration</w:t>
      </w:r>
      <w:r>
        <w:rPr>
          <w:rFonts w:ascii="Arial" w:cs="Arial" w:eastAsia="Arial" w:hAnsi="Arial"/>
          <w:sz w:val="17"/>
          <w:szCs w:val="17"/>
          <w:color w:val="auto"/>
        </w:rPr>
        <w:t xml:space="preserve">. Upon the demand of any party to this First Amendment, any dispute shall be resolved by binding arbitration as provided for in </w:t>
      </w:r>
      <w:r>
        <w:rPr>
          <w:rFonts w:ascii="Arial" w:cs="Arial" w:eastAsia="Arial" w:hAnsi="Arial"/>
          <w:sz w:val="17"/>
          <w:szCs w:val="17"/>
          <w:b w:val="1"/>
          <w:bCs w:val="1"/>
          <w:i w:val="1"/>
          <w:iCs w:val="1"/>
          <w:color w:val="auto"/>
        </w:rPr>
        <w:t>Section 14.11</w:t>
      </w:r>
      <w:r>
        <w:rPr>
          <w:rFonts w:ascii="Arial" w:cs="Arial" w:eastAsia="Arial" w:hAnsi="Arial"/>
          <w:sz w:val="17"/>
          <w:szCs w:val="17"/>
          <w:color w:val="auto"/>
        </w:rPr>
        <w:t xml:space="preserve"> of the Loan Agreement.</w:t>
      </w:r>
    </w:p>
    <w:p>
      <w:pPr>
        <w:spacing w:after="0" w:line="210" w:lineRule="exact"/>
        <w:rPr>
          <w:sz w:val="20"/>
          <w:szCs w:val="20"/>
          <w:color w:val="auto"/>
        </w:rPr>
      </w:pPr>
    </w:p>
    <w:p>
      <w:pPr>
        <w:jc w:val="both"/>
        <w:ind w:firstLine="1232"/>
        <w:spacing w:after="0" w:line="268" w:lineRule="auto"/>
        <w:rPr>
          <w:sz w:val="20"/>
          <w:szCs w:val="20"/>
          <w:color w:val="auto"/>
        </w:rPr>
      </w:pPr>
      <w:r>
        <w:rPr>
          <w:rFonts w:ascii="Arial" w:cs="Arial" w:eastAsia="Arial" w:hAnsi="Arial"/>
          <w:sz w:val="17"/>
          <w:szCs w:val="17"/>
          <w:color w:val="auto"/>
        </w:rPr>
        <w:t xml:space="preserve">7.10 </w:t>
      </w:r>
      <w:r>
        <w:rPr>
          <w:rFonts w:ascii="Arial" w:cs="Arial" w:eastAsia="Arial" w:hAnsi="Arial"/>
          <w:sz w:val="17"/>
          <w:szCs w:val="17"/>
          <w:u w:val="single" w:color="auto"/>
          <w:color w:val="auto"/>
        </w:rPr>
        <w:t>Entirety</w:t>
      </w:r>
      <w:r>
        <w:rPr>
          <w:rFonts w:ascii="Arial" w:cs="Arial" w:eastAsia="Arial" w:hAnsi="Arial"/>
          <w:sz w:val="17"/>
          <w:szCs w:val="17"/>
          <w:color w:val="auto"/>
        </w:rPr>
        <w:t xml:space="preserve">. </w:t>
      </w:r>
      <w:r>
        <w:rPr>
          <w:rFonts w:ascii="Arial" w:cs="Arial" w:eastAsia="Arial" w:hAnsi="Arial"/>
          <w:sz w:val="17"/>
          <w:szCs w:val="17"/>
          <w:b w:val="1"/>
          <w:bCs w:val="1"/>
          <w:color w:val="auto"/>
        </w:rPr>
        <w:t>T</w:t>
      </w:r>
      <w:r>
        <w:rPr>
          <w:rFonts w:ascii="Arial" w:cs="Arial" w:eastAsia="Arial" w:hAnsi="Arial"/>
          <w:sz w:val="11"/>
          <w:szCs w:val="11"/>
          <w:b w:val="1"/>
          <w:bCs w:val="1"/>
          <w:color w:val="auto"/>
        </w:rPr>
        <w:t>HE</w:t>
      </w:r>
      <w:r>
        <w:rPr>
          <w:rFonts w:ascii="Arial" w:cs="Arial" w:eastAsia="Arial" w:hAnsi="Arial"/>
          <w:sz w:val="17"/>
          <w:szCs w:val="17"/>
          <w:color w:val="auto"/>
        </w:rPr>
        <w:t xml:space="preserve"> </w:t>
      </w:r>
      <w:r>
        <w:rPr>
          <w:rFonts w:ascii="Arial" w:cs="Arial" w:eastAsia="Arial" w:hAnsi="Arial"/>
          <w:sz w:val="17"/>
          <w:szCs w:val="17"/>
          <w:b w:val="1"/>
          <w:bCs w:val="1"/>
          <w:color w:val="auto"/>
        </w:rPr>
        <w:t>L</w:t>
      </w:r>
      <w:r>
        <w:rPr>
          <w:rFonts w:ascii="Arial" w:cs="Arial" w:eastAsia="Arial" w:hAnsi="Arial"/>
          <w:sz w:val="11"/>
          <w:szCs w:val="11"/>
          <w:b w:val="1"/>
          <w:bCs w:val="1"/>
          <w:color w:val="auto"/>
        </w:rPr>
        <w:t>OAN</w:t>
      </w:r>
      <w:r>
        <w:rPr>
          <w:rFonts w:ascii="Arial" w:cs="Arial" w:eastAsia="Arial" w:hAnsi="Arial"/>
          <w:sz w:val="17"/>
          <w:szCs w:val="17"/>
          <w:color w:val="auto"/>
        </w:rPr>
        <w:t xml:space="preserve"> </w:t>
      </w:r>
      <w:r>
        <w:rPr>
          <w:rFonts w:ascii="Arial" w:cs="Arial" w:eastAsia="Arial" w:hAnsi="Arial"/>
          <w:sz w:val="17"/>
          <w:szCs w:val="17"/>
          <w:b w:val="1"/>
          <w:bCs w:val="1"/>
          <w:color w:val="auto"/>
        </w:rPr>
        <w:t>D</w:t>
      </w:r>
      <w:r>
        <w:rPr>
          <w:rFonts w:ascii="Arial" w:cs="Arial" w:eastAsia="Arial" w:hAnsi="Arial"/>
          <w:sz w:val="11"/>
          <w:szCs w:val="11"/>
          <w:b w:val="1"/>
          <w:bCs w:val="1"/>
          <w:color w:val="auto"/>
        </w:rPr>
        <w:t>OCUMENTS</w:t>
      </w:r>
      <w:r>
        <w:rPr>
          <w:rFonts w:ascii="Arial" w:cs="Arial" w:eastAsia="Arial" w:hAnsi="Arial"/>
          <w:sz w:val="17"/>
          <w:szCs w:val="17"/>
          <w:color w:val="auto"/>
        </w:rPr>
        <w:t xml:space="preserve"> </w:t>
      </w:r>
      <w:r>
        <w:rPr>
          <w:rFonts w:ascii="Arial" w:cs="Arial" w:eastAsia="Arial" w:hAnsi="Arial"/>
          <w:sz w:val="17"/>
          <w:szCs w:val="17"/>
          <w:b w:val="1"/>
          <w:bCs w:val="1"/>
          <w:color w:val="auto"/>
        </w:rPr>
        <w:t>(</w:t>
      </w:r>
      <w:r>
        <w:rPr>
          <w:rFonts w:ascii="Arial" w:cs="Arial" w:eastAsia="Arial" w:hAnsi="Arial"/>
          <w:sz w:val="11"/>
          <w:szCs w:val="11"/>
          <w:b w:val="1"/>
          <w:bCs w:val="1"/>
          <w:color w:val="auto"/>
        </w:rPr>
        <w:t>AS AMENDED HEREBY</w:t>
      </w:r>
      <w:r>
        <w:rPr>
          <w:rFonts w:ascii="Arial" w:cs="Arial" w:eastAsia="Arial" w:hAnsi="Arial"/>
          <w:sz w:val="17"/>
          <w:szCs w:val="17"/>
          <w:b w:val="1"/>
          <w:bCs w:val="1"/>
          <w:color w:val="auto"/>
        </w:rPr>
        <w:t>) R</w:t>
      </w:r>
      <w:r>
        <w:rPr>
          <w:rFonts w:ascii="Arial" w:cs="Arial" w:eastAsia="Arial" w:hAnsi="Arial"/>
          <w:sz w:val="11"/>
          <w:szCs w:val="11"/>
          <w:b w:val="1"/>
          <w:bCs w:val="1"/>
          <w:color w:val="auto"/>
        </w:rPr>
        <w:t>EPRESENT THE</w:t>
      </w:r>
      <w:r>
        <w:rPr>
          <w:rFonts w:ascii="Arial" w:cs="Arial" w:eastAsia="Arial" w:hAnsi="Arial"/>
          <w:sz w:val="17"/>
          <w:szCs w:val="17"/>
          <w:color w:val="auto"/>
        </w:rPr>
        <w:t xml:space="preserve"> </w:t>
      </w:r>
      <w:r>
        <w:rPr>
          <w:rFonts w:ascii="Arial" w:cs="Arial" w:eastAsia="Arial" w:hAnsi="Arial"/>
          <w:sz w:val="17"/>
          <w:szCs w:val="17"/>
          <w:b w:val="1"/>
          <w:bCs w:val="1"/>
          <w:color w:val="auto"/>
        </w:rPr>
        <w:t>F</w:t>
      </w:r>
      <w:r>
        <w:rPr>
          <w:rFonts w:ascii="Arial" w:cs="Arial" w:eastAsia="Arial" w:hAnsi="Arial"/>
          <w:sz w:val="11"/>
          <w:szCs w:val="11"/>
          <w:b w:val="1"/>
          <w:bCs w:val="1"/>
          <w:color w:val="auto"/>
        </w:rPr>
        <w:t>INAL</w:t>
      </w:r>
      <w:r>
        <w:rPr>
          <w:rFonts w:ascii="Arial" w:cs="Arial" w:eastAsia="Arial" w:hAnsi="Arial"/>
          <w:sz w:val="17"/>
          <w:szCs w:val="17"/>
          <w:color w:val="auto"/>
        </w:rPr>
        <w:t xml:space="preserve"> </w:t>
      </w:r>
      <w:r>
        <w:rPr>
          <w:rFonts w:ascii="Arial" w:cs="Arial" w:eastAsia="Arial" w:hAnsi="Arial"/>
          <w:sz w:val="17"/>
          <w:szCs w:val="17"/>
          <w:b w:val="1"/>
          <w:bCs w:val="1"/>
          <w:color w:val="auto"/>
        </w:rPr>
        <w:t>A</w:t>
      </w:r>
      <w:r>
        <w:rPr>
          <w:rFonts w:ascii="Arial" w:cs="Arial" w:eastAsia="Arial" w:hAnsi="Arial"/>
          <w:sz w:val="11"/>
          <w:szCs w:val="11"/>
          <w:b w:val="1"/>
          <w:bCs w:val="1"/>
          <w:color w:val="auto"/>
        </w:rPr>
        <w:t>GREEMENT</w:t>
      </w:r>
      <w:r>
        <w:rPr>
          <w:rFonts w:ascii="Arial" w:cs="Arial" w:eastAsia="Arial" w:hAnsi="Arial"/>
          <w:sz w:val="17"/>
          <w:szCs w:val="17"/>
          <w:color w:val="auto"/>
        </w:rPr>
        <w:t xml:space="preserve"> </w:t>
      </w:r>
      <w:r>
        <w:rPr>
          <w:rFonts w:ascii="Arial" w:cs="Arial" w:eastAsia="Arial" w:hAnsi="Arial"/>
          <w:sz w:val="17"/>
          <w:szCs w:val="17"/>
          <w:b w:val="1"/>
          <w:bCs w:val="1"/>
          <w:color w:val="auto"/>
        </w:rPr>
        <w:t>B</w:t>
      </w:r>
      <w:r>
        <w:rPr>
          <w:rFonts w:ascii="Arial" w:cs="Arial" w:eastAsia="Arial" w:hAnsi="Arial"/>
          <w:sz w:val="11"/>
          <w:szCs w:val="11"/>
          <w:b w:val="1"/>
          <w:bCs w:val="1"/>
          <w:color w:val="auto"/>
        </w:rPr>
        <w:t>ETWEEN</w:t>
      </w:r>
      <w:r>
        <w:rPr>
          <w:rFonts w:ascii="Arial" w:cs="Arial" w:eastAsia="Arial" w:hAnsi="Arial"/>
          <w:sz w:val="17"/>
          <w:szCs w:val="17"/>
          <w:color w:val="auto"/>
        </w:rPr>
        <w:t xml:space="preserve"> </w:t>
      </w:r>
      <w:r>
        <w:rPr>
          <w:rFonts w:ascii="Arial" w:cs="Arial" w:eastAsia="Arial" w:hAnsi="Arial"/>
          <w:sz w:val="17"/>
          <w:szCs w:val="17"/>
          <w:b w:val="1"/>
          <w:bCs w:val="1"/>
          <w:color w:val="auto"/>
        </w:rPr>
        <w:t>B</w:t>
      </w:r>
      <w:r>
        <w:rPr>
          <w:rFonts w:ascii="Arial" w:cs="Arial" w:eastAsia="Arial" w:hAnsi="Arial"/>
          <w:sz w:val="11"/>
          <w:szCs w:val="11"/>
          <w:b w:val="1"/>
          <w:bCs w:val="1"/>
          <w:color w:val="auto"/>
        </w:rPr>
        <w:t>ORROWERS</w:t>
      </w:r>
      <w:r>
        <w:rPr>
          <w:rFonts w:ascii="Arial" w:cs="Arial" w:eastAsia="Arial" w:hAnsi="Arial"/>
          <w:sz w:val="17"/>
          <w:szCs w:val="17"/>
          <w:b w:val="1"/>
          <w:bCs w:val="1"/>
          <w:color w:val="auto"/>
        </w:rPr>
        <w:t>, A</w:t>
      </w:r>
      <w:r>
        <w:rPr>
          <w:rFonts w:ascii="Arial" w:cs="Arial" w:eastAsia="Arial" w:hAnsi="Arial"/>
          <w:sz w:val="11"/>
          <w:szCs w:val="11"/>
          <w:b w:val="1"/>
          <w:bCs w:val="1"/>
          <w:color w:val="auto"/>
        </w:rPr>
        <w:t>GENT AND</w:t>
      </w:r>
      <w:r>
        <w:rPr>
          <w:rFonts w:ascii="Arial" w:cs="Arial" w:eastAsia="Arial" w:hAnsi="Arial"/>
          <w:sz w:val="17"/>
          <w:szCs w:val="17"/>
          <w:color w:val="auto"/>
        </w:rPr>
        <w:t xml:space="preserve"> </w:t>
      </w:r>
      <w:r>
        <w:rPr>
          <w:rFonts w:ascii="Arial" w:cs="Arial" w:eastAsia="Arial" w:hAnsi="Arial"/>
          <w:sz w:val="17"/>
          <w:szCs w:val="17"/>
          <w:b w:val="1"/>
          <w:bCs w:val="1"/>
          <w:color w:val="auto"/>
        </w:rPr>
        <w:t>L</w:t>
      </w:r>
      <w:r>
        <w:rPr>
          <w:rFonts w:ascii="Arial" w:cs="Arial" w:eastAsia="Arial" w:hAnsi="Arial"/>
          <w:sz w:val="11"/>
          <w:szCs w:val="11"/>
          <w:b w:val="1"/>
          <w:bCs w:val="1"/>
          <w:color w:val="auto"/>
        </w:rPr>
        <w:t>ENDERS</w:t>
      </w:r>
      <w:r>
        <w:rPr>
          <w:rFonts w:ascii="Arial" w:cs="Arial" w:eastAsia="Arial" w:hAnsi="Arial"/>
          <w:sz w:val="17"/>
          <w:szCs w:val="17"/>
          <w:color w:val="auto"/>
        </w:rPr>
        <w:t xml:space="preserve"> </w:t>
      </w:r>
      <w:r>
        <w:rPr>
          <w:rFonts w:ascii="Arial" w:cs="Arial" w:eastAsia="Arial" w:hAnsi="Arial"/>
          <w:sz w:val="11"/>
          <w:szCs w:val="11"/>
          <w:b w:val="1"/>
          <w:bCs w:val="1"/>
          <w:color w:val="auto"/>
        </w:rPr>
        <w:t xml:space="preserve">AND </w:t>
      </w:r>
      <w:r>
        <w:rPr>
          <w:rFonts w:ascii="Arial" w:cs="Arial" w:eastAsia="Arial" w:hAnsi="Arial"/>
          <w:sz w:val="17"/>
          <w:szCs w:val="17"/>
          <w:b w:val="1"/>
          <w:bCs w:val="1"/>
          <w:color w:val="auto"/>
        </w:rPr>
        <w:t>M</w:t>
      </w:r>
      <w:r>
        <w:rPr>
          <w:rFonts w:ascii="Arial" w:cs="Arial" w:eastAsia="Arial" w:hAnsi="Arial"/>
          <w:sz w:val="11"/>
          <w:szCs w:val="11"/>
          <w:b w:val="1"/>
          <w:bCs w:val="1"/>
          <w:color w:val="auto"/>
        </w:rPr>
        <w:t xml:space="preserve">AY </w:t>
      </w:r>
      <w:r>
        <w:rPr>
          <w:rFonts w:ascii="Arial" w:cs="Arial" w:eastAsia="Arial" w:hAnsi="Arial"/>
          <w:sz w:val="17"/>
          <w:szCs w:val="17"/>
          <w:b w:val="1"/>
          <w:bCs w:val="1"/>
          <w:color w:val="auto"/>
        </w:rPr>
        <w:t>N</w:t>
      </w:r>
      <w:r>
        <w:rPr>
          <w:rFonts w:ascii="Arial" w:cs="Arial" w:eastAsia="Arial" w:hAnsi="Arial"/>
          <w:sz w:val="11"/>
          <w:szCs w:val="11"/>
          <w:b w:val="1"/>
          <w:bCs w:val="1"/>
          <w:color w:val="auto"/>
        </w:rPr>
        <w:t xml:space="preserve">OT </w:t>
      </w:r>
      <w:r>
        <w:rPr>
          <w:rFonts w:ascii="Arial" w:cs="Arial" w:eastAsia="Arial" w:hAnsi="Arial"/>
          <w:sz w:val="17"/>
          <w:szCs w:val="17"/>
          <w:b w:val="1"/>
          <w:bCs w:val="1"/>
          <w:color w:val="auto"/>
        </w:rPr>
        <w:t>B</w:t>
      </w:r>
      <w:r>
        <w:rPr>
          <w:rFonts w:ascii="Arial" w:cs="Arial" w:eastAsia="Arial" w:hAnsi="Arial"/>
          <w:sz w:val="11"/>
          <w:szCs w:val="11"/>
          <w:b w:val="1"/>
          <w:bCs w:val="1"/>
          <w:color w:val="auto"/>
        </w:rPr>
        <w:t xml:space="preserve">E </w:t>
      </w:r>
      <w:r>
        <w:rPr>
          <w:rFonts w:ascii="Arial" w:cs="Arial" w:eastAsia="Arial" w:hAnsi="Arial"/>
          <w:sz w:val="17"/>
          <w:szCs w:val="17"/>
          <w:b w:val="1"/>
          <w:bCs w:val="1"/>
          <w:color w:val="auto"/>
        </w:rPr>
        <w:t>C</w:t>
      </w:r>
      <w:r>
        <w:rPr>
          <w:rFonts w:ascii="Arial" w:cs="Arial" w:eastAsia="Arial" w:hAnsi="Arial"/>
          <w:sz w:val="11"/>
          <w:szCs w:val="11"/>
          <w:b w:val="1"/>
          <w:bCs w:val="1"/>
          <w:color w:val="auto"/>
        </w:rPr>
        <w:t xml:space="preserve">ONTRADICTED BY </w:t>
      </w:r>
      <w:r>
        <w:rPr>
          <w:rFonts w:ascii="Arial" w:cs="Arial" w:eastAsia="Arial" w:hAnsi="Arial"/>
          <w:sz w:val="17"/>
          <w:szCs w:val="17"/>
          <w:b w:val="1"/>
          <w:bCs w:val="1"/>
          <w:color w:val="auto"/>
        </w:rPr>
        <w:t>E</w:t>
      </w:r>
      <w:r>
        <w:rPr>
          <w:rFonts w:ascii="Arial" w:cs="Arial" w:eastAsia="Arial" w:hAnsi="Arial"/>
          <w:sz w:val="11"/>
          <w:szCs w:val="11"/>
          <w:b w:val="1"/>
          <w:bCs w:val="1"/>
          <w:color w:val="auto"/>
        </w:rPr>
        <w:t xml:space="preserve">VIDENCE OF </w:t>
      </w:r>
      <w:r>
        <w:rPr>
          <w:rFonts w:ascii="Arial" w:cs="Arial" w:eastAsia="Arial" w:hAnsi="Arial"/>
          <w:sz w:val="17"/>
          <w:szCs w:val="17"/>
          <w:b w:val="1"/>
          <w:bCs w:val="1"/>
          <w:color w:val="auto"/>
        </w:rPr>
        <w:t>P</w:t>
      </w:r>
      <w:r>
        <w:rPr>
          <w:rFonts w:ascii="Arial" w:cs="Arial" w:eastAsia="Arial" w:hAnsi="Arial"/>
          <w:sz w:val="11"/>
          <w:szCs w:val="11"/>
          <w:b w:val="1"/>
          <w:bCs w:val="1"/>
          <w:color w:val="auto"/>
        </w:rPr>
        <w:t>RIOR</w:t>
      </w:r>
      <w:r>
        <w:rPr>
          <w:rFonts w:ascii="Arial" w:cs="Arial" w:eastAsia="Arial" w:hAnsi="Arial"/>
          <w:sz w:val="17"/>
          <w:szCs w:val="17"/>
          <w:b w:val="1"/>
          <w:bCs w:val="1"/>
          <w:color w:val="auto"/>
        </w:rPr>
        <w:t>, C</w:t>
      </w:r>
      <w:r>
        <w:rPr>
          <w:rFonts w:ascii="Arial" w:cs="Arial" w:eastAsia="Arial" w:hAnsi="Arial"/>
          <w:sz w:val="11"/>
          <w:szCs w:val="11"/>
          <w:b w:val="1"/>
          <w:bCs w:val="1"/>
          <w:color w:val="auto"/>
        </w:rPr>
        <w:t>ONTEMPORANEOUS</w:t>
      </w:r>
      <w:r>
        <w:rPr>
          <w:rFonts w:ascii="Arial" w:cs="Arial" w:eastAsia="Arial" w:hAnsi="Arial"/>
          <w:sz w:val="17"/>
          <w:szCs w:val="17"/>
          <w:b w:val="1"/>
          <w:bCs w:val="1"/>
          <w:color w:val="auto"/>
        </w:rPr>
        <w:t>,</w:t>
      </w:r>
      <w:r>
        <w:rPr>
          <w:rFonts w:ascii="Arial" w:cs="Arial" w:eastAsia="Arial" w:hAnsi="Arial"/>
          <w:sz w:val="11"/>
          <w:szCs w:val="11"/>
          <w:b w:val="1"/>
          <w:bCs w:val="1"/>
          <w:color w:val="auto"/>
        </w:rPr>
        <w:t xml:space="preserve"> OR </w:t>
      </w:r>
      <w:r>
        <w:rPr>
          <w:rFonts w:ascii="Arial" w:cs="Arial" w:eastAsia="Arial" w:hAnsi="Arial"/>
          <w:sz w:val="17"/>
          <w:szCs w:val="17"/>
          <w:b w:val="1"/>
          <w:bCs w:val="1"/>
          <w:color w:val="auto"/>
        </w:rPr>
        <w:t>S</w:t>
      </w:r>
      <w:r>
        <w:rPr>
          <w:rFonts w:ascii="Arial" w:cs="Arial" w:eastAsia="Arial" w:hAnsi="Arial"/>
          <w:sz w:val="11"/>
          <w:szCs w:val="11"/>
          <w:b w:val="1"/>
          <w:bCs w:val="1"/>
          <w:color w:val="auto"/>
        </w:rPr>
        <w:t xml:space="preserve">UBSEQUENT </w:t>
      </w:r>
      <w:r>
        <w:rPr>
          <w:rFonts w:ascii="Arial" w:cs="Arial" w:eastAsia="Arial" w:hAnsi="Arial"/>
          <w:sz w:val="17"/>
          <w:szCs w:val="17"/>
          <w:b w:val="1"/>
          <w:bCs w:val="1"/>
          <w:color w:val="auto"/>
        </w:rPr>
        <w:t>O</w:t>
      </w:r>
      <w:r>
        <w:rPr>
          <w:rFonts w:ascii="Arial" w:cs="Arial" w:eastAsia="Arial" w:hAnsi="Arial"/>
          <w:sz w:val="11"/>
          <w:szCs w:val="11"/>
          <w:b w:val="1"/>
          <w:bCs w:val="1"/>
          <w:color w:val="auto"/>
        </w:rPr>
        <w:t xml:space="preserve">RAL </w:t>
      </w:r>
      <w:r>
        <w:rPr>
          <w:rFonts w:ascii="Arial" w:cs="Arial" w:eastAsia="Arial" w:hAnsi="Arial"/>
          <w:sz w:val="17"/>
          <w:szCs w:val="17"/>
          <w:b w:val="1"/>
          <w:bCs w:val="1"/>
          <w:color w:val="auto"/>
        </w:rPr>
        <w:t>A</w:t>
      </w:r>
      <w:r>
        <w:rPr>
          <w:rFonts w:ascii="Arial" w:cs="Arial" w:eastAsia="Arial" w:hAnsi="Arial"/>
          <w:sz w:val="11"/>
          <w:szCs w:val="11"/>
          <w:b w:val="1"/>
          <w:bCs w:val="1"/>
          <w:color w:val="auto"/>
        </w:rPr>
        <w:t xml:space="preserve">GREEMENTS BY THE </w:t>
      </w:r>
      <w:r>
        <w:rPr>
          <w:rFonts w:ascii="Arial" w:cs="Arial" w:eastAsia="Arial" w:hAnsi="Arial"/>
          <w:sz w:val="17"/>
          <w:szCs w:val="17"/>
          <w:b w:val="1"/>
          <w:bCs w:val="1"/>
          <w:color w:val="auto"/>
        </w:rPr>
        <w:t>P</w:t>
      </w:r>
      <w:r>
        <w:rPr>
          <w:rFonts w:ascii="Arial" w:cs="Arial" w:eastAsia="Arial" w:hAnsi="Arial"/>
          <w:sz w:val="11"/>
          <w:szCs w:val="11"/>
          <w:b w:val="1"/>
          <w:bCs w:val="1"/>
          <w:color w:val="auto"/>
        </w:rPr>
        <w:t>ARTIES</w:t>
      </w:r>
      <w:r>
        <w:rPr>
          <w:rFonts w:ascii="Arial" w:cs="Arial" w:eastAsia="Arial" w:hAnsi="Arial"/>
          <w:sz w:val="17"/>
          <w:szCs w:val="17"/>
          <w:b w:val="1"/>
          <w:bCs w:val="1"/>
          <w:color w:val="auto"/>
        </w:rPr>
        <w:t>. T</w:t>
      </w:r>
      <w:r>
        <w:rPr>
          <w:rFonts w:ascii="Arial" w:cs="Arial" w:eastAsia="Arial" w:hAnsi="Arial"/>
          <w:sz w:val="11"/>
          <w:szCs w:val="11"/>
          <w:b w:val="1"/>
          <w:bCs w:val="1"/>
          <w:color w:val="auto"/>
        </w:rPr>
        <w:t xml:space="preserve">HERE </w:t>
      </w:r>
      <w:r>
        <w:rPr>
          <w:rFonts w:ascii="Arial" w:cs="Arial" w:eastAsia="Arial" w:hAnsi="Arial"/>
          <w:sz w:val="17"/>
          <w:szCs w:val="17"/>
          <w:b w:val="1"/>
          <w:bCs w:val="1"/>
          <w:color w:val="auto"/>
        </w:rPr>
        <w:t>A</w:t>
      </w:r>
      <w:r>
        <w:rPr>
          <w:rFonts w:ascii="Arial" w:cs="Arial" w:eastAsia="Arial" w:hAnsi="Arial"/>
          <w:sz w:val="11"/>
          <w:szCs w:val="11"/>
          <w:b w:val="1"/>
          <w:bCs w:val="1"/>
          <w:color w:val="auto"/>
        </w:rPr>
        <w:t xml:space="preserve">RE </w:t>
      </w:r>
      <w:r>
        <w:rPr>
          <w:rFonts w:ascii="Arial" w:cs="Arial" w:eastAsia="Arial" w:hAnsi="Arial"/>
          <w:sz w:val="17"/>
          <w:szCs w:val="17"/>
          <w:b w:val="1"/>
          <w:bCs w:val="1"/>
          <w:color w:val="auto"/>
        </w:rPr>
        <w:t>N</w:t>
      </w:r>
      <w:r>
        <w:rPr>
          <w:rFonts w:ascii="Arial" w:cs="Arial" w:eastAsia="Arial" w:hAnsi="Arial"/>
          <w:sz w:val="11"/>
          <w:szCs w:val="11"/>
          <w:b w:val="1"/>
          <w:bCs w:val="1"/>
          <w:color w:val="auto"/>
        </w:rPr>
        <w:t xml:space="preserve">O </w:t>
      </w:r>
      <w:r>
        <w:rPr>
          <w:rFonts w:ascii="Arial" w:cs="Arial" w:eastAsia="Arial" w:hAnsi="Arial"/>
          <w:sz w:val="17"/>
          <w:szCs w:val="17"/>
          <w:b w:val="1"/>
          <w:bCs w:val="1"/>
          <w:color w:val="auto"/>
        </w:rPr>
        <w:t>U</w:t>
      </w:r>
      <w:r>
        <w:rPr>
          <w:rFonts w:ascii="Arial" w:cs="Arial" w:eastAsia="Arial" w:hAnsi="Arial"/>
          <w:sz w:val="11"/>
          <w:szCs w:val="11"/>
          <w:b w:val="1"/>
          <w:bCs w:val="1"/>
          <w:color w:val="auto"/>
        </w:rPr>
        <w:t xml:space="preserve">NWRITTEN </w:t>
      </w:r>
      <w:r>
        <w:rPr>
          <w:rFonts w:ascii="Arial" w:cs="Arial" w:eastAsia="Arial" w:hAnsi="Arial"/>
          <w:sz w:val="17"/>
          <w:szCs w:val="17"/>
          <w:b w:val="1"/>
          <w:bCs w:val="1"/>
          <w:color w:val="auto"/>
        </w:rPr>
        <w:t>O</w:t>
      </w:r>
      <w:r>
        <w:rPr>
          <w:rFonts w:ascii="Arial" w:cs="Arial" w:eastAsia="Arial" w:hAnsi="Arial"/>
          <w:sz w:val="11"/>
          <w:szCs w:val="11"/>
          <w:b w:val="1"/>
          <w:bCs w:val="1"/>
          <w:color w:val="auto"/>
        </w:rPr>
        <w:t>RAL</w:t>
      </w:r>
      <w:r>
        <w:rPr>
          <w:rFonts w:ascii="Arial" w:cs="Arial" w:eastAsia="Arial" w:hAnsi="Arial"/>
          <w:sz w:val="17"/>
          <w:szCs w:val="17"/>
          <w:b w:val="1"/>
          <w:bCs w:val="1"/>
          <w:color w:val="auto"/>
        </w:rPr>
        <w:t xml:space="preserve"> A</w:t>
      </w:r>
      <w:r>
        <w:rPr>
          <w:rFonts w:ascii="Arial" w:cs="Arial" w:eastAsia="Arial" w:hAnsi="Arial"/>
          <w:sz w:val="11"/>
          <w:szCs w:val="11"/>
          <w:b w:val="1"/>
          <w:bCs w:val="1"/>
          <w:color w:val="auto"/>
        </w:rPr>
        <w:t>GREEMENTS AMONG THE</w:t>
      </w:r>
      <w:r>
        <w:rPr>
          <w:rFonts w:ascii="Arial" w:cs="Arial" w:eastAsia="Arial" w:hAnsi="Arial"/>
          <w:sz w:val="17"/>
          <w:szCs w:val="17"/>
          <w:b w:val="1"/>
          <w:bCs w:val="1"/>
          <w:color w:val="auto"/>
        </w:rPr>
        <w:t xml:space="preserve"> P</w:t>
      </w:r>
      <w:r>
        <w:rPr>
          <w:rFonts w:ascii="Arial" w:cs="Arial" w:eastAsia="Arial" w:hAnsi="Arial"/>
          <w:sz w:val="11"/>
          <w:szCs w:val="11"/>
          <w:b w:val="1"/>
          <w:bCs w:val="1"/>
          <w:color w:val="auto"/>
        </w:rPr>
        <w:t>ARTIES</w:t>
      </w:r>
      <w:r>
        <w:rPr>
          <w:rFonts w:ascii="Arial" w:cs="Arial" w:eastAsia="Arial" w:hAnsi="Arial"/>
          <w:sz w:val="17"/>
          <w:szCs w:val="17"/>
          <w:b w:val="1"/>
          <w:bCs w:val="1"/>
          <w:color w:val="auto"/>
        </w:rPr>
        <w:t>.</w:t>
      </w:r>
    </w:p>
    <w:p>
      <w:pPr>
        <w:spacing w:after="0" w:line="198" w:lineRule="exact"/>
        <w:rPr>
          <w:sz w:val="20"/>
          <w:szCs w:val="20"/>
          <w:color w:val="auto"/>
        </w:rPr>
      </w:pPr>
    </w:p>
    <w:p>
      <w:pPr>
        <w:ind w:left="3820"/>
        <w:spacing w:after="0"/>
        <w:rPr>
          <w:sz w:val="20"/>
          <w:szCs w:val="20"/>
          <w:color w:val="auto"/>
        </w:rPr>
      </w:pPr>
      <w:r>
        <w:rPr>
          <w:rFonts w:ascii="Arial" w:cs="Arial" w:eastAsia="Arial" w:hAnsi="Arial"/>
          <w:sz w:val="17"/>
          <w:szCs w:val="17"/>
          <w:i w:val="1"/>
          <w:iCs w:val="1"/>
          <w:color w:val="auto"/>
        </w:rPr>
        <w:t>[Signatures appear on the next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-393700</wp:posOffset>
            </wp:positionH>
            <wp:positionV relativeFrom="paragraph">
              <wp:posOffset>696595</wp:posOffset>
            </wp:positionV>
            <wp:extent cx="7258050" cy="209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800"/>
          </w:cols>
          <w:pgMar w:left="860" w:top="525" w:right="239" w:bottom="1440" w:gutter="0" w:footer="0" w:header="0"/>
        </w:sectPr>
      </w:pPr>
    </w:p>
    <w:bookmarkStart w:id="62" w:name="page63"/>
    <w:bookmarkEnd w:id="62"/>
    <w:p>
      <w:pPr>
        <w:spacing w:after="0"/>
        <w:rPr>
          <w:sz w:val="20"/>
          <w:szCs w:val="20"/>
          <w:color w:val="auto"/>
        </w:rPr>
      </w:pPr>
      <w:r>
        <w:rPr>
          <w:rFonts w:ascii="Arial" w:cs="Arial" w:eastAsia="Arial" w:hAnsi="Arial"/>
          <w:sz w:val="15"/>
          <w:szCs w:val="15"/>
          <w:color w:val="auto"/>
        </w:rPr>
        <w:t>This First Amendment to Loan Agreement is executed as of the date set forth in the opening paragraph hereof.</w:t>
      </w:r>
    </w:p>
    <w:p>
      <w:pPr>
        <w:sectPr>
          <w:pgSz w:w="11900" w:h="16838" w:orient="portrait"/>
          <w:cols w:equalWidth="0" w:num="1">
            <w:col w:w="9599"/>
          </w:cols>
          <w:pgMar w:left="860" w:top="499" w:right="1440" w:bottom="1440" w:gutter="0" w:footer="0" w:header="0"/>
        </w:sectPr>
      </w:pPr>
    </w:p>
    <w:p>
      <w:pPr>
        <w:spacing w:after="0" w:line="258" w:lineRule="exact"/>
        <w:rPr>
          <w:sz w:val="20"/>
          <w:szCs w:val="20"/>
          <w:color w:val="auto"/>
        </w:rPr>
      </w:pPr>
    </w:p>
    <w:p>
      <w:pPr>
        <w:ind w:left="3080"/>
        <w:spacing w:after="0"/>
        <w:rPr>
          <w:sz w:val="20"/>
          <w:szCs w:val="20"/>
          <w:color w:val="auto"/>
        </w:rPr>
      </w:pPr>
      <w:r>
        <w:rPr>
          <w:rFonts w:ascii="Arial" w:cs="Arial" w:eastAsia="Arial" w:hAnsi="Arial"/>
          <w:sz w:val="17"/>
          <w:szCs w:val="17"/>
          <w:b w:val="1"/>
          <w:bCs w:val="1"/>
          <w:color w:val="auto"/>
        </w:rPr>
        <w:t>AGENT:</w:t>
      </w:r>
    </w:p>
    <w:p>
      <w:pPr>
        <w:spacing w:after="0" w:line="241" w:lineRule="exact"/>
        <w:rPr>
          <w:sz w:val="20"/>
          <w:szCs w:val="20"/>
          <w:color w:val="auto"/>
        </w:rPr>
      </w:pPr>
    </w:p>
    <w:p>
      <w:pPr>
        <w:ind w:left="3080"/>
        <w:spacing w:after="0"/>
        <w:rPr>
          <w:sz w:val="20"/>
          <w:szCs w:val="20"/>
          <w:color w:val="auto"/>
        </w:rPr>
      </w:pPr>
      <w:r>
        <w:rPr>
          <w:rFonts w:ascii="Arial" w:cs="Arial" w:eastAsia="Arial" w:hAnsi="Arial"/>
          <w:sz w:val="17"/>
          <w:szCs w:val="17"/>
          <w:b w:val="1"/>
          <w:bCs w:val="1"/>
          <w:color w:val="auto"/>
        </w:rPr>
        <w:t>D</w:t>
      </w:r>
      <w:r>
        <w:rPr>
          <w:rFonts w:ascii="Arial" w:cs="Arial" w:eastAsia="Arial" w:hAnsi="Arial"/>
          <w:sz w:val="11"/>
          <w:szCs w:val="11"/>
          <w:b w:val="1"/>
          <w:bCs w:val="1"/>
          <w:color w:val="auto"/>
        </w:rPr>
        <w:t>EERPATH</w:t>
      </w:r>
      <w:r>
        <w:rPr>
          <w:rFonts w:ascii="Arial" w:cs="Arial" w:eastAsia="Arial" w:hAnsi="Arial"/>
          <w:sz w:val="17"/>
          <w:szCs w:val="17"/>
          <w:b w:val="1"/>
          <w:bCs w:val="1"/>
          <w:color w:val="auto"/>
        </w:rPr>
        <w:t xml:space="preserve"> F</w:t>
      </w:r>
      <w:r>
        <w:rPr>
          <w:rFonts w:ascii="Arial" w:cs="Arial" w:eastAsia="Arial" w:hAnsi="Arial"/>
          <w:sz w:val="11"/>
          <w:szCs w:val="11"/>
          <w:b w:val="1"/>
          <w:bCs w:val="1"/>
          <w:color w:val="auto"/>
        </w:rPr>
        <w:t>UNDING</w:t>
      </w:r>
      <w:r>
        <w:rPr>
          <w:rFonts w:ascii="Arial" w:cs="Arial" w:eastAsia="Arial" w:hAnsi="Arial"/>
          <w:sz w:val="17"/>
          <w:szCs w:val="17"/>
          <w:b w:val="1"/>
          <w:bCs w:val="1"/>
          <w:color w:val="auto"/>
        </w:rPr>
        <w:t>, LP</w:t>
      </w:r>
    </w:p>
    <w:p>
      <w:pPr>
        <w:spacing w:after="0" w:line="247" w:lineRule="exact"/>
        <w:rPr>
          <w:sz w:val="20"/>
          <w:szCs w:val="20"/>
          <w:color w:val="auto"/>
        </w:rPr>
      </w:pPr>
    </w:p>
    <w:p>
      <w:pPr>
        <w:ind w:left="3080"/>
        <w:spacing w:after="0"/>
        <w:rPr>
          <w:sz w:val="20"/>
          <w:szCs w:val="20"/>
          <w:color w:val="auto"/>
        </w:rPr>
      </w:pPr>
      <w:r>
        <w:rPr>
          <w:rFonts w:ascii="Arial" w:cs="Arial" w:eastAsia="Arial" w:hAnsi="Arial"/>
          <w:sz w:val="17"/>
          <w:szCs w:val="17"/>
          <w:color w:val="auto"/>
        </w:rPr>
        <w:t>a Delaware limited partnership,</w:t>
      </w:r>
    </w:p>
    <w:p>
      <w:pPr>
        <w:spacing w:after="0" w:line="241" w:lineRule="exact"/>
        <w:rPr>
          <w:sz w:val="20"/>
          <w:szCs w:val="20"/>
          <w:color w:val="auto"/>
        </w:rPr>
      </w:pPr>
    </w:p>
    <w:p>
      <w:pPr>
        <w:ind w:left="3080"/>
        <w:spacing w:after="0"/>
        <w:rPr>
          <w:sz w:val="20"/>
          <w:szCs w:val="20"/>
          <w:color w:val="auto"/>
        </w:rPr>
      </w:pPr>
      <w:r>
        <w:rPr>
          <w:rFonts w:ascii="Arial" w:cs="Arial" w:eastAsia="Arial" w:hAnsi="Arial"/>
          <w:sz w:val="17"/>
          <w:szCs w:val="17"/>
          <w:color w:val="auto"/>
        </w:rPr>
        <w:t>as Agent</w:t>
      </w:r>
    </w:p>
    <w:p>
      <w:pPr>
        <w:spacing w:after="0" w:line="200" w:lineRule="exact"/>
        <w:rPr>
          <w:sz w:val="20"/>
          <w:szCs w:val="20"/>
          <w:color w:val="auto"/>
        </w:rPr>
      </w:pPr>
    </w:p>
    <w:p>
      <w:pPr>
        <w:spacing w:after="0" w:line="272" w:lineRule="exact"/>
        <w:rPr>
          <w:sz w:val="20"/>
          <w:szCs w:val="20"/>
          <w:color w:val="auto"/>
        </w:rPr>
      </w:pPr>
    </w:p>
    <w:p>
      <w:pPr>
        <w:ind w:left="3080"/>
        <w:spacing w:after="0"/>
        <w:tabs>
          <w:tab w:leader="none" w:pos="374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5"/>
          <w:szCs w:val="15"/>
          <w:color w:val="auto"/>
        </w:rPr>
        <w:t>Deerpath Funding General Partner, Inc.</w:t>
      </w:r>
    </w:p>
    <w:p>
      <w:pPr>
        <w:spacing w:after="0" w:line="264" w:lineRule="exact"/>
        <w:rPr>
          <w:sz w:val="20"/>
          <w:szCs w:val="20"/>
          <w:color w:val="auto"/>
        </w:rPr>
      </w:pPr>
    </w:p>
    <w:p>
      <w:pPr>
        <w:ind w:left="3700"/>
        <w:spacing w:after="0"/>
        <w:rPr>
          <w:sz w:val="20"/>
          <w:szCs w:val="20"/>
          <w:color w:val="auto"/>
        </w:rPr>
      </w:pPr>
      <w:r>
        <w:rPr>
          <w:rFonts w:ascii="Arial" w:cs="Arial" w:eastAsia="Arial" w:hAnsi="Arial"/>
          <w:sz w:val="17"/>
          <w:szCs w:val="17"/>
          <w:color w:val="auto"/>
        </w:rPr>
        <w:t>its general partner</w:t>
      </w:r>
    </w:p>
    <w:p>
      <w:pPr>
        <w:spacing w:after="0" w:line="200" w:lineRule="exact"/>
        <w:rPr>
          <w:sz w:val="20"/>
          <w:szCs w:val="20"/>
          <w:color w:val="auto"/>
        </w:rPr>
      </w:pPr>
    </w:p>
    <w:p>
      <w:pPr>
        <w:spacing w:after="0" w:line="272" w:lineRule="exact"/>
        <w:rPr>
          <w:sz w:val="20"/>
          <w:szCs w:val="20"/>
          <w:color w:val="auto"/>
        </w:rPr>
      </w:pPr>
    </w:p>
    <w:p>
      <w:pPr>
        <w:ind w:left="3700"/>
        <w:spacing w:after="0"/>
        <w:rPr>
          <w:sz w:val="20"/>
          <w:szCs w:val="20"/>
          <w:color w:val="auto"/>
        </w:rPr>
      </w:pPr>
      <w:r>
        <w:rPr>
          <w:rFonts w:ascii="Arial" w:cs="Arial" w:eastAsia="Arial" w:hAnsi="Arial"/>
          <w:sz w:val="17"/>
          <w:szCs w:val="17"/>
          <w:color w:val="auto"/>
        </w:rPr>
        <w:t>By: /s/ James H. Kirby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2530475</wp:posOffset>
            </wp:positionH>
            <wp:positionV relativeFrom="paragraph">
              <wp:posOffset>-9525</wp:posOffset>
            </wp:positionV>
            <wp:extent cx="137858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378585" cy="8255"/>
                    </a:xfrm>
                    <a:prstGeom prst="rect">
                      <a:avLst/>
                    </a:prstGeom>
                    <a:noFill/>
                  </pic:spPr>
                </pic:pic>
              </a:graphicData>
            </a:graphic>
          </wp:anchor>
        </w:drawing>
      </w:r>
    </w:p>
    <w:p>
      <w:pPr>
        <w:spacing w:after="0" w:line="1" w:lineRule="exact"/>
        <w:rPr>
          <w:sz w:val="20"/>
          <w:szCs w:val="20"/>
          <w:color w:val="auto"/>
        </w:rPr>
      </w:pPr>
    </w:p>
    <w:p>
      <w:pPr>
        <w:ind w:left="3700"/>
        <w:spacing w:after="0"/>
        <w:rPr>
          <w:sz w:val="20"/>
          <w:szCs w:val="20"/>
          <w:color w:val="auto"/>
        </w:rPr>
      </w:pPr>
      <w:r>
        <w:rPr>
          <w:rFonts w:ascii="Arial" w:cs="Arial" w:eastAsia="Arial" w:hAnsi="Arial"/>
          <w:sz w:val="17"/>
          <w:szCs w:val="17"/>
          <w:color w:val="auto"/>
        </w:rPr>
        <w:t>Name: James H. Kirby</w:t>
      </w:r>
    </w:p>
    <w:p>
      <w:pPr>
        <w:spacing w:after="0" w:line="10" w:lineRule="exact"/>
        <w:rPr>
          <w:sz w:val="20"/>
          <w:szCs w:val="20"/>
          <w:color w:val="auto"/>
        </w:rPr>
      </w:pPr>
    </w:p>
    <w:p>
      <w:pPr>
        <w:ind w:left="3700"/>
        <w:spacing w:after="0"/>
        <w:rPr>
          <w:sz w:val="20"/>
          <w:szCs w:val="20"/>
          <w:color w:val="auto"/>
        </w:rPr>
      </w:pPr>
      <w:r>
        <w:rPr>
          <w:rFonts w:ascii="Arial" w:cs="Arial" w:eastAsia="Arial" w:hAnsi="Arial"/>
          <w:sz w:val="17"/>
          <w:szCs w:val="17"/>
          <w:color w:val="auto"/>
        </w:rPr>
        <w:t>Title: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3080"/>
        <w:spacing w:after="0"/>
        <w:rPr>
          <w:sz w:val="20"/>
          <w:szCs w:val="20"/>
          <w:color w:val="auto"/>
        </w:rPr>
      </w:pPr>
      <w:r>
        <w:rPr>
          <w:rFonts w:ascii="Arial" w:cs="Arial" w:eastAsia="Arial" w:hAnsi="Arial"/>
          <w:sz w:val="17"/>
          <w:szCs w:val="17"/>
          <w:b w:val="1"/>
          <w:bCs w:val="1"/>
          <w:color w:val="auto"/>
        </w:rPr>
        <w:t>LENDER:</w:t>
      </w:r>
    </w:p>
    <w:p>
      <w:pPr>
        <w:spacing w:after="0" w:line="241" w:lineRule="exact"/>
        <w:rPr>
          <w:sz w:val="20"/>
          <w:szCs w:val="20"/>
          <w:color w:val="auto"/>
        </w:rPr>
      </w:pPr>
    </w:p>
    <w:p>
      <w:pPr>
        <w:ind w:left="3080"/>
        <w:spacing w:after="0"/>
        <w:rPr>
          <w:sz w:val="20"/>
          <w:szCs w:val="20"/>
          <w:color w:val="auto"/>
        </w:rPr>
      </w:pPr>
      <w:r>
        <w:rPr>
          <w:rFonts w:ascii="Arial" w:cs="Arial" w:eastAsia="Arial" w:hAnsi="Arial"/>
          <w:sz w:val="17"/>
          <w:szCs w:val="17"/>
          <w:b w:val="1"/>
          <w:bCs w:val="1"/>
          <w:color w:val="auto"/>
        </w:rPr>
        <w:t>D</w:t>
      </w:r>
      <w:r>
        <w:rPr>
          <w:rFonts w:ascii="Arial" w:cs="Arial" w:eastAsia="Arial" w:hAnsi="Arial"/>
          <w:sz w:val="11"/>
          <w:szCs w:val="11"/>
          <w:b w:val="1"/>
          <w:bCs w:val="1"/>
          <w:color w:val="auto"/>
        </w:rPr>
        <w:t>EERPATH</w:t>
      </w:r>
      <w:r>
        <w:rPr>
          <w:rFonts w:ascii="Arial" w:cs="Arial" w:eastAsia="Arial" w:hAnsi="Arial"/>
          <w:sz w:val="17"/>
          <w:szCs w:val="17"/>
          <w:b w:val="1"/>
          <w:bCs w:val="1"/>
          <w:color w:val="auto"/>
        </w:rPr>
        <w:t xml:space="preserve"> F</w:t>
      </w:r>
      <w:r>
        <w:rPr>
          <w:rFonts w:ascii="Arial" w:cs="Arial" w:eastAsia="Arial" w:hAnsi="Arial"/>
          <w:sz w:val="11"/>
          <w:szCs w:val="11"/>
          <w:b w:val="1"/>
          <w:bCs w:val="1"/>
          <w:color w:val="auto"/>
        </w:rPr>
        <w:t>UNDING</w:t>
      </w:r>
      <w:r>
        <w:rPr>
          <w:rFonts w:ascii="Arial" w:cs="Arial" w:eastAsia="Arial" w:hAnsi="Arial"/>
          <w:sz w:val="17"/>
          <w:szCs w:val="17"/>
          <w:b w:val="1"/>
          <w:bCs w:val="1"/>
          <w:color w:val="auto"/>
        </w:rPr>
        <w:t>, LP</w:t>
      </w:r>
    </w:p>
    <w:p>
      <w:pPr>
        <w:spacing w:after="0" w:line="247" w:lineRule="exact"/>
        <w:rPr>
          <w:sz w:val="20"/>
          <w:szCs w:val="20"/>
          <w:color w:val="auto"/>
        </w:rPr>
      </w:pPr>
    </w:p>
    <w:p>
      <w:pPr>
        <w:ind w:left="3080"/>
        <w:spacing w:after="0"/>
        <w:rPr>
          <w:sz w:val="20"/>
          <w:szCs w:val="20"/>
          <w:color w:val="auto"/>
        </w:rPr>
      </w:pPr>
      <w:r>
        <w:rPr>
          <w:rFonts w:ascii="Arial" w:cs="Arial" w:eastAsia="Arial" w:hAnsi="Arial"/>
          <w:sz w:val="17"/>
          <w:szCs w:val="17"/>
          <w:color w:val="auto"/>
        </w:rPr>
        <w:t>a Delaware limited partnership,</w:t>
      </w:r>
    </w:p>
    <w:p>
      <w:pPr>
        <w:spacing w:after="0" w:line="241" w:lineRule="exact"/>
        <w:rPr>
          <w:sz w:val="20"/>
          <w:szCs w:val="20"/>
          <w:color w:val="auto"/>
        </w:rPr>
      </w:pPr>
    </w:p>
    <w:p>
      <w:pPr>
        <w:ind w:left="3080"/>
        <w:spacing w:after="0"/>
        <w:rPr>
          <w:sz w:val="20"/>
          <w:szCs w:val="20"/>
          <w:color w:val="auto"/>
        </w:rPr>
      </w:pPr>
      <w:r>
        <w:rPr>
          <w:rFonts w:ascii="Arial" w:cs="Arial" w:eastAsia="Arial" w:hAnsi="Arial"/>
          <w:sz w:val="17"/>
          <w:szCs w:val="17"/>
          <w:color w:val="auto"/>
        </w:rPr>
        <w:t>as Lender</w:t>
      </w:r>
    </w:p>
    <w:p>
      <w:pPr>
        <w:spacing w:after="0" w:line="200" w:lineRule="exact"/>
        <w:rPr>
          <w:sz w:val="20"/>
          <w:szCs w:val="20"/>
          <w:color w:val="auto"/>
        </w:rPr>
      </w:pPr>
    </w:p>
    <w:p>
      <w:pPr>
        <w:spacing w:after="0" w:line="272" w:lineRule="exact"/>
        <w:rPr>
          <w:sz w:val="20"/>
          <w:szCs w:val="20"/>
          <w:color w:val="auto"/>
        </w:rPr>
      </w:pPr>
    </w:p>
    <w:p>
      <w:pPr>
        <w:ind w:left="3080"/>
        <w:spacing w:after="0"/>
        <w:tabs>
          <w:tab w:leader="none" w:pos="374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5"/>
          <w:szCs w:val="15"/>
          <w:color w:val="auto"/>
        </w:rPr>
        <w:t>Deerpath Funding General Partner, Inc.</w:t>
      </w:r>
    </w:p>
    <w:p>
      <w:pPr>
        <w:spacing w:after="0" w:line="264" w:lineRule="exact"/>
        <w:rPr>
          <w:sz w:val="20"/>
          <w:szCs w:val="20"/>
          <w:color w:val="auto"/>
        </w:rPr>
      </w:pPr>
    </w:p>
    <w:p>
      <w:pPr>
        <w:ind w:left="3700"/>
        <w:spacing w:after="0"/>
        <w:rPr>
          <w:sz w:val="20"/>
          <w:szCs w:val="20"/>
          <w:color w:val="auto"/>
        </w:rPr>
      </w:pPr>
      <w:r>
        <w:rPr>
          <w:rFonts w:ascii="Arial" w:cs="Arial" w:eastAsia="Arial" w:hAnsi="Arial"/>
          <w:sz w:val="17"/>
          <w:szCs w:val="17"/>
          <w:color w:val="auto"/>
        </w:rPr>
        <w:t>its general partner</w:t>
      </w:r>
    </w:p>
    <w:p>
      <w:pPr>
        <w:spacing w:after="0" w:line="200" w:lineRule="exact"/>
        <w:rPr>
          <w:sz w:val="20"/>
          <w:szCs w:val="20"/>
          <w:color w:val="auto"/>
        </w:rPr>
      </w:pPr>
    </w:p>
    <w:p>
      <w:pPr>
        <w:spacing w:after="0" w:line="272" w:lineRule="exact"/>
        <w:rPr>
          <w:sz w:val="20"/>
          <w:szCs w:val="20"/>
          <w:color w:val="auto"/>
        </w:rPr>
      </w:pPr>
    </w:p>
    <w:p>
      <w:pPr>
        <w:ind w:left="3700"/>
        <w:spacing w:after="0"/>
        <w:rPr>
          <w:sz w:val="20"/>
          <w:szCs w:val="20"/>
          <w:color w:val="auto"/>
        </w:rPr>
      </w:pPr>
      <w:r>
        <w:rPr>
          <w:rFonts w:ascii="Arial" w:cs="Arial" w:eastAsia="Arial" w:hAnsi="Arial"/>
          <w:sz w:val="17"/>
          <w:szCs w:val="17"/>
          <w:color w:val="auto"/>
        </w:rPr>
        <w:t>By: /s/ James H. Kirby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2530475</wp:posOffset>
            </wp:positionH>
            <wp:positionV relativeFrom="paragraph">
              <wp:posOffset>-9525</wp:posOffset>
            </wp:positionV>
            <wp:extent cx="137858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378585" cy="8255"/>
                    </a:xfrm>
                    <a:prstGeom prst="rect">
                      <a:avLst/>
                    </a:prstGeom>
                    <a:noFill/>
                  </pic:spPr>
                </pic:pic>
              </a:graphicData>
            </a:graphic>
          </wp:anchor>
        </w:drawing>
      </w:r>
    </w:p>
    <w:p>
      <w:pPr>
        <w:spacing w:after="0" w:line="1" w:lineRule="exact"/>
        <w:rPr>
          <w:sz w:val="20"/>
          <w:szCs w:val="20"/>
          <w:color w:val="auto"/>
        </w:rPr>
      </w:pPr>
    </w:p>
    <w:p>
      <w:pPr>
        <w:ind w:left="3700"/>
        <w:spacing w:after="0"/>
        <w:rPr>
          <w:sz w:val="20"/>
          <w:szCs w:val="20"/>
          <w:color w:val="auto"/>
        </w:rPr>
      </w:pPr>
      <w:r>
        <w:rPr>
          <w:rFonts w:ascii="Arial" w:cs="Arial" w:eastAsia="Arial" w:hAnsi="Arial"/>
          <w:sz w:val="17"/>
          <w:szCs w:val="17"/>
          <w:color w:val="auto"/>
        </w:rPr>
        <w:t>Name: James H. Kirby</w:t>
      </w:r>
    </w:p>
    <w:p>
      <w:pPr>
        <w:spacing w:after="0" w:line="10" w:lineRule="exact"/>
        <w:rPr>
          <w:sz w:val="20"/>
          <w:szCs w:val="20"/>
          <w:color w:val="auto"/>
        </w:rPr>
      </w:pPr>
    </w:p>
    <w:p>
      <w:pPr>
        <w:ind w:left="3700"/>
        <w:spacing w:after="0"/>
        <w:rPr>
          <w:sz w:val="20"/>
          <w:szCs w:val="20"/>
          <w:color w:val="auto"/>
        </w:rPr>
      </w:pPr>
      <w:r>
        <w:rPr>
          <w:rFonts w:ascii="Arial" w:cs="Arial" w:eastAsia="Arial" w:hAnsi="Arial"/>
          <w:sz w:val="17"/>
          <w:szCs w:val="17"/>
          <w:color w:val="auto"/>
        </w:rPr>
        <w:t>Title: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-393700</wp:posOffset>
            </wp:positionH>
            <wp:positionV relativeFrom="paragraph">
              <wp:posOffset>396240</wp:posOffset>
            </wp:positionV>
            <wp:extent cx="7258050" cy="209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9599"/>
          </w:cols>
          <w:pgMar w:left="860" w:top="499" w:right="1440" w:bottom="1440" w:gutter="0" w:footer="0" w:header="0"/>
          <w:type w:val="continuous"/>
        </w:sectPr>
      </w:pPr>
    </w:p>
    <w:bookmarkStart w:id="63" w:name="page64"/>
    <w:bookmarkEnd w:id="63"/>
    <w:p>
      <w:pPr>
        <w:ind w:left="2500"/>
        <w:spacing w:after="0"/>
        <w:rPr>
          <w:sz w:val="20"/>
          <w:szCs w:val="20"/>
          <w:color w:val="auto"/>
        </w:rPr>
      </w:pPr>
      <w:r>
        <w:rPr>
          <w:rFonts w:ascii="Arial" w:cs="Arial" w:eastAsia="Arial" w:hAnsi="Arial"/>
          <w:sz w:val="17"/>
          <w:szCs w:val="17"/>
          <w:b w:val="1"/>
          <w:bCs w:val="1"/>
          <w:color w:val="auto"/>
        </w:rPr>
        <w:t>BORROWERS:</w:t>
      </w:r>
    </w:p>
    <w:p>
      <w:pPr>
        <w:spacing w:after="0" w:line="200" w:lineRule="exact"/>
        <w:rPr>
          <w:sz w:val="20"/>
          <w:szCs w:val="20"/>
          <w:color w:val="auto"/>
        </w:rPr>
      </w:pPr>
    </w:p>
    <w:p>
      <w:pPr>
        <w:spacing w:after="0" w:line="272" w:lineRule="exact"/>
        <w:rPr>
          <w:sz w:val="20"/>
          <w:szCs w:val="20"/>
          <w:color w:val="auto"/>
        </w:rPr>
      </w:pPr>
    </w:p>
    <w:p>
      <w:pPr>
        <w:ind w:left="2500"/>
        <w:spacing w:after="0"/>
        <w:rPr>
          <w:sz w:val="20"/>
          <w:szCs w:val="20"/>
          <w:color w:val="auto"/>
        </w:rPr>
      </w:pPr>
      <w:r>
        <w:rPr>
          <w:rFonts w:ascii="Arial" w:cs="Arial" w:eastAsia="Arial" w:hAnsi="Arial"/>
          <w:sz w:val="17"/>
          <w:szCs w:val="17"/>
          <w:b w:val="1"/>
          <w:bCs w:val="1"/>
          <w:color w:val="auto"/>
        </w:rPr>
        <w:t>A</w:t>
      </w:r>
      <w:r>
        <w:rPr>
          <w:rFonts w:ascii="Arial" w:cs="Arial" w:eastAsia="Arial" w:hAnsi="Arial"/>
          <w:sz w:val="11"/>
          <w:szCs w:val="11"/>
          <w:b w:val="1"/>
          <w:bCs w:val="1"/>
          <w:color w:val="auto"/>
        </w:rPr>
        <w:t>SURE</w:t>
      </w:r>
      <w:r>
        <w:rPr>
          <w:rFonts w:ascii="Arial" w:cs="Arial" w:eastAsia="Arial" w:hAnsi="Arial"/>
          <w:sz w:val="17"/>
          <w:szCs w:val="17"/>
          <w:b w:val="1"/>
          <w:bCs w:val="1"/>
          <w:color w:val="auto"/>
        </w:rPr>
        <w:t xml:space="preserve"> S</w:t>
      </w:r>
      <w:r>
        <w:rPr>
          <w:rFonts w:ascii="Arial" w:cs="Arial" w:eastAsia="Arial" w:hAnsi="Arial"/>
          <w:sz w:val="11"/>
          <w:szCs w:val="11"/>
          <w:b w:val="1"/>
          <w:bCs w:val="1"/>
          <w:color w:val="auto"/>
        </w:rPr>
        <w:t>OFTWARE</w:t>
      </w:r>
      <w:r>
        <w:rPr>
          <w:rFonts w:ascii="Arial" w:cs="Arial" w:eastAsia="Arial" w:hAnsi="Arial"/>
          <w:sz w:val="17"/>
          <w:szCs w:val="17"/>
          <w:b w:val="1"/>
          <w:bCs w:val="1"/>
          <w:color w:val="auto"/>
        </w:rPr>
        <w:t>, I</w:t>
      </w:r>
      <w:r>
        <w:rPr>
          <w:rFonts w:ascii="Arial" w:cs="Arial" w:eastAsia="Arial" w:hAnsi="Arial"/>
          <w:sz w:val="11"/>
          <w:szCs w:val="11"/>
          <w:b w:val="1"/>
          <w:bCs w:val="1"/>
          <w:color w:val="auto"/>
        </w:rPr>
        <w:t>NC</w:t>
      </w:r>
      <w:r>
        <w:rPr>
          <w:rFonts w:ascii="Arial" w:cs="Arial" w:eastAsia="Arial" w:hAnsi="Arial"/>
          <w:sz w:val="17"/>
          <w:szCs w:val="17"/>
          <w:b w:val="1"/>
          <w:bCs w:val="1"/>
          <w:color w:val="auto"/>
        </w:rPr>
        <w:t>.</w:t>
      </w:r>
    </w:p>
    <w:p>
      <w:pPr>
        <w:spacing w:after="0" w:line="247" w:lineRule="exact"/>
        <w:rPr>
          <w:sz w:val="20"/>
          <w:szCs w:val="20"/>
          <w:color w:val="auto"/>
        </w:rPr>
      </w:pPr>
    </w:p>
    <w:p>
      <w:pPr>
        <w:ind w:left="2500"/>
        <w:spacing w:after="0"/>
        <w:rPr>
          <w:sz w:val="20"/>
          <w:szCs w:val="20"/>
          <w:color w:val="auto"/>
        </w:rPr>
      </w:pPr>
      <w:r>
        <w:rPr>
          <w:rFonts w:ascii="Arial" w:cs="Arial" w:eastAsia="Arial" w:hAnsi="Arial"/>
          <w:sz w:val="17"/>
          <w:szCs w:val="17"/>
          <w:color w:val="auto"/>
        </w:rPr>
        <w:t>a Delaware corporation</w:t>
      </w:r>
    </w:p>
    <w:p>
      <w:pPr>
        <w:spacing w:after="0" w:line="200" w:lineRule="exact"/>
        <w:rPr>
          <w:sz w:val="20"/>
          <w:szCs w:val="20"/>
          <w:color w:val="auto"/>
        </w:rPr>
      </w:pPr>
    </w:p>
    <w:p>
      <w:pPr>
        <w:spacing w:after="0" w:line="272" w:lineRule="exact"/>
        <w:rPr>
          <w:sz w:val="20"/>
          <w:szCs w:val="20"/>
          <w:color w:val="auto"/>
        </w:rPr>
      </w:pPr>
    </w:p>
    <w:p>
      <w:pPr>
        <w:ind w:left="2500"/>
        <w:spacing w:after="0"/>
        <w:rPr>
          <w:sz w:val="20"/>
          <w:szCs w:val="20"/>
          <w:color w:val="auto"/>
        </w:rPr>
      </w:pPr>
      <w:r>
        <w:rPr>
          <w:rFonts w:ascii="Arial" w:cs="Arial" w:eastAsia="Arial" w:hAnsi="Arial"/>
          <w:sz w:val="17"/>
          <w:szCs w:val="17"/>
          <w:color w:val="auto"/>
        </w:rPr>
        <w:t>By: /s/ Patrick Goepel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1771015</wp:posOffset>
            </wp:positionH>
            <wp:positionV relativeFrom="paragraph">
              <wp:posOffset>-9525</wp:posOffset>
            </wp:positionV>
            <wp:extent cx="181038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810385" cy="8255"/>
                    </a:xfrm>
                    <a:prstGeom prst="rect">
                      <a:avLst/>
                    </a:prstGeom>
                    <a:noFill/>
                  </pic:spPr>
                </pic:pic>
              </a:graphicData>
            </a:graphic>
          </wp:anchor>
        </w:drawing>
      </w:r>
    </w:p>
    <w:p>
      <w:pPr>
        <w:spacing w:after="0" w:line="1" w:lineRule="exact"/>
        <w:rPr>
          <w:sz w:val="20"/>
          <w:szCs w:val="20"/>
          <w:color w:val="auto"/>
        </w:rPr>
      </w:pPr>
    </w:p>
    <w:p>
      <w:pPr>
        <w:ind w:left="2500"/>
        <w:spacing w:after="0"/>
        <w:rPr>
          <w:sz w:val="20"/>
          <w:szCs w:val="20"/>
          <w:color w:val="auto"/>
        </w:rPr>
      </w:pPr>
      <w:r>
        <w:rPr>
          <w:rFonts w:ascii="Arial" w:cs="Arial" w:eastAsia="Arial" w:hAnsi="Arial"/>
          <w:sz w:val="17"/>
          <w:szCs w:val="17"/>
          <w:color w:val="auto"/>
        </w:rPr>
        <w:t>Name: Patrick Goepel</w:t>
      </w:r>
    </w:p>
    <w:p>
      <w:pPr>
        <w:spacing w:after="0" w:line="10" w:lineRule="exact"/>
        <w:rPr>
          <w:sz w:val="20"/>
          <w:szCs w:val="20"/>
          <w:color w:val="auto"/>
        </w:rPr>
      </w:pPr>
    </w:p>
    <w:p>
      <w:pPr>
        <w:ind w:left="2500"/>
        <w:spacing w:after="0"/>
        <w:rPr>
          <w:sz w:val="20"/>
          <w:szCs w:val="20"/>
          <w:color w:val="auto"/>
        </w:rPr>
      </w:pPr>
      <w:r>
        <w:rPr>
          <w:rFonts w:ascii="Arial" w:cs="Arial" w:eastAsia="Arial" w:hAnsi="Arial"/>
          <w:sz w:val="17"/>
          <w:szCs w:val="17"/>
          <w:color w:val="auto"/>
        </w:rPr>
        <w:t>Title: Chief Executive Officer</w:t>
      </w:r>
    </w:p>
    <w:p>
      <w:pPr>
        <w:spacing w:after="0" w:line="200" w:lineRule="exact"/>
        <w:rPr>
          <w:sz w:val="20"/>
          <w:szCs w:val="20"/>
          <w:color w:val="auto"/>
        </w:rPr>
      </w:pPr>
    </w:p>
    <w:p>
      <w:pPr>
        <w:spacing w:after="0" w:line="255" w:lineRule="exact"/>
        <w:rPr>
          <w:sz w:val="20"/>
          <w:szCs w:val="20"/>
          <w:color w:val="auto"/>
        </w:rPr>
      </w:pPr>
    </w:p>
    <w:p>
      <w:pPr>
        <w:ind w:left="2500"/>
        <w:spacing w:after="0"/>
        <w:rPr>
          <w:sz w:val="20"/>
          <w:szCs w:val="20"/>
          <w:color w:val="auto"/>
        </w:rPr>
      </w:pPr>
      <w:r>
        <w:rPr>
          <w:rFonts w:ascii="Arial" w:cs="Arial" w:eastAsia="Arial" w:hAnsi="Arial"/>
          <w:sz w:val="17"/>
          <w:szCs w:val="17"/>
          <w:b w:val="1"/>
          <w:bCs w:val="1"/>
          <w:color w:val="auto"/>
        </w:rPr>
        <w:t>ADI S</w:t>
      </w:r>
      <w:r>
        <w:rPr>
          <w:rFonts w:ascii="Arial" w:cs="Arial" w:eastAsia="Arial" w:hAnsi="Arial"/>
          <w:sz w:val="11"/>
          <w:szCs w:val="11"/>
          <w:b w:val="1"/>
          <w:bCs w:val="1"/>
          <w:color w:val="auto"/>
        </w:rPr>
        <w:t>OFTWARE</w:t>
      </w:r>
      <w:r>
        <w:rPr>
          <w:rFonts w:ascii="Arial" w:cs="Arial" w:eastAsia="Arial" w:hAnsi="Arial"/>
          <w:sz w:val="17"/>
          <w:szCs w:val="17"/>
          <w:b w:val="1"/>
          <w:bCs w:val="1"/>
          <w:color w:val="auto"/>
        </w:rPr>
        <w:t>, LLC</w:t>
      </w:r>
    </w:p>
    <w:p>
      <w:pPr>
        <w:spacing w:after="0" w:line="247" w:lineRule="exact"/>
        <w:rPr>
          <w:sz w:val="20"/>
          <w:szCs w:val="20"/>
          <w:color w:val="auto"/>
        </w:rPr>
      </w:pPr>
    </w:p>
    <w:p>
      <w:pPr>
        <w:ind w:left="2500"/>
        <w:spacing w:after="0"/>
        <w:rPr>
          <w:sz w:val="20"/>
          <w:szCs w:val="20"/>
          <w:color w:val="auto"/>
        </w:rPr>
      </w:pPr>
      <w:r>
        <w:rPr>
          <w:rFonts w:ascii="Arial" w:cs="Arial" w:eastAsia="Arial" w:hAnsi="Arial"/>
          <w:sz w:val="16"/>
          <w:szCs w:val="16"/>
          <w:color w:val="auto"/>
        </w:rPr>
        <w:t>a Delaware limited liability company</w:t>
      </w:r>
    </w:p>
    <w:p>
      <w:pPr>
        <w:spacing w:after="0" w:line="200" w:lineRule="exact"/>
        <w:rPr>
          <w:sz w:val="20"/>
          <w:szCs w:val="20"/>
          <w:color w:val="auto"/>
        </w:rPr>
      </w:pPr>
    </w:p>
    <w:p>
      <w:pPr>
        <w:spacing w:after="0" w:line="283" w:lineRule="exact"/>
        <w:rPr>
          <w:sz w:val="20"/>
          <w:szCs w:val="20"/>
          <w:color w:val="auto"/>
        </w:rPr>
      </w:pPr>
    </w:p>
    <w:p>
      <w:pPr>
        <w:ind w:left="2500"/>
        <w:spacing w:after="0"/>
        <w:rPr>
          <w:sz w:val="20"/>
          <w:szCs w:val="20"/>
          <w:color w:val="auto"/>
        </w:rPr>
      </w:pPr>
      <w:r>
        <w:rPr>
          <w:rFonts w:ascii="Arial" w:cs="Arial" w:eastAsia="Arial" w:hAnsi="Arial"/>
          <w:sz w:val="17"/>
          <w:szCs w:val="17"/>
          <w:color w:val="auto"/>
        </w:rPr>
        <w:t>By: /s/ Patrick Goepel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1771015</wp:posOffset>
            </wp:positionH>
            <wp:positionV relativeFrom="paragraph">
              <wp:posOffset>-9525</wp:posOffset>
            </wp:positionV>
            <wp:extent cx="181038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810385" cy="8255"/>
                    </a:xfrm>
                    <a:prstGeom prst="rect">
                      <a:avLst/>
                    </a:prstGeom>
                    <a:noFill/>
                  </pic:spPr>
                </pic:pic>
              </a:graphicData>
            </a:graphic>
          </wp:anchor>
        </w:drawing>
      </w:r>
    </w:p>
    <w:p>
      <w:pPr>
        <w:spacing w:after="0" w:line="1" w:lineRule="exact"/>
        <w:rPr>
          <w:sz w:val="20"/>
          <w:szCs w:val="20"/>
          <w:color w:val="auto"/>
        </w:rPr>
      </w:pPr>
    </w:p>
    <w:p>
      <w:pPr>
        <w:ind w:left="2500"/>
        <w:spacing w:after="0"/>
        <w:rPr>
          <w:sz w:val="20"/>
          <w:szCs w:val="20"/>
          <w:color w:val="auto"/>
        </w:rPr>
      </w:pPr>
      <w:r>
        <w:rPr>
          <w:rFonts w:ascii="Arial" w:cs="Arial" w:eastAsia="Arial" w:hAnsi="Arial"/>
          <w:sz w:val="17"/>
          <w:szCs w:val="17"/>
          <w:color w:val="auto"/>
        </w:rPr>
        <w:t>Name: Patrick Goepel</w:t>
      </w:r>
    </w:p>
    <w:p>
      <w:pPr>
        <w:spacing w:after="0" w:line="10" w:lineRule="exact"/>
        <w:rPr>
          <w:sz w:val="20"/>
          <w:szCs w:val="20"/>
          <w:color w:val="auto"/>
        </w:rPr>
      </w:pPr>
    </w:p>
    <w:p>
      <w:pPr>
        <w:ind w:left="2500"/>
        <w:spacing w:after="0"/>
        <w:rPr>
          <w:sz w:val="20"/>
          <w:szCs w:val="20"/>
          <w:color w:val="auto"/>
        </w:rPr>
      </w:pPr>
      <w:r>
        <w:rPr>
          <w:rFonts w:ascii="Arial" w:cs="Arial" w:eastAsia="Arial" w:hAnsi="Arial"/>
          <w:sz w:val="17"/>
          <w:szCs w:val="17"/>
          <w:color w:val="auto"/>
        </w:rPr>
        <w:t>Title: Chief Executive Officer</w:t>
      </w:r>
    </w:p>
    <w:p>
      <w:pPr>
        <w:spacing w:after="0" w:line="200" w:lineRule="exact"/>
        <w:rPr>
          <w:sz w:val="20"/>
          <w:szCs w:val="20"/>
          <w:color w:val="auto"/>
        </w:rPr>
      </w:pPr>
    </w:p>
    <w:p>
      <w:pPr>
        <w:spacing w:after="0" w:line="255" w:lineRule="exact"/>
        <w:rPr>
          <w:sz w:val="20"/>
          <w:szCs w:val="20"/>
          <w:color w:val="auto"/>
        </w:rPr>
      </w:pPr>
    </w:p>
    <w:p>
      <w:pPr>
        <w:ind w:left="2500"/>
        <w:spacing w:after="0"/>
        <w:rPr>
          <w:sz w:val="20"/>
          <w:szCs w:val="20"/>
          <w:color w:val="auto"/>
        </w:rPr>
      </w:pPr>
      <w:r>
        <w:rPr>
          <w:rFonts w:ascii="Arial" w:cs="Arial" w:eastAsia="Arial" w:hAnsi="Arial"/>
          <w:sz w:val="17"/>
          <w:szCs w:val="17"/>
          <w:b w:val="1"/>
          <w:bCs w:val="1"/>
          <w:color w:val="auto"/>
        </w:rPr>
        <w:t>A</w:t>
      </w:r>
      <w:r>
        <w:rPr>
          <w:rFonts w:ascii="Arial" w:cs="Arial" w:eastAsia="Arial" w:hAnsi="Arial"/>
          <w:sz w:val="11"/>
          <w:szCs w:val="11"/>
          <w:b w:val="1"/>
          <w:bCs w:val="1"/>
          <w:color w:val="auto"/>
        </w:rPr>
        <w:t>SURE</w:t>
      </w:r>
      <w:r>
        <w:rPr>
          <w:rFonts w:ascii="Arial" w:cs="Arial" w:eastAsia="Arial" w:hAnsi="Arial"/>
          <w:sz w:val="17"/>
          <w:szCs w:val="17"/>
          <w:b w:val="1"/>
          <w:bCs w:val="1"/>
          <w:color w:val="auto"/>
        </w:rPr>
        <w:t xml:space="preserve"> L</w:t>
      </w:r>
      <w:r>
        <w:rPr>
          <w:rFonts w:ascii="Arial" w:cs="Arial" w:eastAsia="Arial" w:hAnsi="Arial"/>
          <w:sz w:val="11"/>
          <w:szCs w:val="11"/>
          <w:b w:val="1"/>
          <w:bCs w:val="1"/>
          <w:color w:val="auto"/>
        </w:rPr>
        <w:t>EGIANT</w:t>
      </w:r>
      <w:r>
        <w:rPr>
          <w:rFonts w:ascii="Arial" w:cs="Arial" w:eastAsia="Arial" w:hAnsi="Arial"/>
          <w:sz w:val="17"/>
          <w:szCs w:val="17"/>
          <w:b w:val="1"/>
          <w:bCs w:val="1"/>
          <w:color w:val="auto"/>
        </w:rPr>
        <w:t>, LLC</w:t>
      </w:r>
    </w:p>
    <w:p>
      <w:pPr>
        <w:spacing w:after="0" w:line="247" w:lineRule="exact"/>
        <w:rPr>
          <w:sz w:val="20"/>
          <w:szCs w:val="20"/>
          <w:color w:val="auto"/>
        </w:rPr>
      </w:pPr>
    </w:p>
    <w:p>
      <w:pPr>
        <w:ind w:left="2500"/>
        <w:spacing w:after="0"/>
        <w:rPr>
          <w:sz w:val="20"/>
          <w:szCs w:val="20"/>
          <w:color w:val="auto"/>
        </w:rPr>
      </w:pPr>
      <w:r>
        <w:rPr>
          <w:rFonts w:ascii="Arial" w:cs="Arial" w:eastAsia="Arial" w:hAnsi="Arial"/>
          <w:sz w:val="16"/>
          <w:szCs w:val="16"/>
          <w:color w:val="auto"/>
        </w:rPr>
        <w:t>a Delaware limited liability company</w:t>
      </w:r>
    </w:p>
    <w:p>
      <w:pPr>
        <w:spacing w:after="0" w:line="200" w:lineRule="exact"/>
        <w:rPr>
          <w:sz w:val="20"/>
          <w:szCs w:val="20"/>
          <w:color w:val="auto"/>
        </w:rPr>
      </w:pPr>
    </w:p>
    <w:p>
      <w:pPr>
        <w:spacing w:after="0" w:line="283" w:lineRule="exact"/>
        <w:rPr>
          <w:sz w:val="20"/>
          <w:szCs w:val="20"/>
          <w:color w:val="auto"/>
        </w:rPr>
      </w:pPr>
    </w:p>
    <w:p>
      <w:pPr>
        <w:ind w:left="2500"/>
        <w:spacing w:after="0"/>
        <w:rPr>
          <w:sz w:val="20"/>
          <w:szCs w:val="20"/>
          <w:color w:val="auto"/>
        </w:rPr>
      </w:pPr>
      <w:r>
        <w:rPr>
          <w:rFonts w:ascii="Arial" w:cs="Arial" w:eastAsia="Arial" w:hAnsi="Arial"/>
          <w:sz w:val="17"/>
          <w:szCs w:val="17"/>
          <w:color w:val="auto"/>
        </w:rPr>
        <w:t>By: /s/ Patrick Goepel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1771015</wp:posOffset>
            </wp:positionH>
            <wp:positionV relativeFrom="paragraph">
              <wp:posOffset>-9525</wp:posOffset>
            </wp:positionV>
            <wp:extent cx="181038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810385" cy="8255"/>
                    </a:xfrm>
                    <a:prstGeom prst="rect">
                      <a:avLst/>
                    </a:prstGeom>
                    <a:noFill/>
                  </pic:spPr>
                </pic:pic>
              </a:graphicData>
            </a:graphic>
          </wp:anchor>
        </w:drawing>
      </w:r>
    </w:p>
    <w:p>
      <w:pPr>
        <w:spacing w:after="0" w:line="1" w:lineRule="exact"/>
        <w:rPr>
          <w:sz w:val="20"/>
          <w:szCs w:val="20"/>
          <w:color w:val="auto"/>
        </w:rPr>
      </w:pPr>
    </w:p>
    <w:p>
      <w:pPr>
        <w:ind w:left="2500"/>
        <w:spacing w:after="0"/>
        <w:rPr>
          <w:sz w:val="20"/>
          <w:szCs w:val="20"/>
          <w:color w:val="auto"/>
        </w:rPr>
      </w:pPr>
      <w:r>
        <w:rPr>
          <w:rFonts w:ascii="Arial" w:cs="Arial" w:eastAsia="Arial" w:hAnsi="Arial"/>
          <w:sz w:val="17"/>
          <w:szCs w:val="17"/>
          <w:color w:val="auto"/>
        </w:rPr>
        <w:t>Name: Patrick Goepel</w:t>
      </w:r>
    </w:p>
    <w:p>
      <w:pPr>
        <w:spacing w:after="0" w:line="10" w:lineRule="exact"/>
        <w:rPr>
          <w:sz w:val="20"/>
          <w:szCs w:val="20"/>
          <w:color w:val="auto"/>
        </w:rPr>
      </w:pPr>
    </w:p>
    <w:p>
      <w:pPr>
        <w:ind w:left="2500"/>
        <w:spacing w:after="0"/>
        <w:rPr>
          <w:sz w:val="20"/>
          <w:szCs w:val="20"/>
          <w:color w:val="auto"/>
        </w:rPr>
      </w:pPr>
      <w:r>
        <w:rPr>
          <w:rFonts w:ascii="Arial" w:cs="Arial" w:eastAsia="Arial" w:hAnsi="Arial"/>
          <w:sz w:val="17"/>
          <w:szCs w:val="17"/>
          <w:color w:val="auto"/>
        </w:rPr>
        <w:t>Title: Chief Executive Officer</w:t>
      </w:r>
    </w:p>
    <w:p>
      <w:pPr>
        <w:spacing w:after="0" w:line="200" w:lineRule="exact"/>
        <w:rPr>
          <w:sz w:val="20"/>
          <w:szCs w:val="20"/>
          <w:color w:val="auto"/>
        </w:rPr>
      </w:pPr>
    </w:p>
    <w:p>
      <w:pPr>
        <w:spacing w:after="0" w:line="255" w:lineRule="exact"/>
        <w:rPr>
          <w:sz w:val="20"/>
          <w:szCs w:val="20"/>
          <w:color w:val="auto"/>
        </w:rPr>
      </w:pPr>
    </w:p>
    <w:p>
      <w:pPr>
        <w:ind w:left="2500"/>
        <w:spacing w:after="0"/>
        <w:rPr>
          <w:sz w:val="20"/>
          <w:szCs w:val="20"/>
          <w:color w:val="auto"/>
        </w:rPr>
      </w:pPr>
      <w:r>
        <w:rPr>
          <w:rFonts w:ascii="Arial" w:cs="Arial" w:eastAsia="Arial" w:hAnsi="Arial"/>
          <w:sz w:val="17"/>
          <w:szCs w:val="17"/>
          <w:b w:val="1"/>
          <w:bCs w:val="1"/>
          <w:color w:val="auto"/>
        </w:rPr>
        <w:t>M</w:t>
      </w:r>
      <w:r>
        <w:rPr>
          <w:rFonts w:ascii="Arial" w:cs="Arial" w:eastAsia="Arial" w:hAnsi="Arial"/>
          <w:sz w:val="11"/>
          <w:szCs w:val="11"/>
          <w:b w:val="1"/>
          <w:bCs w:val="1"/>
          <w:color w:val="auto"/>
        </w:rPr>
        <w:t>EETING</w:t>
      </w:r>
      <w:r>
        <w:rPr>
          <w:rFonts w:ascii="Arial" w:cs="Arial" w:eastAsia="Arial" w:hAnsi="Arial"/>
          <w:sz w:val="17"/>
          <w:szCs w:val="17"/>
          <w:b w:val="1"/>
          <w:bCs w:val="1"/>
          <w:color w:val="auto"/>
        </w:rPr>
        <w:t xml:space="preserve"> M</w:t>
      </w:r>
      <w:r>
        <w:rPr>
          <w:rFonts w:ascii="Arial" w:cs="Arial" w:eastAsia="Arial" w:hAnsi="Arial"/>
          <w:sz w:val="11"/>
          <w:szCs w:val="11"/>
          <w:b w:val="1"/>
          <w:bCs w:val="1"/>
          <w:color w:val="auto"/>
        </w:rPr>
        <w:t>AKER</w:t>
      </w:r>
      <w:r>
        <w:rPr>
          <w:rFonts w:ascii="Arial" w:cs="Arial" w:eastAsia="Arial" w:hAnsi="Arial"/>
          <w:sz w:val="17"/>
          <w:szCs w:val="17"/>
          <w:b w:val="1"/>
          <w:bCs w:val="1"/>
          <w:color w:val="auto"/>
        </w:rPr>
        <w:t xml:space="preserve"> – U</w:t>
      </w:r>
      <w:r>
        <w:rPr>
          <w:rFonts w:ascii="Arial" w:cs="Arial" w:eastAsia="Arial" w:hAnsi="Arial"/>
          <w:sz w:val="11"/>
          <w:szCs w:val="11"/>
          <w:b w:val="1"/>
          <w:bCs w:val="1"/>
          <w:color w:val="auto"/>
        </w:rPr>
        <w:t>NITED</w:t>
      </w:r>
      <w:r>
        <w:rPr>
          <w:rFonts w:ascii="Arial" w:cs="Arial" w:eastAsia="Arial" w:hAnsi="Arial"/>
          <w:sz w:val="17"/>
          <w:szCs w:val="17"/>
          <w:b w:val="1"/>
          <w:bCs w:val="1"/>
          <w:color w:val="auto"/>
        </w:rPr>
        <w:t xml:space="preserve"> S</w:t>
      </w:r>
      <w:r>
        <w:rPr>
          <w:rFonts w:ascii="Arial" w:cs="Arial" w:eastAsia="Arial" w:hAnsi="Arial"/>
          <w:sz w:val="11"/>
          <w:szCs w:val="11"/>
          <w:b w:val="1"/>
          <w:bCs w:val="1"/>
          <w:color w:val="auto"/>
        </w:rPr>
        <w:t>TATES</w:t>
      </w:r>
      <w:r>
        <w:rPr>
          <w:rFonts w:ascii="Arial" w:cs="Arial" w:eastAsia="Arial" w:hAnsi="Arial"/>
          <w:sz w:val="17"/>
          <w:szCs w:val="17"/>
          <w:b w:val="1"/>
          <w:bCs w:val="1"/>
          <w:color w:val="auto"/>
        </w:rPr>
        <w:t>, I</w:t>
      </w:r>
      <w:r>
        <w:rPr>
          <w:rFonts w:ascii="Arial" w:cs="Arial" w:eastAsia="Arial" w:hAnsi="Arial"/>
          <w:sz w:val="11"/>
          <w:szCs w:val="11"/>
          <w:b w:val="1"/>
          <w:bCs w:val="1"/>
          <w:color w:val="auto"/>
        </w:rPr>
        <w:t>NC</w:t>
      </w:r>
      <w:r>
        <w:rPr>
          <w:rFonts w:ascii="Arial" w:cs="Arial" w:eastAsia="Arial" w:hAnsi="Arial"/>
          <w:sz w:val="17"/>
          <w:szCs w:val="17"/>
          <w:b w:val="1"/>
          <w:bCs w:val="1"/>
          <w:color w:val="auto"/>
        </w:rPr>
        <w:t>.</w:t>
      </w:r>
    </w:p>
    <w:p>
      <w:pPr>
        <w:spacing w:after="0" w:line="247" w:lineRule="exact"/>
        <w:rPr>
          <w:sz w:val="20"/>
          <w:szCs w:val="20"/>
          <w:color w:val="auto"/>
        </w:rPr>
      </w:pPr>
    </w:p>
    <w:p>
      <w:pPr>
        <w:ind w:left="2500"/>
        <w:spacing w:after="0"/>
        <w:rPr>
          <w:sz w:val="20"/>
          <w:szCs w:val="20"/>
          <w:color w:val="auto"/>
        </w:rPr>
      </w:pPr>
      <w:r>
        <w:rPr>
          <w:rFonts w:ascii="Arial" w:cs="Arial" w:eastAsia="Arial" w:hAnsi="Arial"/>
          <w:sz w:val="17"/>
          <w:szCs w:val="17"/>
          <w:color w:val="auto"/>
        </w:rPr>
        <w:t>a Delaware corporation</w:t>
      </w:r>
    </w:p>
    <w:p>
      <w:pPr>
        <w:spacing w:after="0" w:line="200" w:lineRule="exact"/>
        <w:rPr>
          <w:sz w:val="20"/>
          <w:szCs w:val="20"/>
          <w:color w:val="auto"/>
        </w:rPr>
      </w:pPr>
    </w:p>
    <w:p>
      <w:pPr>
        <w:spacing w:after="0" w:line="272" w:lineRule="exact"/>
        <w:rPr>
          <w:sz w:val="20"/>
          <w:szCs w:val="20"/>
          <w:color w:val="auto"/>
        </w:rPr>
      </w:pPr>
    </w:p>
    <w:p>
      <w:pPr>
        <w:ind w:left="2500"/>
        <w:spacing w:after="0"/>
        <w:rPr>
          <w:sz w:val="20"/>
          <w:szCs w:val="20"/>
          <w:color w:val="auto"/>
        </w:rPr>
      </w:pPr>
      <w:r>
        <w:rPr>
          <w:rFonts w:ascii="Arial" w:cs="Arial" w:eastAsia="Arial" w:hAnsi="Arial"/>
          <w:sz w:val="17"/>
          <w:szCs w:val="17"/>
          <w:color w:val="auto"/>
        </w:rPr>
        <w:t>By: /s/ Patrick Goepel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1771015</wp:posOffset>
            </wp:positionH>
            <wp:positionV relativeFrom="paragraph">
              <wp:posOffset>-9525</wp:posOffset>
            </wp:positionV>
            <wp:extent cx="181038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810385" cy="8255"/>
                    </a:xfrm>
                    <a:prstGeom prst="rect">
                      <a:avLst/>
                    </a:prstGeom>
                    <a:noFill/>
                  </pic:spPr>
                </pic:pic>
              </a:graphicData>
            </a:graphic>
          </wp:anchor>
        </w:drawing>
      </w:r>
    </w:p>
    <w:p>
      <w:pPr>
        <w:spacing w:after="0" w:line="1" w:lineRule="exact"/>
        <w:rPr>
          <w:sz w:val="20"/>
          <w:szCs w:val="20"/>
          <w:color w:val="auto"/>
        </w:rPr>
      </w:pPr>
    </w:p>
    <w:p>
      <w:pPr>
        <w:ind w:left="2500"/>
        <w:spacing w:after="0"/>
        <w:rPr>
          <w:sz w:val="20"/>
          <w:szCs w:val="20"/>
          <w:color w:val="auto"/>
        </w:rPr>
      </w:pPr>
      <w:r>
        <w:rPr>
          <w:rFonts w:ascii="Arial" w:cs="Arial" w:eastAsia="Arial" w:hAnsi="Arial"/>
          <w:sz w:val="17"/>
          <w:szCs w:val="17"/>
          <w:color w:val="auto"/>
        </w:rPr>
        <w:t>Name: Patrick Goepel</w:t>
      </w:r>
    </w:p>
    <w:p>
      <w:pPr>
        <w:spacing w:after="0" w:line="10" w:lineRule="exact"/>
        <w:rPr>
          <w:sz w:val="20"/>
          <w:szCs w:val="20"/>
          <w:color w:val="auto"/>
        </w:rPr>
      </w:pPr>
    </w:p>
    <w:p>
      <w:pPr>
        <w:ind w:left="2500"/>
        <w:spacing w:after="0"/>
        <w:rPr>
          <w:sz w:val="20"/>
          <w:szCs w:val="20"/>
          <w:color w:val="auto"/>
        </w:rPr>
      </w:pPr>
      <w:r>
        <w:rPr>
          <w:rFonts w:ascii="Arial" w:cs="Arial" w:eastAsia="Arial" w:hAnsi="Arial"/>
          <w:sz w:val="17"/>
          <w:szCs w:val="17"/>
          <w:color w:val="auto"/>
        </w:rPr>
        <w:t>Title: Chief Executive Officer</w:t>
      </w:r>
    </w:p>
    <w:p>
      <w:pPr>
        <w:sectPr>
          <w:pgSz w:w="11900" w:h="16838" w:orient="portrait"/>
          <w:cols w:equalWidth="0" w:num="1">
            <w:col w:w="9019"/>
          </w:cols>
          <w:pgMar w:left="1440" w:top="493" w:right="1440" w:bottom="1440" w:gutter="0" w:footer="0" w:header="0"/>
        </w:sectPr>
      </w:pPr>
    </w:p>
    <w:bookmarkStart w:id="64" w:name="page65"/>
    <w:bookmarkEnd w:id="64"/>
    <w:p>
      <w:pPr>
        <w:jc w:val="right"/>
        <w:spacing w:after="0"/>
        <w:rPr>
          <w:sz w:val="20"/>
          <w:szCs w:val="20"/>
          <w:color w:val="auto"/>
        </w:rPr>
      </w:pPr>
      <w:r>
        <w:rPr>
          <w:rFonts w:ascii="Arial" w:cs="Arial" w:eastAsia="Arial" w:hAnsi="Arial"/>
          <w:sz w:val="17"/>
          <w:szCs w:val="17"/>
          <w:b w:val="1"/>
          <w:bCs w:val="1"/>
          <w:color w:val="auto"/>
        </w:rPr>
        <w:t>EXHIBIT 21</w:t>
      </w:r>
    </w:p>
    <w:p>
      <w:pPr>
        <w:spacing w:after="0" w:line="215" w:lineRule="exact"/>
        <w:rPr>
          <w:sz w:val="20"/>
          <w:szCs w:val="20"/>
          <w:color w:val="auto"/>
        </w:rPr>
      </w:pPr>
    </w:p>
    <w:p>
      <w:pPr>
        <w:ind w:left="3560"/>
        <w:spacing w:after="0"/>
        <w:rPr>
          <w:sz w:val="20"/>
          <w:szCs w:val="20"/>
          <w:color w:val="auto"/>
        </w:rPr>
      </w:pPr>
      <w:r>
        <w:rPr>
          <w:rFonts w:ascii="Arial" w:cs="Arial" w:eastAsia="Arial" w:hAnsi="Arial"/>
          <w:sz w:val="17"/>
          <w:szCs w:val="17"/>
          <w:b w:val="1"/>
          <w:bCs w:val="1"/>
          <w:color w:val="auto"/>
        </w:rPr>
        <w:t>LIST OF SUBSIDIARIES</w:t>
      </w:r>
    </w:p>
    <w:p>
      <w:pPr>
        <w:spacing w:after="0" w:line="215" w:lineRule="exact"/>
        <w:rPr>
          <w:sz w:val="20"/>
          <w:szCs w:val="20"/>
          <w:color w:val="auto"/>
        </w:rPr>
      </w:pPr>
    </w:p>
    <w:tbl>
      <w:tblPr>
        <w:tblLayout w:type="fixed"/>
        <w:tblInd w:w="1260" w:type="dxa"/>
        <w:tblCellMar>
          <w:top w:w="0" w:type="dxa"/>
          <w:left w:w="0" w:type="dxa"/>
          <w:bottom w:w="0" w:type="dxa"/>
          <w:right w:w="0" w:type="dxa"/>
        </w:tblCellMar>
      </w:tblPr>
      <w:tr>
        <w:trPr>
          <w:trHeight w:val="223"/>
        </w:trPr>
        <w:tc>
          <w:tcPr>
            <w:tcW w:w="3200" w:type="dxa"/>
            <w:vAlign w:val="bottom"/>
            <w:gridSpan w:val="2"/>
          </w:tcPr>
          <w:p>
            <w:pPr>
              <w:spacing w:after="0"/>
              <w:rPr>
                <w:sz w:val="20"/>
                <w:szCs w:val="20"/>
                <w:color w:val="auto"/>
              </w:rPr>
            </w:pPr>
            <w:r>
              <w:rPr>
                <w:rFonts w:ascii="Arial" w:cs="Arial" w:eastAsia="Arial" w:hAnsi="Arial"/>
                <w:sz w:val="17"/>
                <w:szCs w:val="17"/>
                <w:b w:val="1"/>
                <w:bCs w:val="1"/>
                <w:color w:val="auto"/>
              </w:rPr>
              <w:t>Subsidiary</w:t>
            </w:r>
          </w:p>
        </w:tc>
        <w:tc>
          <w:tcPr>
            <w:tcW w:w="3320" w:type="dxa"/>
            <w:vAlign w:val="bottom"/>
            <w:gridSpan w:val="2"/>
          </w:tcPr>
          <w:p>
            <w:pPr>
              <w:ind w:left="100"/>
              <w:spacing w:after="0"/>
              <w:rPr>
                <w:sz w:val="20"/>
                <w:szCs w:val="20"/>
                <w:color w:val="auto"/>
              </w:rPr>
            </w:pPr>
            <w:r>
              <w:rPr>
                <w:rFonts w:ascii="Arial" w:cs="Arial" w:eastAsia="Arial" w:hAnsi="Arial"/>
                <w:sz w:val="17"/>
                <w:szCs w:val="17"/>
                <w:b w:val="1"/>
                <w:bCs w:val="1"/>
                <w:color w:val="auto"/>
              </w:rPr>
              <w:t>Location</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31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2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vMerge w:val="continue"/>
          </w:tcPr>
          <w:p>
            <w:pPr>
              <w:spacing w:after="0"/>
              <w:rPr>
                <w:sz w:val="17"/>
                <w:szCs w:val="17"/>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7"/>
                <w:szCs w:val="17"/>
                <w:color w:val="auto"/>
              </w:rPr>
              <w:t>Compression Labs, Inc.</w:t>
            </w:r>
          </w:p>
        </w:tc>
        <w:tc>
          <w:tcPr>
            <w:tcW w:w="332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Delaware</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180" w:type="dxa"/>
            <w:vAlign w:val="bottom"/>
          </w:tcPr>
          <w:p>
            <w:pPr>
              <w:spacing w:after="0"/>
              <w:rPr>
                <w:sz w:val="20"/>
                <w:szCs w:val="20"/>
                <w:color w:val="auto"/>
              </w:rPr>
            </w:pPr>
            <w:r>
              <w:rPr>
                <w:rFonts w:ascii="Arial" w:cs="Arial" w:eastAsia="Arial" w:hAnsi="Arial"/>
                <w:sz w:val="17"/>
                <w:szCs w:val="17"/>
                <w:color w:val="auto"/>
              </w:rPr>
              <w:t>Forgent Networks Canada, Inc.</w:t>
            </w:r>
          </w:p>
        </w:tc>
        <w:tc>
          <w:tcPr>
            <w:tcW w:w="3320" w:type="dxa"/>
            <w:vAlign w:val="bottom"/>
            <w:gridSpan w:val="2"/>
          </w:tcPr>
          <w:p>
            <w:pPr>
              <w:ind w:left="100"/>
              <w:spacing w:after="0"/>
              <w:rPr>
                <w:sz w:val="20"/>
                <w:szCs w:val="20"/>
                <w:color w:val="auto"/>
              </w:rPr>
            </w:pPr>
            <w:r>
              <w:rPr>
                <w:rFonts w:ascii="Arial" w:cs="Arial" w:eastAsia="Arial" w:hAnsi="Arial"/>
                <w:sz w:val="17"/>
                <w:szCs w:val="17"/>
                <w:color w:val="auto"/>
              </w:rPr>
              <w:t>Canada</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7"/>
                <w:szCs w:val="17"/>
                <w:color w:val="auto"/>
              </w:rPr>
              <w:t>iSarla Software Solutions Private Limited</w:t>
            </w:r>
          </w:p>
        </w:tc>
        <w:tc>
          <w:tcPr>
            <w:tcW w:w="332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India</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180" w:type="dxa"/>
            <w:vAlign w:val="bottom"/>
          </w:tcPr>
          <w:p>
            <w:pPr>
              <w:spacing w:after="0"/>
              <w:rPr>
                <w:sz w:val="20"/>
                <w:szCs w:val="20"/>
                <w:color w:val="auto"/>
              </w:rPr>
            </w:pPr>
            <w:r>
              <w:rPr>
                <w:rFonts w:ascii="Arial" w:cs="Arial" w:eastAsia="Arial" w:hAnsi="Arial"/>
                <w:sz w:val="17"/>
                <w:szCs w:val="17"/>
                <w:color w:val="auto"/>
              </w:rPr>
              <w:t>VTEL Australia, PTY LTD</w:t>
            </w:r>
          </w:p>
        </w:tc>
        <w:tc>
          <w:tcPr>
            <w:tcW w:w="3320" w:type="dxa"/>
            <w:vAlign w:val="bottom"/>
            <w:gridSpan w:val="2"/>
          </w:tcPr>
          <w:p>
            <w:pPr>
              <w:ind w:left="100"/>
              <w:spacing w:after="0"/>
              <w:rPr>
                <w:sz w:val="20"/>
                <w:szCs w:val="20"/>
                <w:color w:val="auto"/>
              </w:rPr>
            </w:pPr>
            <w:r>
              <w:rPr>
                <w:rFonts w:ascii="Arial" w:cs="Arial" w:eastAsia="Arial" w:hAnsi="Arial"/>
                <w:sz w:val="17"/>
                <w:szCs w:val="17"/>
                <w:color w:val="auto"/>
              </w:rPr>
              <w:t>Australia</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7"/>
                <w:szCs w:val="17"/>
                <w:color w:val="auto"/>
              </w:rPr>
              <w:t>VTEL Germany, GmbH</w:t>
            </w:r>
          </w:p>
        </w:tc>
        <w:tc>
          <w:tcPr>
            <w:tcW w:w="332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Germany</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180" w:type="dxa"/>
            <w:vAlign w:val="bottom"/>
          </w:tcPr>
          <w:p>
            <w:pPr>
              <w:spacing w:after="0"/>
              <w:rPr>
                <w:sz w:val="20"/>
                <w:szCs w:val="20"/>
                <w:color w:val="auto"/>
              </w:rPr>
            </w:pPr>
            <w:r>
              <w:rPr>
                <w:rFonts w:ascii="Arial" w:cs="Arial" w:eastAsia="Arial" w:hAnsi="Arial"/>
                <w:sz w:val="17"/>
                <w:szCs w:val="17"/>
                <w:color w:val="auto"/>
              </w:rPr>
              <w:t>ADI Software, LLC</w:t>
            </w:r>
          </w:p>
        </w:tc>
        <w:tc>
          <w:tcPr>
            <w:tcW w:w="3320" w:type="dxa"/>
            <w:vAlign w:val="bottom"/>
            <w:gridSpan w:val="2"/>
          </w:tcPr>
          <w:p>
            <w:pPr>
              <w:ind w:left="100"/>
              <w:spacing w:after="0"/>
              <w:rPr>
                <w:sz w:val="20"/>
                <w:szCs w:val="20"/>
                <w:color w:val="auto"/>
              </w:rPr>
            </w:pPr>
            <w:r>
              <w:rPr>
                <w:rFonts w:ascii="Arial" w:cs="Arial" w:eastAsia="Arial" w:hAnsi="Arial"/>
                <w:sz w:val="17"/>
                <w:szCs w:val="17"/>
                <w:color w:val="auto"/>
              </w:rPr>
              <w:t>Delaware</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7"/>
                <w:szCs w:val="17"/>
                <w:color w:val="auto"/>
              </w:rPr>
              <w:t>Asure Legiant, LLC</w:t>
            </w:r>
          </w:p>
        </w:tc>
        <w:tc>
          <w:tcPr>
            <w:tcW w:w="332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Delaware</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180" w:type="dxa"/>
            <w:vAlign w:val="bottom"/>
          </w:tcPr>
          <w:p>
            <w:pPr>
              <w:spacing w:after="0"/>
              <w:rPr>
                <w:sz w:val="20"/>
                <w:szCs w:val="20"/>
                <w:color w:val="auto"/>
              </w:rPr>
            </w:pPr>
            <w:r>
              <w:rPr>
                <w:rFonts w:ascii="Arial" w:cs="Arial" w:eastAsia="Arial" w:hAnsi="Arial"/>
                <w:sz w:val="17"/>
                <w:szCs w:val="17"/>
                <w:color w:val="auto"/>
              </w:rPr>
              <w:t>Meeting Maker - United States, Inc.</w:t>
            </w:r>
          </w:p>
        </w:tc>
        <w:tc>
          <w:tcPr>
            <w:tcW w:w="3320" w:type="dxa"/>
            <w:vAlign w:val="bottom"/>
            <w:gridSpan w:val="2"/>
          </w:tcPr>
          <w:p>
            <w:pPr>
              <w:ind w:left="100"/>
              <w:spacing w:after="0"/>
              <w:rPr>
                <w:sz w:val="20"/>
                <w:szCs w:val="20"/>
                <w:color w:val="auto"/>
              </w:rPr>
            </w:pPr>
            <w:r>
              <w:rPr>
                <w:rFonts w:ascii="Arial" w:cs="Arial" w:eastAsia="Arial" w:hAnsi="Arial"/>
                <w:sz w:val="17"/>
                <w:szCs w:val="17"/>
                <w:color w:val="auto"/>
              </w:rPr>
              <w:t>Delaware</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7"/>
                <w:szCs w:val="17"/>
                <w:color w:val="auto"/>
              </w:rPr>
              <w:t>Meeting Maker LTD</w:t>
            </w:r>
          </w:p>
        </w:tc>
        <w:tc>
          <w:tcPr>
            <w:tcW w:w="332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United Kingdom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7"/>
                <w:szCs w:val="17"/>
                <w:color w:val="auto"/>
              </w:rPr>
              <w:t>Business Solve LTD</w:t>
            </w:r>
          </w:p>
        </w:tc>
        <w:tc>
          <w:tcPr>
            <w:tcW w:w="3320" w:type="dxa"/>
            <w:vAlign w:val="bottom"/>
            <w:gridSpan w:val="2"/>
          </w:tcPr>
          <w:p>
            <w:pPr>
              <w:ind w:left="100"/>
              <w:spacing w:after="0"/>
              <w:rPr>
                <w:sz w:val="20"/>
                <w:szCs w:val="20"/>
                <w:color w:val="auto"/>
              </w:rPr>
            </w:pPr>
            <w:r>
              <w:rPr>
                <w:rFonts w:ascii="Arial" w:cs="Arial" w:eastAsia="Arial" w:hAnsi="Arial"/>
                <w:sz w:val="17"/>
                <w:szCs w:val="17"/>
                <w:color w:val="auto"/>
              </w:rPr>
              <w:t>United Kingdom</w:t>
            </w:r>
          </w:p>
        </w:tc>
        <w:tc>
          <w:tcPr>
            <w:tcW w:w="0" w:type="dxa"/>
            <w:vAlign w:val="bottom"/>
          </w:tcPr>
          <w:p>
            <w:pPr>
              <w:spacing w:after="0"/>
              <w:rPr>
                <w:sz w:val="1"/>
                <w:szCs w:val="1"/>
                <w:color w:val="auto"/>
              </w:rPr>
            </w:pPr>
          </w:p>
        </w:tc>
      </w:tr>
    </w:tbl>
    <w:p>
      <w:pPr>
        <w:sectPr>
          <w:pgSz w:w="11900" w:h="16838" w:orient="portrait"/>
          <w:cols w:equalWidth="0" w:num="1">
            <w:col w:w="10220"/>
          </w:cols>
          <w:pgMar w:left="1440" w:top="121" w:right="239" w:bottom="1440" w:gutter="0" w:footer="0" w:header="0"/>
        </w:sectPr>
      </w:pPr>
    </w:p>
    <w:bookmarkStart w:id="65" w:name="page66"/>
    <w:bookmarkEnd w:id="65"/>
    <w:p>
      <w:pPr>
        <w:jc w:val="right"/>
        <w:spacing w:after="0"/>
        <w:rPr>
          <w:sz w:val="20"/>
          <w:szCs w:val="20"/>
          <w:color w:val="auto"/>
        </w:rPr>
      </w:pPr>
      <w:r>
        <w:rPr>
          <w:rFonts w:ascii="Arial" w:cs="Arial" w:eastAsia="Arial" w:hAnsi="Arial"/>
          <w:sz w:val="17"/>
          <w:szCs w:val="17"/>
          <w:b w:val="1"/>
          <w:bCs w:val="1"/>
          <w:color w:val="auto"/>
        </w:rPr>
        <w:t>EXHIBIT 23.1</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221" w:lineRule="exact"/>
        <w:rPr>
          <w:sz w:val="20"/>
          <w:szCs w:val="20"/>
          <w:color w:val="auto"/>
        </w:rPr>
      </w:pPr>
    </w:p>
    <w:p>
      <w:pPr>
        <w:jc w:val="both"/>
        <w:ind w:firstLine="845"/>
        <w:spacing w:after="0" w:line="260" w:lineRule="auto"/>
        <w:rPr>
          <w:sz w:val="20"/>
          <w:szCs w:val="20"/>
          <w:color w:val="auto"/>
        </w:rPr>
      </w:pPr>
      <w:r>
        <w:rPr>
          <w:rFonts w:ascii="Arial" w:cs="Arial" w:eastAsia="Arial" w:hAnsi="Arial"/>
          <w:sz w:val="17"/>
          <w:szCs w:val="17"/>
          <w:color w:val="auto"/>
        </w:rPr>
        <w:t>We consent to the incorporation by reference in the following registration statements, and in the related prospectuses thereto, of Asure Software, Inc. (Form S-3 Nos. 333-185488 and 333-182828 and Form S-8 Nos. 333-77733, 333-44533, 333-48885, 333-28499, 333-64212, and 333-110239) of our report dated April 1, 2013, with respect to the consolidated financial statements of Asure Software, Inc. included in this Annual Report (Form 10-K) for the year ended December 31, 2012.</w:t>
      </w:r>
    </w:p>
    <w:p>
      <w:pPr>
        <w:spacing w:after="0" w:line="180" w:lineRule="exact"/>
        <w:rPr>
          <w:sz w:val="20"/>
          <w:szCs w:val="20"/>
          <w:color w:val="auto"/>
        </w:rPr>
      </w:pPr>
    </w:p>
    <w:p>
      <w:pPr>
        <w:ind w:left="6780"/>
        <w:spacing w:after="0"/>
        <w:tabs>
          <w:tab w:leader="none" w:pos="7100" w:val="left"/>
        </w:tabs>
        <w:rPr>
          <w:sz w:val="20"/>
          <w:szCs w:val="20"/>
          <w:color w:val="auto"/>
        </w:rPr>
      </w:pPr>
      <w:r>
        <w:rPr>
          <w:rFonts w:ascii="Arial" w:cs="Arial" w:eastAsia="Arial" w:hAnsi="Arial"/>
          <w:sz w:val="17"/>
          <w:szCs w:val="17"/>
          <w:u w:val="single" w:color="auto"/>
          <w:color w:val="auto"/>
        </w:rPr>
        <w:t>/s/</w:t>
      </w:r>
      <w:r>
        <w:rPr>
          <w:sz w:val="20"/>
          <w:szCs w:val="20"/>
          <w:color w:val="auto"/>
        </w:rPr>
        <w:tab/>
      </w:r>
      <w:r>
        <w:rPr>
          <w:rFonts w:ascii="Arial" w:cs="Arial" w:eastAsia="Arial" w:hAnsi="Arial"/>
          <w:sz w:val="15"/>
          <w:szCs w:val="15"/>
          <w:u w:val="single" w:color="auto"/>
          <w:color w:val="auto"/>
        </w:rPr>
        <w:t>Ernst &amp; Young LLP</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Austin, Texas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April 1, 2013</w:t>
      </w:r>
    </w:p>
    <w:p>
      <w:pPr>
        <w:sectPr>
          <w:pgSz w:w="11900" w:h="16838" w:orient="portrait"/>
          <w:cols w:equalWidth="0" w:num="1">
            <w:col w:w="11420"/>
          </w:cols>
          <w:pgMar w:left="240" w:top="121" w:right="239" w:bottom="1440" w:gutter="0" w:footer="0" w:header="0"/>
        </w:sectPr>
      </w:pPr>
    </w:p>
    <w:bookmarkStart w:id="66" w:name="page67"/>
    <w:bookmarkEnd w:id="66"/>
    <w:p>
      <w:pPr>
        <w:jc w:val="right"/>
        <w:spacing w:after="0"/>
        <w:rPr>
          <w:sz w:val="20"/>
          <w:szCs w:val="20"/>
          <w:color w:val="auto"/>
        </w:rPr>
      </w:pPr>
      <w:r>
        <w:rPr>
          <w:rFonts w:ascii="Arial" w:cs="Arial" w:eastAsia="Arial" w:hAnsi="Arial"/>
          <w:sz w:val="17"/>
          <w:szCs w:val="17"/>
          <w:b w:val="1"/>
          <w:bCs w:val="1"/>
          <w:color w:val="auto"/>
        </w:rPr>
        <w:t>EXHIBIT 31.1</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PERIODIC REPORT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 SECTION 302 OF THE SARBANES-OXLEY ACT OF 2002</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I, Patrick Goepel, certify that:</w:t>
      </w:r>
    </w:p>
    <w:p>
      <w:pPr>
        <w:spacing w:after="0" w:line="241" w:lineRule="exact"/>
        <w:rPr>
          <w:sz w:val="20"/>
          <w:szCs w:val="20"/>
          <w:color w:val="auto"/>
        </w:rPr>
      </w:pPr>
    </w:p>
    <w:p>
      <w:pPr>
        <w:ind w:left="1280" w:hanging="636"/>
        <w:spacing w:after="0"/>
        <w:tabs>
          <w:tab w:leader="none" w:pos="12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 have reviewed the Annual Report on Form 10-K of the Company for the calendar year ended December 31, 2012 (the “Report”);</w:t>
      </w:r>
    </w:p>
    <w:p>
      <w:pPr>
        <w:spacing w:after="0" w:line="240" w:lineRule="exact"/>
        <w:rPr>
          <w:rFonts w:ascii="Arial" w:cs="Arial" w:eastAsia="Arial" w:hAnsi="Arial"/>
          <w:sz w:val="17"/>
          <w:szCs w:val="17"/>
          <w:color w:val="auto"/>
        </w:rPr>
      </w:pPr>
    </w:p>
    <w:p>
      <w:pPr>
        <w:jc w:val="both"/>
        <w:ind w:left="1280" w:right="20" w:hanging="636"/>
        <w:spacing w:after="0" w:line="264" w:lineRule="auto"/>
        <w:tabs>
          <w:tab w:leader="none" w:pos="12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Report does not contain any untrue statement of a material fact or omit to state a material fact necessary to make the statements made, in light of the circumstances under which such statements were made, not misleading with respect to the periods covered by this Report;</w:t>
      </w:r>
    </w:p>
    <w:p>
      <w:pPr>
        <w:spacing w:after="0" w:line="202" w:lineRule="exact"/>
        <w:rPr>
          <w:rFonts w:ascii="Arial" w:cs="Arial" w:eastAsia="Arial" w:hAnsi="Arial"/>
          <w:sz w:val="17"/>
          <w:szCs w:val="17"/>
          <w:color w:val="auto"/>
        </w:rPr>
      </w:pPr>
    </w:p>
    <w:p>
      <w:pPr>
        <w:ind w:left="1280" w:right="20" w:hanging="636"/>
        <w:spacing w:after="0" w:line="310" w:lineRule="auto"/>
        <w:tabs>
          <w:tab w:leader="none" w:pos="12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the Report, fairly present in all material respects the financial condition, results of operations and cash flows of the Company as of, and for, the periods presented in the Report;</w:t>
      </w:r>
    </w:p>
    <w:p>
      <w:pPr>
        <w:spacing w:after="0" w:line="166" w:lineRule="exact"/>
        <w:rPr>
          <w:rFonts w:ascii="Arial" w:cs="Arial" w:eastAsia="Arial" w:hAnsi="Arial"/>
          <w:sz w:val="16"/>
          <w:szCs w:val="16"/>
          <w:color w:val="auto"/>
        </w:rPr>
      </w:pPr>
    </w:p>
    <w:p>
      <w:pPr>
        <w:jc w:val="both"/>
        <w:ind w:left="1280" w:right="20" w:hanging="636"/>
        <w:spacing w:after="0" w:line="264" w:lineRule="auto"/>
        <w:tabs>
          <w:tab w:leader="none" w:pos="12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we have:</w:t>
      </w:r>
    </w:p>
    <w:p>
      <w:pPr>
        <w:spacing w:after="0" w:line="202" w:lineRule="exact"/>
        <w:rPr>
          <w:rFonts w:ascii="Arial" w:cs="Arial" w:eastAsia="Arial" w:hAnsi="Arial"/>
          <w:sz w:val="17"/>
          <w:szCs w:val="17"/>
          <w:color w:val="auto"/>
        </w:rPr>
      </w:pPr>
    </w:p>
    <w:p>
      <w:pPr>
        <w:jc w:val="both"/>
        <w:ind w:left="1980" w:right="20" w:hanging="655"/>
        <w:spacing w:after="0" w:line="264" w:lineRule="auto"/>
        <w:tabs>
          <w:tab w:leader="none" w:pos="1980" w:val="left"/>
        </w:tabs>
        <w:numPr>
          <w:ilvl w:val="1"/>
          <w:numId w:val="1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these entities, particularly during the period in which the Report is being prepared;</w:t>
      </w:r>
    </w:p>
    <w:p>
      <w:pPr>
        <w:spacing w:after="0" w:line="202" w:lineRule="exact"/>
        <w:rPr>
          <w:rFonts w:ascii="Arial" w:cs="Arial" w:eastAsia="Arial" w:hAnsi="Arial"/>
          <w:sz w:val="17"/>
          <w:szCs w:val="17"/>
          <w:color w:val="auto"/>
        </w:rPr>
      </w:pPr>
    </w:p>
    <w:p>
      <w:pPr>
        <w:jc w:val="both"/>
        <w:ind w:left="1980" w:right="20" w:hanging="655"/>
        <w:spacing w:after="0" w:line="264" w:lineRule="auto"/>
        <w:tabs>
          <w:tab w:leader="none" w:pos="1980" w:val="left"/>
        </w:tabs>
        <w:numPr>
          <w:ilvl w:val="1"/>
          <w:numId w:val="1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Arial" w:cs="Arial" w:eastAsia="Arial" w:hAnsi="Arial"/>
          <w:sz w:val="17"/>
          <w:szCs w:val="17"/>
          <w:color w:val="auto"/>
        </w:rPr>
      </w:pPr>
    </w:p>
    <w:p>
      <w:pPr>
        <w:ind w:left="1980" w:right="20" w:hanging="655"/>
        <w:spacing w:after="0" w:line="346" w:lineRule="auto"/>
        <w:tabs>
          <w:tab w:leader="none" w:pos="1980" w:val="left"/>
        </w:tabs>
        <w:numPr>
          <w:ilvl w:val="1"/>
          <w:numId w:val="15"/>
        </w:numPr>
        <w:rPr>
          <w:rFonts w:ascii="Arial" w:cs="Arial" w:eastAsia="Arial" w:hAnsi="Arial"/>
          <w:sz w:val="15"/>
          <w:szCs w:val="15"/>
          <w:color w:val="auto"/>
        </w:rPr>
      </w:pPr>
      <w:r>
        <w:rPr>
          <w:rFonts w:ascii="Arial" w:cs="Arial" w:eastAsia="Arial" w:hAnsi="Arial"/>
          <w:sz w:val="15"/>
          <w:szCs w:val="15"/>
          <w:color w:val="auto"/>
        </w:rPr>
        <w:t>Evaluated the effectiveness of the Company’s disclosure controls and procedures and presented in the Report our conclusions about the effectiveness of the disclosure controls and procedures, as of the end of the period covered by the Report based on such evaluation; and</w:t>
      </w:r>
    </w:p>
    <w:p>
      <w:pPr>
        <w:spacing w:after="0" w:line="144" w:lineRule="exact"/>
        <w:rPr>
          <w:rFonts w:ascii="Arial" w:cs="Arial" w:eastAsia="Arial" w:hAnsi="Arial"/>
          <w:sz w:val="15"/>
          <w:szCs w:val="15"/>
          <w:color w:val="auto"/>
        </w:rPr>
      </w:pPr>
    </w:p>
    <w:p>
      <w:pPr>
        <w:jc w:val="both"/>
        <w:ind w:left="1980" w:right="20" w:hanging="655"/>
        <w:spacing w:after="0" w:line="264" w:lineRule="auto"/>
        <w:tabs>
          <w:tab w:leader="none" w:pos="1980" w:val="left"/>
        </w:tabs>
        <w:numPr>
          <w:ilvl w:val="1"/>
          <w:numId w:val="15"/>
        </w:numPr>
        <w:rPr>
          <w:rFonts w:ascii="Arial" w:cs="Arial" w:eastAsia="Arial" w:hAnsi="Arial"/>
          <w:sz w:val="17"/>
          <w:szCs w:val="17"/>
          <w:color w:val="auto"/>
        </w:rPr>
      </w:pPr>
      <w:r>
        <w:rPr>
          <w:rFonts w:ascii="Arial" w:cs="Arial" w:eastAsia="Arial" w:hAnsi="Arial"/>
          <w:sz w:val="17"/>
          <w:szCs w:val="17"/>
          <w:color w:val="auto"/>
        </w:rPr>
        <w:t>Disclosed in the Report any change in the Company’s internal control over financial reporting that occurred during the Company’s most recent calendar year ended December 31, 2012 that has materially affected, or is reasonably likely to materially affect, the Company’s internal control over financial reporting; and</w:t>
      </w:r>
    </w:p>
    <w:p>
      <w:pPr>
        <w:spacing w:after="0" w:line="202" w:lineRule="exact"/>
        <w:rPr>
          <w:rFonts w:ascii="Arial" w:cs="Arial" w:eastAsia="Arial" w:hAnsi="Arial"/>
          <w:sz w:val="17"/>
          <w:szCs w:val="17"/>
          <w:color w:val="auto"/>
        </w:rPr>
      </w:pPr>
    </w:p>
    <w:p>
      <w:pPr>
        <w:ind w:left="1280" w:right="40" w:hanging="636"/>
        <w:spacing w:after="0" w:line="277" w:lineRule="auto"/>
        <w:tabs>
          <w:tab w:leader="none" w:pos="12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Company’s other certifying officer and I have disclosed, based on our most recent evaluation of internal control over financial reporting, to the Company’s auditors and to the Audit Committee of the Board of Directors:</w:t>
      </w:r>
    </w:p>
    <w:p>
      <w:pPr>
        <w:spacing w:after="0" w:line="190" w:lineRule="exact"/>
        <w:rPr>
          <w:rFonts w:ascii="Arial" w:cs="Arial" w:eastAsia="Arial" w:hAnsi="Arial"/>
          <w:sz w:val="17"/>
          <w:szCs w:val="17"/>
          <w:color w:val="auto"/>
        </w:rPr>
      </w:pPr>
    </w:p>
    <w:p>
      <w:pPr>
        <w:ind w:left="1980" w:right="20" w:hanging="655"/>
        <w:spacing w:after="0" w:line="310" w:lineRule="auto"/>
        <w:tabs>
          <w:tab w:leader="none" w:pos="1980" w:val="left"/>
        </w:tabs>
        <w:numPr>
          <w:ilvl w:val="1"/>
          <w:numId w:val="15"/>
        </w:numPr>
        <w:rPr>
          <w:rFonts w:ascii="Arial" w:cs="Arial" w:eastAsia="Arial" w:hAnsi="Arial"/>
          <w:sz w:val="16"/>
          <w:szCs w:val="16"/>
          <w:color w:val="auto"/>
        </w:rPr>
      </w:pPr>
      <w:r>
        <w:rPr>
          <w:rFonts w:ascii="Arial" w:cs="Arial" w:eastAsia="Arial" w:hAnsi="Arial"/>
          <w:sz w:val="16"/>
          <w:szCs w:val="16"/>
          <w:color w:val="auto"/>
        </w:rPr>
        <w:t>All significant deficiencies or material weaknesses in the design or operation of internal control over financial reporting which are reasonably likely to adversely affect the Company’s ability to record, process, summarize and report financial information; and</w:t>
      </w:r>
    </w:p>
    <w:p>
      <w:pPr>
        <w:spacing w:after="0" w:line="166" w:lineRule="exact"/>
        <w:rPr>
          <w:rFonts w:ascii="Arial" w:cs="Arial" w:eastAsia="Arial" w:hAnsi="Arial"/>
          <w:sz w:val="16"/>
          <w:szCs w:val="16"/>
          <w:color w:val="auto"/>
        </w:rPr>
      </w:pPr>
    </w:p>
    <w:p>
      <w:pPr>
        <w:ind w:left="1980" w:right="40" w:hanging="655"/>
        <w:spacing w:after="0" w:line="277" w:lineRule="auto"/>
        <w:tabs>
          <w:tab w:leader="none" w:pos="1980" w:val="left"/>
        </w:tabs>
        <w:numPr>
          <w:ilvl w:val="1"/>
          <w:numId w:val="15"/>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Company’s internal control over financial reporting.</w:t>
      </w:r>
    </w:p>
    <w:p>
      <w:pPr>
        <w:spacing w:after="0" w:line="396" w:lineRule="exact"/>
        <w:rPr>
          <w:sz w:val="20"/>
          <w:szCs w:val="20"/>
          <w:color w:val="auto"/>
        </w:rPr>
      </w:pPr>
    </w:p>
    <w:p>
      <w:pPr>
        <w:spacing w:after="0"/>
        <w:rPr>
          <w:sz w:val="20"/>
          <w:szCs w:val="20"/>
          <w:color w:val="auto"/>
        </w:rPr>
      </w:pPr>
      <w:r>
        <w:rPr>
          <w:rFonts w:ascii="Arial" w:cs="Arial" w:eastAsia="Arial" w:hAnsi="Arial"/>
          <w:sz w:val="17"/>
          <w:szCs w:val="17"/>
          <w:color w:val="auto"/>
        </w:rPr>
        <w:t>/s/ PATRICK GOEPEL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1906905" cy="165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906905" cy="1651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Patrick Goepel</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Chief Executive Officer</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April 1, 2013</w:t>
      </w:r>
    </w:p>
    <w:p>
      <w:pPr>
        <w:sectPr>
          <w:pgSz w:w="11900" w:h="16838" w:orient="portrait"/>
          <w:cols w:equalWidth="0" w:num="1">
            <w:col w:w="11420"/>
          </w:cols>
          <w:pgMar w:left="240" w:top="121" w:right="239" w:bottom="1440" w:gutter="0" w:footer="0" w:header="0"/>
        </w:sectPr>
      </w:pPr>
    </w:p>
    <w:bookmarkStart w:id="67" w:name="page68"/>
    <w:bookmarkEnd w:id="67"/>
    <w:p>
      <w:pPr>
        <w:jc w:val="right"/>
        <w:spacing w:after="0"/>
        <w:rPr>
          <w:sz w:val="20"/>
          <w:szCs w:val="20"/>
          <w:color w:val="auto"/>
        </w:rPr>
      </w:pPr>
      <w:r>
        <w:rPr>
          <w:rFonts w:ascii="Arial" w:cs="Arial" w:eastAsia="Arial" w:hAnsi="Arial"/>
          <w:sz w:val="17"/>
          <w:szCs w:val="17"/>
          <w:b w:val="1"/>
          <w:bCs w:val="1"/>
          <w:color w:val="auto"/>
        </w:rPr>
        <w:t>EXHIBIT 31.2</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PERIODIC REPORT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 SECTION 302 OF THE SARBANES-OXLEY ACT OF 2002</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I, Jennifer Crow, certify that:</w:t>
      </w:r>
    </w:p>
    <w:p>
      <w:pPr>
        <w:spacing w:after="0" w:line="241" w:lineRule="exact"/>
        <w:rPr>
          <w:sz w:val="20"/>
          <w:szCs w:val="20"/>
          <w:color w:val="auto"/>
        </w:rPr>
      </w:pPr>
    </w:p>
    <w:p>
      <w:pPr>
        <w:ind w:left="1280" w:hanging="636"/>
        <w:spacing w:after="0"/>
        <w:tabs>
          <w:tab w:leader="none" w:pos="12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 have reviewed the Annual Report on Form 10-K of the Company for the calendar year ended December 31, 2012 (the “Report”);</w:t>
      </w:r>
    </w:p>
    <w:p>
      <w:pPr>
        <w:spacing w:after="0" w:line="240" w:lineRule="exact"/>
        <w:rPr>
          <w:rFonts w:ascii="Arial" w:cs="Arial" w:eastAsia="Arial" w:hAnsi="Arial"/>
          <w:sz w:val="17"/>
          <w:szCs w:val="17"/>
          <w:color w:val="auto"/>
        </w:rPr>
      </w:pPr>
    </w:p>
    <w:p>
      <w:pPr>
        <w:jc w:val="both"/>
        <w:ind w:left="1280" w:right="20" w:hanging="636"/>
        <w:spacing w:after="0" w:line="264" w:lineRule="auto"/>
        <w:tabs>
          <w:tab w:leader="none" w:pos="12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Report does not contain any untrue statement of a material fact or omit to state a material fact necessary to make the statements made, in light of the circumstances under which such statements were made, not misleading with respect to the periods covered by this Report;</w:t>
      </w:r>
    </w:p>
    <w:p>
      <w:pPr>
        <w:spacing w:after="0" w:line="202" w:lineRule="exact"/>
        <w:rPr>
          <w:rFonts w:ascii="Arial" w:cs="Arial" w:eastAsia="Arial" w:hAnsi="Arial"/>
          <w:sz w:val="17"/>
          <w:szCs w:val="17"/>
          <w:color w:val="auto"/>
        </w:rPr>
      </w:pPr>
    </w:p>
    <w:p>
      <w:pPr>
        <w:ind w:left="1280" w:right="20" w:hanging="636"/>
        <w:spacing w:after="0" w:line="310" w:lineRule="auto"/>
        <w:tabs>
          <w:tab w:leader="none" w:pos="12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the Report, fairly present in all material respects the financial condition, results of operations and cash flows of the Company as of, and for, the periods presented in the Report;</w:t>
      </w:r>
    </w:p>
    <w:p>
      <w:pPr>
        <w:spacing w:after="0" w:line="166" w:lineRule="exact"/>
        <w:rPr>
          <w:rFonts w:ascii="Arial" w:cs="Arial" w:eastAsia="Arial" w:hAnsi="Arial"/>
          <w:sz w:val="16"/>
          <w:szCs w:val="16"/>
          <w:color w:val="auto"/>
        </w:rPr>
      </w:pPr>
    </w:p>
    <w:p>
      <w:pPr>
        <w:jc w:val="both"/>
        <w:ind w:left="1280" w:right="20" w:hanging="636"/>
        <w:spacing w:after="0" w:line="264" w:lineRule="auto"/>
        <w:tabs>
          <w:tab w:leader="none" w:pos="12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we have:</w:t>
      </w:r>
    </w:p>
    <w:p>
      <w:pPr>
        <w:spacing w:after="0" w:line="202" w:lineRule="exact"/>
        <w:rPr>
          <w:rFonts w:ascii="Arial" w:cs="Arial" w:eastAsia="Arial" w:hAnsi="Arial"/>
          <w:sz w:val="17"/>
          <w:szCs w:val="17"/>
          <w:color w:val="auto"/>
        </w:rPr>
      </w:pPr>
    </w:p>
    <w:p>
      <w:pPr>
        <w:jc w:val="both"/>
        <w:ind w:left="1980" w:right="20" w:hanging="655"/>
        <w:spacing w:after="0" w:line="264" w:lineRule="auto"/>
        <w:tabs>
          <w:tab w:leader="none" w:pos="1980" w:val="left"/>
        </w:tabs>
        <w:numPr>
          <w:ilvl w:val="1"/>
          <w:numId w:val="1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these entities, particularly during the period in which the Report is being prepared;</w:t>
      </w:r>
    </w:p>
    <w:p>
      <w:pPr>
        <w:spacing w:after="0" w:line="202" w:lineRule="exact"/>
        <w:rPr>
          <w:rFonts w:ascii="Arial" w:cs="Arial" w:eastAsia="Arial" w:hAnsi="Arial"/>
          <w:sz w:val="17"/>
          <w:szCs w:val="17"/>
          <w:color w:val="auto"/>
        </w:rPr>
      </w:pPr>
    </w:p>
    <w:p>
      <w:pPr>
        <w:jc w:val="both"/>
        <w:ind w:left="1980" w:right="20" w:hanging="655"/>
        <w:spacing w:after="0" w:line="264" w:lineRule="auto"/>
        <w:tabs>
          <w:tab w:leader="none" w:pos="1980" w:val="left"/>
        </w:tabs>
        <w:numPr>
          <w:ilvl w:val="1"/>
          <w:numId w:val="1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Arial" w:cs="Arial" w:eastAsia="Arial" w:hAnsi="Arial"/>
          <w:sz w:val="17"/>
          <w:szCs w:val="17"/>
          <w:color w:val="auto"/>
        </w:rPr>
      </w:pPr>
    </w:p>
    <w:p>
      <w:pPr>
        <w:ind w:left="1980" w:right="20" w:hanging="655"/>
        <w:spacing w:after="0" w:line="346" w:lineRule="auto"/>
        <w:tabs>
          <w:tab w:leader="none" w:pos="1980" w:val="left"/>
        </w:tabs>
        <w:numPr>
          <w:ilvl w:val="1"/>
          <w:numId w:val="16"/>
        </w:numPr>
        <w:rPr>
          <w:rFonts w:ascii="Arial" w:cs="Arial" w:eastAsia="Arial" w:hAnsi="Arial"/>
          <w:sz w:val="15"/>
          <w:szCs w:val="15"/>
          <w:color w:val="auto"/>
        </w:rPr>
      </w:pPr>
      <w:r>
        <w:rPr>
          <w:rFonts w:ascii="Arial" w:cs="Arial" w:eastAsia="Arial" w:hAnsi="Arial"/>
          <w:sz w:val="15"/>
          <w:szCs w:val="15"/>
          <w:color w:val="auto"/>
        </w:rPr>
        <w:t>Evaluated the effectiveness of the Company’s disclosure controls and procedures and presented in the Report our conclusions about the effectiveness of the disclosure controls and procedures, as of the end of the period covered by the Report based on such evaluation; and</w:t>
      </w:r>
    </w:p>
    <w:p>
      <w:pPr>
        <w:spacing w:after="0" w:line="144" w:lineRule="exact"/>
        <w:rPr>
          <w:rFonts w:ascii="Arial" w:cs="Arial" w:eastAsia="Arial" w:hAnsi="Arial"/>
          <w:sz w:val="15"/>
          <w:szCs w:val="15"/>
          <w:color w:val="auto"/>
        </w:rPr>
      </w:pPr>
    </w:p>
    <w:p>
      <w:pPr>
        <w:jc w:val="both"/>
        <w:ind w:left="1980" w:right="20" w:hanging="655"/>
        <w:spacing w:after="0" w:line="264" w:lineRule="auto"/>
        <w:tabs>
          <w:tab w:leader="none" w:pos="1980" w:val="left"/>
        </w:tabs>
        <w:numPr>
          <w:ilvl w:val="1"/>
          <w:numId w:val="16"/>
        </w:numPr>
        <w:rPr>
          <w:rFonts w:ascii="Arial" w:cs="Arial" w:eastAsia="Arial" w:hAnsi="Arial"/>
          <w:sz w:val="17"/>
          <w:szCs w:val="17"/>
          <w:color w:val="auto"/>
        </w:rPr>
      </w:pPr>
      <w:r>
        <w:rPr>
          <w:rFonts w:ascii="Arial" w:cs="Arial" w:eastAsia="Arial" w:hAnsi="Arial"/>
          <w:sz w:val="17"/>
          <w:szCs w:val="17"/>
          <w:color w:val="auto"/>
        </w:rPr>
        <w:t>Disclosed in the Report any change in the Company’s internal control over financial reporting that occurred during the Company’s most recent calendar year ended December 31, 2012 that has materially affected, or is reasonably likely to materially affect, the Company’s internal control over financial reporting; and</w:t>
      </w:r>
    </w:p>
    <w:p>
      <w:pPr>
        <w:spacing w:after="0" w:line="202" w:lineRule="exact"/>
        <w:rPr>
          <w:rFonts w:ascii="Arial" w:cs="Arial" w:eastAsia="Arial" w:hAnsi="Arial"/>
          <w:sz w:val="17"/>
          <w:szCs w:val="17"/>
          <w:color w:val="auto"/>
        </w:rPr>
      </w:pPr>
    </w:p>
    <w:p>
      <w:pPr>
        <w:ind w:left="1280" w:right="40" w:hanging="636"/>
        <w:spacing w:after="0" w:line="277" w:lineRule="auto"/>
        <w:tabs>
          <w:tab w:leader="none" w:pos="12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Company’s other certifying officer and I have disclosed, based on our most recent evaluation of internal control over financial reporting, to the Company’s auditors and to the Audit Committee of the Board of Directors:</w:t>
      </w:r>
    </w:p>
    <w:p>
      <w:pPr>
        <w:spacing w:after="0" w:line="190" w:lineRule="exact"/>
        <w:rPr>
          <w:rFonts w:ascii="Arial" w:cs="Arial" w:eastAsia="Arial" w:hAnsi="Arial"/>
          <w:sz w:val="17"/>
          <w:szCs w:val="17"/>
          <w:color w:val="auto"/>
        </w:rPr>
      </w:pPr>
    </w:p>
    <w:p>
      <w:pPr>
        <w:ind w:left="1980" w:right="20" w:hanging="655"/>
        <w:spacing w:after="0" w:line="310" w:lineRule="auto"/>
        <w:tabs>
          <w:tab w:leader="none" w:pos="1980" w:val="left"/>
        </w:tabs>
        <w:numPr>
          <w:ilvl w:val="1"/>
          <w:numId w:val="16"/>
        </w:numPr>
        <w:rPr>
          <w:rFonts w:ascii="Arial" w:cs="Arial" w:eastAsia="Arial" w:hAnsi="Arial"/>
          <w:sz w:val="16"/>
          <w:szCs w:val="16"/>
          <w:color w:val="auto"/>
        </w:rPr>
      </w:pPr>
      <w:r>
        <w:rPr>
          <w:rFonts w:ascii="Arial" w:cs="Arial" w:eastAsia="Arial" w:hAnsi="Arial"/>
          <w:sz w:val="16"/>
          <w:szCs w:val="16"/>
          <w:color w:val="auto"/>
        </w:rPr>
        <w:t>All significant deficiencies or material weaknesses in the design or operation of internal control over financial reporting which are reasonably likely to adversely affect the Company’s ability to record, process, summarize and report financial information; and</w:t>
      </w:r>
    </w:p>
    <w:p>
      <w:pPr>
        <w:spacing w:after="0" w:line="166" w:lineRule="exact"/>
        <w:rPr>
          <w:rFonts w:ascii="Arial" w:cs="Arial" w:eastAsia="Arial" w:hAnsi="Arial"/>
          <w:sz w:val="16"/>
          <w:szCs w:val="16"/>
          <w:color w:val="auto"/>
        </w:rPr>
      </w:pPr>
    </w:p>
    <w:p>
      <w:pPr>
        <w:ind w:left="1980" w:right="40" w:hanging="655"/>
        <w:spacing w:after="0" w:line="277" w:lineRule="auto"/>
        <w:tabs>
          <w:tab w:leader="none" w:pos="1980" w:val="left"/>
        </w:tabs>
        <w:numPr>
          <w:ilvl w:val="1"/>
          <w:numId w:val="16"/>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Company’s internal control over financial reporting.</w:t>
      </w:r>
    </w:p>
    <w:p>
      <w:pPr>
        <w:spacing w:after="0" w:line="396" w:lineRule="exact"/>
        <w:rPr>
          <w:sz w:val="20"/>
          <w:szCs w:val="20"/>
          <w:color w:val="auto"/>
        </w:rPr>
      </w:pPr>
    </w:p>
    <w:p>
      <w:pPr>
        <w:spacing w:after="0"/>
        <w:rPr>
          <w:sz w:val="20"/>
          <w:szCs w:val="20"/>
          <w:color w:val="auto"/>
        </w:rPr>
      </w:pPr>
      <w:r>
        <w:rPr>
          <w:rFonts w:ascii="Arial" w:cs="Arial" w:eastAsia="Arial" w:hAnsi="Arial"/>
          <w:sz w:val="17"/>
          <w:szCs w:val="17"/>
          <w:color w:val="auto"/>
        </w:rPr>
        <w:t>/s/ JENNIFER CROW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1825625" cy="165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825625" cy="1651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Jennifer Crow</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Chief Financial Officer</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April 1, 2013</w:t>
      </w:r>
    </w:p>
    <w:p>
      <w:pPr>
        <w:sectPr>
          <w:pgSz w:w="11900" w:h="16838" w:orient="portrait"/>
          <w:cols w:equalWidth="0" w:num="1">
            <w:col w:w="11420"/>
          </w:cols>
          <w:pgMar w:left="240" w:top="121" w:right="239" w:bottom="1440" w:gutter="0" w:footer="0" w:header="0"/>
        </w:sectPr>
      </w:pPr>
    </w:p>
    <w:bookmarkStart w:id="68" w:name="page69"/>
    <w:bookmarkEnd w:id="68"/>
    <w:p>
      <w:pPr>
        <w:jc w:val="right"/>
        <w:spacing w:after="0"/>
        <w:rPr>
          <w:sz w:val="20"/>
          <w:szCs w:val="20"/>
          <w:color w:val="auto"/>
        </w:rPr>
      </w:pPr>
      <w:r>
        <w:rPr>
          <w:rFonts w:ascii="Arial" w:cs="Arial" w:eastAsia="Arial" w:hAnsi="Arial"/>
          <w:sz w:val="17"/>
          <w:szCs w:val="17"/>
          <w:b w:val="1"/>
          <w:bCs w:val="1"/>
          <w:color w:val="auto"/>
        </w:rPr>
        <w:t>EXHIBIT 32.1</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PERIODIC REPORT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 SECTION 906 OF THE SARBANES-OXLEY ACT OF 2002</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I, Patrick Goepel, do hereby certify, pursuant to 18 U.S.C. Section 1350, as adopted by Section 906 of the Sarbanes-Oxley Act of 2002, that:</w:t>
      </w:r>
    </w:p>
    <w:p>
      <w:pPr>
        <w:spacing w:after="0" w:line="241" w:lineRule="exact"/>
        <w:rPr>
          <w:sz w:val="20"/>
          <w:szCs w:val="20"/>
          <w:color w:val="auto"/>
        </w:rPr>
      </w:pPr>
    </w:p>
    <w:p>
      <w:pPr>
        <w:ind w:left="1280" w:right="20" w:hanging="636"/>
        <w:spacing w:after="0" w:line="277" w:lineRule="auto"/>
        <w:tabs>
          <w:tab w:leader="none" w:pos="12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Annual Report on Form 10-K of the Company for the calendar year ended December 31, 2012 (the “Report”) fully complies with the requirements of section 13(a) or 15(d) of the Securities Exchange Act of 1934 as amended, and</w:t>
      </w:r>
    </w:p>
    <w:p>
      <w:pPr>
        <w:spacing w:after="0" w:line="190" w:lineRule="exact"/>
        <w:rPr>
          <w:rFonts w:ascii="Arial" w:cs="Arial" w:eastAsia="Arial" w:hAnsi="Arial"/>
          <w:sz w:val="17"/>
          <w:szCs w:val="17"/>
          <w:color w:val="auto"/>
        </w:rPr>
      </w:pPr>
    </w:p>
    <w:p>
      <w:pPr>
        <w:ind w:left="1280" w:hanging="636"/>
        <w:spacing w:after="0"/>
        <w:tabs>
          <w:tab w:leader="none" w:pos="1280" w:val="left"/>
        </w:tabs>
        <w:numPr>
          <w:ilvl w:val="0"/>
          <w:numId w:val="17"/>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95"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/s/ PATRICK GOEPEL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13970</wp:posOffset>
            </wp:positionV>
            <wp:extent cx="2167890" cy="165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167890" cy="16510"/>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Patrick Goepel</w:t>
      </w:r>
    </w:p>
    <w:p>
      <w:pPr>
        <w:spacing w:after="0" w:line="21"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Chief Executive Officer</w:t>
      </w:r>
    </w:p>
    <w:p>
      <w:pPr>
        <w:spacing w:after="0" w:line="10"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April 1, 2013</w:t>
      </w:r>
    </w:p>
    <w:p>
      <w:pPr>
        <w:spacing w:after="0" w:line="200" w:lineRule="exact"/>
        <w:rPr>
          <w:sz w:val="20"/>
          <w:szCs w:val="20"/>
          <w:color w:val="auto"/>
        </w:rPr>
      </w:pPr>
    </w:p>
    <w:p>
      <w:pPr>
        <w:spacing w:after="0" w:line="235"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A signed original of this written statement required by Section 906 has been provided to Asure Software, Inc. and will be retained by Asure Software, Inc. and furnished to the Securities and Exchange Commission or its staff upon request. The foregoing certification is being furnished solely pursuant to 18 U.S.C. Section 1350 and is not being filed as part of the Report or as a separate disclosure document.</w:t>
      </w:r>
    </w:p>
    <w:p>
      <w:pPr>
        <w:sectPr>
          <w:pgSz w:w="11900" w:h="16838" w:orient="portrait"/>
          <w:cols w:equalWidth="0" w:num="1">
            <w:col w:w="11420"/>
          </w:cols>
          <w:pgMar w:left="240" w:top="121" w:right="239" w:bottom="1440" w:gutter="0" w:footer="0" w:header="0"/>
        </w:sectPr>
      </w:pPr>
    </w:p>
    <w:bookmarkStart w:id="69" w:name="page70"/>
    <w:bookmarkEnd w:id="69"/>
    <w:p>
      <w:pPr>
        <w:jc w:val="right"/>
        <w:spacing w:after="0"/>
        <w:rPr>
          <w:sz w:val="20"/>
          <w:szCs w:val="20"/>
          <w:color w:val="auto"/>
        </w:rPr>
      </w:pPr>
      <w:r>
        <w:rPr>
          <w:rFonts w:ascii="Arial" w:cs="Arial" w:eastAsia="Arial" w:hAnsi="Arial"/>
          <w:sz w:val="17"/>
          <w:szCs w:val="17"/>
          <w:b w:val="1"/>
          <w:bCs w:val="1"/>
          <w:color w:val="auto"/>
        </w:rPr>
        <w:t>EXHIBIT 32.2</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PERIODIC REPORT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 SECTION 906 OF THE SARBANES-OXLEY ACT OF 2002</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I, Jennifer Crow, do hereby certify, pursuant to 18 U.S.C. Section 1350, as adopted by Section 906 of the Sarbanes-Oxley Act of 2002, that:</w:t>
      </w:r>
    </w:p>
    <w:p>
      <w:pPr>
        <w:spacing w:after="0" w:line="241" w:lineRule="exact"/>
        <w:rPr>
          <w:sz w:val="20"/>
          <w:szCs w:val="20"/>
          <w:color w:val="auto"/>
        </w:rPr>
      </w:pPr>
    </w:p>
    <w:p>
      <w:pPr>
        <w:ind w:left="1280" w:right="20" w:hanging="636"/>
        <w:spacing w:after="0" w:line="277" w:lineRule="auto"/>
        <w:tabs>
          <w:tab w:leader="none" w:pos="12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Annual Report on Form 10-K of the Company for the fiscal year ended December 31, 2012 (the “Report”) fully complies with the requirements of section 13(a) or 15(d) of the Securities Exchange Act of 1934 as amended, and</w:t>
      </w:r>
    </w:p>
    <w:p>
      <w:pPr>
        <w:spacing w:after="0" w:line="190" w:lineRule="exact"/>
        <w:rPr>
          <w:rFonts w:ascii="Arial" w:cs="Arial" w:eastAsia="Arial" w:hAnsi="Arial"/>
          <w:sz w:val="17"/>
          <w:szCs w:val="17"/>
          <w:color w:val="auto"/>
        </w:rPr>
      </w:pPr>
    </w:p>
    <w:p>
      <w:pPr>
        <w:ind w:left="1280" w:hanging="636"/>
        <w:spacing w:after="0"/>
        <w:tabs>
          <w:tab w:leader="none" w:pos="1280" w:val="left"/>
        </w:tabs>
        <w:numPr>
          <w:ilvl w:val="0"/>
          <w:numId w:val="18"/>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95"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/s/ JENNIFER CROW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13970</wp:posOffset>
            </wp:positionV>
            <wp:extent cx="2167890" cy="165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167890" cy="16510"/>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Jennifer Crow</w:t>
      </w:r>
    </w:p>
    <w:p>
      <w:pPr>
        <w:spacing w:after="0" w:line="21"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Chief Financial Officer</w:t>
      </w:r>
    </w:p>
    <w:p>
      <w:pPr>
        <w:spacing w:after="0" w:line="10"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April 1, 2013</w:t>
      </w:r>
    </w:p>
    <w:p>
      <w:pPr>
        <w:spacing w:after="0" w:line="200" w:lineRule="exact"/>
        <w:rPr>
          <w:sz w:val="20"/>
          <w:szCs w:val="20"/>
          <w:color w:val="auto"/>
        </w:rPr>
      </w:pPr>
    </w:p>
    <w:p>
      <w:pPr>
        <w:spacing w:after="0" w:line="261"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A signed original of this written statement required by Section 906 has been provided to Asure Software, Inc. and will be retained by Asure Software, Inc. and furnished to the Securities and Exchange Commission or its staff upon request. The foregoing certification is being furnished solely pursuant to 18 U.S.C. Section 1350 and is not being filed as part of the Report or as a separate disclosure document.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x"/>
      <w:numFmt w:val="bullet"/>
      <w:start w:val="1"/>
    </w:lvl>
  </w:abstractNum>
  <w:abstractNum w:abstractNumId="1">
    <w:nsid w:val="4DB127F8"/>
    <w:multiLevelType w:val="hybridMultilevel"/>
    <w:lvl w:ilvl="0">
      <w:lvlJc w:val="left"/>
      <w:lvlText w:val="o"/>
      <w:numFmt w:val="bullet"/>
      <w:start w:val="1"/>
    </w:lvl>
  </w:abstractNum>
  <w:abstractNum w:abstractNumId="2">
    <w:nsid w:val="216231B"/>
    <w:multiLevelType w:val="hybridMultilevel"/>
    <w:lvl w:ilvl="0">
      <w:lvlJc w:val="left"/>
      <w:lvlText w:val="·"/>
      <w:numFmt w:val="bullet"/>
      <w:start w:val="1"/>
    </w:lvl>
    <w:lvl w:ilvl="1">
      <w:lvlJc w:val="left"/>
      <w:lvlText w:val="·"/>
      <w:numFmt w:val="bullet"/>
      <w:start w:val="1"/>
    </w:lvl>
  </w:abstractNum>
  <w:abstractNum w:abstractNumId="3">
    <w:nsid w:val="1F16E9E8"/>
    <w:multiLevelType w:val="hybridMultilevel"/>
    <w:lvl w:ilvl="0">
      <w:lvlJc w:val="left"/>
      <w:lvlText w:val="(%1)"/>
      <w:numFmt w:val="decimal"/>
      <w:start w:val="1"/>
    </w:lvl>
  </w:abstractNum>
  <w:abstractNum w:abstractNumId="4">
    <w:nsid w:val="1190CDE7"/>
    <w:multiLevelType w:val="hybridMultilevel"/>
    <w:lvl w:ilvl="0">
      <w:lvlJc w:val="left"/>
      <w:lvlText w:val="(%1)"/>
      <w:numFmt w:val="lowerLetter"/>
      <w:start w:val="1"/>
    </w:lvl>
    <w:lvl w:ilvl="1">
      <w:lvlJc w:val="left"/>
      <w:lvlText w:val="(%2)"/>
      <w:numFmt w:val="decimal"/>
      <w:start w:val="1"/>
    </w:lvl>
  </w:abstractNum>
  <w:abstractNum w:abstractNumId="5">
    <w:nsid w:val="66EF438D"/>
    <w:multiLevelType w:val="hybridMultilevel"/>
    <w:lvl w:ilvl="0">
      <w:lvlJc w:val="left"/>
      <w:lvlText w:val="(%1)"/>
      <w:numFmt w:val="lowerLetter"/>
      <w:start w:val="2"/>
    </w:lvl>
  </w:abstractNum>
  <w:abstractNum w:abstractNumId="6">
    <w:nsid w:val="140E0F76"/>
    <w:multiLevelType w:val="hybridMultilevel"/>
    <w:lvl w:ilvl="0">
      <w:lvlJc w:val="left"/>
      <w:lvlText w:val="%1"/>
      <w:numFmt w:val="decimal"/>
      <w:start w:val="21"/>
    </w:lvl>
  </w:abstractNum>
  <w:abstractNum w:abstractNumId="7">
    <w:nsid w:val="3352255A"/>
    <w:multiLevelType w:val="hybridMultilevel"/>
    <w:lvl w:ilvl="0">
      <w:lvlJc w:val="left"/>
      <w:lvlText w:val="%1"/>
      <w:numFmt w:val="decimal"/>
      <w:start w:val="101"/>
    </w:lvl>
  </w:abstractNum>
  <w:abstractNum w:abstractNumId="8">
    <w:nsid w:val="109CF92E"/>
    <w:multiLevelType w:val="hybridMultilevel"/>
    <w:lvl w:ilvl="0">
      <w:lvlJc w:val="left"/>
      <w:lvlText w:val="(%1)"/>
      <w:numFmt w:val="decimal"/>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1."/>
      <w:numFmt w:val="upperLetter"/>
      <w:start w:val="1"/>
    </w:lvl>
  </w:abstractNum>
  <w:abstractNum w:abstractNumId="11">
    <w:nsid w:val="1BEFD79F"/>
    <w:multiLevelType w:val="hybridMultilevel"/>
    <w:lvl w:ilvl="0">
      <w:lvlJc w:val="left"/>
      <w:lvlText w:val="(%1)"/>
      <w:numFmt w:val="lowerRoman"/>
      <w:start w:val="1"/>
    </w:lvl>
  </w:abstractNum>
  <w:abstractNum w:abstractNumId="12">
    <w:nsid w:val="41A7C4C9"/>
    <w:multiLevelType w:val="hybridMultilevel"/>
    <w:lvl w:ilvl="0">
      <w:lvlJc w:val="left"/>
      <w:lvlText w:val="(%1)"/>
      <w:numFmt w:val="lowerLetter"/>
      <w:start w:val="3"/>
    </w:lvl>
  </w:abstractNum>
  <w:abstractNum w:abstractNumId="13">
    <w:nsid w:val="6B68079A"/>
    <w:multiLevelType w:val="hybridMultilevel"/>
    <w:lvl w:ilvl="0">
      <w:lvlJc w:val="left"/>
      <w:lvlText w:val="(%1)"/>
      <w:numFmt w:val="lowerLetter"/>
      <w:start w:val="1"/>
    </w:lvl>
  </w:abstractNum>
  <w:abstractNum w:abstractNumId="14">
    <w:nsid w:val="4E6AFB66"/>
    <w:multiLevelType w:val="hybridMultilevel"/>
    <w:lvl w:ilvl="0">
      <w:lvlJc w:val="left"/>
      <w:lvlText w:val="%1."/>
      <w:numFmt w:val="decimal"/>
      <w:start w:val="1"/>
    </w:lvl>
    <w:lvl w:ilvl="1">
      <w:lvlJc w:val="left"/>
      <w:lvlText w:val="(%2)"/>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2019-12-06T06:41:05Z</dcterms:created>
  <dcterms:modified xsi:type="dcterms:W3CDTF">2019-12-06T06:41:05Z</dcterms:modified>
</cp:coreProperties>
</file>