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9428.xml.htm"/>
      <w:bookmarkStart w:id="1" w:name="kswkform4_17833694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Pence John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2"/>
        <w:gridCol w:w="904"/>
        <w:gridCol w:w="773"/>
        <w:gridCol w:w="600"/>
        <w:gridCol w:w="351"/>
        <w:gridCol w:w="855"/>
        <w:gridCol w:w="462"/>
        <w:gridCol w:w="676"/>
        <w:gridCol w:w="1176"/>
        <w:gridCol w:w="1007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628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8.13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300,442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1,312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8.13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299,130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1,312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8.13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297,818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February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represent the payment of tax liability associated with the vesting of restricted stock units that were originally granted on January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represent the payment of tax liability associated with the vesting of restricted stock units that were originally granted on January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751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3684</Characters>
  <CharactersWithSpaces>4292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