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26.3.0 -->
  <w:body>
    <w:p w:rsidR="00A77B3E">
      <w:pPr>
        <w:keepNext w:val="0"/>
        <w:keepLines/>
        <w:pageBreakBefore w:val="0"/>
        <w:widowControl w:val="0"/>
        <w:numPr>
          <w:ilvl w:val="0"/>
          <w:numId w:val="0"/>
        </w:numPr>
        <w:spacing w:before="0" w:after="0" w:line="288" w:lineRule="auto"/>
        <w:ind w:left="0" w:right="0" w:firstLine="0"/>
        <w:jc w:val="center"/>
        <w:outlineLvl w:val="0"/>
        <w:rPr>
          <w:rFonts w:ascii="Times New Roman" w:eastAsia="Times New Roman" w:hAnsi="Times New Roman" w:cs="Times New Roman"/>
          <w:b/>
          <w:i w:val="0"/>
          <w:sz w:val="20"/>
        </w:rPr>
      </w:pPr>
      <w:bookmarkStart w:id="0" w:name="Section1"/>
      <w:bookmarkEnd w:id="0"/>
      <w:r>
        <w:rPr>
          <w:rFonts w:ascii="Times New Roman" w:eastAsia="Times New Roman" w:hAnsi="Times New Roman" w:cs="Times New Roman"/>
          <w:b/>
          <w:i w:val="0"/>
          <w:sz w:val="20"/>
        </w:rPr>
        <w:t>UNITED STATES</w:t>
      </w:r>
    </w:p>
    <w:p w:rsidR="00A77B3E">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i w:val="0"/>
          <w:sz w:val="20"/>
        </w:rPr>
      </w:pPr>
      <w:r>
        <w:rPr>
          <w:rFonts w:ascii="Times New Roman" w:eastAsia="Times New Roman" w:hAnsi="Times New Roman" w:cs="Times New Roman"/>
          <w:b/>
          <w:i w:val="0"/>
          <w:sz w:val="20"/>
        </w:rPr>
        <w:t>SECURITIES AND EXCHANGE COMMISSION</w:t>
      </w:r>
    </w:p>
    <w:p w:rsidR="00A77B3E">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i w:val="0"/>
          <w:sz w:val="20"/>
        </w:rPr>
      </w:pPr>
      <w:r>
        <w:rPr>
          <w:rFonts w:ascii="Times New Roman" w:eastAsia="Times New Roman" w:hAnsi="Times New Roman" w:cs="Times New Roman"/>
          <w:b/>
          <w:i w:val="0"/>
          <w:sz w:val="20"/>
        </w:rPr>
        <w:t>WASHINGTON, D.C. 20549</w:t>
      </w:r>
    </w:p>
    <w:p w:rsidR="00A77B3E">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i w:val="0"/>
          <w:sz w:val="20"/>
        </w:rPr>
      </w:pPr>
    </w:p>
    <w:p w:rsidR="00A77B3E">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i w:val="0"/>
          <w:sz w:val="20"/>
        </w:rPr>
      </w:pPr>
      <w:r>
        <w:rPr>
          <w:rFonts w:ascii="Times New Roman" w:eastAsia="Times New Roman" w:hAnsi="Times New Roman" w:cs="Times New Roman"/>
          <w:b/>
          <w:i w:val="0"/>
          <w:sz w:val="20"/>
        </w:rPr>
        <w:t xml:space="preserve">FORM </w:t>
      </w:r>
      <w:r>
        <w:rPr>
          <w:rFonts w:ascii="Times New Roman" w:eastAsia="Times New Roman" w:hAnsi="Times New Roman" w:cs="Times New Roman"/>
          <w:b/>
          <w:i w:val="0"/>
          <w:color w:val="000000"/>
          <w:sz w:val="20"/>
          <w:u w:val="none"/>
        </w:rPr>
        <w:t>10-Q</w:t>
      </w:r>
    </w:p>
    <w:p w:rsidR="00A77B3E">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i w:val="0"/>
          <w:sz w:val="20"/>
        </w:rPr>
      </w:pPr>
    </w:p>
    <w:tbl>
      <w:tblPr>
        <w:tblStyle w:val="TableNormal0"/>
        <w:tblW w:w="11520" w:type="dxa"/>
        <w:jc w:val="left"/>
        <w:tblInd w:w="0" w:type="dxa"/>
        <w:tblLayout w:type="fixed"/>
      </w:tblPr>
      <w:tblGrid>
        <w:gridCol w:w="405"/>
        <w:gridCol w:w="11115"/>
      </w:tblGrid>
      <w:tr>
        <w:tblPrEx>
          <w:tblW w:w="11520" w:type="dxa"/>
          <w:tblInd w:w="0" w:type="dxa"/>
          <w:tblLayout w:type="fixed"/>
        </w:tblPrEx>
        <w:trPr>
          <w:trHeight w:hRule="exact" w:val="480"/>
        </w:trPr>
        <w:tc>
          <w:tcPr>
            <w:tcW w:w="405" w:type="dxa"/>
            <w:tcBorders>
              <w:top w:val="nil"/>
              <w:left w:val="nil"/>
              <w:bottom w:val="nil"/>
              <w:right w:val="nil"/>
            </w:tcBorders>
            <w:tcMar>
              <w:top w:w="0" w:type="dxa"/>
              <w:left w:w="53" w:type="dxa"/>
              <w:bottom w:w="0" w:type="dxa"/>
              <w:right w:w="53" w:type="dxa"/>
            </w:tcMar>
            <w:vAlign w:val="top"/>
          </w:tcPr>
          <w:p>
            <w:pPr>
              <w:pageBreakBefore w:val="0"/>
              <w:spacing w:before="53" w:after="30" w:line="240" w:lineRule="auto"/>
              <w:jc w:val="center"/>
            </w:pPr>
            <w:r>
              <w:rPr>
                <w:rFonts w:ascii="Wingdings" w:eastAsia="Wingdings" w:hAnsi="Wingdings" w:cs="Wingdings"/>
                <w:b w:val="0"/>
                <w:i w:val="0"/>
                <w:color w:val="000000"/>
                <w:sz w:val="20"/>
                <w:u w:val="none"/>
              </w:rPr>
              <w:t>☒</w:t>
            </w:r>
          </w:p>
        </w:tc>
        <w:tc>
          <w:tcPr>
            <w:tcW w:w="11115" w:type="dxa"/>
            <w:tcBorders>
              <w:top w:val="nil"/>
              <w:left w:val="nil"/>
              <w:bottom w:val="nil"/>
              <w:right w:val="nil"/>
            </w:tcBorders>
            <w:tcMar>
              <w:top w:w="0" w:type="dxa"/>
              <w:left w:w="53" w:type="dxa"/>
              <w:bottom w:w="0" w:type="dxa"/>
              <w:right w:w="53" w:type="dxa"/>
            </w:tcMar>
            <w:vAlign w:val="top"/>
          </w:tcPr>
          <w:p>
            <w:pPr>
              <w:pageBreakBefore w:val="0"/>
              <w:numPr>
                <w:ilvl w:val="0"/>
                <w:numId w:val="0"/>
              </w:numPr>
              <w:spacing w:before="53" w:after="30" w:line="240" w:lineRule="auto"/>
              <w:ind w:left="0" w:right="0" w:firstLine="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 xml:space="preserve">Quarterly Report Pursuant to Section 13 or 15(d) of the Securities Exchange Act of 1934 for the quarterly period ended </w:t>
            </w:r>
            <w:r>
              <w:rPr>
                <w:rFonts w:ascii="Times New Roman" w:eastAsia="Times New Roman" w:hAnsi="Times New Roman" w:cs="Times New Roman"/>
                <w:b w:val="0"/>
                <w:i w:val="0"/>
                <w:color w:val="000000"/>
                <w:sz w:val="20"/>
                <w:u w:val="none"/>
              </w:rPr>
              <w:t>March 31, 2026</w:t>
            </w:r>
          </w:p>
        </w:tc>
      </w:tr>
    </w:tbl>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sz w:val="10"/>
        </w:rPr>
      </w:pPr>
    </w:p>
    <w:tbl>
      <w:tblPr>
        <w:tblStyle w:val="TableNormal0"/>
        <w:tblW w:w="11520" w:type="dxa"/>
        <w:jc w:val="left"/>
        <w:tblInd w:w="0" w:type="dxa"/>
        <w:tblLayout w:type="fixed"/>
      </w:tblPr>
      <w:tblGrid>
        <w:gridCol w:w="405"/>
        <w:gridCol w:w="11115"/>
      </w:tblGrid>
      <w:tr>
        <w:tblPrEx>
          <w:tblW w:w="11520" w:type="dxa"/>
          <w:tblInd w:w="0" w:type="dxa"/>
          <w:tblLayout w:type="fixed"/>
        </w:tblPrEx>
        <w:trPr>
          <w:trHeight w:hRule="exact" w:val="285"/>
        </w:trPr>
        <w:tc>
          <w:tcPr>
            <w:tcW w:w="405" w:type="dxa"/>
            <w:tcBorders>
              <w:top w:val="nil"/>
              <w:left w:val="nil"/>
              <w:bottom w:val="nil"/>
              <w:right w:val="nil"/>
            </w:tcBorders>
            <w:tcMar>
              <w:top w:w="0" w:type="dxa"/>
              <w:left w:w="53" w:type="dxa"/>
              <w:bottom w:w="0" w:type="dxa"/>
              <w:right w:w="53" w:type="dxa"/>
            </w:tcMar>
            <w:vAlign w:val="top"/>
          </w:tcPr>
          <w:p>
            <w:pPr>
              <w:pageBreakBefore w:val="0"/>
              <w:spacing w:before="53" w:after="30" w:line="240" w:lineRule="auto"/>
              <w:jc w:val="center"/>
            </w:pPr>
            <w:r>
              <w:rPr>
                <w:rFonts w:ascii="Wingdings" w:eastAsia="Wingdings" w:hAnsi="Wingdings" w:cs="Wingdings"/>
                <w:b w:val="0"/>
                <w:i w:val="0"/>
                <w:color w:val="000000"/>
                <w:sz w:val="20"/>
                <w:u w:val="none"/>
              </w:rPr>
              <w:t>☐</w:t>
            </w:r>
          </w:p>
        </w:tc>
        <w:tc>
          <w:tcPr>
            <w:tcW w:w="11115" w:type="dxa"/>
            <w:tcBorders>
              <w:top w:val="nil"/>
              <w:left w:val="nil"/>
              <w:bottom w:val="nil"/>
              <w:right w:val="nil"/>
            </w:tcBorders>
            <w:tcMar>
              <w:top w:w="0" w:type="dxa"/>
              <w:left w:w="53" w:type="dxa"/>
              <w:bottom w:w="0" w:type="dxa"/>
              <w:right w:w="53" w:type="dxa"/>
            </w:tcMar>
            <w:vAlign w:val="top"/>
          </w:tcPr>
          <w:p>
            <w:pPr>
              <w:pageBreakBefore w:val="0"/>
              <w:spacing w:before="53" w:after="30" w:line="240" w:lineRule="auto"/>
              <w:jc w:val="left"/>
            </w:pPr>
            <w:r>
              <w:rPr>
                <w:rFonts w:ascii="Times New Roman" w:eastAsia="Times New Roman" w:hAnsi="Times New Roman" w:cs="Times New Roman"/>
                <w:b w:val="0"/>
                <w:i w:val="0"/>
                <w:color w:val="000000"/>
                <w:sz w:val="20"/>
                <w:u w:val="none"/>
              </w:rPr>
              <w:t>Transition Report Pursuant to Section 13 or 15(d) of the Securities Exchange Act of 1934 for the transition period from __ to __</w:t>
            </w:r>
          </w:p>
        </w:tc>
      </w:tr>
    </w:tbl>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10"/>
        </w:rPr>
      </w:pPr>
    </w:p>
    <w:tbl>
      <w:tblPr>
        <w:tblStyle w:val="TableNormal0"/>
        <w:tblW w:w="11520" w:type="dxa"/>
        <w:jc w:val="center"/>
        <w:tblLayout w:type="fixed"/>
      </w:tblPr>
      <w:tblGrid>
        <w:gridCol w:w="11520"/>
      </w:tblGrid>
      <w:tr>
        <w:tblPrEx>
          <w:tblW w:w="11520" w:type="dxa"/>
          <w:tblLayout w:type="fixed"/>
        </w:tblPrEx>
        <w:trPr>
          <w:trHeight w:hRule="exact" w:val="285"/>
        </w:trPr>
        <w:tc>
          <w:tcPr>
            <w:tcW w:w="11520" w:type="dxa"/>
            <w:tcBorders>
              <w:top w:val="nil"/>
              <w:left w:val="nil"/>
              <w:bottom w:val="nil"/>
              <w:right w:val="nil"/>
            </w:tcBorders>
            <w:tcMar>
              <w:top w:w="0" w:type="dxa"/>
              <w:left w:w="53" w:type="dxa"/>
              <w:bottom w:w="0" w:type="dxa"/>
              <w:right w:w="53" w:type="dxa"/>
            </w:tcMar>
            <w:vAlign w:val="top"/>
          </w:tcPr>
          <w:p>
            <w:pPr>
              <w:pageBreakBefore w:val="0"/>
              <w:numPr>
                <w:ilvl w:val="0"/>
                <w:numId w:val="0"/>
              </w:numPr>
              <w:spacing w:before="53" w:after="30" w:line="240" w:lineRule="auto"/>
              <w:ind w:left="0" w:right="0" w:firstLine="0"/>
              <w:jc w:val="center"/>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 xml:space="preserve">Commission File Number: </w:t>
            </w:r>
            <w:r>
              <w:rPr>
                <w:rFonts w:ascii="Times New Roman" w:eastAsia="Times New Roman" w:hAnsi="Times New Roman" w:cs="Times New Roman"/>
                <w:b w:val="0"/>
                <w:i w:val="0"/>
                <w:color w:val="000000"/>
                <w:sz w:val="20"/>
                <w:u w:val="none"/>
              </w:rPr>
              <w:t>1-34522</w:t>
            </w:r>
          </w:p>
        </w:tc>
      </w:tr>
    </w:tbl>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i w:val="0"/>
          <w:sz w:val="20"/>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2.75pt;height:40.5pt">
            <v:imagedata r:id="rId4" o:title=""/>
            <o:lock v:ext="edit" aspectratio="t"/>
          </v:shape>
        </w:pict>
      </w:r>
    </w:p>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i w:val="0"/>
          <w:color w:val="000000"/>
          <w:sz w:val="20"/>
          <w:u w:val="none"/>
        </w:rPr>
      </w:pPr>
      <w:r>
        <w:rPr>
          <w:rFonts w:ascii="Times New Roman" w:eastAsia="Times New Roman" w:hAnsi="Times New Roman" w:cs="Times New Roman"/>
          <w:b/>
          <w:i w:val="0"/>
          <w:color w:val="000000"/>
          <w:sz w:val="20"/>
          <w:u w:val="single"/>
        </w:rPr>
        <w:t>ASURE SOFTWARE, INC.</w:t>
      </w:r>
    </w:p>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(Exact name of registrant as specified in its charter)</w:t>
      </w:r>
    </w:p>
    <w:tbl>
      <w:tblPr>
        <w:tblStyle w:val="TableNormal0"/>
        <w:tblW w:w="11520" w:type="dxa"/>
        <w:jc w:val="center"/>
        <w:tblLayout w:type="fixed"/>
      </w:tblPr>
      <w:tblGrid>
        <w:gridCol w:w="4485"/>
        <w:gridCol w:w="105"/>
        <w:gridCol w:w="2340"/>
        <w:gridCol w:w="105"/>
        <w:gridCol w:w="4485"/>
      </w:tblGrid>
      <w:tr>
        <w:tblPrEx>
          <w:tblW w:w="11520" w:type="dxa"/>
          <w:tblLayout w:type="fixed"/>
        </w:tblPrEx>
        <w:trPr>
          <w:trHeight w:hRule="exact" w:val="315"/>
        </w:trPr>
        <w:tc>
          <w:tcPr>
            <w:tcW w:w="4485" w:type="dxa"/>
            <w:tcBorders>
              <w:top w:val="nil"/>
              <w:left w:val="nil"/>
              <w:bottom w:val="single" w:sz="8" w:space="0" w:color="000000"/>
              <w:right w:val="nil"/>
            </w:tcBorders>
            <w:tcMar>
              <w:top w:w="0" w:type="dxa"/>
              <w:left w:w="53" w:type="dxa"/>
              <w:bottom w:w="0" w:type="dxa"/>
              <w:right w:w="53" w:type="dxa"/>
            </w:tcMar>
            <w:vAlign w:val="top"/>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Delaware</w:t>
            </w:r>
          </w:p>
        </w:tc>
        <w:tc>
          <w:tcPr>
            <w:tcW w:w="10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234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0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4485" w:type="dxa"/>
            <w:tcBorders>
              <w:top w:val="nil"/>
              <w:left w:val="nil"/>
              <w:bottom w:val="single" w:sz="8" w:space="0" w:color="000000"/>
              <w:right w:val="nil"/>
            </w:tcBorders>
            <w:tcMar>
              <w:top w:w="0" w:type="dxa"/>
              <w:left w:w="53" w:type="dxa"/>
              <w:bottom w:w="0" w:type="dxa"/>
              <w:right w:w="53" w:type="dxa"/>
            </w:tcMar>
            <w:vAlign w:val="top"/>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74-2415696</w:t>
            </w:r>
          </w:p>
        </w:tc>
      </w:tr>
      <w:tr>
        <w:tblPrEx>
          <w:tblW w:w="11520" w:type="dxa"/>
          <w:tblLayout w:type="fixed"/>
        </w:tblPrEx>
        <w:trPr>
          <w:trHeight w:hRule="exact" w:val="315"/>
        </w:trPr>
        <w:tc>
          <w:tcPr>
            <w:tcW w:w="4485" w:type="dxa"/>
            <w:tcBorders>
              <w:top w:val="single" w:sz="8" w:space="0" w:color="000000"/>
              <w:left w:val="nil"/>
              <w:bottom w:val="nil"/>
              <w:right w:val="nil"/>
            </w:tcBorders>
            <w:tcMar>
              <w:top w:w="0" w:type="dxa"/>
              <w:left w:w="53" w:type="dxa"/>
              <w:bottom w:w="0" w:type="dxa"/>
              <w:right w:w="53" w:type="dxa"/>
            </w:tcMar>
            <w:vAlign w:val="top"/>
          </w:tcPr>
          <w:p>
            <w:pPr>
              <w:keepNext/>
              <w:pageBreakBefore w:val="0"/>
              <w:spacing w:before="33" w:after="30" w:line="240" w:lineRule="auto"/>
              <w:jc w:val="center"/>
            </w:pPr>
            <w:r>
              <w:rPr>
                <w:rFonts w:ascii="Times New Roman" w:eastAsia="Times New Roman" w:hAnsi="Times New Roman" w:cs="Times New Roman"/>
                <w:b w:val="0"/>
                <w:i w:val="0"/>
                <w:color w:val="000000"/>
                <w:sz w:val="20"/>
                <w:u w:val="none"/>
              </w:rPr>
              <w:t>(State or other jurisdiction of incorporation)</w:t>
            </w:r>
          </w:p>
        </w:tc>
        <w:tc>
          <w:tcPr>
            <w:tcW w:w="10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234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0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4485" w:type="dxa"/>
            <w:tcBorders>
              <w:top w:val="single" w:sz="8" w:space="0" w:color="000000"/>
              <w:left w:val="nil"/>
              <w:bottom w:val="nil"/>
              <w:right w:val="nil"/>
            </w:tcBorders>
            <w:tcMar>
              <w:top w:w="0" w:type="dxa"/>
              <w:left w:w="53" w:type="dxa"/>
              <w:bottom w:w="0" w:type="dxa"/>
              <w:right w:w="53" w:type="dxa"/>
            </w:tcMar>
            <w:vAlign w:val="top"/>
          </w:tcPr>
          <w:p>
            <w:pPr>
              <w:keepNext/>
              <w:pageBreakBefore w:val="0"/>
              <w:spacing w:before="33" w:after="30" w:line="240" w:lineRule="auto"/>
              <w:jc w:val="center"/>
            </w:pPr>
            <w:r>
              <w:rPr>
                <w:rFonts w:ascii="Times New Roman" w:eastAsia="Times New Roman" w:hAnsi="Times New Roman" w:cs="Times New Roman"/>
                <w:b w:val="0"/>
                <w:i w:val="0"/>
                <w:color w:val="000000"/>
                <w:sz w:val="20"/>
                <w:u w:val="none"/>
              </w:rPr>
              <w:t>(I.R.S. Employer Identification No.)</w:t>
            </w:r>
          </w:p>
        </w:tc>
      </w:tr>
      <w:tr>
        <w:tblPrEx>
          <w:tblW w:w="11520" w:type="dxa"/>
          <w:tblLayout w:type="fixed"/>
        </w:tblPrEx>
        <w:trPr>
          <w:trHeight w:hRule="exact" w:val="315"/>
        </w:trPr>
        <w:tc>
          <w:tcPr>
            <w:tcW w:w="448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0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234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0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448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r>
      <w:tr>
        <w:tblPrEx>
          <w:tblW w:w="11520" w:type="dxa"/>
          <w:tblLayout w:type="fixed"/>
        </w:tblPrEx>
        <w:trPr>
          <w:trHeight w:hRule="exact" w:val="315"/>
        </w:trPr>
        <w:tc>
          <w:tcPr>
            <w:tcW w:w="4485" w:type="dxa"/>
            <w:tcBorders>
              <w:top w:val="nil"/>
              <w:left w:val="nil"/>
              <w:bottom w:val="single" w:sz="8" w:space="0" w:color="000000"/>
              <w:right w:val="nil"/>
            </w:tcBorders>
            <w:tcMar>
              <w:top w:w="0" w:type="dxa"/>
              <w:left w:w="53" w:type="dxa"/>
              <w:bottom w:w="0" w:type="dxa"/>
              <w:right w:w="53" w:type="dxa"/>
            </w:tcMar>
            <w:vAlign w:val="top"/>
          </w:tcPr>
          <w:p>
            <w:pPr>
              <w:keepNext/>
              <w:pageBreakBefore w:val="0"/>
              <w:numPr>
                <w:ilvl w:val="0"/>
                <w:numId w:val="0"/>
              </w:numPr>
              <w:spacing w:before="53" w:after="30" w:line="240" w:lineRule="auto"/>
              <w:ind w:left="0" w:right="0" w:firstLine="0"/>
              <w:jc w:val="center"/>
              <w:outlineLvl w:val="9"/>
              <w:rPr>
                <w:rFonts w:ascii="Times New Roman" w:eastAsia="Times New Roman" w:hAnsi="Times New Roman" w:cs="Times New Roman"/>
                <w:b/>
                <w:i w:val="0"/>
                <w:sz w:val="20"/>
              </w:rPr>
            </w:pPr>
            <w:r>
              <w:rPr>
                <w:rFonts w:ascii="Times New Roman" w:eastAsia="Times New Roman" w:hAnsi="Times New Roman" w:cs="Times New Roman"/>
                <w:b/>
                <w:i w:val="0"/>
                <w:color w:val="000000"/>
                <w:sz w:val="20"/>
                <w:u w:val="none"/>
              </w:rPr>
              <w:t>405 Colorado Street, Suite 1800</w:t>
            </w:r>
            <w:r>
              <w:rPr>
                <w:rFonts w:ascii="Times New Roman" w:eastAsia="Times New Roman" w:hAnsi="Times New Roman" w:cs="Times New Roman"/>
                <w:b/>
                <w:i w:val="0"/>
                <w:sz w:val="20"/>
              </w:rPr>
              <w:t xml:space="preserve">, </w:t>
            </w:r>
            <w:r>
              <w:rPr>
                <w:rFonts w:ascii="Times New Roman" w:eastAsia="Times New Roman" w:hAnsi="Times New Roman" w:cs="Times New Roman"/>
                <w:b/>
                <w:i w:val="0"/>
                <w:color w:val="000000"/>
                <w:sz w:val="20"/>
                <w:u w:val="none"/>
              </w:rPr>
              <w:t>Austin</w:t>
            </w:r>
            <w:r>
              <w:rPr>
                <w:rFonts w:ascii="Times New Roman" w:eastAsia="Times New Roman" w:hAnsi="Times New Roman" w:cs="Times New Roman"/>
                <w:b/>
                <w:i w:val="0"/>
                <w:sz w:val="20"/>
              </w:rPr>
              <w:t xml:space="preserve">, </w:t>
            </w:r>
            <w:r>
              <w:rPr>
                <w:rFonts w:ascii="Times New Roman" w:eastAsia="Times New Roman" w:hAnsi="Times New Roman" w:cs="Times New Roman"/>
                <w:b/>
                <w:i w:val="0"/>
                <w:color w:val="000000"/>
                <w:sz w:val="20"/>
                <w:u w:val="none"/>
              </w:rPr>
              <w:t>Texas</w:t>
            </w:r>
          </w:p>
        </w:tc>
        <w:tc>
          <w:tcPr>
            <w:tcW w:w="10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234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0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4485" w:type="dxa"/>
            <w:tcBorders>
              <w:top w:val="nil"/>
              <w:left w:val="nil"/>
              <w:bottom w:val="single" w:sz="8" w:space="0" w:color="000000"/>
              <w:right w:val="nil"/>
            </w:tcBorders>
            <w:tcMar>
              <w:top w:w="0" w:type="dxa"/>
              <w:left w:w="53" w:type="dxa"/>
              <w:bottom w:w="0" w:type="dxa"/>
              <w:right w:w="53" w:type="dxa"/>
            </w:tcMar>
            <w:vAlign w:val="top"/>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78701</w:t>
            </w:r>
          </w:p>
        </w:tc>
      </w:tr>
      <w:tr>
        <w:tblPrEx>
          <w:tblW w:w="11520" w:type="dxa"/>
          <w:tblLayout w:type="fixed"/>
        </w:tblPrEx>
        <w:trPr>
          <w:trHeight w:hRule="exact" w:val="315"/>
        </w:trPr>
        <w:tc>
          <w:tcPr>
            <w:tcW w:w="4485" w:type="dxa"/>
            <w:tcBorders>
              <w:top w:val="single" w:sz="8" w:space="0" w:color="000000"/>
              <w:left w:val="nil"/>
              <w:bottom w:val="nil"/>
              <w:right w:val="nil"/>
            </w:tcBorders>
            <w:tcMar>
              <w:top w:w="0" w:type="dxa"/>
              <w:left w:w="53" w:type="dxa"/>
              <w:bottom w:w="0" w:type="dxa"/>
              <w:right w:w="53" w:type="dxa"/>
            </w:tcMar>
            <w:vAlign w:val="top"/>
          </w:tcPr>
          <w:p>
            <w:pPr>
              <w:pageBreakBefore w:val="0"/>
              <w:spacing w:before="33" w:after="30" w:line="240" w:lineRule="auto"/>
              <w:jc w:val="center"/>
            </w:pPr>
            <w:r>
              <w:rPr>
                <w:rFonts w:ascii="Times New Roman" w:eastAsia="Times New Roman" w:hAnsi="Times New Roman" w:cs="Times New Roman"/>
                <w:b w:val="0"/>
                <w:i w:val="0"/>
                <w:color w:val="000000"/>
                <w:sz w:val="20"/>
                <w:u w:val="none"/>
              </w:rPr>
              <w:t>(Address of principal executive offices)</w:t>
            </w:r>
          </w:p>
        </w:tc>
        <w:tc>
          <w:tcPr>
            <w:tcW w:w="105" w:type="dxa"/>
            <w:tcBorders>
              <w:top w:val="nil"/>
              <w:left w:val="nil"/>
              <w:bottom w:val="nil"/>
              <w:right w:val="nil"/>
            </w:tcBorders>
            <w:tcMar>
              <w:top w:w="0" w:type="dxa"/>
              <w:left w:w="0" w:type="dxa"/>
              <w:bottom w:w="0" w:type="dxa"/>
              <w:right w:w="0" w:type="dxa"/>
            </w:tcMar>
            <w:vAlign w:val="bottom"/>
          </w:tcPr>
          <w:p>
            <w:pPr>
              <w:pageBreakBefore w:val="0"/>
              <w:spacing w:before="0" w:after="0"/>
            </w:pPr>
          </w:p>
        </w:tc>
        <w:tc>
          <w:tcPr>
            <w:tcW w:w="2340" w:type="dxa"/>
            <w:tcBorders>
              <w:top w:val="nil"/>
              <w:left w:val="nil"/>
              <w:bottom w:val="nil"/>
              <w:right w:val="nil"/>
            </w:tcBorders>
            <w:tcMar>
              <w:top w:w="0" w:type="dxa"/>
              <w:left w:w="0" w:type="dxa"/>
              <w:bottom w:w="0" w:type="dxa"/>
              <w:right w:w="0" w:type="dxa"/>
            </w:tcMar>
            <w:vAlign w:val="bottom"/>
          </w:tcPr>
          <w:p>
            <w:pPr>
              <w:pageBreakBefore w:val="0"/>
              <w:spacing w:before="0" w:after="0"/>
            </w:pPr>
          </w:p>
        </w:tc>
        <w:tc>
          <w:tcPr>
            <w:tcW w:w="105" w:type="dxa"/>
            <w:tcBorders>
              <w:top w:val="nil"/>
              <w:left w:val="nil"/>
              <w:bottom w:val="nil"/>
              <w:right w:val="nil"/>
            </w:tcBorders>
            <w:tcMar>
              <w:top w:w="0" w:type="dxa"/>
              <w:left w:w="0" w:type="dxa"/>
              <w:bottom w:w="0" w:type="dxa"/>
              <w:right w:w="0" w:type="dxa"/>
            </w:tcMar>
            <w:vAlign w:val="bottom"/>
          </w:tcPr>
          <w:p>
            <w:pPr>
              <w:pageBreakBefore w:val="0"/>
              <w:spacing w:before="0" w:after="0"/>
            </w:pPr>
          </w:p>
        </w:tc>
        <w:tc>
          <w:tcPr>
            <w:tcW w:w="4485" w:type="dxa"/>
            <w:tcBorders>
              <w:top w:val="single" w:sz="8" w:space="0" w:color="000000"/>
              <w:left w:val="nil"/>
              <w:bottom w:val="nil"/>
              <w:right w:val="nil"/>
            </w:tcBorders>
            <w:tcMar>
              <w:top w:w="0" w:type="dxa"/>
              <w:left w:w="53" w:type="dxa"/>
              <w:bottom w:w="0" w:type="dxa"/>
              <w:right w:w="53" w:type="dxa"/>
            </w:tcMar>
            <w:vAlign w:val="top"/>
          </w:tcPr>
          <w:p>
            <w:pPr>
              <w:pageBreakBefore w:val="0"/>
              <w:spacing w:before="33" w:after="30" w:line="240" w:lineRule="auto"/>
              <w:jc w:val="center"/>
            </w:pPr>
            <w:r>
              <w:rPr>
                <w:rFonts w:ascii="Times New Roman" w:eastAsia="Times New Roman" w:hAnsi="Times New Roman" w:cs="Times New Roman"/>
                <w:b w:val="0"/>
                <w:i w:val="0"/>
                <w:color w:val="000000"/>
                <w:sz w:val="20"/>
                <w:u w:val="none"/>
              </w:rPr>
              <w:t>(Zip Code)</w:t>
            </w:r>
          </w:p>
        </w:tc>
      </w:tr>
    </w:tbl>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i w:val="0"/>
          <w:sz w:val="10"/>
        </w:rPr>
      </w:pPr>
    </w:p>
    <w:tbl>
      <w:tblPr>
        <w:tblStyle w:val="TableNormal0"/>
        <w:tblW w:w="11520" w:type="dxa"/>
        <w:jc w:val="center"/>
        <w:tblLayout w:type="fixed"/>
      </w:tblPr>
      <w:tblGrid>
        <w:gridCol w:w="11520"/>
      </w:tblGrid>
      <w:tr>
        <w:tblPrEx>
          <w:tblW w:w="11520" w:type="dxa"/>
          <w:tblLayout w:type="fixed"/>
        </w:tblPrEx>
        <w:trPr>
          <w:trHeight w:hRule="exact" w:val="315"/>
        </w:trPr>
        <w:tc>
          <w:tcPr>
            <w:tcW w:w="11520" w:type="dxa"/>
            <w:tcBorders>
              <w:top w:val="nil"/>
              <w:left w:val="nil"/>
              <w:bottom w:val="nil"/>
              <w:right w:val="nil"/>
            </w:tcBorders>
            <w:tcMar>
              <w:top w:w="0" w:type="dxa"/>
              <w:left w:w="53" w:type="dxa"/>
              <w:bottom w:w="0" w:type="dxa"/>
              <w:right w:w="53" w:type="dxa"/>
            </w:tcMar>
            <w:vAlign w:val="top"/>
          </w:tcPr>
          <w:p>
            <w:pPr>
              <w:keepNext/>
              <w:pageBreakBefore w:val="0"/>
              <w:numPr>
                <w:ilvl w:val="0"/>
                <w:numId w:val="0"/>
              </w:numPr>
              <w:spacing w:before="53" w:after="30" w:line="240" w:lineRule="auto"/>
              <w:ind w:left="0" w:right="0" w:firstLine="0"/>
              <w:jc w:val="center"/>
              <w:outlineLvl w:val="9"/>
              <w:rPr>
                <w:rFonts w:ascii="Times New Roman" w:eastAsia="Times New Roman" w:hAnsi="Times New Roman" w:cs="Times New Roman"/>
                <w:b/>
                <w:i w:val="0"/>
                <w:sz w:val="20"/>
              </w:rPr>
            </w:pPr>
            <w:r>
              <w:rPr>
                <w:rFonts w:ascii="Times New Roman" w:eastAsia="Times New Roman" w:hAnsi="Times New Roman" w:cs="Times New Roman"/>
                <w:b/>
                <w:i w:val="0"/>
                <w:color w:val="000000"/>
                <w:sz w:val="20"/>
                <w:u w:val="none"/>
              </w:rPr>
              <w:t>512</w:t>
            </w:r>
            <w:r>
              <w:rPr>
                <w:rFonts w:ascii="Times New Roman" w:eastAsia="Times New Roman" w:hAnsi="Times New Roman" w:cs="Times New Roman"/>
                <w:b/>
                <w:i w:val="0"/>
                <w:sz w:val="20"/>
              </w:rPr>
              <w:t>-</w:t>
            </w:r>
            <w:r>
              <w:rPr>
                <w:rFonts w:ascii="Times New Roman" w:eastAsia="Times New Roman" w:hAnsi="Times New Roman" w:cs="Times New Roman"/>
                <w:b/>
                <w:i w:val="0"/>
                <w:color w:val="000000"/>
                <w:sz w:val="20"/>
                <w:u w:val="none"/>
              </w:rPr>
              <w:t>437-2700</w:t>
            </w:r>
          </w:p>
        </w:tc>
      </w:tr>
      <w:tr>
        <w:tblPrEx>
          <w:tblW w:w="11520" w:type="dxa"/>
          <w:tblLayout w:type="fixed"/>
        </w:tblPrEx>
        <w:trPr>
          <w:trHeight w:hRule="exact" w:val="315"/>
        </w:trPr>
        <w:tc>
          <w:tcPr>
            <w:tcW w:w="11520" w:type="dxa"/>
            <w:tcBorders>
              <w:top w:val="nil"/>
              <w:left w:val="nil"/>
              <w:bottom w:val="nil"/>
              <w:right w:val="nil"/>
            </w:tcBorders>
            <w:tcMar>
              <w:top w:w="0" w:type="dxa"/>
              <w:left w:w="53" w:type="dxa"/>
              <w:bottom w:w="0" w:type="dxa"/>
              <w:right w:w="53" w:type="dxa"/>
            </w:tcMar>
            <w:vAlign w:val="top"/>
          </w:tcPr>
          <w:p>
            <w:pPr>
              <w:keepNext/>
              <w:pageBreakBefore w:val="0"/>
              <w:spacing w:before="53" w:after="30" w:line="240" w:lineRule="auto"/>
              <w:jc w:val="center"/>
            </w:pPr>
            <w:r>
              <w:rPr>
                <w:rFonts w:ascii="Times New Roman" w:eastAsia="Times New Roman" w:hAnsi="Times New Roman" w:cs="Times New Roman"/>
                <w:b w:val="0"/>
                <w:i w:val="0"/>
                <w:color w:val="000000"/>
                <w:sz w:val="20"/>
                <w:u w:val="none"/>
              </w:rPr>
              <w:t>(Registrant’s Telephone Number, including Area Code)</w:t>
            </w:r>
          </w:p>
        </w:tc>
      </w:tr>
      <w:tr>
        <w:tblPrEx>
          <w:tblW w:w="11520" w:type="dxa"/>
          <w:tblLayout w:type="fixed"/>
        </w:tblPrEx>
        <w:trPr>
          <w:trHeight w:hRule="exact" w:val="465"/>
        </w:trPr>
        <w:tc>
          <w:tcPr>
            <w:tcW w:w="11520" w:type="dxa"/>
            <w:tcBorders>
              <w:top w:val="nil"/>
              <w:left w:val="nil"/>
              <w:bottom w:val="nil"/>
              <w:right w:val="nil"/>
            </w:tcBorders>
            <w:tcMar>
              <w:top w:w="0" w:type="dxa"/>
              <w:left w:w="53" w:type="dxa"/>
              <w:bottom w:w="0" w:type="dxa"/>
              <w:right w:w="53" w:type="dxa"/>
            </w:tcMar>
            <w:vAlign w:val="top"/>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None</w:t>
            </w:r>
          </w:p>
        </w:tc>
      </w:tr>
      <w:tr>
        <w:tblPrEx>
          <w:tblW w:w="11520" w:type="dxa"/>
          <w:tblLayout w:type="fixed"/>
        </w:tblPrEx>
        <w:trPr>
          <w:trHeight w:hRule="exact" w:val="315"/>
        </w:trPr>
        <w:tc>
          <w:tcPr>
            <w:tcW w:w="11520" w:type="dxa"/>
            <w:tcBorders>
              <w:top w:val="nil"/>
              <w:left w:val="nil"/>
              <w:bottom w:val="nil"/>
              <w:right w:val="nil"/>
            </w:tcBorders>
            <w:tcMar>
              <w:top w:w="0" w:type="dxa"/>
              <w:left w:w="53" w:type="dxa"/>
              <w:bottom w:w="0" w:type="dxa"/>
              <w:right w:w="53" w:type="dxa"/>
            </w:tcMar>
            <w:vAlign w:val="top"/>
          </w:tcPr>
          <w:p>
            <w:pPr>
              <w:pageBreakBefore w:val="0"/>
              <w:spacing w:before="53" w:after="30" w:line="240" w:lineRule="auto"/>
              <w:jc w:val="center"/>
            </w:pPr>
            <w:r>
              <w:rPr>
                <w:rFonts w:ascii="Times New Roman" w:eastAsia="Times New Roman" w:hAnsi="Times New Roman" w:cs="Times New Roman"/>
                <w:b w:val="0"/>
                <w:i w:val="0"/>
                <w:color w:val="000000"/>
                <w:sz w:val="20"/>
                <w:u w:val="none"/>
              </w:rPr>
              <w:t>(Former name, former address and former fiscal year, if changed since last report)</w:t>
            </w:r>
          </w:p>
        </w:tc>
      </w:tr>
    </w:tbl>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Securities registered pursuant to Section 12(b) of the Act:</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tbl>
      <w:tblPr>
        <w:tblStyle w:val="TableNormal0"/>
        <w:tblW w:w="11520" w:type="dxa"/>
        <w:jc w:val="left"/>
        <w:tblInd w:w="0" w:type="dxa"/>
        <w:tblLayout w:type="fixed"/>
      </w:tblPr>
      <w:tblGrid>
        <w:gridCol w:w="4485"/>
        <w:gridCol w:w="105"/>
        <w:gridCol w:w="2340"/>
        <w:gridCol w:w="105"/>
        <w:gridCol w:w="4485"/>
      </w:tblGrid>
      <w:tr>
        <w:tblPrEx>
          <w:tblW w:w="11520" w:type="dxa"/>
          <w:tblInd w:w="0" w:type="dxa"/>
          <w:tblLayout w:type="fixed"/>
        </w:tblPrEx>
        <w:trPr>
          <w:trHeight w:hRule="exact" w:val="315"/>
        </w:trPr>
        <w:tc>
          <w:tcPr>
            <w:tcW w:w="4485" w:type="dxa"/>
            <w:tcBorders>
              <w:top w:val="nil"/>
              <w:left w:val="nil"/>
              <w:bottom w:val="single" w:sz="8" w:space="0" w:color="000000"/>
              <w:right w:val="nil"/>
            </w:tcBorders>
            <w:tcMar>
              <w:top w:w="0" w:type="dxa"/>
              <w:left w:w="53" w:type="dxa"/>
              <w:bottom w:w="0" w:type="dxa"/>
              <w:right w:w="53" w:type="dxa"/>
            </w:tcMar>
            <w:vAlign w:val="top"/>
          </w:tcPr>
          <w:p>
            <w:pPr>
              <w:keepNext/>
              <w:pageBreakBefore w:val="0"/>
              <w:spacing w:before="53" w:after="30" w:line="240" w:lineRule="auto"/>
              <w:jc w:val="center"/>
            </w:pPr>
            <w:r>
              <w:rPr>
                <w:rFonts w:ascii="Times New Roman" w:eastAsia="Times New Roman" w:hAnsi="Times New Roman" w:cs="Times New Roman"/>
                <w:b w:val="0"/>
                <w:i w:val="0"/>
                <w:color w:val="000000"/>
                <w:sz w:val="20"/>
                <w:u w:val="none"/>
              </w:rPr>
              <w:t>Title of each class</w:t>
            </w:r>
          </w:p>
        </w:tc>
        <w:tc>
          <w:tcPr>
            <w:tcW w:w="10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2340" w:type="dxa"/>
            <w:tcBorders>
              <w:top w:val="nil"/>
              <w:left w:val="nil"/>
              <w:bottom w:val="single" w:sz="8" w:space="0" w:color="000000"/>
              <w:right w:val="nil"/>
            </w:tcBorders>
            <w:tcMar>
              <w:top w:w="0" w:type="dxa"/>
              <w:left w:w="53" w:type="dxa"/>
              <w:bottom w:w="0" w:type="dxa"/>
              <w:right w:w="53" w:type="dxa"/>
            </w:tcMar>
            <w:vAlign w:val="top"/>
          </w:tcPr>
          <w:p>
            <w:pPr>
              <w:keepNext/>
              <w:pageBreakBefore w:val="0"/>
              <w:spacing w:before="53" w:after="30" w:line="240" w:lineRule="auto"/>
              <w:jc w:val="center"/>
            </w:pPr>
            <w:r>
              <w:rPr>
                <w:rFonts w:ascii="Times New Roman" w:eastAsia="Times New Roman" w:hAnsi="Times New Roman" w:cs="Times New Roman"/>
                <w:b w:val="0"/>
                <w:i w:val="0"/>
                <w:color w:val="000000"/>
                <w:sz w:val="20"/>
                <w:u w:val="none"/>
              </w:rPr>
              <w:t>Trading Symbol(s)</w:t>
            </w:r>
          </w:p>
        </w:tc>
        <w:tc>
          <w:tcPr>
            <w:tcW w:w="10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4485" w:type="dxa"/>
            <w:tcBorders>
              <w:top w:val="nil"/>
              <w:left w:val="nil"/>
              <w:bottom w:val="single" w:sz="8" w:space="0" w:color="000000"/>
              <w:right w:val="nil"/>
            </w:tcBorders>
            <w:tcMar>
              <w:top w:w="0" w:type="dxa"/>
              <w:left w:w="53" w:type="dxa"/>
              <w:bottom w:w="0" w:type="dxa"/>
              <w:right w:w="53" w:type="dxa"/>
            </w:tcMar>
            <w:vAlign w:val="top"/>
          </w:tcPr>
          <w:p>
            <w:pPr>
              <w:keepNext/>
              <w:pageBreakBefore w:val="0"/>
              <w:spacing w:before="53" w:after="30" w:line="240" w:lineRule="auto"/>
              <w:jc w:val="center"/>
            </w:pPr>
            <w:r>
              <w:rPr>
                <w:rFonts w:ascii="Times New Roman" w:eastAsia="Times New Roman" w:hAnsi="Times New Roman" w:cs="Times New Roman"/>
                <w:b w:val="0"/>
                <w:i w:val="0"/>
                <w:color w:val="000000"/>
                <w:sz w:val="20"/>
                <w:u w:val="none"/>
              </w:rPr>
              <w:t>Name of each exchange on which registered</w:t>
            </w:r>
          </w:p>
        </w:tc>
      </w:tr>
      <w:tr>
        <w:tblPrEx>
          <w:tblW w:w="11520" w:type="dxa"/>
          <w:tblInd w:w="0" w:type="dxa"/>
          <w:tblLayout w:type="fixed"/>
        </w:tblPrEx>
        <w:trPr>
          <w:trHeight w:hRule="exact" w:val="315"/>
        </w:trPr>
        <w:tc>
          <w:tcPr>
            <w:tcW w:w="4485" w:type="dxa"/>
            <w:tcBorders>
              <w:top w:val="single" w:sz="8" w:space="0" w:color="000000"/>
              <w:left w:val="nil"/>
              <w:bottom w:val="nil"/>
              <w:right w:val="nil"/>
            </w:tcBorders>
            <w:tcMar>
              <w:top w:w="0" w:type="dxa"/>
              <w:left w:w="53" w:type="dxa"/>
              <w:bottom w:w="0" w:type="dxa"/>
              <w:right w:w="53" w:type="dxa"/>
            </w:tcMar>
            <w:vAlign w:val="top"/>
          </w:tcPr>
          <w:p>
            <w:pPr>
              <w:keepNext/>
              <w:pageBreakBefore w:val="0"/>
              <w:spacing w:before="33" w:after="30" w:line="240" w:lineRule="auto"/>
              <w:jc w:val="center"/>
            </w:pPr>
            <w:r>
              <w:rPr>
                <w:rFonts w:ascii="Times New Roman" w:eastAsia="Times New Roman" w:hAnsi="Times New Roman" w:cs="Times New Roman"/>
                <w:b/>
                <w:i w:val="0"/>
                <w:color w:val="000000"/>
                <w:sz w:val="20"/>
                <w:u w:val="none"/>
              </w:rPr>
              <w:t>Common Stock, $0.01 par value</w:t>
            </w:r>
          </w:p>
        </w:tc>
        <w:tc>
          <w:tcPr>
            <w:tcW w:w="10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2340" w:type="dxa"/>
            <w:tcBorders>
              <w:top w:val="single" w:sz="8" w:space="0" w:color="000000"/>
              <w:left w:val="nil"/>
              <w:bottom w:val="nil"/>
              <w:right w:val="nil"/>
            </w:tcBorders>
            <w:tcMar>
              <w:top w:w="0" w:type="dxa"/>
              <w:left w:w="53" w:type="dxa"/>
              <w:bottom w:w="0" w:type="dxa"/>
              <w:right w:w="53" w:type="dxa"/>
            </w:tcMar>
            <w:vAlign w:val="top"/>
          </w:tcPr>
          <w:p>
            <w:pPr>
              <w:keepNext/>
              <w:pageBreakBefore w:val="0"/>
              <w:spacing w:before="33" w:after="30" w:line="240" w:lineRule="auto"/>
              <w:jc w:val="center"/>
            </w:pPr>
            <w:r>
              <w:rPr>
                <w:rFonts w:ascii="Times New Roman" w:eastAsia="Times New Roman" w:hAnsi="Times New Roman" w:cs="Times New Roman"/>
                <w:b/>
                <w:i w:val="0"/>
                <w:color w:val="000000"/>
                <w:sz w:val="20"/>
                <w:u w:val="none"/>
              </w:rPr>
              <w:t>ASUR</w:t>
            </w:r>
          </w:p>
        </w:tc>
        <w:tc>
          <w:tcPr>
            <w:tcW w:w="10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4485" w:type="dxa"/>
            <w:tcBorders>
              <w:top w:val="single" w:sz="8" w:space="0" w:color="000000"/>
              <w:left w:val="nil"/>
              <w:bottom w:val="nil"/>
              <w:right w:val="nil"/>
            </w:tcBorders>
            <w:tcMar>
              <w:top w:w="0" w:type="dxa"/>
              <w:left w:w="53" w:type="dxa"/>
              <w:bottom w:w="0" w:type="dxa"/>
              <w:right w:w="53" w:type="dxa"/>
            </w:tcMar>
            <w:vAlign w:val="top"/>
          </w:tcPr>
          <w:p>
            <w:pPr>
              <w:keepNext/>
              <w:pageBreakBefore w:val="0"/>
              <w:numPr>
                <w:ilvl w:val="0"/>
                <w:numId w:val="0"/>
              </w:numPr>
              <w:spacing w:before="33" w:after="30" w:line="240" w:lineRule="auto"/>
              <w:ind w:left="0" w:right="0" w:firstLine="0"/>
              <w:jc w:val="center"/>
              <w:outlineLvl w:val="9"/>
              <w:rPr>
                <w:rFonts w:ascii="Times New Roman" w:eastAsia="Times New Roman" w:hAnsi="Times New Roman" w:cs="Times New Roman"/>
                <w:b/>
                <w:i w:val="0"/>
                <w:sz w:val="20"/>
              </w:rPr>
            </w:pPr>
            <w:r>
              <w:rPr>
                <w:rFonts w:ascii="Times New Roman" w:eastAsia="Times New Roman" w:hAnsi="Times New Roman" w:cs="Times New Roman"/>
                <w:b/>
                <w:i w:val="0"/>
                <w:sz w:val="20"/>
              </w:rPr>
              <w:t xml:space="preserve">The </w:t>
            </w:r>
            <w:r>
              <w:rPr>
                <w:rFonts w:ascii="Times New Roman" w:eastAsia="Times New Roman" w:hAnsi="Times New Roman" w:cs="Times New Roman"/>
                <w:b/>
                <w:i w:val="0"/>
                <w:color w:val="000000"/>
                <w:sz w:val="20"/>
                <w:u w:val="none"/>
              </w:rPr>
              <w:t>Nasdaq</w:t>
            </w:r>
            <w:r>
              <w:rPr>
                <w:rFonts w:ascii="Times New Roman" w:eastAsia="Times New Roman" w:hAnsi="Times New Roman" w:cs="Times New Roman"/>
                <w:b/>
                <w:i w:val="0"/>
                <w:sz w:val="20"/>
              </w:rPr>
              <w:t xml:space="preserve"> Capital Market</w:t>
            </w:r>
          </w:p>
        </w:tc>
      </w:tr>
      <w:tr>
        <w:tblPrEx>
          <w:tblW w:w="11520" w:type="dxa"/>
          <w:tblInd w:w="0" w:type="dxa"/>
          <w:tblLayout w:type="fixed"/>
        </w:tblPrEx>
        <w:trPr>
          <w:trHeight w:hRule="exact" w:val="465"/>
        </w:trPr>
        <w:tc>
          <w:tcPr>
            <w:tcW w:w="4485" w:type="dxa"/>
            <w:tcBorders>
              <w:top w:val="nil"/>
              <w:left w:val="nil"/>
              <w:bottom w:val="nil"/>
              <w:right w:val="nil"/>
            </w:tcBorders>
            <w:tcMar>
              <w:top w:w="0" w:type="dxa"/>
              <w:left w:w="53" w:type="dxa"/>
              <w:bottom w:w="0" w:type="dxa"/>
              <w:right w:w="53" w:type="dxa"/>
            </w:tcMar>
            <w:vAlign w:val="top"/>
          </w:tcPr>
          <w:p>
            <w:pPr>
              <w:pageBreakBefore w:val="0"/>
              <w:spacing w:before="53" w:after="30" w:line="240" w:lineRule="auto"/>
              <w:jc w:val="center"/>
            </w:pPr>
            <w:r>
              <w:rPr>
                <w:rFonts w:ascii="Times New Roman" w:eastAsia="Times New Roman" w:hAnsi="Times New Roman" w:cs="Times New Roman"/>
                <w:b/>
                <w:i w:val="0"/>
                <w:color w:val="000000"/>
                <w:sz w:val="20"/>
                <w:u w:val="none"/>
              </w:rPr>
              <w:t>Series A Junior Participating Preferred Share Purchase Rights</w:t>
            </w:r>
          </w:p>
        </w:tc>
        <w:tc>
          <w:tcPr>
            <w:tcW w:w="105" w:type="dxa"/>
            <w:tcBorders>
              <w:top w:val="nil"/>
              <w:left w:val="nil"/>
              <w:bottom w:val="nil"/>
              <w:right w:val="nil"/>
            </w:tcBorders>
            <w:tcMar>
              <w:top w:w="0" w:type="dxa"/>
              <w:left w:w="0" w:type="dxa"/>
              <w:bottom w:w="0" w:type="dxa"/>
              <w:right w:w="0" w:type="dxa"/>
            </w:tcMar>
            <w:vAlign w:val="bottom"/>
          </w:tcPr>
          <w:p>
            <w:pPr>
              <w:pageBreakBefore w:val="0"/>
              <w:spacing w:before="0" w:after="0"/>
            </w:pPr>
          </w:p>
        </w:tc>
        <w:tc>
          <w:tcPr>
            <w:tcW w:w="2340" w:type="dxa"/>
            <w:tcBorders>
              <w:top w:val="nil"/>
              <w:left w:val="nil"/>
              <w:bottom w:val="nil"/>
              <w:right w:val="nil"/>
            </w:tcBorders>
            <w:tcMar>
              <w:top w:w="0" w:type="dxa"/>
              <w:left w:w="53" w:type="dxa"/>
              <w:bottom w:w="0" w:type="dxa"/>
              <w:right w:w="53" w:type="dxa"/>
            </w:tcMar>
            <w:vAlign w:val="top"/>
          </w:tcPr>
          <w:p>
            <w:pPr>
              <w:pageBreakBefore w:val="0"/>
              <w:spacing w:before="53" w:after="30" w:line="240" w:lineRule="auto"/>
              <w:jc w:val="center"/>
            </w:pPr>
          </w:p>
        </w:tc>
        <w:tc>
          <w:tcPr>
            <w:tcW w:w="105" w:type="dxa"/>
            <w:tcBorders>
              <w:top w:val="nil"/>
              <w:left w:val="nil"/>
              <w:bottom w:val="nil"/>
              <w:right w:val="nil"/>
            </w:tcBorders>
            <w:tcMar>
              <w:top w:w="0" w:type="dxa"/>
              <w:left w:w="0" w:type="dxa"/>
              <w:bottom w:w="0" w:type="dxa"/>
              <w:right w:w="0" w:type="dxa"/>
            </w:tcMar>
            <w:vAlign w:val="bottom"/>
          </w:tcPr>
          <w:p>
            <w:pPr>
              <w:pageBreakBefore w:val="0"/>
              <w:spacing w:before="0" w:after="0"/>
            </w:pPr>
          </w:p>
        </w:tc>
        <w:tc>
          <w:tcPr>
            <w:tcW w:w="4485" w:type="dxa"/>
            <w:tcBorders>
              <w:top w:val="nil"/>
              <w:left w:val="nil"/>
              <w:bottom w:val="nil"/>
              <w:right w:val="nil"/>
            </w:tcBorders>
            <w:tcMar>
              <w:top w:w="0" w:type="dxa"/>
              <w:left w:w="53" w:type="dxa"/>
              <w:bottom w:w="0" w:type="dxa"/>
              <w:right w:w="53" w:type="dxa"/>
            </w:tcMar>
            <w:vAlign w:val="top"/>
          </w:tcPr>
          <w:p>
            <w:pPr>
              <w:pageBreakBefore w:val="0"/>
              <w:spacing w:before="53" w:after="30" w:line="240" w:lineRule="auto"/>
              <w:jc w:val="center"/>
            </w:pPr>
            <w:r>
              <w:rPr>
                <w:rFonts w:ascii="Times New Roman" w:eastAsia="Times New Roman" w:hAnsi="Times New Roman" w:cs="Times New Roman"/>
                <w:b/>
                <w:i w:val="0"/>
                <w:color w:val="000000"/>
                <w:sz w:val="20"/>
                <w:u w:val="none"/>
              </w:rPr>
              <w:t>N/A</w:t>
            </w:r>
          </w:p>
        </w:tc>
      </w:tr>
    </w:tbl>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p>
    <w:tbl>
      <w:tblPr>
        <w:tblStyle w:val="TableNormal0"/>
        <w:tblW w:w="11520" w:type="dxa"/>
        <w:tblInd w:w="0" w:type="dxa"/>
        <w:tblLayout w:type="fixed"/>
      </w:tblPr>
      <w:tblGrid>
        <w:gridCol w:w="9360"/>
        <w:gridCol w:w="360"/>
        <w:gridCol w:w="720"/>
        <w:gridCol w:w="360"/>
        <w:gridCol w:w="720"/>
      </w:tblGrid>
      <w:tr>
        <w:tblPrEx>
          <w:tblW w:w="11520" w:type="dxa"/>
          <w:tblInd w:w="0" w:type="dxa"/>
          <w:tblLayout w:type="fixed"/>
        </w:tblPrEx>
        <w:trPr>
          <w:trHeight w:hRule="exact" w:val="315"/>
        </w:trPr>
        <w:tc>
          <w:tcPr>
            <w:tcW w:w="11520" w:type="dxa"/>
            <w:gridSpan w:val="5"/>
            <w:vMerge w:val="restart"/>
            <w:tcBorders>
              <w:top w:val="nil"/>
              <w:left w:val="nil"/>
              <w:bottom w:val="nil"/>
              <w:right w:val="nil"/>
            </w:tcBorders>
            <w:tcMar>
              <w:top w:w="0" w:type="dxa"/>
              <w:left w:w="53" w:type="dxa"/>
              <w:bottom w:w="0" w:type="dxa"/>
              <w:right w:w="53" w:type="dxa"/>
            </w:tcMar>
            <w:vAlign w:val="top"/>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Indicate by check mark whether the registrant (1) has filed all reports required to be filed by Section 13 or 15(d) of the Securities Exchange Act of 1934 during the preceding 12 months (or for such shorter period that the registrant was required to file such reports), and (2) has been subject to such filing requirements for the past 90 days. </w:t>
            </w:r>
          </w:p>
        </w:tc>
      </w:tr>
      <w:tr>
        <w:tblPrEx>
          <w:tblW w:w="11520" w:type="dxa"/>
          <w:tblInd w:w="0" w:type="dxa"/>
          <w:tblLayout w:type="fixed"/>
        </w:tblPrEx>
        <w:trPr>
          <w:trHeight w:hRule="exact" w:val="315"/>
        </w:trPr>
        <w:tc>
          <w:tcPr>
            <w:tcW w:w="11520" w:type="dxa"/>
            <w:gridSpan w:val="5"/>
            <w:vMerge/>
            <w:tcBorders>
              <w:top w:val="nil"/>
              <w:left w:val="nil"/>
              <w:bottom w:val="nil"/>
              <w:right w:val="nil"/>
            </w:tcBorders>
          </w:tcPr>
          <w:p>
            <w:pPr>
              <w:keepNext/>
              <w:pageBreakBefore w:val="0"/>
            </w:pPr>
          </w:p>
        </w:tc>
      </w:tr>
      <w:tr>
        <w:tblPrEx>
          <w:tblW w:w="11520" w:type="dxa"/>
          <w:tblInd w:w="0" w:type="dxa"/>
          <w:tblLayout w:type="fixed"/>
        </w:tblPrEx>
        <w:trPr>
          <w:trHeight w:hRule="exact" w:val="315"/>
        </w:trPr>
        <w:tc>
          <w:tcPr>
            <w:tcW w:w="936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360" w:type="dxa"/>
            <w:tcBorders>
              <w:top w:val="nil"/>
              <w:left w:val="nil"/>
              <w:bottom w:val="nil"/>
              <w:right w:val="nil"/>
            </w:tcBorders>
            <w:tcMar>
              <w:top w:w="0" w:type="dxa"/>
              <w:left w:w="53" w:type="dxa"/>
              <w:bottom w:w="0" w:type="dxa"/>
              <w:right w:w="53" w:type="dxa"/>
            </w:tcMar>
            <w:vAlign w:val="top"/>
          </w:tcPr>
          <w:p>
            <w:pPr>
              <w:keepNext/>
              <w:pageBreakBefore w:val="0"/>
              <w:spacing w:before="53" w:after="30" w:line="240" w:lineRule="auto"/>
              <w:jc w:val="center"/>
            </w:pPr>
            <w:r>
              <w:rPr>
                <w:rFonts w:ascii="Wingdings" w:eastAsia="Wingdings" w:hAnsi="Wingdings" w:cs="Wingdings"/>
                <w:b w:val="0"/>
                <w:i w:val="0"/>
                <w:color w:val="000000"/>
                <w:sz w:val="20"/>
                <w:u w:val="none"/>
              </w:rPr>
              <w:t>☒</w:t>
            </w:r>
          </w:p>
        </w:tc>
        <w:tc>
          <w:tcPr>
            <w:tcW w:w="720" w:type="dxa"/>
            <w:tcBorders>
              <w:top w:val="nil"/>
              <w:left w:val="nil"/>
              <w:bottom w:val="nil"/>
              <w:right w:val="nil"/>
            </w:tcBorders>
            <w:tcMar>
              <w:top w:w="0" w:type="dxa"/>
              <w:left w:w="53" w:type="dxa"/>
              <w:bottom w:w="0" w:type="dxa"/>
              <w:right w:w="53" w:type="dxa"/>
            </w:tcMar>
            <w:vAlign w:val="top"/>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Yes</w:t>
            </w:r>
          </w:p>
        </w:tc>
        <w:tc>
          <w:tcPr>
            <w:tcW w:w="360" w:type="dxa"/>
            <w:tcBorders>
              <w:top w:val="nil"/>
              <w:left w:val="nil"/>
              <w:bottom w:val="nil"/>
              <w:right w:val="nil"/>
            </w:tcBorders>
            <w:tcMar>
              <w:top w:w="0" w:type="dxa"/>
              <w:left w:w="53" w:type="dxa"/>
              <w:bottom w:w="0" w:type="dxa"/>
              <w:right w:w="53" w:type="dxa"/>
            </w:tcMar>
            <w:vAlign w:val="top"/>
          </w:tcPr>
          <w:p>
            <w:pPr>
              <w:keepNext/>
              <w:pageBreakBefore w:val="0"/>
              <w:spacing w:before="53" w:after="30" w:line="240" w:lineRule="auto"/>
              <w:jc w:val="center"/>
            </w:pPr>
            <w:r>
              <w:rPr>
                <w:rFonts w:ascii="Wingdings" w:eastAsia="Wingdings" w:hAnsi="Wingdings" w:cs="Wingdings"/>
                <w:b w:val="0"/>
                <w:i w:val="0"/>
                <w:color w:val="000000"/>
                <w:sz w:val="20"/>
                <w:u w:val="none"/>
              </w:rPr>
              <w:t>☐</w:t>
            </w:r>
          </w:p>
        </w:tc>
        <w:tc>
          <w:tcPr>
            <w:tcW w:w="720" w:type="dxa"/>
            <w:tcBorders>
              <w:top w:val="nil"/>
              <w:left w:val="nil"/>
              <w:bottom w:val="nil"/>
              <w:right w:val="nil"/>
            </w:tcBorders>
            <w:tcMar>
              <w:top w:w="0" w:type="dxa"/>
              <w:left w:w="53" w:type="dxa"/>
              <w:bottom w:w="0" w:type="dxa"/>
              <w:right w:w="53" w:type="dxa"/>
            </w:tcMar>
            <w:vAlign w:val="top"/>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No</w:t>
            </w:r>
          </w:p>
        </w:tc>
      </w:tr>
      <w:tr>
        <w:tblPrEx>
          <w:tblW w:w="11520" w:type="dxa"/>
          <w:tblInd w:w="0" w:type="dxa"/>
          <w:tblLayout w:type="fixed"/>
        </w:tblPrEx>
        <w:trPr>
          <w:trHeight w:hRule="exact" w:val="315"/>
        </w:trPr>
        <w:tc>
          <w:tcPr>
            <w:tcW w:w="11520" w:type="dxa"/>
            <w:gridSpan w:val="5"/>
            <w:vMerge w:val="restart"/>
            <w:tcBorders>
              <w:top w:val="nil"/>
              <w:left w:val="nil"/>
              <w:bottom w:val="nil"/>
              <w:right w:val="nil"/>
            </w:tcBorders>
            <w:tcMar>
              <w:top w:w="0" w:type="dxa"/>
              <w:left w:w="53" w:type="dxa"/>
              <w:bottom w:w="0" w:type="dxa"/>
              <w:right w:w="53" w:type="dxa"/>
            </w:tcMar>
            <w:vAlign w:val="top"/>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Indicate by check mark whether the registrant has submitted electronically every Interactive Data File required to be submitted pursuant to Rule 405 of Regulation S-T (§232.405 of this chapter) during the preceding 12 months (or for such shorter period that the registrant was required to submit such files). </w:t>
            </w:r>
          </w:p>
        </w:tc>
      </w:tr>
      <w:tr>
        <w:tblPrEx>
          <w:tblW w:w="11520" w:type="dxa"/>
          <w:tblInd w:w="0" w:type="dxa"/>
          <w:tblLayout w:type="fixed"/>
        </w:tblPrEx>
        <w:trPr>
          <w:trHeight w:hRule="exact" w:val="315"/>
        </w:trPr>
        <w:tc>
          <w:tcPr>
            <w:tcW w:w="11520" w:type="dxa"/>
            <w:gridSpan w:val="5"/>
            <w:vMerge/>
            <w:tcBorders>
              <w:top w:val="nil"/>
              <w:left w:val="nil"/>
              <w:bottom w:val="nil"/>
              <w:right w:val="nil"/>
            </w:tcBorders>
          </w:tcPr>
          <w:p>
            <w:pPr>
              <w:keepNext/>
              <w:pageBreakBefore w:val="0"/>
            </w:pPr>
          </w:p>
        </w:tc>
      </w:tr>
      <w:tr>
        <w:tblPrEx>
          <w:tblW w:w="11520" w:type="dxa"/>
          <w:tblInd w:w="0" w:type="dxa"/>
          <w:tblLayout w:type="fixed"/>
        </w:tblPrEx>
        <w:trPr>
          <w:trHeight w:hRule="exact" w:val="315"/>
        </w:trPr>
        <w:tc>
          <w:tcPr>
            <w:tcW w:w="9360" w:type="dxa"/>
            <w:tcBorders>
              <w:top w:val="nil"/>
              <w:left w:val="nil"/>
              <w:bottom w:val="nil"/>
              <w:right w:val="nil"/>
            </w:tcBorders>
            <w:tcMar>
              <w:top w:w="0" w:type="dxa"/>
              <w:left w:w="0" w:type="dxa"/>
              <w:bottom w:w="0" w:type="dxa"/>
              <w:right w:w="0" w:type="dxa"/>
            </w:tcMar>
            <w:vAlign w:val="bottom"/>
          </w:tcPr>
          <w:p>
            <w:pPr>
              <w:pageBreakBefore w:val="0"/>
              <w:spacing w:before="0" w:after="0"/>
            </w:pPr>
          </w:p>
        </w:tc>
        <w:tc>
          <w:tcPr>
            <w:tcW w:w="360" w:type="dxa"/>
            <w:tcBorders>
              <w:top w:val="nil"/>
              <w:left w:val="nil"/>
              <w:bottom w:val="nil"/>
              <w:right w:val="nil"/>
            </w:tcBorders>
            <w:tcMar>
              <w:top w:w="0" w:type="dxa"/>
              <w:left w:w="53" w:type="dxa"/>
              <w:bottom w:w="0" w:type="dxa"/>
              <w:right w:w="53" w:type="dxa"/>
            </w:tcMar>
            <w:vAlign w:val="top"/>
          </w:tcPr>
          <w:p>
            <w:pPr>
              <w:pageBreakBefore w:val="0"/>
              <w:spacing w:before="53" w:after="30" w:line="240" w:lineRule="auto"/>
              <w:jc w:val="center"/>
            </w:pPr>
            <w:r>
              <w:rPr>
                <w:rFonts w:ascii="Wingdings" w:eastAsia="Wingdings" w:hAnsi="Wingdings" w:cs="Wingdings"/>
                <w:b w:val="0"/>
                <w:i w:val="0"/>
                <w:color w:val="000000"/>
                <w:sz w:val="20"/>
                <w:u w:val="none"/>
              </w:rPr>
              <w:t>☒</w:t>
            </w:r>
          </w:p>
        </w:tc>
        <w:tc>
          <w:tcPr>
            <w:tcW w:w="720" w:type="dxa"/>
            <w:tcBorders>
              <w:top w:val="nil"/>
              <w:left w:val="nil"/>
              <w:bottom w:val="nil"/>
              <w:right w:val="nil"/>
            </w:tcBorders>
            <w:tcMar>
              <w:top w:w="0" w:type="dxa"/>
              <w:left w:w="53" w:type="dxa"/>
              <w:bottom w:w="0" w:type="dxa"/>
              <w:right w:w="53" w:type="dxa"/>
            </w:tcMar>
            <w:vAlign w:val="top"/>
          </w:tcPr>
          <w:p>
            <w:pPr>
              <w:pageBreakBefore w:val="0"/>
              <w:spacing w:before="53" w:after="30" w:line="240" w:lineRule="auto"/>
              <w:jc w:val="left"/>
            </w:pPr>
            <w:r>
              <w:rPr>
                <w:rFonts w:ascii="Times New Roman" w:eastAsia="Times New Roman" w:hAnsi="Times New Roman" w:cs="Times New Roman"/>
                <w:b w:val="0"/>
                <w:i w:val="0"/>
                <w:color w:val="000000"/>
                <w:sz w:val="20"/>
                <w:u w:val="none"/>
              </w:rPr>
              <w:t>Yes</w:t>
            </w:r>
          </w:p>
        </w:tc>
        <w:tc>
          <w:tcPr>
            <w:tcW w:w="360" w:type="dxa"/>
            <w:tcBorders>
              <w:top w:val="nil"/>
              <w:left w:val="nil"/>
              <w:bottom w:val="nil"/>
              <w:right w:val="nil"/>
            </w:tcBorders>
            <w:tcMar>
              <w:top w:w="0" w:type="dxa"/>
              <w:left w:w="53" w:type="dxa"/>
              <w:bottom w:w="0" w:type="dxa"/>
              <w:right w:w="53" w:type="dxa"/>
            </w:tcMar>
            <w:vAlign w:val="top"/>
          </w:tcPr>
          <w:p>
            <w:pPr>
              <w:pageBreakBefore w:val="0"/>
              <w:spacing w:before="53" w:after="30" w:line="240" w:lineRule="auto"/>
              <w:jc w:val="center"/>
            </w:pPr>
            <w:r>
              <w:rPr>
                <w:rFonts w:ascii="Wingdings" w:eastAsia="Wingdings" w:hAnsi="Wingdings" w:cs="Wingdings"/>
                <w:b w:val="0"/>
                <w:i w:val="0"/>
                <w:color w:val="000000"/>
                <w:sz w:val="20"/>
                <w:u w:val="none"/>
              </w:rPr>
              <w:t>☐</w:t>
            </w:r>
          </w:p>
        </w:tc>
        <w:tc>
          <w:tcPr>
            <w:tcW w:w="720" w:type="dxa"/>
            <w:tcBorders>
              <w:top w:val="nil"/>
              <w:left w:val="nil"/>
              <w:bottom w:val="nil"/>
              <w:right w:val="nil"/>
            </w:tcBorders>
            <w:tcMar>
              <w:top w:w="0" w:type="dxa"/>
              <w:left w:w="53" w:type="dxa"/>
              <w:bottom w:w="0" w:type="dxa"/>
              <w:right w:w="53" w:type="dxa"/>
            </w:tcMar>
            <w:vAlign w:val="top"/>
          </w:tcPr>
          <w:p>
            <w:pPr>
              <w:pageBreakBefore w:val="0"/>
              <w:spacing w:before="53" w:after="30" w:line="240" w:lineRule="auto"/>
              <w:jc w:val="left"/>
            </w:pPr>
            <w:r>
              <w:rPr>
                <w:rFonts w:ascii="Times New Roman" w:eastAsia="Times New Roman" w:hAnsi="Times New Roman" w:cs="Times New Roman"/>
                <w:b w:val="0"/>
                <w:i w:val="0"/>
                <w:color w:val="000000"/>
                <w:sz w:val="20"/>
                <w:u w:val="none"/>
              </w:rPr>
              <w:t>No</w:t>
            </w:r>
          </w:p>
        </w:tc>
      </w:tr>
    </w:tbl>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10"/>
        </w:rPr>
      </w:pPr>
    </w:p>
    <w:tbl>
      <w:tblPr>
        <w:tblStyle w:val="TableNormal0"/>
        <w:tblW w:w="11520" w:type="dxa"/>
        <w:tblInd w:w="0" w:type="dxa"/>
        <w:tblLayout w:type="fixed"/>
      </w:tblPr>
      <w:tblGrid>
        <w:gridCol w:w="2295"/>
        <w:gridCol w:w="360"/>
        <w:gridCol w:w="3105"/>
        <w:gridCol w:w="2295"/>
        <w:gridCol w:w="360"/>
        <w:gridCol w:w="3105"/>
      </w:tblGrid>
      <w:tr>
        <w:tblPrEx>
          <w:tblW w:w="11520" w:type="dxa"/>
          <w:tblInd w:w="0" w:type="dxa"/>
          <w:tblLayout w:type="fixed"/>
        </w:tblPrEx>
        <w:trPr>
          <w:trHeight w:hRule="exact" w:val="315"/>
        </w:trPr>
        <w:tc>
          <w:tcPr>
            <w:tcW w:w="11520" w:type="dxa"/>
            <w:gridSpan w:val="6"/>
            <w:vMerge w:val="restart"/>
            <w:tcBorders>
              <w:top w:val="nil"/>
              <w:left w:val="nil"/>
              <w:bottom w:val="nil"/>
              <w:right w:val="nil"/>
            </w:tcBorders>
            <w:tcMar>
              <w:top w:w="0" w:type="dxa"/>
              <w:left w:w="53" w:type="dxa"/>
              <w:bottom w:w="0" w:type="dxa"/>
              <w:right w:w="53" w:type="dxa"/>
            </w:tcMar>
            <w:vAlign w:val="top"/>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Indicate by check mark whether the registrant is a large accelerated filer, an accelerated filer, a non-accelerated filer, a smaller reporting company, or an emerging growth company. See the definitions of “large accelerated filer,” “accelerated filer,” “smaller reporting company,” and “emerging growth company” in Rule 12b-2 of the Exchange Act.</w:t>
            </w:r>
          </w:p>
        </w:tc>
      </w:tr>
      <w:tr>
        <w:tblPrEx>
          <w:tblW w:w="11520" w:type="dxa"/>
          <w:tblInd w:w="0" w:type="dxa"/>
          <w:tblLayout w:type="fixed"/>
        </w:tblPrEx>
        <w:trPr>
          <w:trHeight w:hRule="exact" w:val="315"/>
        </w:trPr>
        <w:tc>
          <w:tcPr>
            <w:tcW w:w="11520" w:type="dxa"/>
            <w:gridSpan w:val="6"/>
            <w:vMerge/>
            <w:tcBorders>
              <w:top w:val="nil"/>
              <w:left w:val="nil"/>
              <w:bottom w:val="nil"/>
              <w:right w:val="nil"/>
            </w:tcBorders>
          </w:tcPr>
          <w:p>
            <w:pPr>
              <w:keepNext/>
              <w:pageBreakBefore w:val="0"/>
            </w:pPr>
          </w:p>
        </w:tc>
      </w:tr>
      <w:tr>
        <w:tblPrEx>
          <w:tblW w:w="11520" w:type="dxa"/>
          <w:tblInd w:w="0" w:type="dxa"/>
          <w:tblLayout w:type="fixed"/>
        </w:tblPrEx>
        <w:trPr>
          <w:trHeight w:hRule="exact" w:val="315"/>
        </w:trPr>
        <w:tc>
          <w:tcPr>
            <w:tcW w:w="2295" w:type="dxa"/>
            <w:tcBorders>
              <w:top w:val="nil"/>
              <w:left w:val="nil"/>
              <w:bottom w:val="nil"/>
              <w:right w:val="nil"/>
            </w:tcBorders>
            <w:tcMar>
              <w:top w:w="0" w:type="dxa"/>
              <w:left w:w="53" w:type="dxa"/>
              <w:bottom w:w="0" w:type="dxa"/>
              <w:right w:w="53" w:type="dxa"/>
            </w:tcMar>
            <w:vAlign w:val="top"/>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Large accelerated filer</w:t>
            </w:r>
          </w:p>
        </w:tc>
        <w:tc>
          <w:tcPr>
            <w:tcW w:w="360" w:type="dxa"/>
            <w:tcBorders>
              <w:top w:val="nil"/>
              <w:left w:val="nil"/>
              <w:bottom w:val="nil"/>
              <w:right w:val="nil"/>
            </w:tcBorders>
            <w:tcMar>
              <w:top w:w="0" w:type="dxa"/>
              <w:left w:w="53" w:type="dxa"/>
              <w:bottom w:w="0" w:type="dxa"/>
              <w:right w:w="53" w:type="dxa"/>
            </w:tcMar>
            <w:vAlign w:val="top"/>
          </w:tcPr>
          <w:p>
            <w:pPr>
              <w:keepNext/>
              <w:pageBreakBefore w:val="0"/>
              <w:spacing w:before="53" w:after="30" w:line="240" w:lineRule="auto"/>
              <w:jc w:val="center"/>
            </w:pPr>
            <w:r>
              <w:rPr>
                <w:rFonts w:ascii="Wingdings" w:eastAsia="Wingdings" w:hAnsi="Wingdings" w:cs="Wingdings"/>
                <w:b w:val="0"/>
                <w:i w:val="0"/>
                <w:color w:val="000000"/>
                <w:sz w:val="20"/>
                <w:u w:val="none"/>
              </w:rPr>
              <w:t>☐</w:t>
            </w:r>
          </w:p>
        </w:tc>
        <w:tc>
          <w:tcPr>
            <w:tcW w:w="310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2295" w:type="dxa"/>
            <w:tcBorders>
              <w:top w:val="nil"/>
              <w:left w:val="nil"/>
              <w:bottom w:val="nil"/>
              <w:right w:val="nil"/>
            </w:tcBorders>
            <w:tcMar>
              <w:top w:w="0" w:type="dxa"/>
              <w:left w:w="53" w:type="dxa"/>
              <w:bottom w:w="0" w:type="dxa"/>
              <w:right w:w="53" w:type="dxa"/>
            </w:tcMar>
            <w:vAlign w:val="top"/>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Accelerated filer</w:t>
            </w:r>
          </w:p>
        </w:tc>
        <w:tc>
          <w:tcPr>
            <w:tcW w:w="360" w:type="dxa"/>
            <w:tcBorders>
              <w:top w:val="nil"/>
              <w:left w:val="nil"/>
              <w:bottom w:val="nil"/>
              <w:right w:val="nil"/>
            </w:tcBorders>
            <w:tcMar>
              <w:top w:w="0" w:type="dxa"/>
              <w:left w:w="53" w:type="dxa"/>
              <w:bottom w:w="0" w:type="dxa"/>
              <w:right w:w="53" w:type="dxa"/>
            </w:tcMar>
            <w:vAlign w:val="top"/>
          </w:tcPr>
          <w:p>
            <w:pPr>
              <w:keepNext/>
              <w:pageBreakBefore w:val="0"/>
              <w:spacing w:before="53" w:after="30" w:line="240" w:lineRule="auto"/>
              <w:jc w:val="center"/>
            </w:pPr>
            <w:r>
              <w:rPr>
                <w:rFonts w:ascii="Wingdings" w:eastAsia="Wingdings" w:hAnsi="Wingdings" w:cs="Wingdings"/>
                <w:b w:val="0"/>
                <w:i w:val="0"/>
                <w:color w:val="000000"/>
                <w:sz w:val="20"/>
                <w:u w:val="none"/>
              </w:rPr>
              <w:t>☒</w:t>
            </w:r>
          </w:p>
        </w:tc>
        <w:tc>
          <w:tcPr>
            <w:tcW w:w="310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r>
      <w:tr>
        <w:tblPrEx>
          <w:tblW w:w="11520" w:type="dxa"/>
          <w:tblInd w:w="0" w:type="dxa"/>
          <w:tblLayout w:type="fixed"/>
        </w:tblPrEx>
        <w:trPr>
          <w:trHeight w:hRule="exact" w:val="315"/>
        </w:trPr>
        <w:tc>
          <w:tcPr>
            <w:tcW w:w="2295" w:type="dxa"/>
            <w:tcBorders>
              <w:top w:val="nil"/>
              <w:left w:val="nil"/>
              <w:bottom w:val="nil"/>
              <w:right w:val="nil"/>
            </w:tcBorders>
            <w:tcMar>
              <w:top w:w="0" w:type="dxa"/>
              <w:left w:w="53" w:type="dxa"/>
              <w:bottom w:w="0" w:type="dxa"/>
              <w:right w:w="53" w:type="dxa"/>
            </w:tcMar>
            <w:vAlign w:val="top"/>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Non-accelerated filer</w:t>
            </w:r>
          </w:p>
        </w:tc>
        <w:tc>
          <w:tcPr>
            <w:tcW w:w="360" w:type="dxa"/>
            <w:tcBorders>
              <w:top w:val="nil"/>
              <w:left w:val="nil"/>
              <w:bottom w:val="nil"/>
              <w:right w:val="nil"/>
            </w:tcBorders>
            <w:tcMar>
              <w:top w:w="0" w:type="dxa"/>
              <w:left w:w="53" w:type="dxa"/>
              <w:bottom w:w="0" w:type="dxa"/>
              <w:right w:w="53" w:type="dxa"/>
            </w:tcMar>
            <w:vAlign w:val="top"/>
          </w:tcPr>
          <w:p>
            <w:pPr>
              <w:keepNext/>
              <w:pageBreakBefore w:val="0"/>
              <w:spacing w:before="53" w:after="30" w:line="240" w:lineRule="auto"/>
              <w:jc w:val="center"/>
            </w:pPr>
            <w:r>
              <w:rPr>
                <w:rFonts w:ascii="Wingdings" w:eastAsia="Wingdings" w:hAnsi="Wingdings" w:cs="Wingdings"/>
                <w:b w:val="0"/>
                <w:i w:val="0"/>
                <w:color w:val="000000"/>
                <w:sz w:val="20"/>
                <w:u w:val="none"/>
              </w:rPr>
              <w:t>☐</w:t>
            </w:r>
          </w:p>
        </w:tc>
        <w:tc>
          <w:tcPr>
            <w:tcW w:w="310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2295" w:type="dxa"/>
            <w:tcBorders>
              <w:top w:val="nil"/>
              <w:left w:val="nil"/>
              <w:bottom w:val="nil"/>
              <w:right w:val="nil"/>
            </w:tcBorders>
            <w:tcMar>
              <w:top w:w="0" w:type="dxa"/>
              <w:left w:w="53" w:type="dxa"/>
              <w:bottom w:w="0" w:type="dxa"/>
              <w:right w:w="53" w:type="dxa"/>
            </w:tcMar>
            <w:vAlign w:val="top"/>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Smaller reporting company</w:t>
            </w:r>
          </w:p>
        </w:tc>
        <w:tc>
          <w:tcPr>
            <w:tcW w:w="360" w:type="dxa"/>
            <w:tcBorders>
              <w:top w:val="nil"/>
              <w:left w:val="nil"/>
              <w:bottom w:val="nil"/>
              <w:right w:val="nil"/>
            </w:tcBorders>
            <w:tcMar>
              <w:top w:w="0" w:type="dxa"/>
              <w:left w:w="53" w:type="dxa"/>
              <w:bottom w:w="0" w:type="dxa"/>
              <w:right w:w="53" w:type="dxa"/>
            </w:tcMar>
            <w:vAlign w:val="top"/>
          </w:tcPr>
          <w:p>
            <w:pPr>
              <w:keepNext/>
              <w:pageBreakBefore w:val="0"/>
              <w:spacing w:before="53" w:after="30" w:line="240" w:lineRule="auto"/>
              <w:jc w:val="center"/>
            </w:pPr>
            <w:r>
              <w:rPr>
                <w:rFonts w:ascii="Wingdings" w:eastAsia="Wingdings" w:hAnsi="Wingdings" w:cs="Wingdings"/>
                <w:b w:val="0"/>
                <w:i w:val="0"/>
                <w:color w:val="000000"/>
                <w:sz w:val="20"/>
                <w:u w:val="none"/>
              </w:rPr>
              <w:t>☐</w:t>
            </w:r>
          </w:p>
        </w:tc>
        <w:tc>
          <w:tcPr>
            <w:tcW w:w="310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r>
      <w:tr>
        <w:tblPrEx>
          <w:tblW w:w="11520" w:type="dxa"/>
          <w:tblInd w:w="0" w:type="dxa"/>
          <w:tblLayout w:type="fixed"/>
        </w:tblPrEx>
        <w:trPr>
          <w:trHeight w:hRule="exact" w:val="315"/>
        </w:trPr>
        <w:tc>
          <w:tcPr>
            <w:tcW w:w="2295" w:type="dxa"/>
            <w:tcBorders>
              <w:top w:val="nil"/>
              <w:left w:val="nil"/>
              <w:bottom w:val="nil"/>
              <w:right w:val="nil"/>
            </w:tcBorders>
            <w:tcMar>
              <w:top w:w="0" w:type="dxa"/>
              <w:left w:w="0" w:type="dxa"/>
              <w:bottom w:w="0" w:type="dxa"/>
              <w:right w:w="0" w:type="dxa"/>
            </w:tcMar>
            <w:vAlign w:val="bottom"/>
          </w:tcPr>
          <w:p>
            <w:pPr>
              <w:pageBreakBefore w:val="0"/>
              <w:spacing w:before="0" w:after="0"/>
            </w:pPr>
          </w:p>
        </w:tc>
        <w:tc>
          <w:tcPr>
            <w:tcW w:w="360" w:type="dxa"/>
            <w:tcBorders>
              <w:top w:val="nil"/>
              <w:left w:val="nil"/>
              <w:bottom w:val="nil"/>
              <w:right w:val="nil"/>
            </w:tcBorders>
            <w:tcMar>
              <w:top w:w="0" w:type="dxa"/>
              <w:left w:w="0" w:type="dxa"/>
              <w:bottom w:w="0" w:type="dxa"/>
              <w:right w:w="0" w:type="dxa"/>
            </w:tcMar>
            <w:vAlign w:val="bottom"/>
          </w:tcPr>
          <w:p>
            <w:pPr>
              <w:pageBreakBefore w:val="0"/>
              <w:spacing w:before="0" w:after="0"/>
            </w:pPr>
          </w:p>
        </w:tc>
        <w:tc>
          <w:tcPr>
            <w:tcW w:w="3105" w:type="dxa"/>
            <w:tcBorders>
              <w:top w:val="nil"/>
              <w:left w:val="nil"/>
              <w:bottom w:val="nil"/>
              <w:right w:val="nil"/>
            </w:tcBorders>
            <w:tcMar>
              <w:top w:w="0" w:type="dxa"/>
              <w:left w:w="0" w:type="dxa"/>
              <w:bottom w:w="0" w:type="dxa"/>
              <w:right w:w="0" w:type="dxa"/>
            </w:tcMar>
            <w:vAlign w:val="bottom"/>
          </w:tcPr>
          <w:p>
            <w:pPr>
              <w:pageBreakBefore w:val="0"/>
              <w:spacing w:before="0" w:after="0"/>
            </w:pPr>
          </w:p>
        </w:tc>
        <w:tc>
          <w:tcPr>
            <w:tcW w:w="2295" w:type="dxa"/>
            <w:tcBorders>
              <w:top w:val="nil"/>
              <w:left w:val="nil"/>
              <w:bottom w:val="nil"/>
              <w:right w:val="nil"/>
            </w:tcBorders>
            <w:tcMar>
              <w:top w:w="0" w:type="dxa"/>
              <w:left w:w="53" w:type="dxa"/>
              <w:bottom w:w="0" w:type="dxa"/>
              <w:right w:w="53" w:type="dxa"/>
            </w:tcMar>
            <w:vAlign w:val="top"/>
          </w:tcPr>
          <w:p>
            <w:pPr>
              <w:pageBreakBefore w:val="0"/>
              <w:spacing w:before="53" w:after="30" w:line="240" w:lineRule="auto"/>
              <w:jc w:val="left"/>
            </w:pPr>
            <w:r>
              <w:rPr>
                <w:rFonts w:ascii="Times New Roman" w:eastAsia="Times New Roman" w:hAnsi="Times New Roman" w:cs="Times New Roman"/>
                <w:b w:val="0"/>
                <w:i w:val="0"/>
                <w:color w:val="000000"/>
                <w:sz w:val="20"/>
                <w:u w:val="none"/>
              </w:rPr>
              <w:t>Emerging growth company</w:t>
            </w:r>
          </w:p>
        </w:tc>
        <w:tc>
          <w:tcPr>
            <w:tcW w:w="360" w:type="dxa"/>
            <w:tcBorders>
              <w:top w:val="nil"/>
              <w:left w:val="nil"/>
              <w:bottom w:val="nil"/>
              <w:right w:val="nil"/>
            </w:tcBorders>
            <w:tcMar>
              <w:top w:w="0" w:type="dxa"/>
              <w:left w:w="53" w:type="dxa"/>
              <w:bottom w:w="0" w:type="dxa"/>
              <w:right w:w="53" w:type="dxa"/>
            </w:tcMar>
            <w:vAlign w:val="top"/>
          </w:tcPr>
          <w:p>
            <w:pPr>
              <w:pageBreakBefore w:val="0"/>
              <w:spacing w:before="53" w:after="30" w:line="240" w:lineRule="auto"/>
              <w:jc w:val="center"/>
            </w:pPr>
            <w:r>
              <w:rPr>
                <w:rFonts w:ascii="Wingdings" w:eastAsia="Wingdings" w:hAnsi="Wingdings" w:cs="Wingdings"/>
                <w:b w:val="0"/>
                <w:i w:val="0"/>
                <w:color w:val="000000"/>
                <w:sz w:val="20"/>
                <w:u w:val="none"/>
              </w:rPr>
              <w:t>☐</w:t>
            </w:r>
          </w:p>
        </w:tc>
        <w:tc>
          <w:tcPr>
            <w:tcW w:w="3105" w:type="dxa"/>
            <w:tcBorders>
              <w:top w:val="nil"/>
              <w:left w:val="nil"/>
              <w:bottom w:val="nil"/>
              <w:right w:val="nil"/>
            </w:tcBorders>
            <w:tcMar>
              <w:top w:w="0" w:type="dxa"/>
              <w:left w:w="0" w:type="dxa"/>
              <w:bottom w:w="0" w:type="dxa"/>
              <w:right w:w="0" w:type="dxa"/>
            </w:tcMar>
            <w:vAlign w:val="bottom"/>
          </w:tcPr>
          <w:p>
            <w:pPr>
              <w:pageBreakBefore w:val="0"/>
              <w:spacing w:before="0" w:after="0"/>
            </w:pPr>
          </w:p>
        </w:tc>
      </w:tr>
    </w:tbl>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10"/>
        </w:rPr>
      </w:pPr>
    </w:p>
    <w:tbl>
      <w:tblPr>
        <w:tblStyle w:val="TableNormal0"/>
        <w:tblW w:w="11520" w:type="dxa"/>
        <w:tblInd w:w="0" w:type="dxa"/>
        <w:tblLayout w:type="fixed"/>
      </w:tblPr>
      <w:tblGrid>
        <w:gridCol w:w="9360"/>
        <w:gridCol w:w="360"/>
        <w:gridCol w:w="720"/>
        <w:gridCol w:w="360"/>
        <w:gridCol w:w="720"/>
      </w:tblGrid>
      <w:tr>
        <w:tblPrEx>
          <w:tblW w:w="11520" w:type="dxa"/>
          <w:tblInd w:w="0" w:type="dxa"/>
          <w:tblLayout w:type="fixed"/>
        </w:tblPrEx>
        <w:trPr>
          <w:trHeight w:hRule="exact" w:val="315"/>
        </w:trPr>
        <w:tc>
          <w:tcPr>
            <w:tcW w:w="11520" w:type="dxa"/>
            <w:gridSpan w:val="5"/>
            <w:vMerge w:val="restart"/>
            <w:tcBorders>
              <w:top w:val="nil"/>
              <w:left w:val="nil"/>
              <w:bottom w:val="nil"/>
              <w:right w:val="nil"/>
            </w:tcBorders>
            <w:tcMar>
              <w:top w:w="0" w:type="dxa"/>
              <w:left w:w="53" w:type="dxa"/>
              <w:bottom w:w="0" w:type="dxa"/>
              <w:right w:w="53" w:type="dxa"/>
            </w:tcMar>
            <w:vAlign w:val="top"/>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If an emerging growth company, indicate by check mark if the registrant has elected not to use the extended transition period for complying with any new or revised financial accounting standards provided pursuant to Section 13(a) of the Exchange Act.</w:t>
            </w:r>
          </w:p>
        </w:tc>
      </w:tr>
      <w:tr>
        <w:tblPrEx>
          <w:tblW w:w="11520" w:type="dxa"/>
          <w:tblInd w:w="0" w:type="dxa"/>
          <w:tblLayout w:type="fixed"/>
        </w:tblPrEx>
        <w:trPr>
          <w:trHeight w:hRule="exact" w:val="315"/>
        </w:trPr>
        <w:tc>
          <w:tcPr>
            <w:tcW w:w="11520" w:type="dxa"/>
            <w:gridSpan w:val="5"/>
            <w:vMerge/>
            <w:tcBorders>
              <w:top w:val="nil"/>
              <w:left w:val="nil"/>
              <w:bottom w:val="nil"/>
              <w:right w:val="nil"/>
            </w:tcBorders>
          </w:tcPr>
          <w:p>
            <w:pPr>
              <w:keepNext/>
              <w:pageBreakBefore w:val="0"/>
            </w:pPr>
          </w:p>
        </w:tc>
      </w:tr>
      <w:tr>
        <w:tblPrEx>
          <w:tblW w:w="11520" w:type="dxa"/>
          <w:tblInd w:w="0" w:type="dxa"/>
          <w:tblLayout w:type="fixed"/>
        </w:tblPrEx>
        <w:trPr>
          <w:trHeight w:hRule="exact" w:val="315"/>
        </w:trPr>
        <w:tc>
          <w:tcPr>
            <w:tcW w:w="936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360" w:type="dxa"/>
            <w:tcBorders>
              <w:top w:val="nil"/>
              <w:left w:val="nil"/>
              <w:bottom w:val="nil"/>
              <w:right w:val="nil"/>
            </w:tcBorders>
            <w:tcMar>
              <w:top w:w="0" w:type="dxa"/>
              <w:left w:w="53" w:type="dxa"/>
              <w:bottom w:w="0" w:type="dxa"/>
              <w:right w:w="53" w:type="dxa"/>
            </w:tcMar>
            <w:vAlign w:val="top"/>
          </w:tcPr>
          <w:p>
            <w:pPr>
              <w:keepNext/>
              <w:pageBreakBefore w:val="0"/>
              <w:spacing w:before="53" w:after="30" w:line="240" w:lineRule="auto"/>
              <w:jc w:val="center"/>
            </w:pPr>
            <w:r>
              <w:rPr>
                <w:rFonts w:ascii="Wingdings" w:eastAsia="Wingdings" w:hAnsi="Wingdings" w:cs="Wingdings"/>
                <w:b w:val="0"/>
                <w:i w:val="0"/>
                <w:color w:val="000000"/>
                <w:sz w:val="20"/>
                <w:u w:val="none"/>
              </w:rPr>
              <w:t>☐</w:t>
            </w:r>
          </w:p>
        </w:tc>
        <w:tc>
          <w:tcPr>
            <w:tcW w:w="72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36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72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r>
      <w:tr>
        <w:tblPrEx>
          <w:tblW w:w="11520" w:type="dxa"/>
          <w:tblInd w:w="0" w:type="dxa"/>
          <w:tblLayout w:type="fixed"/>
        </w:tblPrEx>
        <w:trPr>
          <w:trHeight w:hRule="exact" w:val="315"/>
        </w:trPr>
        <w:tc>
          <w:tcPr>
            <w:tcW w:w="9360" w:type="dxa"/>
            <w:tcBorders>
              <w:top w:val="nil"/>
              <w:left w:val="nil"/>
              <w:bottom w:val="nil"/>
              <w:right w:val="nil"/>
            </w:tcBorders>
            <w:tcMar>
              <w:top w:w="0" w:type="dxa"/>
              <w:left w:w="53" w:type="dxa"/>
              <w:bottom w:w="0" w:type="dxa"/>
              <w:right w:w="53" w:type="dxa"/>
            </w:tcMar>
            <w:vAlign w:val="top"/>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Indicate by check mark whether the registrant is a shell company (as defined in Rule 12b-2 of the Exchange Act).</w:t>
            </w:r>
          </w:p>
        </w:tc>
        <w:tc>
          <w:tcPr>
            <w:tcW w:w="36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72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36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72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r>
      <w:tr>
        <w:tblPrEx>
          <w:tblW w:w="11520" w:type="dxa"/>
          <w:tblInd w:w="0" w:type="dxa"/>
          <w:tblLayout w:type="fixed"/>
        </w:tblPrEx>
        <w:trPr>
          <w:trHeight w:hRule="exact" w:val="315"/>
        </w:trPr>
        <w:tc>
          <w:tcPr>
            <w:tcW w:w="9360" w:type="dxa"/>
            <w:tcBorders>
              <w:top w:val="nil"/>
              <w:left w:val="nil"/>
              <w:bottom w:val="nil"/>
              <w:right w:val="nil"/>
            </w:tcBorders>
            <w:tcMar>
              <w:top w:w="0" w:type="dxa"/>
              <w:left w:w="0" w:type="dxa"/>
              <w:bottom w:w="0" w:type="dxa"/>
              <w:right w:w="0" w:type="dxa"/>
            </w:tcMar>
            <w:vAlign w:val="bottom"/>
          </w:tcPr>
          <w:p>
            <w:pPr>
              <w:pageBreakBefore w:val="0"/>
              <w:spacing w:before="0" w:after="0"/>
            </w:pPr>
          </w:p>
        </w:tc>
        <w:tc>
          <w:tcPr>
            <w:tcW w:w="360" w:type="dxa"/>
            <w:tcBorders>
              <w:top w:val="nil"/>
              <w:left w:val="nil"/>
              <w:bottom w:val="nil"/>
              <w:right w:val="nil"/>
            </w:tcBorders>
            <w:tcMar>
              <w:top w:w="0" w:type="dxa"/>
              <w:left w:w="53" w:type="dxa"/>
              <w:bottom w:w="0" w:type="dxa"/>
              <w:right w:w="53" w:type="dxa"/>
            </w:tcMar>
            <w:vAlign w:val="top"/>
          </w:tcPr>
          <w:p>
            <w:pPr>
              <w:pageBreakBefore w:val="0"/>
              <w:spacing w:before="53" w:after="30" w:line="240" w:lineRule="auto"/>
              <w:jc w:val="center"/>
            </w:pPr>
            <w:r>
              <w:rPr>
                <w:rFonts w:ascii="Wingdings" w:eastAsia="Wingdings" w:hAnsi="Wingdings" w:cs="Wingdings"/>
                <w:b w:val="0"/>
                <w:i w:val="0"/>
                <w:color w:val="000000"/>
                <w:sz w:val="20"/>
                <w:u w:val="none"/>
              </w:rPr>
              <w:t>☐</w:t>
            </w:r>
          </w:p>
        </w:tc>
        <w:tc>
          <w:tcPr>
            <w:tcW w:w="720" w:type="dxa"/>
            <w:tcBorders>
              <w:top w:val="nil"/>
              <w:left w:val="nil"/>
              <w:bottom w:val="nil"/>
              <w:right w:val="nil"/>
            </w:tcBorders>
            <w:tcMar>
              <w:top w:w="0" w:type="dxa"/>
              <w:left w:w="53" w:type="dxa"/>
              <w:bottom w:w="0" w:type="dxa"/>
              <w:right w:w="53" w:type="dxa"/>
            </w:tcMar>
            <w:vAlign w:val="top"/>
          </w:tcPr>
          <w:p>
            <w:pPr>
              <w:pageBreakBefore w:val="0"/>
              <w:spacing w:before="53" w:after="30" w:line="240" w:lineRule="auto"/>
              <w:jc w:val="left"/>
            </w:pPr>
            <w:r>
              <w:rPr>
                <w:rFonts w:ascii="Times New Roman" w:eastAsia="Times New Roman" w:hAnsi="Times New Roman" w:cs="Times New Roman"/>
                <w:b w:val="0"/>
                <w:i w:val="0"/>
                <w:color w:val="000000"/>
                <w:sz w:val="20"/>
                <w:u w:val="none"/>
              </w:rPr>
              <w:t>Yes</w:t>
            </w:r>
          </w:p>
        </w:tc>
        <w:tc>
          <w:tcPr>
            <w:tcW w:w="360" w:type="dxa"/>
            <w:tcBorders>
              <w:top w:val="nil"/>
              <w:left w:val="nil"/>
              <w:bottom w:val="nil"/>
              <w:right w:val="nil"/>
            </w:tcBorders>
            <w:tcMar>
              <w:top w:w="0" w:type="dxa"/>
              <w:left w:w="53" w:type="dxa"/>
              <w:bottom w:w="0" w:type="dxa"/>
              <w:right w:w="53" w:type="dxa"/>
            </w:tcMar>
            <w:vAlign w:val="top"/>
          </w:tcPr>
          <w:p>
            <w:pPr>
              <w:pageBreakBefore w:val="0"/>
              <w:spacing w:before="53" w:after="30" w:line="240" w:lineRule="auto"/>
              <w:jc w:val="center"/>
            </w:pPr>
            <w:r>
              <w:rPr>
                <w:rFonts w:ascii="Wingdings" w:eastAsia="Wingdings" w:hAnsi="Wingdings" w:cs="Wingdings"/>
                <w:b w:val="0"/>
                <w:i w:val="0"/>
                <w:color w:val="000000"/>
                <w:sz w:val="20"/>
                <w:u w:val="none"/>
              </w:rPr>
              <w:t>☒</w:t>
            </w:r>
          </w:p>
        </w:tc>
        <w:tc>
          <w:tcPr>
            <w:tcW w:w="720" w:type="dxa"/>
            <w:tcBorders>
              <w:top w:val="nil"/>
              <w:left w:val="nil"/>
              <w:bottom w:val="nil"/>
              <w:right w:val="nil"/>
            </w:tcBorders>
            <w:tcMar>
              <w:top w:w="0" w:type="dxa"/>
              <w:left w:w="53" w:type="dxa"/>
              <w:bottom w:w="0" w:type="dxa"/>
              <w:right w:w="53" w:type="dxa"/>
            </w:tcMar>
            <w:vAlign w:val="top"/>
          </w:tcPr>
          <w:p>
            <w:pPr>
              <w:pageBreakBefore w:val="0"/>
              <w:spacing w:before="53" w:after="30" w:line="240" w:lineRule="auto"/>
              <w:jc w:val="left"/>
            </w:pPr>
            <w:r>
              <w:rPr>
                <w:rFonts w:ascii="Times New Roman" w:eastAsia="Times New Roman" w:hAnsi="Times New Roman" w:cs="Times New Roman"/>
                <w:b w:val="0"/>
                <w:i w:val="0"/>
                <w:color w:val="000000"/>
                <w:sz w:val="20"/>
                <w:u w:val="none"/>
              </w:rPr>
              <w:t>No</w:t>
            </w:r>
          </w:p>
        </w:tc>
      </w:tr>
    </w:tbl>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 xml:space="preserve">As of </w:t>
      </w:r>
      <w:r>
        <w:rPr>
          <w:rFonts w:ascii="Times New Roman" w:eastAsia="Times New Roman" w:hAnsi="Times New Roman" w:cs="Times New Roman"/>
          <w:b w:val="0"/>
          <w:i w:val="0"/>
          <w:color w:val="000000"/>
          <w:sz w:val="20"/>
          <w:u w:val="none"/>
        </w:rPr>
        <w:t>April 29, 2026</w:t>
      </w:r>
      <w:r>
        <w:rPr>
          <w:rFonts w:ascii="Times New Roman" w:eastAsia="Times New Roman" w:hAnsi="Times New Roman" w:cs="Times New Roman"/>
          <w:b w:val="0"/>
          <w:i w:val="0"/>
          <w:sz w:val="20"/>
        </w:rPr>
        <w:t xml:space="preserve">, </w:t>
      </w:r>
      <w:r>
        <w:rPr>
          <w:rFonts w:ascii="Times New Roman" w:eastAsia="Times New Roman" w:hAnsi="Times New Roman" w:cs="Times New Roman"/>
          <w:b w:val="0"/>
          <w:i w:val="0"/>
          <w:color w:val="000000"/>
          <w:sz w:val="20"/>
          <w:u w:val="none"/>
        </w:rPr>
        <w:t>28,681,633</w:t>
      </w:r>
      <w:r>
        <w:rPr>
          <w:rFonts w:ascii="Times New Roman" w:eastAsia="Times New Roman" w:hAnsi="Times New Roman" w:cs="Times New Roman"/>
          <w:b w:val="0"/>
          <w:i w:val="0"/>
          <w:sz w:val="20"/>
        </w:rPr>
        <w:t xml:space="preserve"> shares of the registrant’s Common Stock, $0.01 par value, were outstanding.</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sectPr>
          <w:headerReference w:type="default" r:id="rId5"/>
          <w:footerReference w:type="default" r:id="rId6"/>
          <w:headerReference w:type="first" r:id="rId7"/>
          <w:footerReference w:type="first" r:id="rId8"/>
          <w:type w:val="continuous"/>
          <w:pgSz w:w="12240" w:h="15840"/>
          <w:pgMar w:top="495" w:right="360" w:bottom="495" w:left="360" w:header="0" w:footer="0" w:gutter="0"/>
          <w:cols w:space="708"/>
          <w:titlePg/>
          <w:docGrid w:linePitch="360"/>
        </w:sectPr>
      </w:pPr>
    </w:p>
    <w:p>
      <w:pPr>
        <w:keepNext w:val="0"/>
        <w:keepLines/>
        <w:pageBreakBefore w:val="0"/>
        <w:widowControl w:val="0"/>
        <w:numPr>
          <w:ilvl w:val="0"/>
          <w:numId w:val="0"/>
        </w:numPr>
        <w:spacing w:before="0" w:after="0" w:line="288" w:lineRule="auto"/>
        <w:ind w:left="0" w:right="0" w:firstLine="0"/>
        <w:jc w:val="center"/>
        <w:outlineLvl w:val="0"/>
        <w:rPr>
          <w:rFonts w:ascii="Times New Roman" w:eastAsia="Times New Roman" w:hAnsi="Times New Roman" w:cs="Times New Roman"/>
          <w:b/>
          <w:i w:val="0"/>
          <w:sz w:val="20"/>
        </w:rPr>
      </w:pPr>
      <w:bookmarkStart w:id="1" w:name="Section2"/>
      <w:bookmarkEnd w:id="1"/>
      <w:r>
        <w:rPr>
          <w:rFonts w:ascii="Times New Roman" w:eastAsia="Times New Roman" w:hAnsi="Times New Roman" w:cs="Times New Roman"/>
          <w:b/>
          <w:i w:val="0"/>
          <w:sz w:val="20"/>
        </w:rPr>
        <w:t>TABLE OF CONTENTS</w:t>
      </w:r>
    </w:p>
    <w:tbl>
      <w:tblPr>
        <w:tblStyle w:val="TableNormal0"/>
        <w:tblW w:w="10245" w:type="dxa"/>
        <w:jc w:val="left"/>
        <w:tblInd w:w="0" w:type="dxa"/>
        <w:tblLayout w:type="fixed"/>
      </w:tblPr>
      <w:tblGrid>
        <w:gridCol w:w="960"/>
        <w:gridCol w:w="8340"/>
        <w:gridCol w:w="945"/>
      </w:tblGrid>
      <w:tr>
        <w:tblPrEx>
          <w:tblW w:w="10245" w:type="dxa"/>
          <w:tblInd w:w="0" w:type="dxa"/>
          <w:tblLayout w:type="fixed"/>
        </w:tblPrEx>
        <w:trPr>
          <w:trHeight w:hRule="exact" w:val="285"/>
        </w:trPr>
        <w:tc>
          <w:tcPr>
            <w:tcW w:w="96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834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945" w:type="dxa"/>
            <w:tcBorders>
              <w:top w:val="nil"/>
              <w:left w:val="nil"/>
              <w:bottom w:val="single" w:sz="8" w:space="0" w:color="000000"/>
              <w:right w:val="nil"/>
            </w:tcBorders>
            <w:tcMar>
              <w:top w:w="0" w:type="dxa"/>
              <w:left w:w="53" w:type="dxa"/>
              <w:bottom w:w="0" w:type="dxa"/>
              <w:right w:w="53" w:type="dxa"/>
            </w:tcMar>
            <w:vAlign w:val="top"/>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Page</w:t>
            </w:r>
          </w:p>
        </w:tc>
      </w:tr>
      <w:tr>
        <w:tblPrEx>
          <w:tblW w:w="10245" w:type="dxa"/>
          <w:tblInd w:w="0" w:type="dxa"/>
          <w:tblLayout w:type="fixed"/>
        </w:tblPrEx>
        <w:trPr>
          <w:trHeight w:hRule="exact" w:val="285"/>
        </w:trPr>
        <w:tc>
          <w:tcPr>
            <w:tcW w:w="10245" w:type="dxa"/>
            <w:gridSpan w:val="3"/>
            <w:tcBorders>
              <w:top w:val="nil"/>
              <w:left w:val="nil"/>
              <w:bottom w:val="nil"/>
              <w:right w:val="nil"/>
            </w:tcBorders>
            <w:tcMar>
              <w:top w:w="0" w:type="dxa"/>
              <w:left w:w="53" w:type="dxa"/>
              <w:bottom w:w="0" w:type="dxa"/>
              <w:right w:w="53" w:type="dxa"/>
            </w:tcMar>
            <w:vAlign w:val="top"/>
          </w:tcPr>
          <w:p>
            <w:pPr>
              <w:pStyle w:val="Normal-wk"/>
              <w:keepNext/>
              <w:pageBreakBefore w:val="0"/>
              <w:numPr>
                <w:ilvl w:val="0"/>
                <w:numId w:val="0"/>
              </w:numPr>
              <w:spacing w:before="33" w:after="30" w:line="240" w:lineRule="auto"/>
              <w:ind w:left="0" w:right="0" w:firstLine="0"/>
              <w:jc w:val="both"/>
              <w:outlineLvl w:val="9"/>
              <w:rPr>
                <w:rFonts w:ascii="Times New Roman" w:eastAsia="Times New Roman" w:hAnsi="Times New Roman" w:cs="Times New Roman"/>
                <w:b/>
                <w:i w:val="0"/>
                <w:sz w:val="20"/>
                <w:shd w:val="clear" w:color="auto" w:fill="auto"/>
              </w:rPr>
            </w:pPr>
            <w:hyperlink w:anchor="Section3" w:history="1">
              <w:r>
                <w:rPr>
                  <w:rFonts w:ascii="Times New Roman" w:eastAsia="Times New Roman" w:hAnsi="Times New Roman" w:cs="Times New Roman"/>
                  <w:b/>
                  <w:i w:val="0"/>
                  <w:color w:val="000000"/>
                  <w:sz w:val="20"/>
                  <w:u w:val="none"/>
                  <w:shd w:val="clear" w:color="auto" w:fill="auto"/>
                </w:rPr>
                <w:t>PART I. FINANCIAL INFORMATION</w:t>
              </w:r>
            </w:hyperlink>
          </w:p>
        </w:tc>
      </w:tr>
      <w:tr>
        <w:tblPrEx>
          <w:tblW w:w="10245" w:type="dxa"/>
          <w:tblInd w:w="0" w:type="dxa"/>
          <w:tblLayout w:type="fixed"/>
        </w:tblPrEx>
        <w:trPr>
          <w:trHeight w:hRule="exact" w:val="285"/>
        </w:trPr>
        <w:tc>
          <w:tcPr>
            <w:tcW w:w="960" w:type="dxa"/>
            <w:tcBorders>
              <w:top w:val="nil"/>
              <w:left w:val="nil"/>
              <w:bottom w:val="nil"/>
              <w:right w:val="nil"/>
            </w:tcBorders>
            <w:tcMar>
              <w:top w:w="0" w:type="dxa"/>
              <w:left w:w="53" w:type="dxa"/>
              <w:bottom w:w="0" w:type="dxa"/>
              <w:right w:w="53" w:type="dxa"/>
            </w:tcMar>
            <w:vAlign w:val="top"/>
          </w:tcPr>
          <w:p>
            <w:pPr>
              <w:keepNext/>
              <w:pageBreakBefore w:val="0"/>
              <w:spacing w:before="53" w:after="30" w:line="240" w:lineRule="auto"/>
              <w:jc w:val="both"/>
            </w:pPr>
            <w:r>
              <w:rPr>
                <w:rFonts w:ascii="Times New Roman" w:eastAsia="Times New Roman" w:hAnsi="Times New Roman" w:cs="Times New Roman"/>
                <w:b/>
                <w:i w:val="0"/>
                <w:color w:val="000000"/>
                <w:sz w:val="20"/>
                <w:u w:val="none"/>
              </w:rPr>
              <w:t>Item 1.</w:t>
            </w:r>
          </w:p>
        </w:tc>
        <w:tc>
          <w:tcPr>
            <w:tcW w:w="8340" w:type="dxa"/>
            <w:tcBorders>
              <w:top w:val="nil"/>
              <w:left w:val="nil"/>
              <w:bottom w:val="nil"/>
              <w:right w:val="nil"/>
            </w:tcBorders>
            <w:tcMar>
              <w:top w:w="0" w:type="dxa"/>
              <w:left w:w="53" w:type="dxa"/>
              <w:bottom w:w="0" w:type="dxa"/>
              <w:right w:w="53" w:type="dxa"/>
            </w:tcMar>
            <w:vAlign w:val="top"/>
          </w:tcPr>
          <w:p>
            <w:pPr>
              <w:pStyle w:val="Normal-wk"/>
              <w:keepNext/>
              <w:pageBreakBefore w:val="0"/>
              <w:numPr>
                <w:ilvl w:val="0"/>
                <w:numId w:val="0"/>
              </w:numPr>
              <w:spacing w:before="53" w:after="30" w:line="240" w:lineRule="auto"/>
              <w:ind w:left="0" w:right="0" w:firstLine="0"/>
              <w:jc w:val="both"/>
              <w:outlineLvl w:val="9"/>
              <w:rPr>
                <w:rFonts w:ascii="Times New Roman" w:eastAsia="Times New Roman" w:hAnsi="Times New Roman" w:cs="Times New Roman"/>
                <w:b/>
                <w:i w:val="0"/>
                <w:sz w:val="20"/>
                <w:shd w:val="clear" w:color="auto" w:fill="auto"/>
              </w:rPr>
            </w:pPr>
            <w:hyperlink w:anchor="Section4" w:history="1">
              <w:r>
                <w:rPr>
                  <w:rFonts w:ascii="Times New Roman" w:eastAsia="Times New Roman" w:hAnsi="Times New Roman" w:cs="Times New Roman"/>
                  <w:b/>
                  <w:i w:val="0"/>
                  <w:color w:val="0000FF"/>
                  <w:sz w:val="20"/>
                  <w:u w:val="single"/>
                  <w:shd w:val="clear" w:color="auto" w:fill="auto"/>
                </w:rPr>
                <w:t>Financial Statements (Unaudited)</w:t>
              </w:r>
            </w:hyperlink>
          </w:p>
        </w:tc>
        <w:tc>
          <w:tcPr>
            <w:tcW w:w="945" w:type="dxa"/>
            <w:tcBorders>
              <w:top w:val="nil"/>
              <w:left w:val="nil"/>
              <w:bottom w:val="nil"/>
              <w:right w:val="nil"/>
            </w:tcBorders>
            <w:shd w:val="clear" w:color="auto" w:fill="FFFFFF"/>
            <w:tcMar>
              <w:top w:w="0" w:type="dxa"/>
              <w:left w:w="53" w:type="dxa"/>
              <w:bottom w:w="0" w:type="dxa"/>
              <w:right w:w="53" w:type="dxa"/>
            </w:tcMar>
            <w:vAlign w:val="bottom"/>
          </w:tcPr>
          <w:p>
            <w:pPr>
              <w:pStyle w:val="Normal-wk"/>
              <w:keepNext/>
              <w:pageBreakBefore w:val="0"/>
              <w:numPr>
                <w:ilvl w:val="0"/>
                <w:numId w:val="0"/>
              </w:numPr>
              <w:spacing w:before="53" w:after="30" w:line="240" w:lineRule="auto"/>
              <w:ind w:left="0" w:right="0" w:firstLine="0"/>
              <w:jc w:val="righ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color w:val="0000FF"/>
                <w:sz w:val="20"/>
                <w:u w:val="single"/>
              </w:rPr>
              <w:fldChar w:fldCharType="begin"/>
            </w:r>
            <w:r>
              <w:rPr>
                <w:rFonts w:ascii="Times New Roman" w:eastAsia="Times New Roman" w:hAnsi="Times New Roman" w:cs="Times New Roman"/>
                <w:b w:val="0"/>
                <w:i w:val="0"/>
                <w:color w:val="0000FF"/>
                <w:sz w:val="20"/>
                <w:u w:val="single"/>
              </w:rPr>
              <w:instrText xml:space="preserve"> PAGEREF </w:instrText>
            </w:r>
            <w:r>
              <w:rPr>
                <w:rFonts w:ascii="Times New Roman" w:eastAsia="Times New Roman" w:hAnsi="Times New Roman" w:cs="Times New Roman"/>
                <w:b w:val="0"/>
                <w:i w:val="0"/>
                <w:color w:val="0000FF"/>
                <w:sz w:val="20"/>
                <w:u w:val="single"/>
              </w:rPr>
              <w:instrText xml:space="preserve"> </w:instrText>
            </w:r>
            <w:r>
              <w:rPr>
                <w:rFonts w:ascii="Times New Roman" w:eastAsia="Times New Roman" w:hAnsi="Times New Roman" w:cs="Times New Roman"/>
                <w:b w:val="0"/>
                <w:i w:val="0"/>
                <w:color w:val="0000FF"/>
                <w:sz w:val="20"/>
                <w:u w:val="single"/>
              </w:rPr>
              <w:instrText>Section4</w:instrText>
            </w:r>
            <w:r>
              <w:rPr>
                <w:rFonts w:ascii="Times New Roman" w:eastAsia="Times New Roman" w:hAnsi="Times New Roman" w:cs="Times New Roman"/>
                <w:b w:val="0"/>
                <w:i w:val="0"/>
                <w:color w:val="0000FF"/>
                <w:sz w:val="20"/>
                <w:u w:val="single"/>
              </w:rPr>
              <w:instrText xml:space="preserve"> \h</w:instrText>
            </w:r>
            <w:r>
              <w:rPr>
                <w:rFonts w:ascii="Times New Roman" w:eastAsia="Times New Roman" w:hAnsi="Times New Roman" w:cs="Times New Roman"/>
                <w:b w:val="0"/>
                <w:i w:val="0"/>
                <w:color w:val="0000FF"/>
                <w:sz w:val="20"/>
                <w:u w:val="single"/>
              </w:rPr>
              <w:fldChar w:fldCharType="separate"/>
            </w:r>
            <w:r>
              <w:rPr>
                <w:rFonts w:ascii="Times New Roman" w:eastAsia="Times New Roman" w:hAnsi="Times New Roman" w:cs="Times New Roman"/>
                <w:b w:val="0"/>
                <w:i w:val="0"/>
                <w:color w:val="0000FF"/>
                <w:sz w:val="20"/>
                <w:u w:val="single"/>
              </w:rPr>
              <w:t>1</w:t>
            </w:r>
            <w:r>
              <w:rPr>
                <w:rFonts w:ascii="Times New Roman" w:eastAsia="Times New Roman" w:hAnsi="Times New Roman" w:cs="Times New Roman"/>
                <w:b w:val="0"/>
                <w:i w:val="0"/>
                <w:color w:val="0000FF"/>
                <w:sz w:val="20"/>
                <w:u w:val="single"/>
              </w:rPr>
              <w:fldChar w:fldCharType="end"/>
            </w:r>
          </w:p>
        </w:tc>
      </w:tr>
      <w:tr>
        <w:tblPrEx>
          <w:tblW w:w="10245" w:type="dxa"/>
          <w:tblInd w:w="0" w:type="dxa"/>
          <w:tblLayout w:type="fixed"/>
        </w:tblPrEx>
        <w:trPr>
          <w:trHeight w:hRule="exact" w:val="285"/>
        </w:trPr>
        <w:tc>
          <w:tcPr>
            <w:tcW w:w="96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8340" w:type="dxa"/>
            <w:tcBorders>
              <w:top w:val="nil"/>
              <w:left w:val="nil"/>
              <w:bottom w:val="nil"/>
              <w:right w:val="nil"/>
            </w:tcBorders>
            <w:tcMar>
              <w:top w:w="0" w:type="dxa"/>
              <w:left w:w="53" w:type="dxa"/>
              <w:bottom w:w="0" w:type="dxa"/>
              <w:right w:w="53" w:type="dxa"/>
            </w:tcMar>
            <w:vAlign w:val="top"/>
          </w:tcPr>
          <w:p>
            <w:pPr>
              <w:pStyle w:val="Normal-wk"/>
              <w:keepNext/>
              <w:pageBreakBefore w:val="0"/>
              <w:numPr>
                <w:ilvl w:val="0"/>
                <w:numId w:val="0"/>
              </w:numPr>
              <w:spacing w:before="53" w:after="30" w:line="240" w:lineRule="auto"/>
              <w:ind w:left="0" w:right="0" w:firstLine="0"/>
              <w:jc w:val="both"/>
              <w:outlineLvl w:val="9"/>
              <w:rPr>
                <w:rFonts w:ascii="Times New Roman" w:eastAsia="Times New Roman" w:hAnsi="Times New Roman" w:cs="Times New Roman"/>
                <w:b w:val="0"/>
                <w:i w:val="0"/>
                <w:sz w:val="20"/>
                <w:shd w:val="clear" w:color="auto" w:fill="auto"/>
              </w:rPr>
            </w:pPr>
            <w:hyperlink w:anchor="Section5" w:history="1">
              <w:r>
                <w:rPr>
                  <w:rFonts w:ascii="Times New Roman" w:eastAsia="Times New Roman" w:hAnsi="Times New Roman" w:cs="Times New Roman"/>
                  <w:b w:val="0"/>
                  <w:i w:val="0"/>
                  <w:color w:val="0000FF"/>
                  <w:sz w:val="20"/>
                  <w:u w:val="single"/>
                  <w:shd w:val="clear" w:color="auto" w:fill="auto"/>
                </w:rPr>
                <w:t>Condensed Consolidated Balance Sheets as of March 31, 2026, and December 31, 2025</w:t>
              </w:r>
            </w:hyperlink>
          </w:p>
        </w:tc>
        <w:tc>
          <w:tcPr>
            <w:tcW w:w="945" w:type="dxa"/>
            <w:tcBorders>
              <w:top w:val="nil"/>
              <w:left w:val="nil"/>
              <w:bottom w:val="nil"/>
              <w:right w:val="nil"/>
            </w:tcBorders>
            <w:shd w:val="clear" w:color="auto" w:fill="FFFFFF"/>
            <w:tcMar>
              <w:top w:w="0" w:type="dxa"/>
              <w:left w:w="53" w:type="dxa"/>
              <w:bottom w:w="0" w:type="dxa"/>
              <w:right w:w="53" w:type="dxa"/>
            </w:tcMar>
            <w:vAlign w:val="top"/>
          </w:tcPr>
          <w:p>
            <w:pPr>
              <w:pStyle w:val="Normal-wk"/>
              <w:keepNext/>
              <w:pageBreakBefore w:val="0"/>
              <w:numPr>
                <w:ilvl w:val="0"/>
                <w:numId w:val="0"/>
              </w:numPr>
              <w:spacing w:before="53" w:after="30" w:line="240" w:lineRule="auto"/>
              <w:ind w:left="0" w:right="0" w:firstLine="0"/>
              <w:jc w:val="righ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color w:val="0000FF"/>
                <w:sz w:val="20"/>
                <w:u w:val="single"/>
              </w:rPr>
              <w:fldChar w:fldCharType="begin"/>
            </w:r>
            <w:r>
              <w:rPr>
                <w:rFonts w:ascii="Times New Roman" w:eastAsia="Times New Roman" w:hAnsi="Times New Roman" w:cs="Times New Roman"/>
                <w:b w:val="0"/>
                <w:i w:val="0"/>
                <w:color w:val="0000FF"/>
                <w:sz w:val="20"/>
                <w:u w:val="single"/>
              </w:rPr>
              <w:instrText xml:space="preserve"> PAGEREF </w:instrText>
            </w:r>
            <w:r>
              <w:rPr>
                <w:rFonts w:ascii="Times New Roman" w:eastAsia="Times New Roman" w:hAnsi="Times New Roman" w:cs="Times New Roman"/>
                <w:b w:val="0"/>
                <w:i w:val="0"/>
                <w:color w:val="0000FF"/>
                <w:sz w:val="20"/>
                <w:u w:val="single"/>
              </w:rPr>
              <w:instrText xml:space="preserve"> </w:instrText>
            </w:r>
            <w:r>
              <w:rPr>
                <w:rFonts w:ascii="Times New Roman" w:eastAsia="Times New Roman" w:hAnsi="Times New Roman" w:cs="Times New Roman"/>
                <w:b w:val="0"/>
                <w:i w:val="0"/>
                <w:color w:val="0000FF"/>
                <w:sz w:val="20"/>
                <w:u w:val="single"/>
              </w:rPr>
              <w:instrText>Section5</w:instrText>
            </w:r>
            <w:r>
              <w:rPr>
                <w:rFonts w:ascii="Times New Roman" w:eastAsia="Times New Roman" w:hAnsi="Times New Roman" w:cs="Times New Roman"/>
                <w:b w:val="0"/>
                <w:i w:val="0"/>
                <w:color w:val="0000FF"/>
                <w:sz w:val="20"/>
                <w:u w:val="single"/>
              </w:rPr>
              <w:instrText xml:space="preserve"> \h</w:instrText>
            </w:r>
            <w:r>
              <w:rPr>
                <w:rFonts w:ascii="Times New Roman" w:eastAsia="Times New Roman" w:hAnsi="Times New Roman" w:cs="Times New Roman"/>
                <w:b w:val="0"/>
                <w:i w:val="0"/>
                <w:color w:val="0000FF"/>
                <w:sz w:val="20"/>
                <w:u w:val="single"/>
              </w:rPr>
              <w:fldChar w:fldCharType="separate"/>
            </w:r>
            <w:r>
              <w:rPr>
                <w:rFonts w:ascii="Times New Roman" w:eastAsia="Times New Roman" w:hAnsi="Times New Roman" w:cs="Times New Roman"/>
                <w:b w:val="0"/>
                <w:i w:val="0"/>
                <w:color w:val="0000FF"/>
                <w:sz w:val="20"/>
                <w:u w:val="single"/>
              </w:rPr>
              <w:t>1</w:t>
            </w:r>
            <w:r>
              <w:rPr>
                <w:rFonts w:ascii="Times New Roman" w:eastAsia="Times New Roman" w:hAnsi="Times New Roman" w:cs="Times New Roman"/>
                <w:b w:val="0"/>
                <w:i w:val="0"/>
                <w:color w:val="0000FF"/>
                <w:sz w:val="20"/>
                <w:u w:val="single"/>
              </w:rPr>
              <w:fldChar w:fldCharType="end"/>
            </w:r>
          </w:p>
        </w:tc>
      </w:tr>
      <w:tr>
        <w:tblPrEx>
          <w:tblW w:w="10245" w:type="dxa"/>
          <w:tblInd w:w="0" w:type="dxa"/>
          <w:tblLayout w:type="fixed"/>
        </w:tblPrEx>
        <w:trPr>
          <w:trHeight w:hRule="exact" w:val="465"/>
        </w:trPr>
        <w:tc>
          <w:tcPr>
            <w:tcW w:w="96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8340" w:type="dxa"/>
            <w:tcBorders>
              <w:top w:val="nil"/>
              <w:left w:val="nil"/>
              <w:bottom w:val="nil"/>
              <w:right w:val="nil"/>
            </w:tcBorders>
            <w:tcMar>
              <w:top w:w="0" w:type="dxa"/>
              <w:left w:w="53" w:type="dxa"/>
              <w:bottom w:w="0" w:type="dxa"/>
              <w:right w:w="53" w:type="dxa"/>
            </w:tcMar>
            <w:vAlign w:val="top"/>
          </w:tcPr>
          <w:p>
            <w:pPr>
              <w:pStyle w:val="Normal-wk"/>
              <w:keepNext/>
              <w:pageBreakBefore w:val="0"/>
              <w:numPr>
                <w:ilvl w:val="0"/>
                <w:numId w:val="0"/>
              </w:numPr>
              <w:spacing w:before="53" w:after="30" w:line="240" w:lineRule="auto"/>
              <w:ind w:left="0" w:right="0" w:firstLine="0"/>
              <w:jc w:val="both"/>
              <w:outlineLvl w:val="9"/>
              <w:rPr>
                <w:rFonts w:ascii="Times New Roman" w:eastAsia="Times New Roman" w:hAnsi="Times New Roman" w:cs="Times New Roman"/>
                <w:b w:val="0"/>
                <w:i w:val="0"/>
                <w:sz w:val="20"/>
                <w:shd w:val="clear" w:color="auto" w:fill="auto"/>
              </w:rPr>
            </w:pPr>
            <w:hyperlink w:anchor="Section6" w:history="1">
              <w:r>
                <w:rPr>
                  <w:rFonts w:ascii="Times New Roman" w:eastAsia="Times New Roman" w:hAnsi="Times New Roman" w:cs="Times New Roman"/>
                  <w:b w:val="0"/>
                  <w:i w:val="0"/>
                  <w:color w:val="0000FF"/>
                  <w:sz w:val="20"/>
                  <w:u w:val="single"/>
                  <w:shd w:val="clear" w:color="auto" w:fill="auto"/>
                </w:rPr>
                <w:t>Condensed Consolidated Statements of Comprehensive Income and Loss for the Three Months Ended March 31, 2026, and March 31, 2025</w:t>
              </w:r>
            </w:hyperlink>
          </w:p>
        </w:tc>
        <w:tc>
          <w:tcPr>
            <w:tcW w:w="945" w:type="dxa"/>
            <w:tcBorders>
              <w:top w:val="nil"/>
              <w:left w:val="nil"/>
              <w:bottom w:val="nil"/>
              <w:right w:val="nil"/>
            </w:tcBorders>
            <w:shd w:val="clear" w:color="auto" w:fill="FFFFFF"/>
            <w:tcMar>
              <w:top w:w="0" w:type="dxa"/>
              <w:left w:w="53" w:type="dxa"/>
              <w:bottom w:w="0" w:type="dxa"/>
              <w:right w:w="53" w:type="dxa"/>
            </w:tcMar>
            <w:vAlign w:val="top"/>
          </w:tcPr>
          <w:p>
            <w:pPr>
              <w:pStyle w:val="Normal-wk"/>
              <w:keepNext/>
              <w:pageBreakBefore w:val="0"/>
              <w:numPr>
                <w:ilvl w:val="0"/>
                <w:numId w:val="0"/>
              </w:numPr>
              <w:spacing w:before="53" w:after="30" w:line="240" w:lineRule="auto"/>
              <w:ind w:left="0" w:right="0" w:firstLine="0"/>
              <w:jc w:val="righ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color w:val="0000FF"/>
                <w:sz w:val="20"/>
                <w:u w:val="single"/>
              </w:rPr>
              <w:fldChar w:fldCharType="begin"/>
            </w:r>
            <w:r>
              <w:rPr>
                <w:rFonts w:ascii="Times New Roman" w:eastAsia="Times New Roman" w:hAnsi="Times New Roman" w:cs="Times New Roman"/>
                <w:b w:val="0"/>
                <w:i w:val="0"/>
                <w:color w:val="0000FF"/>
                <w:sz w:val="20"/>
                <w:u w:val="single"/>
              </w:rPr>
              <w:instrText xml:space="preserve"> PAGEREF </w:instrText>
            </w:r>
            <w:r>
              <w:rPr>
                <w:rFonts w:ascii="Times New Roman" w:eastAsia="Times New Roman" w:hAnsi="Times New Roman" w:cs="Times New Roman"/>
                <w:b w:val="0"/>
                <w:i w:val="0"/>
                <w:color w:val="0000FF"/>
                <w:sz w:val="20"/>
                <w:u w:val="single"/>
              </w:rPr>
              <w:instrText xml:space="preserve"> </w:instrText>
            </w:r>
            <w:r>
              <w:rPr>
                <w:rFonts w:ascii="Times New Roman" w:eastAsia="Times New Roman" w:hAnsi="Times New Roman" w:cs="Times New Roman"/>
                <w:b w:val="0"/>
                <w:i w:val="0"/>
                <w:color w:val="0000FF"/>
                <w:sz w:val="20"/>
                <w:u w:val="single"/>
              </w:rPr>
              <w:instrText>Section6</w:instrText>
            </w:r>
            <w:r>
              <w:rPr>
                <w:rFonts w:ascii="Times New Roman" w:eastAsia="Times New Roman" w:hAnsi="Times New Roman" w:cs="Times New Roman"/>
                <w:b w:val="0"/>
                <w:i w:val="0"/>
                <w:color w:val="0000FF"/>
                <w:sz w:val="20"/>
                <w:u w:val="single"/>
              </w:rPr>
              <w:instrText xml:space="preserve"> \h</w:instrText>
            </w:r>
            <w:r>
              <w:rPr>
                <w:rFonts w:ascii="Times New Roman" w:eastAsia="Times New Roman" w:hAnsi="Times New Roman" w:cs="Times New Roman"/>
                <w:b w:val="0"/>
                <w:i w:val="0"/>
                <w:color w:val="0000FF"/>
                <w:sz w:val="20"/>
                <w:u w:val="single"/>
              </w:rPr>
              <w:fldChar w:fldCharType="separate"/>
            </w:r>
            <w:r>
              <w:rPr>
                <w:rFonts w:ascii="Times New Roman" w:eastAsia="Times New Roman" w:hAnsi="Times New Roman" w:cs="Times New Roman"/>
                <w:b w:val="0"/>
                <w:i w:val="0"/>
                <w:color w:val="0000FF"/>
                <w:sz w:val="20"/>
                <w:u w:val="single"/>
              </w:rPr>
              <w:t>2</w:t>
            </w:r>
            <w:r>
              <w:rPr>
                <w:rFonts w:ascii="Times New Roman" w:eastAsia="Times New Roman" w:hAnsi="Times New Roman" w:cs="Times New Roman"/>
                <w:b w:val="0"/>
                <w:i w:val="0"/>
                <w:color w:val="0000FF"/>
                <w:sz w:val="20"/>
                <w:u w:val="single"/>
              </w:rPr>
              <w:fldChar w:fldCharType="end"/>
            </w:r>
          </w:p>
        </w:tc>
      </w:tr>
      <w:tr>
        <w:tblPrEx>
          <w:tblW w:w="10245" w:type="dxa"/>
          <w:tblInd w:w="0" w:type="dxa"/>
          <w:tblLayout w:type="fixed"/>
        </w:tblPrEx>
        <w:trPr>
          <w:trHeight w:hRule="exact" w:val="465"/>
        </w:trPr>
        <w:tc>
          <w:tcPr>
            <w:tcW w:w="96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8340" w:type="dxa"/>
            <w:tcBorders>
              <w:top w:val="nil"/>
              <w:left w:val="nil"/>
              <w:bottom w:val="nil"/>
              <w:right w:val="nil"/>
            </w:tcBorders>
            <w:tcMar>
              <w:top w:w="0" w:type="dxa"/>
              <w:left w:w="53" w:type="dxa"/>
              <w:bottom w:w="0" w:type="dxa"/>
              <w:right w:w="53" w:type="dxa"/>
            </w:tcMar>
            <w:vAlign w:val="top"/>
          </w:tcPr>
          <w:p>
            <w:pPr>
              <w:pStyle w:val="Normal-wk"/>
              <w:keepNext/>
              <w:pageBreakBefore w:val="0"/>
              <w:numPr>
                <w:ilvl w:val="0"/>
                <w:numId w:val="0"/>
              </w:numPr>
              <w:spacing w:before="53" w:after="30" w:line="240" w:lineRule="auto"/>
              <w:ind w:left="0" w:right="0" w:firstLine="0"/>
              <w:jc w:val="both"/>
              <w:outlineLvl w:val="9"/>
              <w:rPr>
                <w:rFonts w:ascii="Times New Roman" w:eastAsia="Times New Roman" w:hAnsi="Times New Roman" w:cs="Times New Roman"/>
                <w:b w:val="0"/>
                <w:i w:val="0"/>
                <w:sz w:val="20"/>
                <w:shd w:val="clear" w:color="auto" w:fill="auto"/>
              </w:rPr>
            </w:pPr>
            <w:hyperlink w:anchor="Section7" w:history="1">
              <w:r>
                <w:rPr>
                  <w:rFonts w:ascii="Times New Roman" w:eastAsia="Times New Roman" w:hAnsi="Times New Roman" w:cs="Times New Roman"/>
                  <w:b w:val="0"/>
                  <w:i w:val="0"/>
                  <w:color w:val="0000FF"/>
                  <w:sz w:val="20"/>
                  <w:u w:val="single"/>
                  <w:shd w:val="clear" w:color="auto" w:fill="auto"/>
                </w:rPr>
                <w:t>Condensed Consolidated Statements of Changes in Stockholders’ Equity for the Three Months Ended March 31, 2026, and March 31, 2025</w:t>
              </w:r>
            </w:hyperlink>
          </w:p>
        </w:tc>
        <w:tc>
          <w:tcPr>
            <w:tcW w:w="945" w:type="dxa"/>
            <w:tcBorders>
              <w:top w:val="nil"/>
              <w:left w:val="nil"/>
              <w:bottom w:val="nil"/>
              <w:right w:val="nil"/>
            </w:tcBorders>
            <w:shd w:val="clear" w:color="auto" w:fill="FFFFFF"/>
            <w:tcMar>
              <w:top w:w="0" w:type="dxa"/>
              <w:left w:w="53" w:type="dxa"/>
              <w:bottom w:w="0" w:type="dxa"/>
              <w:right w:w="53" w:type="dxa"/>
            </w:tcMar>
            <w:vAlign w:val="top"/>
          </w:tcPr>
          <w:p>
            <w:pPr>
              <w:pStyle w:val="Normal-wk"/>
              <w:keepNext/>
              <w:pageBreakBefore w:val="0"/>
              <w:numPr>
                <w:ilvl w:val="0"/>
                <w:numId w:val="0"/>
              </w:numPr>
              <w:spacing w:before="53" w:after="30" w:line="240" w:lineRule="auto"/>
              <w:ind w:left="0" w:right="0" w:firstLine="0"/>
              <w:jc w:val="righ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color w:val="0000FF"/>
                <w:sz w:val="20"/>
                <w:u w:val="single"/>
              </w:rPr>
              <w:fldChar w:fldCharType="begin"/>
            </w:r>
            <w:r>
              <w:rPr>
                <w:rFonts w:ascii="Times New Roman" w:eastAsia="Times New Roman" w:hAnsi="Times New Roman" w:cs="Times New Roman"/>
                <w:b w:val="0"/>
                <w:i w:val="0"/>
                <w:color w:val="0000FF"/>
                <w:sz w:val="20"/>
                <w:u w:val="single"/>
              </w:rPr>
              <w:instrText xml:space="preserve"> PAGEREF </w:instrText>
            </w:r>
            <w:r>
              <w:rPr>
                <w:rFonts w:ascii="Times New Roman" w:eastAsia="Times New Roman" w:hAnsi="Times New Roman" w:cs="Times New Roman"/>
                <w:b w:val="0"/>
                <w:i w:val="0"/>
                <w:color w:val="0000FF"/>
                <w:sz w:val="20"/>
                <w:u w:val="single"/>
              </w:rPr>
              <w:instrText xml:space="preserve"> </w:instrText>
            </w:r>
            <w:r>
              <w:rPr>
                <w:rFonts w:ascii="Times New Roman" w:eastAsia="Times New Roman" w:hAnsi="Times New Roman" w:cs="Times New Roman"/>
                <w:b w:val="0"/>
                <w:i w:val="0"/>
                <w:color w:val="0000FF"/>
                <w:sz w:val="20"/>
                <w:u w:val="single"/>
              </w:rPr>
              <w:instrText>Section7</w:instrText>
            </w:r>
            <w:r>
              <w:rPr>
                <w:rFonts w:ascii="Times New Roman" w:eastAsia="Times New Roman" w:hAnsi="Times New Roman" w:cs="Times New Roman"/>
                <w:b w:val="0"/>
                <w:i w:val="0"/>
                <w:color w:val="0000FF"/>
                <w:sz w:val="20"/>
                <w:u w:val="single"/>
              </w:rPr>
              <w:instrText xml:space="preserve"> \h</w:instrText>
            </w:r>
            <w:r>
              <w:rPr>
                <w:rFonts w:ascii="Times New Roman" w:eastAsia="Times New Roman" w:hAnsi="Times New Roman" w:cs="Times New Roman"/>
                <w:b w:val="0"/>
                <w:i w:val="0"/>
                <w:color w:val="0000FF"/>
                <w:sz w:val="20"/>
                <w:u w:val="single"/>
              </w:rPr>
              <w:fldChar w:fldCharType="separate"/>
            </w:r>
            <w:r>
              <w:rPr>
                <w:rFonts w:ascii="Times New Roman" w:eastAsia="Times New Roman" w:hAnsi="Times New Roman" w:cs="Times New Roman"/>
                <w:b w:val="0"/>
                <w:i w:val="0"/>
                <w:color w:val="0000FF"/>
                <w:sz w:val="20"/>
                <w:u w:val="single"/>
              </w:rPr>
              <w:t>3</w:t>
            </w:r>
            <w:r>
              <w:rPr>
                <w:rFonts w:ascii="Times New Roman" w:eastAsia="Times New Roman" w:hAnsi="Times New Roman" w:cs="Times New Roman"/>
                <w:b w:val="0"/>
                <w:i w:val="0"/>
                <w:color w:val="0000FF"/>
                <w:sz w:val="20"/>
                <w:u w:val="single"/>
              </w:rPr>
              <w:fldChar w:fldCharType="end"/>
            </w:r>
          </w:p>
        </w:tc>
      </w:tr>
      <w:tr>
        <w:tblPrEx>
          <w:tblW w:w="10245" w:type="dxa"/>
          <w:tblInd w:w="0" w:type="dxa"/>
          <w:tblLayout w:type="fixed"/>
        </w:tblPrEx>
        <w:trPr>
          <w:trHeight w:hRule="exact" w:val="465"/>
        </w:trPr>
        <w:tc>
          <w:tcPr>
            <w:tcW w:w="96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8340" w:type="dxa"/>
            <w:tcBorders>
              <w:top w:val="nil"/>
              <w:left w:val="nil"/>
              <w:bottom w:val="nil"/>
              <w:right w:val="nil"/>
            </w:tcBorders>
            <w:tcMar>
              <w:top w:w="0" w:type="dxa"/>
              <w:left w:w="53" w:type="dxa"/>
              <w:bottom w:w="0" w:type="dxa"/>
              <w:right w:w="53" w:type="dxa"/>
            </w:tcMar>
            <w:vAlign w:val="top"/>
          </w:tcPr>
          <w:p>
            <w:pPr>
              <w:pStyle w:val="Normal-wk"/>
              <w:keepNext/>
              <w:pageBreakBefore w:val="0"/>
              <w:numPr>
                <w:ilvl w:val="0"/>
                <w:numId w:val="0"/>
              </w:numPr>
              <w:spacing w:before="53" w:after="30" w:line="240" w:lineRule="auto"/>
              <w:ind w:left="0" w:right="0" w:firstLine="0"/>
              <w:jc w:val="both"/>
              <w:outlineLvl w:val="9"/>
              <w:rPr>
                <w:rFonts w:ascii="Times New Roman" w:eastAsia="Times New Roman" w:hAnsi="Times New Roman" w:cs="Times New Roman"/>
                <w:b w:val="0"/>
                <w:i w:val="0"/>
                <w:sz w:val="20"/>
                <w:shd w:val="clear" w:color="auto" w:fill="auto"/>
              </w:rPr>
            </w:pPr>
            <w:hyperlink w:anchor="Section8" w:history="1">
              <w:r>
                <w:rPr>
                  <w:rFonts w:ascii="Times New Roman" w:eastAsia="Times New Roman" w:hAnsi="Times New Roman" w:cs="Times New Roman"/>
                  <w:b w:val="0"/>
                  <w:i w:val="0"/>
                  <w:color w:val="0000FF"/>
                  <w:sz w:val="20"/>
                  <w:u w:val="single"/>
                  <w:shd w:val="clear" w:color="auto" w:fill="auto"/>
                </w:rPr>
                <w:t>Condensed Consolidated Statements of Cash Flows for the Three Months Ended March 31, 2026, and March 31, 2025</w:t>
              </w:r>
            </w:hyperlink>
          </w:p>
        </w:tc>
        <w:tc>
          <w:tcPr>
            <w:tcW w:w="945" w:type="dxa"/>
            <w:tcBorders>
              <w:top w:val="nil"/>
              <w:left w:val="nil"/>
              <w:bottom w:val="nil"/>
              <w:right w:val="nil"/>
            </w:tcBorders>
            <w:shd w:val="clear" w:color="auto" w:fill="FFFFFF"/>
            <w:tcMar>
              <w:top w:w="0" w:type="dxa"/>
              <w:left w:w="53" w:type="dxa"/>
              <w:bottom w:w="0" w:type="dxa"/>
              <w:right w:w="53" w:type="dxa"/>
            </w:tcMar>
            <w:vAlign w:val="top"/>
          </w:tcPr>
          <w:p>
            <w:pPr>
              <w:pStyle w:val="Normal-wk"/>
              <w:keepNext/>
              <w:pageBreakBefore w:val="0"/>
              <w:numPr>
                <w:ilvl w:val="0"/>
                <w:numId w:val="0"/>
              </w:numPr>
              <w:spacing w:before="53" w:after="30" w:line="240" w:lineRule="auto"/>
              <w:ind w:left="0" w:right="0" w:firstLine="0"/>
              <w:jc w:val="righ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color w:val="0000FF"/>
                <w:sz w:val="20"/>
                <w:u w:val="single"/>
              </w:rPr>
              <w:fldChar w:fldCharType="begin"/>
            </w:r>
            <w:r>
              <w:rPr>
                <w:rFonts w:ascii="Times New Roman" w:eastAsia="Times New Roman" w:hAnsi="Times New Roman" w:cs="Times New Roman"/>
                <w:b w:val="0"/>
                <w:i w:val="0"/>
                <w:color w:val="0000FF"/>
                <w:sz w:val="20"/>
                <w:u w:val="single"/>
              </w:rPr>
              <w:instrText xml:space="preserve"> PAGEREF </w:instrText>
            </w:r>
            <w:r>
              <w:rPr>
                <w:rFonts w:ascii="Times New Roman" w:eastAsia="Times New Roman" w:hAnsi="Times New Roman" w:cs="Times New Roman"/>
                <w:b w:val="0"/>
                <w:i w:val="0"/>
                <w:color w:val="0000FF"/>
                <w:sz w:val="20"/>
                <w:u w:val="single"/>
              </w:rPr>
              <w:instrText xml:space="preserve"> </w:instrText>
            </w:r>
            <w:r>
              <w:rPr>
                <w:rFonts w:ascii="Times New Roman" w:eastAsia="Times New Roman" w:hAnsi="Times New Roman" w:cs="Times New Roman"/>
                <w:b w:val="0"/>
                <w:i w:val="0"/>
                <w:color w:val="0000FF"/>
                <w:sz w:val="20"/>
                <w:u w:val="single"/>
              </w:rPr>
              <w:instrText>Section8</w:instrText>
            </w:r>
            <w:r>
              <w:rPr>
                <w:rFonts w:ascii="Times New Roman" w:eastAsia="Times New Roman" w:hAnsi="Times New Roman" w:cs="Times New Roman"/>
                <w:b w:val="0"/>
                <w:i w:val="0"/>
                <w:color w:val="0000FF"/>
                <w:sz w:val="20"/>
                <w:u w:val="single"/>
              </w:rPr>
              <w:instrText xml:space="preserve"> \h</w:instrText>
            </w:r>
            <w:r>
              <w:rPr>
                <w:rFonts w:ascii="Times New Roman" w:eastAsia="Times New Roman" w:hAnsi="Times New Roman" w:cs="Times New Roman"/>
                <w:b w:val="0"/>
                <w:i w:val="0"/>
                <w:color w:val="0000FF"/>
                <w:sz w:val="20"/>
                <w:u w:val="single"/>
              </w:rPr>
              <w:fldChar w:fldCharType="separate"/>
            </w:r>
            <w:r>
              <w:rPr>
                <w:rFonts w:ascii="Times New Roman" w:eastAsia="Times New Roman" w:hAnsi="Times New Roman" w:cs="Times New Roman"/>
                <w:b w:val="0"/>
                <w:i w:val="0"/>
                <w:color w:val="0000FF"/>
                <w:sz w:val="20"/>
                <w:u w:val="single"/>
              </w:rPr>
              <w:t>5</w:t>
            </w:r>
            <w:r>
              <w:rPr>
                <w:rFonts w:ascii="Times New Roman" w:eastAsia="Times New Roman" w:hAnsi="Times New Roman" w:cs="Times New Roman"/>
                <w:b w:val="0"/>
                <w:i w:val="0"/>
                <w:color w:val="0000FF"/>
                <w:sz w:val="20"/>
                <w:u w:val="single"/>
              </w:rPr>
              <w:fldChar w:fldCharType="end"/>
            </w:r>
          </w:p>
        </w:tc>
      </w:tr>
      <w:tr>
        <w:tblPrEx>
          <w:tblW w:w="10245" w:type="dxa"/>
          <w:tblInd w:w="0" w:type="dxa"/>
          <w:tblLayout w:type="fixed"/>
        </w:tblPrEx>
        <w:trPr>
          <w:trHeight w:hRule="exact" w:val="285"/>
        </w:trPr>
        <w:tc>
          <w:tcPr>
            <w:tcW w:w="96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8340" w:type="dxa"/>
            <w:tcBorders>
              <w:top w:val="nil"/>
              <w:left w:val="nil"/>
              <w:bottom w:val="nil"/>
              <w:right w:val="nil"/>
            </w:tcBorders>
            <w:tcMar>
              <w:top w:w="0" w:type="dxa"/>
              <w:left w:w="53" w:type="dxa"/>
              <w:bottom w:w="0" w:type="dxa"/>
              <w:right w:w="53" w:type="dxa"/>
            </w:tcMar>
            <w:vAlign w:val="top"/>
          </w:tcPr>
          <w:p>
            <w:pPr>
              <w:pStyle w:val="Normal-wk"/>
              <w:keepNext/>
              <w:pageBreakBefore w:val="0"/>
              <w:numPr>
                <w:ilvl w:val="0"/>
                <w:numId w:val="0"/>
              </w:numPr>
              <w:spacing w:before="53" w:after="30" w:line="240" w:lineRule="auto"/>
              <w:ind w:left="0" w:right="0" w:firstLine="0"/>
              <w:jc w:val="both"/>
              <w:outlineLvl w:val="9"/>
              <w:rPr>
                <w:rFonts w:ascii="Times New Roman" w:eastAsia="Times New Roman" w:hAnsi="Times New Roman" w:cs="Times New Roman"/>
                <w:b w:val="0"/>
                <w:i w:val="0"/>
                <w:sz w:val="20"/>
                <w:shd w:val="clear" w:color="auto" w:fill="auto"/>
              </w:rPr>
            </w:pPr>
            <w:hyperlink w:anchor="Section9" w:history="1">
              <w:r>
                <w:rPr>
                  <w:rFonts w:ascii="Times New Roman" w:eastAsia="Times New Roman" w:hAnsi="Times New Roman" w:cs="Times New Roman"/>
                  <w:b w:val="0"/>
                  <w:i w:val="0"/>
                  <w:color w:val="0000FF"/>
                  <w:sz w:val="20"/>
                  <w:u w:val="single"/>
                  <w:shd w:val="clear" w:color="auto" w:fill="auto"/>
                </w:rPr>
                <w:t>Notes to Condensed Consolidated Financial Statements</w:t>
              </w:r>
            </w:hyperlink>
          </w:p>
        </w:tc>
        <w:tc>
          <w:tcPr>
            <w:tcW w:w="945" w:type="dxa"/>
            <w:tcBorders>
              <w:top w:val="nil"/>
              <w:left w:val="nil"/>
              <w:bottom w:val="nil"/>
              <w:right w:val="nil"/>
            </w:tcBorders>
            <w:shd w:val="clear" w:color="auto" w:fill="FFFFFF"/>
            <w:tcMar>
              <w:top w:w="0" w:type="dxa"/>
              <w:left w:w="53" w:type="dxa"/>
              <w:bottom w:w="0" w:type="dxa"/>
              <w:right w:w="53" w:type="dxa"/>
            </w:tcMar>
            <w:vAlign w:val="top"/>
          </w:tcPr>
          <w:p>
            <w:pPr>
              <w:pStyle w:val="Normal-wk"/>
              <w:keepNext/>
              <w:pageBreakBefore w:val="0"/>
              <w:numPr>
                <w:ilvl w:val="0"/>
                <w:numId w:val="0"/>
              </w:numPr>
              <w:spacing w:before="53" w:after="30" w:line="240" w:lineRule="auto"/>
              <w:ind w:left="0" w:right="0" w:firstLine="0"/>
              <w:jc w:val="righ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color w:val="0000FF"/>
                <w:sz w:val="20"/>
                <w:u w:val="single"/>
              </w:rPr>
              <w:fldChar w:fldCharType="begin"/>
            </w:r>
            <w:r>
              <w:rPr>
                <w:rFonts w:ascii="Times New Roman" w:eastAsia="Times New Roman" w:hAnsi="Times New Roman" w:cs="Times New Roman"/>
                <w:b w:val="0"/>
                <w:i w:val="0"/>
                <w:color w:val="0000FF"/>
                <w:sz w:val="20"/>
                <w:u w:val="single"/>
              </w:rPr>
              <w:instrText xml:space="preserve"> PAGEREF </w:instrText>
            </w:r>
            <w:r>
              <w:rPr>
                <w:rFonts w:ascii="Times New Roman" w:eastAsia="Times New Roman" w:hAnsi="Times New Roman" w:cs="Times New Roman"/>
                <w:b w:val="0"/>
                <w:i w:val="0"/>
                <w:color w:val="0000FF"/>
                <w:sz w:val="20"/>
                <w:u w:val="single"/>
              </w:rPr>
              <w:instrText xml:space="preserve"> </w:instrText>
            </w:r>
            <w:r>
              <w:rPr>
                <w:rFonts w:ascii="Times New Roman" w:eastAsia="Times New Roman" w:hAnsi="Times New Roman" w:cs="Times New Roman"/>
                <w:b w:val="0"/>
                <w:i w:val="0"/>
                <w:color w:val="0000FF"/>
                <w:sz w:val="20"/>
                <w:u w:val="single"/>
              </w:rPr>
              <w:instrText>Section9</w:instrText>
            </w:r>
            <w:r>
              <w:rPr>
                <w:rFonts w:ascii="Times New Roman" w:eastAsia="Times New Roman" w:hAnsi="Times New Roman" w:cs="Times New Roman"/>
                <w:b w:val="0"/>
                <w:i w:val="0"/>
                <w:color w:val="0000FF"/>
                <w:sz w:val="20"/>
                <w:u w:val="single"/>
              </w:rPr>
              <w:instrText xml:space="preserve"> \h</w:instrText>
            </w:r>
            <w:r>
              <w:rPr>
                <w:rFonts w:ascii="Times New Roman" w:eastAsia="Times New Roman" w:hAnsi="Times New Roman" w:cs="Times New Roman"/>
                <w:b w:val="0"/>
                <w:i w:val="0"/>
                <w:color w:val="0000FF"/>
                <w:sz w:val="20"/>
                <w:u w:val="single"/>
              </w:rPr>
              <w:fldChar w:fldCharType="separate"/>
            </w:r>
            <w:r>
              <w:rPr>
                <w:rFonts w:ascii="Times New Roman" w:eastAsia="Times New Roman" w:hAnsi="Times New Roman" w:cs="Times New Roman"/>
                <w:b w:val="0"/>
                <w:i w:val="0"/>
                <w:color w:val="0000FF"/>
                <w:sz w:val="20"/>
                <w:u w:val="single"/>
              </w:rPr>
              <w:t>7</w:t>
            </w:r>
            <w:r>
              <w:rPr>
                <w:rFonts w:ascii="Times New Roman" w:eastAsia="Times New Roman" w:hAnsi="Times New Roman" w:cs="Times New Roman"/>
                <w:b w:val="0"/>
                <w:i w:val="0"/>
                <w:color w:val="0000FF"/>
                <w:sz w:val="20"/>
                <w:u w:val="single"/>
              </w:rPr>
              <w:fldChar w:fldCharType="end"/>
            </w:r>
          </w:p>
        </w:tc>
      </w:tr>
      <w:tr>
        <w:tblPrEx>
          <w:tblW w:w="10245" w:type="dxa"/>
          <w:tblInd w:w="0" w:type="dxa"/>
          <w:tblLayout w:type="fixed"/>
        </w:tblPrEx>
        <w:trPr>
          <w:trHeight w:hRule="exact" w:val="285"/>
        </w:trPr>
        <w:tc>
          <w:tcPr>
            <w:tcW w:w="960" w:type="dxa"/>
            <w:tcBorders>
              <w:top w:val="nil"/>
              <w:left w:val="nil"/>
              <w:bottom w:val="nil"/>
              <w:right w:val="nil"/>
            </w:tcBorders>
            <w:tcMar>
              <w:top w:w="0" w:type="dxa"/>
              <w:left w:w="53" w:type="dxa"/>
              <w:bottom w:w="0" w:type="dxa"/>
              <w:right w:w="53" w:type="dxa"/>
            </w:tcMar>
            <w:vAlign w:val="top"/>
          </w:tcPr>
          <w:p>
            <w:pPr>
              <w:keepNext/>
              <w:pageBreakBefore w:val="0"/>
              <w:spacing w:before="53" w:after="30" w:line="240" w:lineRule="auto"/>
              <w:jc w:val="both"/>
            </w:pPr>
            <w:r>
              <w:rPr>
                <w:rFonts w:ascii="Times New Roman" w:eastAsia="Times New Roman" w:hAnsi="Times New Roman" w:cs="Times New Roman"/>
                <w:b/>
                <w:i w:val="0"/>
                <w:color w:val="000000"/>
                <w:sz w:val="20"/>
                <w:u w:val="none"/>
              </w:rPr>
              <w:t>Item 2.</w:t>
            </w:r>
          </w:p>
        </w:tc>
        <w:tc>
          <w:tcPr>
            <w:tcW w:w="8340" w:type="dxa"/>
            <w:tcBorders>
              <w:top w:val="nil"/>
              <w:left w:val="nil"/>
              <w:bottom w:val="nil"/>
              <w:right w:val="nil"/>
            </w:tcBorders>
            <w:tcMar>
              <w:top w:w="0" w:type="dxa"/>
              <w:left w:w="53" w:type="dxa"/>
              <w:bottom w:w="0" w:type="dxa"/>
              <w:right w:w="53" w:type="dxa"/>
            </w:tcMar>
            <w:vAlign w:val="top"/>
          </w:tcPr>
          <w:p>
            <w:pPr>
              <w:pStyle w:val="Normal-wk"/>
              <w:keepNext/>
              <w:pageBreakBefore w:val="0"/>
              <w:numPr>
                <w:ilvl w:val="0"/>
                <w:numId w:val="0"/>
              </w:numPr>
              <w:spacing w:before="53" w:after="30" w:line="240" w:lineRule="auto"/>
              <w:ind w:left="0" w:right="0" w:firstLine="0"/>
              <w:jc w:val="both"/>
              <w:outlineLvl w:val="9"/>
              <w:rPr>
                <w:rFonts w:ascii="Times New Roman" w:eastAsia="Times New Roman" w:hAnsi="Times New Roman" w:cs="Times New Roman"/>
                <w:b/>
                <w:i w:val="0"/>
                <w:sz w:val="20"/>
                <w:shd w:val="clear" w:color="auto" w:fill="auto"/>
              </w:rPr>
            </w:pPr>
            <w:hyperlink w:anchor="Section21" w:history="1">
              <w:r>
                <w:rPr>
                  <w:rFonts w:ascii="Times New Roman" w:eastAsia="Times New Roman" w:hAnsi="Times New Roman" w:cs="Times New Roman"/>
                  <w:b/>
                  <w:i w:val="0"/>
                  <w:color w:val="0000FF"/>
                  <w:sz w:val="20"/>
                  <w:u w:val="single"/>
                  <w:shd w:val="clear" w:color="auto" w:fill="auto"/>
                </w:rPr>
                <w:t>Management’s Discussion and Analysis of Financial Condition and Results of Operations</w:t>
              </w:r>
            </w:hyperlink>
          </w:p>
        </w:tc>
        <w:tc>
          <w:tcPr>
            <w:tcW w:w="945" w:type="dxa"/>
            <w:tcBorders>
              <w:top w:val="nil"/>
              <w:left w:val="nil"/>
              <w:bottom w:val="nil"/>
              <w:right w:val="nil"/>
            </w:tcBorders>
            <w:shd w:val="clear" w:color="auto" w:fill="FFFFFF"/>
            <w:tcMar>
              <w:top w:w="0" w:type="dxa"/>
              <w:left w:w="53" w:type="dxa"/>
              <w:bottom w:w="0" w:type="dxa"/>
              <w:right w:w="53" w:type="dxa"/>
            </w:tcMar>
            <w:vAlign w:val="top"/>
          </w:tcPr>
          <w:p>
            <w:pPr>
              <w:pStyle w:val="Normal-wk"/>
              <w:keepNext/>
              <w:pageBreakBefore w:val="0"/>
              <w:numPr>
                <w:ilvl w:val="0"/>
                <w:numId w:val="0"/>
              </w:numPr>
              <w:spacing w:before="53" w:after="30" w:line="240" w:lineRule="auto"/>
              <w:ind w:left="0" w:right="0" w:firstLine="0"/>
              <w:jc w:val="righ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color w:val="0000FF"/>
                <w:sz w:val="20"/>
                <w:u w:val="single"/>
              </w:rPr>
              <w:fldChar w:fldCharType="begin"/>
            </w:r>
            <w:r>
              <w:rPr>
                <w:rFonts w:ascii="Times New Roman" w:eastAsia="Times New Roman" w:hAnsi="Times New Roman" w:cs="Times New Roman"/>
                <w:b w:val="0"/>
                <w:i w:val="0"/>
                <w:color w:val="0000FF"/>
                <w:sz w:val="20"/>
                <w:u w:val="single"/>
              </w:rPr>
              <w:instrText xml:space="preserve"> PAGEREF </w:instrText>
            </w:r>
            <w:r>
              <w:rPr>
                <w:rFonts w:ascii="Times New Roman" w:eastAsia="Times New Roman" w:hAnsi="Times New Roman" w:cs="Times New Roman"/>
                <w:b w:val="0"/>
                <w:i w:val="0"/>
                <w:color w:val="0000FF"/>
                <w:sz w:val="20"/>
                <w:u w:val="single"/>
              </w:rPr>
              <w:instrText xml:space="preserve"> </w:instrText>
            </w:r>
            <w:r>
              <w:rPr>
                <w:rFonts w:ascii="Times New Roman" w:eastAsia="Times New Roman" w:hAnsi="Times New Roman" w:cs="Times New Roman"/>
                <w:b w:val="0"/>
                <w:i w:val="0"/>
                <w:color w:val="0000FF"/>
                <w:sz w:val="20"/>
                <w:u w:val="single"/>
              </w:rPr>
              <w:instrText>Section21</w:instrText>
            </w:r>
            <w:r>
              <w:rPr>
                <w:rFonts w:ascii="Times New Roman" w:eastAsia="Times New Roman" w:hAnsi="Times New Roman" w:cs="Times New Roman"/>
                <w:b w:val="0"/>
                <w:i w:val="0"/>
                <w:color w:val="0000FF"/>
                <w:sz w:val="20"/>
                <w:u w:val="single"/>
              </w:rPr>
              <w:instrText xml:space="preserve"> \h</w:instrText>
            </w:r>
            <w:r>
              <w:rPr>
                <w:rFonts w:ascii="Times New Roman" w:eastAsia="Times New Roman" w:hAnsi="Times New Roman" w:cs="Times New Roman"/>
                <w:b w:val="0"/>
                <w:i w:val="0"/>
                <w:color w:val="0000FF"/>
                <w:sz w:val="20"/>
                <w:u w:val="single"/>
              </w:rPr>
              <w:fldChar w:fldCharType="separate"/>
            </w:r>
            <w:r>
              <w:rPr>
                <w:rFonts w:ascii="Times New Roman" w:eastAsia="Times New Roman" w:hAnsi="Times New Roman" w:cs="Times New Roman"/>
                <w:b w:val="0"/>
                <w:i w:val="0"/>
                <w:color w:val="0000FF"/>
                <w:sz w:val="20"/>
                <w:u w:val="single"/>
              </w:rPr>
              <w:t>19</w:t>
            </w:r>
            <w:r>
              <w:rPr>
                <w:rFonts w:ascii="Times New Roman" w:eastAsia="Times New Roman" w:hAnsi="Times New Roman" w:cs="Times New Roman"/>
                <w:b w:val="0"/>
                <w:i w:val="0"/>
                <w:color w:val="0000FF"/>
                <w:sz w:val="20"/>
                <w:u w:val="single"/>
              </w:rPr>
              <w:fldChar w:fldCharType="end"/>
            </w:r>
          </w:p>
        </w:tc>
      </w:tr>
      <w:tr>
        <w:tblPrEx>
          <w:tblW w:w="10245" w:type="dxa"/>
          <w:tblInd w:w="0" w:type="dxa"/>
          <w:tblLayout w:type="fixed"/>
        </w:tblPrEx>
        <w:trPr>
          <w:trHeight w:hRule="exact" w:val="285"/>
        </w:trPr>
        <w:tc>
          <w:tcPr>
            <w:tcW w:w="960" w:type="dxa"/>
            <w:tcBorders>
              <w:top w:val="nil"/>
              <w:left w:val="nil"/>
              <w:bottom w:val="nil"/>
              <w:right w:val="nil"/>
            </w:tcBorders>
            <w:tcMar>
              <w:top w:w="0" w:type="dxa"/>
              <w:left w:w="53" w:type="dxa"/>
              <w:bottom w:w="0" w:type="dxa"/>
              <w:right w:w="53" w:type="dxa"/>
            </w:tcMar>
            <w:vAlign w:val="top"/>
          </w:tcPr>
          <w:p>
            <w:pPr>
              <w:keepNext/>
              <w:pageBreakBefore w:val="0"/>
              <w:spacing w:before="53" w:after="30" w:line="240" w:lineRule="auto"/>
              <w:jc w:val="both"/>
            </w:pPr>
            <w:r>
              <w:rPr>
                <w:rFonts w:ascii="Times New Roman" w:eastAsia="Times New Roman" w:hAnsi="Times New Roman" w:cs="Times New Roman"/>
                <w:b/>
                <w:i w:val="0"/>
                <w:color w:val="000000"/>
                <w:sz w:val="20"/>
                <w:u w:val="none"/>
              </w:rPr>
              <w:t xml:space="preserve">Item 3. </w:t>
            </w:r>
          </w:p>
        </w:tc>
        <w:tc>
          <w:tcPr>
            <w:tcW w:w="8340" w:type="dxa"/>
            <w:tcBorders>
              <w:top w:val="nil"/>
              <w:left w:val="nil"/>
              <w:bottom w:val="nil"/>
              <w:right w:val="nil"/>
            </w:tcBorders>
            <w:tcMar>
              <w:top w:w="0" w:type="dxa"/>
              <w:left w:w="53" w:type="dxa"/>
              <w:bottom w:w="0" w:type="dxa"/>
              <w:right w:w="53" w:type="dxa"/>
            </w:tcMar>
            <w:vAlign w:val="top"/>
          </w:tcPr>
          <w:p>
            <w:pPr>
              <w:pStyle w:val="Normal-wk"/>
              <w:keepNext/>
              <w:pageBreakBefore w:val="0"/>
              <w:numPr>
                <w:ilvl w:val="0"/>
                <w:numId w:val="0"/>
              </w:numPr>
              <w:spacing w:before="53" w:after="30" w:line="240" w:lineRule="auto"/>
              <w:ind w:left="0" w:right="0" w:firstLine="0"/>
              <w:jc w:val="both"/>
              <w:outlineLvl w:val="9"/>
              <w:rPr>
                <w:rFonts w:ascii="Times New Roman" w:eastAsia="Times New Roman" w:hAnsi="Times New Roman" w:cs="Times New Roman"/>
                <w:b/>
                <w:i w:val="0"/>
                <w:sz w:val="20"/>
                <w:shd w:val="clear" w:color="auto" w:fill="auto"/>
              </w:rPr>
            </w:pPr>
            <w:hyperlink w:anchor="Section27" w:history="1">
              <w:r>
                <w:rPr>
                  <w:rFonts w:ascii="Times New Roman" w:eastAsia="Times New Roman" w:hAnsi="Times New Roman" w:cs="Times New Roman"/>
                  <w:b/>
                  <w:i w:val="0"/>
                  <w:color w:val="0000FF"/>
                  <w:sz w:val="20"/>
                  <w:u w:val="single"/>
                  <w:shd w:val="clear" w:color="auto" w:fill="auto"/>
                </w:rPr>
                <w:t>Quantitative and Qualitative Disclosures About Market Risk</w:t>
              </w:r>
            </w:hyperlink>
          </w:p>
        </w:tc>
        <w:tc>
          <w:tcPr>
            <w:tcW w:w="945" w:type="dxa"/>
            <w:tcBorders>
              <w:top w:val="nil"/>
              <w:left w:val="nil"/>
              <w:bottom w:val="nil"/>
              <w:right w:val="nil"/>
            </w:tcBorders>
            <w:shd w:val="clear" w:color="auto" w:fill="FFFFFF"/>
            <w:tcMar>
              <w:top w:w="0" w:type="dxa"/>
              <w:left w:w="53" w:type="dxa"/>
              <w:bottom w:w="0" w:type="dxa"/>
              <w:right w:w="53" w:type="dxa"/>
            </w:tcMar>
            <w:vAlign w:val="top"/>
          </w:tcPr>
          <w:p>
            <w:pPr>
              <w:pStyle w:val="Normal-wk"/>
              <w:keepNext/>
              <w:pageBreakBefore w:val="0"/>
              <w:numPr>
                <w:ilvl w:val="0"/>
                <w:numId w:val="0"/>
              </w:numPr>
              <w:spacing w:before="53" w:after="30" w:line="240" w:lineRule="auto"/>
              <w:ind w:left="0" w:right="0" w:firstLine="0"/>
              <w:jc w:val="righ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color w:val="0000FF"/>
                <w:sz w:val="20"/>
                <w:u w:val="single"/>
              </w:rPr>
              <w:fldChar w:fldCharType="begin"/>
            </w:r>
            <w:r>
              <w:rPr>
                <w:rFonts w:ascii="Times New Roman" w:eastAsia="Times New Roman" w:hAnsi="Times New Roman" w:cs="Times New Roman"/>
                <w:b w:val="0"/>
                <w:i w:val="0"/>
                <w:color w:val="0000FF"/>
                <w:sz w:val="20"/>
                <w:u w:val="single"/>
              </w:rPr>
              <w:instrText xml:space="preserve"> PAGEREF </w:instrText>
            </w:r>
            <w:r>
              <w:rPr>
                <w:rFonts w:ascii="Times New Roman" w:eastAsia="Times New Roman" w:hAnsi="Times New Roman" w:cs="Times New Roman"/>
                <w:b w:val="0"/>
                <w:i w:val="0"/>
                <w:color w:val="0000FF"/>
                <w:sz w:val="20"/>
                <w:u w:val="single"/>
              </w:rPr>
              <w:instrText xml:space="preserve"> </w:instrText>
            </w:r>
            <w:r>
              <w:rPr>
                <w:rFonts w:ascii="Times New Roman" w:eastAsia="Times New Roman" w:hAnsi="Times New Roman" w:cs="Times New Roman"/>
                <w:b w:val="0"/>
                <w:i w:val="0"/>
                <w:color w:val="0000FF"/>
                <w:sz w:val="20"/>
                <w:u w:val="single"/>
              </w:rPr>
              <w:instrText>Section27</w:instrText>
            </w:r>
            <w:r>
              <w:rPr>
                <w:rFonts w:ascii="Times New Roman" w:eastAsia="Times New Roman" w:hAnsi="Times New Roman" w:cs="Times New Roman"/>
                <w:b w:val="0"/>
                <w:i w:val="0"/>
                <w:color w:val="0000FF"/>
                <w:sz w:val="20"/>
                <w:u w:val="single"/>
              </w:rPr>
              <w:instrText xml:space="preserve"> \h</w:instrText>
            </w:r>
            <w:r>
              <w:rPr>
                <w:rFonts w:ascii="Times New Roman" w:eastAsia="Times New Roman" w:hAnsi="Times New Roman" w:cs="Times New Roman"/>
                <w:b w:val="0"/>
                <w:i w:val="0"/>
                <w:color w:val="0000FF"/>
                <w:sz w:val="20"/>
                <w:u w:val="single"/>
              </w:rPr>
              <w:fldChar w:fldCharType="separate"/>
            </w:r>
            <w:r>
              <w:rPr>
                <w:rFonts w:ascii="Times New Roman" w:eastAsia="Times New Roman" w:hAnsi="Times New Roman" w:cs="Times New Roman"/>
                <w:b w:val="0"/>
                <w:i w:val="0"/>
                <w:color w:val="0000FF"/>
                <w:sz w:val="20"/>
                <w:u w:val="single"/>
              </w:rPr>
              <w:t>26</w:t>
            </w:r>
            <w:r>
              <w:rPr>
                <w:rFonts w:ascii="Times New Roman" w:eastAsia="Times New Roman" w:hAnsi="Times New Roman" w:cs="Times New Roman"/>
                <w:b w:val="0"/>
                <w:i w:val="0"/>
                <w:color w:val="0000FF"/>
                <w:sz w:val="20"/>
                <w:u w:val="single"/>
              </w:rPr>
              <w:fldChar w:fldCharType="end"/>
            </w:r>
          </w:p>
        </w:tc>
      </w:tr>
      <w:tr>
        <w:tblPrEx>
          <w:tblW w:w="10245" w:type="dxa"/>
          <w:tblInd w:w="0" w:type="dxa"/>
          <w:tblLayout w:type="fixed"/>
        </w:tblPrEx>
        <w:trPr>
          <w:trHeight w:hRule="exact" w:val="285"/>
        </w:trPr>
        <w:tc>
          <w:tcPr>
            <w:tcW w:w="960" w:type="dxa"/>
            <w:tcBorders>
              <w:top w:val="nil"/>
              <w:left w:val="nil"/>
              <w:bottom w:val="nil"/>
              <w:right w:val="nil"/>
            </w:tcBorders>
            <w:tcMar>
              <w:top w:w="0" w:type="dxa"/>
              <w:left w:w="53" w:type="dxa"/>
              <w:bottom w:w="0" w:type="dxa"/>
              <w:right w:w="53" w:type="dxa"/>
            </w:tcMar>
            <w:vAlign w:val="top"/>
          </w:tcPr>
          <w:p>
            <w:pPr>
              <w:keepNext/>
              <w:pageBreakBefore w:val="0"/>
              <w:spacing w:before="53" w:after="30" w:line="240" w:lineRule="auto"/>
              <w:jc w:val="both"/>
            </w:pPr>
            <w:r>
              <w:rPr>
                <w:rFonts w:ascii="Times New Roman" w:eastAsia="Times New Roman" w:hAnsi="Times New Roman" w:cs="Times New Roman"/>
                <w:b/>
                <w:i w:val="0"/>
                <w:color w:val="000000"/>
                <w:sz w:val="20"/>
                <w:u w:val="none"/>
              </w:rPr>
              <w:t>Item 4.</w:t>
            </w:r>
          </w:p>
        </w:tc>
        <w:tc>
          <w:tcPr>
            <w:tcW w:w="8340" w:type="dxa"/>
            <w:tcBorders>
              <w:top w:val="nil"/>
              <w:left w:val="nil"/>
              <w:bottom w:val="nil"/>
              <w:right w:val="nil"/>
            </w:tcBorders>
            <w:tcMar>
              <w:top w:w="0" w:type="dxa"/>
              <w:left w:w="53" w:type="dxa"/>
              <w:bottom w:w="0" w:type="dxa"/>
              <w:right w:w="53" w:type="dxa"/>
            </w:tcMar>
            <w:vAlign w:val="top"/>
          </w:tcPr>
          <w:p>
            <w:pPr>
              <w:pStyle w:val="Normal-wk"/>
              <w:keepNext/>
              <w:pageBreakBefore w:val="0"/>
              <w:numPr>
                <w:ilvl w:val="0"/>
                <w:numId w:val="0"/>
              </w:numPr>
              <w:spacing w:before="53" w:after="30" w:line="240" w:lineRule="auto"/>
              <w:ind w:left="0" w:right="0" w:firstLine="0"/>
              <w:jc w:val="both"/>
              <w:outlineLvl w:val="9"/>
              <w:rPr>
                <w:rFonts w:ascii="Times New Roman" w:eastAsia="Times New Roman" w:hAnsi="Times New Roman" w:cs="Times New Roman"/>
                <w:b/>
                <w:i w:val="0"/>
                <w:sz w:val="20"/>
                <w:shd w:val="clear" w:color="auto" w:fill="auto"/>
              </w:rPr>
            </w:pPr>
            <w:hyperlink w:anchor="Section28" w:history="1">
              <w:r>
                <w:rPr>
                  <w:rFonts w:ascii="Times New Roman" w:eastAsia="Times New Roman" w:hAnsi="Times New Roman" w:cs="Times New Roman"/>
                  <w:b/>
                  <w:i w:val="0"/>
                  <w:color w:val="0000FF"/>
                  <w:sz w:val="20"/>
                  <w:u w:val="single"/>
                  <w:shd w:val="clear" w:color="auto" w:fill="auto"/>
                </w:rPr>
                <w:t>Controls and Procedures</w:t>
              </w:r>
            </w:hyperlink>
          </w:p>
        </w:tc>
        <w:tc>
          <w:tcPr>
            <w:tcW w:w="945" w:type="dxa"/>
            <w:tcBorders>
              <w:top w:val="nil"/>
              <w:left w:val="nil"/>
              <w:bottom w:val="nil"/>
              <w:right w:val="nil"/>
            </w:tcBorders>
            <w:shd w:val="clear" w:color="auto" w:fill="FFFFFF"/>
            <w:tcMar>
              <w:top w:w="0" w:type="dxa"/>
              <w:left w:w="53" w:type="dxa"/>
              <w:bottom w:w="0" w:type="dxa"/>
              <w:right w:w="53" w:type="dxa"/>
            </w:tcMar>
            <w:vAlign w:val="top"/>
          </w:tcPr>
          <w:p>
            <w:pPr>
              <w:pStyle w:val="Normal-wk"/>
              <w:keepNext/>
              <w:pageBreakBefore w:val="0"/>
              <w:numPr>
                <w:ilvl w:val="0"/>
                <w:numId w:val="0"/>
              </w:numPr>
              <w:spacing w:before="53" w:after="30" w:line="240" w:lineRule="auto"/>
              <w:ind w:left="0" w:right="0" w:firstLine="0"/>
              <w:jc w:val="righ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color w:val="0000FF"/>
                <w:sz w:val="20"/>
                <w:u w:val="single"/>
              </w:rPr>
              <w:fldChar w:fldCharType="begin"/>
            </w:r>
            <w:r>
              <w:rPr>
                <w:rFonts w:ascii="Times New Roman" w:eastAsia="Times New Roman" w:hAnsi="Times New Roman" w:cs="Times New Roman"/>
                <w:b w:val="0"/>
                <w:i w:val="0"/>
                <w:color w:val="0000FF"/>
                <w:sz w:val="20"/>
                <w:u w:val="single"/>
              </w:rPr>
              <w:instrText xml:space="preserve"> PAGEREF </w:instrText>
            </w:r>
            <w:r>
              <w:rPr>
                <w:rFonts w:ascii="Times New Roman" w:eastAsia="Times New Roman" w:hAnsi="Times New Roman" w:cs="Times New Roman"/>
                <w:b w:val="0"/>
                <w:i w:val="0"/>
                <w:color w:val="0000FF"/>
                <w:sz w:val="20"/>
                <w:u w:val="single"/>
              </w:rPr>
              <w:instrText xml:space="preserve"> </w:instrText>
            </w:r>
            <w:r>
              <w:rPr>
                <w:rFonts w:ascii="Times New Roman" w:eastAsia="Times New Roman" w:hAnsi="Times New Roman" w:cs="Times New Roman"/>
                <w:b w:val="0"/>
                <w:i w:val="0"/>
                <w:color w:val="0000FF"/>
                <w:sz w:val="20"/>
                <w:u w:val="single"/>
              </w:rPr>
              <w:instrText>Section28</w:instrText>
            </w:r>
            <w:r>
              <w:rPr>
                <w:rFonts w:ascii="Times New Roman" w:eastAsia="Times New Roman" w:hAnsi="Times New Roman" w:cs="Times New Roman"/>
                <w:b w:val="0"/>
                <w:i w:val="0"/>
                <w:color w:val="0000FF"/>
                <w:sz w:val="20"/>
                <w:u w:val="single"/>
              </w:rPr>
              <w:instrText xml:space="preserve"> \h</w:instrText>
            </w:r>
            <w:r>
              <w:rPr>
                <w:rFonts w:ascii="Times New Roman" w:eastAsia="Times New Roman" w:hAnsi="Times New Roman" w:cs="Times New Roman"/>
                <w:b w:val="0"/>
                <w:i w:val="0"/>
                <w:color w:val="0000FF"/>
                <w:sz w:val="20"/>
                <w:u w:val="single"/>
              </w:rPr>
              <w:fldChar w:fldCharType="separate"/>
            </w:r>
            <w:r>
              <w:rPr>
                <w:rFonts w:ascii="Times New Roman" w:eastAsia="Times New Roman" w:hAnsi="Times New Roman" w:cs="Times New Roman"/>
                <w:b w:val="0"/>
                <w:i w:val="0"/>
                <w:color w:val="0000FF"/>
                <w:sz w:val="20"/>
                <w:u w:val="single"/>
              </w:rPr>
              <w:t>26</w:t>
            </w:r>
            <w:r>
              <w:rPr>
                <w:rFonts w:ascii="Times New Roman" w:eastAsia="Times New Roman" w:hAnsi="Times New Roman" w:cs="Times New Roman"/>
                <w:b w:val="0"/>
                <w:i w:val="0"/>
                <w:color w:val="0000FF"/>
                <w:sz w:val="20"/>
                <w:u w:val="single"/>
              </w:rPr>
              <w:fldChar w:fldCharType="end"/>
            </w:r>
          </w:p>
        </w:tc>
      </w:tr>
      <w:tr>
        <w:tblPrEx>
          <w:tblW w:w="10245" w:type="dxa"/>
          <w:tblInd w:w="0" w:type="dxa"/>
          <w:tblLayout w:type="fixed"/>
        </w:tblPrEx>
        <w:trPr>
          <w:trHeight w:hRule="exact" w:val="285"/>
        </w:trPr>
        <w:tc>
          <w:tcPr>
            <w:tcW w:w="96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834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94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r>
      <w:tr>
        <w:tblPrEx>
          <w:tblW w:w="10245" w:type="dxa"/>
          <w:tblInd w:w="0" w:type="dxa"/>
          <w:tblLayout w:type="fixed"/>
        </w:tblPrEx>
        <w:trPr>
          <w:trHeight w:hRule="exact" w:val="285"/>
        </w:trPr>
        <w:tc>
          <w:tcPr>
            <w:tcW w:w="10245" w:type="dxa"/>
            <w:gridSpan w:val="3"/>
            <w:tcBorders>
              <w:top w:val="nil"/>
              <w:left w:val="nil"/>
              <w:bottom w:val="nil"/>
              <w:right w:val="nil"/>
            </w:tcBorders>
            <w:shd w:val="clear" w:color="auto" w:fill="FFFFFF"/>
            <w:tcMar>
              <w:top w:w="0" w:type="dxa"/>
              <w:left w:w="53" w:type="dxa"/>
              <w:bottom w:w="0" w:type="dxa"/>
              <w:right w:w="53" w:type="dxa"/>
            </w:tcMar>
            <w:vAlign w:val="top"/>
          </w:tcPr>
          <w:p>
            <w:pPr>
              <w:pStyle w:val="Normal-wk"/>
              <w:keepNext/>
              <w:pageBreakBefore w:val="0"/>
              <w:numPr>
                <w:ilvl w:val="0"/>
                <w:numId w:val="0"/>
              </w:numPr>
              <w:spacing w:before="53" w:after="30" w:line="240" w:lineRule="auto"/>
              <w:ind w:left="0" w:right="0" w:firstLine="0"/>
              <w:jc w:val="both"/>
              <w:outlineLvl w:val="9"/>
              <w:rPr>
                <w:rFonts w:ascii="Times New Roman" w:eastAsia="Times New Roman" w:hAnsi="Times New Roman" w:cs="Times New Roman"/>
                <w:b/>
                <w:i w:val="0"/>
                <w:sz w:val="20"/>
                <w:shd w:val="clear" w:color="auto" w:fill="auto"/>
              </w:rPr>
            </w:pPr>
            <w:hyperlink w:anchor="Section29" w:history="1">
              <w:r>
                <w:rPr>
                  <w:rFonts w:ascii="Times New Roman" w:eastAsia="Times New Roman" w:hAnsi="Times New Roman" w:cs="Times New Roman"/>
                  <w:b/>
                  <w:i w:val="0"/>
                  <w:color w:val="000000"/>
                  <w:sz w:val="20"/>
                  <w:u w:val="none"/>
                  <w:shd w:val="clear" w:color="auto" w:fill="auto"/>
                </w:rPr>
                <w:t>PART II - OTHER INFORMATION</w:t>
              </w:r>
            </w:hyperlink>
          </w:p>
        </w:tc>
      </w:tr>
      <w:tr>
        <w:tblPrEx>
          <w:tblW w:w="10245" w:type="dxa"/>
          <w:tblInd w:w="0" w:type="dxa"/>
          <w:tblLayout w:type="fixed"/>
        </w:tblPrEx>
        <w:trPr>
          <w:trHeight w:hRule="exact" w:val="285"/>
        </w:trPr>
        <w:tc>
          <w:tcPr>
            <w:tcW w:w="96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834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94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r>
      <w:tr>
        <w:tblPrEx>
          <w:tblW w:w="10245" w:type="dxa"/>
          <w:tblInd w:w="0" w:type="dxa"/>
          <w:tblLayout w:type="fixed"/>
        </w:tblPrEx>
        <w:trPr>
          <w:trHeight w:hRule="exact" w:val="285"/>
        </w:trPr>
        <w:tc>
          <w:tcPr>
            <w:tcW w:w="960" w:type="dxa"/>
            <w:tcBorders>
              <w:top w:val="nil"/>
              <w:left w:val="nil"/>
              <w:bottom w:val="nil"/>
              <w:right w:val="nil"/>
            </w:tcBorders>
            <w:shd w:val="clear" w:color="auto" w:fill="FFFFFF"/>
            <w:tcMar>
              <w:top w:w="0" w:type="dxa"/>
              <w:left w:w="53" w:type="dxa"/>
              <w:bottom w:w="0" w:type="dxa"/>
              <w:right w:w="53" w:type="dxa"/>
            </w:tcMar>
            <w:vAlign w:val="top"/>
          </w:tcPr>
          <w:p>
            <w:pPr>
              <w:keepNext/>
              <w:pageBreakBefore w:val="0"/>
              <w:spacing w:before="53" w:after="30" w:line="240" w:lineRule="auto"/>
              <w:jc w:val="both"/>
            </w:pPr>
            <w:r>
              <w:rPr>
                <w:rFonts w:ascii="Times New Roman" w:eastAsia="Times New Roman" w:hAnsi="Times New Roman" w:cs="Times New Roman"/>
                <w:b/>
                <w:i w:val="0"/>
                <w:color w:val="000000"/>
                <w:sz w:val="20"/>
                <w:u w:val="none"/>
              </w:rPr>
              <w:t>Item 1.</w:t>
            </w:r>
          </w:p>
        </w:tc>
        <w:tc>
          <w:tcPr>
            <w:tcW w:w="8340" w:type="dxa"/>
            <w:tcBorders>
              <w:top w:val="nil"/>
              <w:left w:val="nil"/>
              <w:bottom w:val="nil"/>
              <w:right w:val="nil"/>
            </w:tcBorders>
            <w:shd w:val="clear" w:color="auto" w:fill="FFFFFF"/>
            <w:tcMar>
              <w:top w:w="0" w:type="dxa"/>
              <w:left w:w="53" w:type="dxa"/>
              <w:bottom w:w="0" w:type="dxa"/>
              <w:right w:w="53" w:type="dxa"/>
            </w:tcMar>
            <w:vAlign w:val="top"/>
          </w:tcPr>
          <w:p>
            <w:pPr>
              <w:pStyle w:val="Normal-wk"/>
              <w:keepNext/>
              <w:pageBreakBefore w:val="0"/>
              <w:numPr>
                <w:ilvl w:val="0"/>
                <w:numId w:val="0"/>
              </w:numPr>
              <w:spacing w:before="53" w:after="30" w:line="240" w:lineRule="auto"/>
              <w:ind w:left="0" w:right="0" w:firstLine="0"/>
              <w:jc w:val="both"/>
              <w:outlineLvl w:val="9"/>
              <w:rPr>
                <w:rFonts w:ascii="Times New Roman" w:eastAsia="Times New Roman" w:hAnsi="Times New Roman" w:cs="Times New Roman"/>
                <w:b/>
                <w:i w:val="0"/>
                <w:sz w:val="20"/>
                <w:shd w:val="clear" w:color="auto" w:fill="auto"/>
              </w:rPr>
            </w:pPr>
            <w:hyperlink w:anchor="Section30" w:history="1">
              <w:r>
                <w:rPr>
                  <w:rFonts w:ascii="Times New Roman" w:eastAsia="Times New Roman" w:hAnsi="Times New Roman" w:cs="Times New Roman"/>
                  <w:b/>
                  <w:i w:val="0"/>
                  <w:color w:val="0000FF"/>
                  <w:sz w:val="20"/>
                  <w:u w:val="single"/>
                  <w:shd w:val="clear" w:color="auto" w:fill="auto"/>
                </w:rPr>
                <w:t>Legal Proceedings</w:t>
              </w:r>
            </w:hyperlink>
          </w:p>
        </w:tc>
        <w:tc>
          <w:tcPr>
            <w:tcW w:w="945" w:type="dxa"/>
            <w:tcBorders>
              <w:top w:val="nil"/>
              <w:left w:val="nil"/>
              <w:bottom w:val="nil"/>
              <w:right w:val="nil"/>
            </w:tcBorders>
            <w:shd w:val="clear" w:color="auto" w:fill="FFFFFF"/>
            <w:tcMar>
              <w:top w:w="0" w:type="dxa"/>
              <w:left w:w="53" w:type="dxa"/>
              <w:bottom w:w="0" w:type="dxa"/>
              <w:right w:w="53" w:type="dxa"/>
            </w:tcMar>
            <w:vAlign w:val="top"/>
          </w:tcPr>
          <w:p>
            <w:pPr>
              <w:pStyle w:val="Normal-wk"/>
              <w:keepNext/>
              <w:pageBreakBefore w:val="0"/>
              <w:numPr>
                <w:ilvl w:val="0"/>
                <w:numId w:val="0"/>
              </w:numPr>
              <w:spacing w:before="53" w:after="30" w:line="240" w:lineRule="auto"/>
              <w:ind w:left="0" w:right="0" w:firstLine="0"/>
              <w:jc w:val="righ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color w:val="0000FF"/>
                <w:sz w:val="20"/>
                <w:u w:val="single"/>
              </w:rPr>
              <w:fldChar w:fldCharType="begin"/>
            </w:r>
            <w:r>
              <w:rPr>
                <w:rFonts w:ascii="Times New Roman" w:eastAsia="Times New Roman" w:hAnsi="Times New Roman" w:cs="Times New Roman"/>
                <w:b w:val="0"/>
                <w:i w:val="0"/>
                <w:color w:val="0000FF"/>
                <w:sz w:val="20"/>
                <w:u w:val="single"/>
              </w:rPr>
              <w:instrText xml:space="preserve"> PAGEREF </w:instrText>
            </w:r>
            <w:r>
              <w:rPr>
                <w:rFonts w:ascii="Times New Roman" w:eastAsia="Times New Roman" w:hAnsi="Times New Roman" w:cs="Times New Roman"/>
                <w:b w:val="0"/>
                <w:i w:val="0"/>
                <w:color w:val="0000FF"/>
                <w:sz w:val="20"/>
                <w:u w:val="single"/>
              </w:rPr>
              <w:instrText xml:space="preserve"> </w:instrText>
            </w:r>
            <w:r>
              <w:rPr>
                <w:rFonts w:ascii="Times New Roman" w:eastAsia="Times New Roman" w:hAnsi="Times New Roman" w:cs="Times New Roman"/>
                <w:b w:val="0"/>
                <w:i w:val="0"/>
                <w:color w:val="0000FF"/>
                <w:sz w:val="20"/>
                <w:u w:val="single"/>
              </w:rPr>
              <w:instrText>Section30</w:instrText>
            </w:r>
            <w:r>
              <w:rPr>
                <w:rFonts w:ascii="Times New Roman" w:eastAsia="Times New Roman" w:hAnsi="Times New Roman" w:cs="Times New Roman"/>
                <w:b w:val="0"/>
                <w:i w:val="0"/>
                <w:color w:val="0000FF"/>
                <w:sz w:val="20"/>
                <w:u w:val="single"/>
              </w:rPr>
              <w:instrText xml:space="preserve"> \h</w:instrText>
            </w:r>
            <w:r>
              <w:rPr>
                <w:rFonts w:ascii="Times New Roman" w:eastAsia="Times New Roman" w:hAnsi="Times New Roman" w:cs="Times New Roman"/>
                <w:b w:val="0"/>
                <w:i w:val="0"/>
                <w:color w:val="0000FF"/>
                <w:sz w:val="20"/>
                <w:u w:val="single"/>
              </w:rPr>
              <w:fldChar w:fldCharType="separate"/>
            </w:r>
            <w:r>
              <w:rPr>
                <w:rFonts w:ascii="Times New Roman" w:eastAsia="Times New Roman" w:hAnsi="Times New Roman" w:cs="Times New Roman"/>
                <w:b w:val="0"/>
                <w:i w:val="0"/>
                <w:color w:val="0000FF"/>
                <w:sz w:val="20"/>
                <w:u w:val="single"/>
              </w:rPr>
              <w:t>27</w:t>
            </w:r>
            <w:r>
              <w:rPr>
                <w:rFonts w:ascii="Times New Roman" w:eastAsia="Times New Roman" w:hAnsi="Times New Roman" w:cs="Times New Roman"/>
                <w:b w:val="0"/>
                <w:i w:val="0"/>
                <w:color w:val="0000FF"/>
                <w:sz w:val="20"/>
                <w:u w:val="single"/>
              </w:rPr>
              <w:fldChar w:fldCharType="end"/>
            </w:r>
          </w:p>
        </w:tc>
      </w:tr>
      <w:tr>
        <w:tblPrEx>
          <w:tblW w:w="10245" w:type="dxa"/>
          <w:tblInd w:w="0" w:type="dxa"/>
          <w:tblLayout w:type="fixed"/>
        </w:tblPrEx>
        <w:trPr>
          <w:trHeight w:hRule="exact" w:val="285"/>
        </w:trPr>
        <w:tc>
          <w:tcPr>
            <w:tcW w:w="960" w:type="dxa"/>
            <w:tcBorders>
              <w:top w:val="nil"/>
              <w:left w:val="nil"/>
              <w:bottom w:val="nil"/>
              <w:right w:val="nil"/>
            </w:tcBorders>
            <w:shd w:val="clear" w:color="auto" w:fill="FFFFFF"/>
            <w:tcMar>
              <w:top w:w="0" w:type="dxa"/>
              <w:left w:w="53" w:type="dxa"/>
              <w:bottom w:w="0" w:type="dxa"/>
              <w:right w:w="53" w:type="dxa"/>
            </w:tcMar>
            <w:vAlign w:val="top"/>
          </w:tcPr>
          <w:p>
            <w:pPr>
              <w:keepNext/>
              <w:pageBreakBefore w:val="0"/>
              <w:spacing w:before="53" w:after="30" w:line="240" w:lineRule="auto"/>
              <w:jc w:val="both"/>
            </w:pPr>
            <w:r>
              <w:rPr>
                <w:rFonts w:ascii="Times New Roman" w:eastAsia="Times New Roman" w:hAnsi="Times New Roman" w:cs="Times New Roman"/>
                <w:b/>
                <w:i w:val="0"/>
                <w:color w:val="000000"/>
                <w:sz w:val="20"/>
                <w:u w:val="none"/>
              </w:rPr>
              <w:t>Item 1A.</w:t>
            </w:r>
          </w:p>
        </w:tc>
        <w:tc>
          <w:tcPr>
            <w:tcW w:w="8340" w:type="dxa"/>
            <w:tcBorders>
              <w:top w:val="nil"/>
              <w:left w:val="nil"/>
              <w:bottom w:val="nil"/>
              <w:right w:val="nil"/>
            </w:tcBorders>
            <w:shd w:val="clear" w:color="auto" w:fill="FFFFFF"/>
            <w:tcMar>
              <w:top w:w="0" w:type="dxa"/>
              <w:left w:w="53" w:type="dxa"/>
              <w:bottom w:w="0" w:type="dxa"/>
              <w:right w:w="53" w:type="dxa"/>
            </w:tcMar>
            <w:vAlign w:val="top"/>
          </w:tcPr>
          <w:p>
            <w:pPr>
              <w:pStyle w:val="Normal-wk"/>
              <w:keepNext/>
              <w:pageBreakBefore w:val="0"/>
              <w:numPr>
                <w:ilvl w:val="0"/>
                <w:numId w:val="0"/>
              </w:numPr>
              <w:spacing w:before="53" w:after="30" w:line="240" w:lineRule="auto"/>
              <w:ind w:left="0" w:right="0" w:firstLine="0"/>
              <w:jc w:val="both"/>
              <w:outlineLvl w:val="9"/>
              <w:rPr>
                <w:rFonts w:ascii="Times New Roman" w:eastAsia="Times New Roman" w:hAnsi="Times New Roman" w:cs="Times New Roman"/>
                <w:b/>
                <w:i w:val="0"/>
                <w:sz w:val="20"/>
                <w:shd w:val="clear" w:color="auto" w:fill="auto"/>
              </w:rPr>
            </w:pPr>
            <w:hyperlink w:anchor="Section31" w:history="1">
              <w:r>
                <w:rPr>
                  <w:rFonts w:ascii="Times New Roman" w:eastAsia="Times New Roman" w:hAnsi="Times New Roman" w:cs="Times New Roman"/>
                  <w:b/>
                  <w:i w:val="0"/>
                  <w:color w:val="0000FF"/>
                  <w:sz w:val="20"/>
                  <w:u w:val="single"/>
                  <w:shd w:val="clear" w:color="auto" w:fill="auto"/>
                </w:rPr>
                <w:t>Risk Factors</w:t>
              </w:r>
            </w:hyperlink>
          </w:p>
        </w:tc>
        <w:tc>
          <w:tcPr>
            <w:tcW w:w="945" w:type="dxa"/>
            <w:tcBorders>
              <w:top w:val="nil"/>
              <w:left w:val="nil"/>
              <w:bottom w:val="nil"/>
              <w:right w:val="nil"/>
            </w:tcBorders>
            <w:shd w:val="clear" w:color="auto" w:fill="FFFFFF"/>
            <w:tcMar>
              <w:top w:w="0" w:type="dxa"/>
              <w:left w:w="53" w:type="dxa"/>
              <w:bottom w:w="0" w:type="dxa"/>
              <w:right w:w="53" w:type="dxa"/>
            </w:tcMar>
            <w:vAlign w:val="top"/>
          </w:tcPr>
          <w:p>
            <w:pPr>
              <w:pStyle w:val="Normal-wk"/>
              <w:keepNext/>
              <w:pageBreakBefore w:val="0"/>
              <w:numPr>
                <w:ilvl w:val="0"/>
                <w:numId w:val="0"/>
              </w:numPr>
              <w:spacing w:before="53" w:after="30" w:line="240" w:lineRule="auto"/>
              <w:ind w:left="0" w:right="0" w:firstLine="0"/>
              <w:jc w:val="righ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color w:val="0000FF"/>
                <w:sz w:val="20"/>
                <w:u w:val="single"/>
              </w:rPr>
              <w:fldChar w:fldCharType="begin"/>
            </w:r>
            <w:r>
              <w:rPr>
                <w:rFonts w:ascii="Times New Roman" w:eastAsia="Times New Roman" w:hAnsi="Times New Roman" w:cs="Times New Roman"/>
                <w:b w:val="0"/>
                <w:i w:val="0"/>
                <w:color w:val="0000FF"/>
                <w:sz w:val="20"/>
                <w:u w:val="single"/>
              </w:rPr>
              <w:instrText xml:space="preserve"> PAGEREF </w:instrText>
            </w:r>
            <w:r>
              <w:rPr>
                <w:rFonts w:ascii="Times New Roman" w:eastAsia="Times New Roman" w:hAnsi="Times New Roman" w:cs="Times New Roman"/>
                <w:b w:val="0"/>
                <w:i w:val="0"/>
                <w:color w:val="0000FF"/>
                <w:sz w:val="20"/>
                <w:u w:val="single"/>
              </w:rPr>
              <w:instrText xml:space="preserve"> </w:instrText>
            </w:r>
            <w:r>
              <w:rPr>
                <w:rFonts w:ascii="Times New Roman" w:eastAsia="Times New Roman" w:hAnsi="Times New Roman" w:cs="Times New Roman"/>
                <w:b w:val="0"/>
                <w:i w:val="0"/>
                <w:color w:val="0000FF"/>
                <w:sz w:val="20"/>
                <w:u w:val="single"/>
              </w:rPr>
              <w:instrText>Section31</w:instrText>
            </w:r>
            <w:r>
              <w:rPr>
                <w:rFonts w:ascii="Times New Roman" w:eastAsia="Times New Roman" w:hAnsi="Times New Roman" w:cs="Times New Roman"/>
                <w:b w:val="0"/>
                <w:i w:val="0"/>
                <w:color w:val="0000FF"/>
                <w:sz w:val="20"/>
                <w:u w:val="single"/>
              </w:rPr>
              <w:instrText xml:space="preserve"> \h</w:instrText>
            </w:r>
            <w:r>
              <w:rPr>
                <w:rFonts w:ascii="Times New Roman" w:eastAsia="Times New Roman" w:hAnsi="Times New Roman" w:cs="Times New Roman"/>
                <w:b w:val="0"/>
                <w:i w:val="0"/>
                <w:color w:val="0000FF"/>
                <w:sz w:val="20"/>
                <w:u w:val="single"/>
              </w:rPr>
              <w:fldChar w:fldCharType="separate"/>
            </w:r>
            <w:r>
              <w:rPr>
                <w:rFonts w:ascii="Times New Roman" w:eastAsia="Times New Roman" w:hAnsi="Times New Roman" w:cs="Times New Roman"/>
                <w:b w:val="0"/>
                <w:i w:val="0"/>
                <w:color w:val="0000FF"/>
                <w:sz w:val="20"/>
                <w:u w:val="single"/>
              </w:rPr>
              <w:t>27</w:t>
            </w:r>
            <w:r>
              <w:rPr>
                <w:rFonts w:ascii="Times New Roman" w:eastAsia="Times New Roman" w:hAnsi="Times New Roman" w:cs="Times New Roman"/>
                <w:b w:val="0"/>
                <w:i w:val="0"/>
                <w:color w:val="0000FF"/>
                <w:sz w:val="20"/>
                <w:u w:val="single"/>
              </w:rPr>
              <w:fldChar w:fldCharType="end"/>
            </w:r>
          </w:p>
        </w:tc>
      </w:tr>
      <w:tr>
        <w:tblPrEx>
          <w:tblW w:w="10245" w:type="dxa"/>
          <w:tblInd w:w="0" w:type="dxa"/>
          <w:tblLayout w:type="fixed"/>
        </w:tblPrEx>
        <w:trPr>
          <w:trHeight w:hRule="exact" w:val="465"/>
        </w:trPr>
        <w:tc>
          <w:tcPr>
            <w:tcW w:w="960" w:type="dxa"/>
            <w:tcBorders>
              <w:top w:val="nil"/>
              <w:left w:val="nil"/>
              <w:bottom w:val="nil"/>
              <w:right w:val="nil"/>
            </w:tcBorders>
            <w:shd w:val="clear" w:color="auto" w:fill="FFFFFF"/>
            <w:tcMar>
              <w:top w:w="0" w:type="dxa"/>
              <w:left w:w="53" w:type="dxa"/>
              <w:bottom w:w="0" w:type="dxa"/>
              <w:right w:w="53" w:type="dxa"/>
            </w:tcMar>
            <w:vAlign w:val="top"/>
          </w:tcPr>
          <w:p>
            <w:pPr>
              <w:keepNext/>
              <w:pageBreakBefore w:val="0"/>
              <w:spacing w:before="53" w:after="30" w:line="240" w:lineRule="auto"/>
              <w:jc w:val="both"/>
            </w:pPr>
            <w:r>
              <w:rPr>
                <w:rFonts w:ascii="Times New Roman" w:eastAsia="Times New Roman" w:hAnsi="Times New Roman" w:cs="Times New Roman"/>
                <w:b/>
                <w:i w:val="0"/>
                <w:color w:val="000000"/>
                <w:sz w:val="20"/>
                <w:u w:val="none"/>
              </w:rPr>
              <w:t>Item 2.</w:t>
            </w:r>
          </w:p>
        </w:tc>
        <w:tc>
          <w:tcPr>
            <w:tcW w:w="8340" w:type="dxa"/>
            <w:tcBorders>
              <w:top w:val="nil"/>
              <w:left w:val="nil"/>
              <w:bottom w:val="nil"/>
              <w:right w:val="nil"/>
            </w:tcBorders>
            <w:shd w:val="clear" w:color="auto" w:fill="FFFFFF"/>
            <w:tcMar>
              <w:top w:w="0" w:type="dxa"/>
              <w:left w:w="53" w:type="dxa"/>
              <w:bottom w:w="0" w:type="dxa"/>
              <w:right w:w="53" w:type="dxa"/>
            </w:tcMar>
            <w:vAlign w:val="top"/>
          </w:tcPr>
          <w:p>
            <w:pPr>
              <w:pStyle w:val="Normal-wk"/>
              <w:keepNext/>
              <w:pageBreakBefore w:val="0"/>
              <w:numPr>
                <w:ilvl w:val="0"/>
                <w:numId w:val="0"/>
              </w:numPr>
              <w:spacing w:before="53" w:after="30" w:line="240" w:lineRule="auto"/>
              <w:ind w:left="0" w:right="0" w:firstLine="0"/>
              <w:jc w:val="both"/>
              <w:outlineLvl w:val="9"/>
              <w:rPr>
                <w:rFonts w:ascii="Times New Roman" w:eastAsia="Times New Roman" w:hAnsi="Times New Roman" w:cs="Times New Roman"/>
                <w:b/>
                <w:i w:val="0"/>
                <w:sz w:val="20"/>
                <w:shd w:val="clear" w:color="auto" w:fill="auto"/>
              </w:rPr>
            </w:pPr>
            <w:hyperlink w:anchor="Section32" w:history="1">
              <w:r>
                <w:rPr>
                  <w:rFonts w:ascii="Times New Roman" w:eastAsia="Times New Roman" w:hAnsi="Times New Roman" w:cs="Times New Roman"/>
                  <w:b/>
                  <w:i w:val="0"/>
                  <w:color w:val="0000FF"/>
                  <w:sz w:val="20"/>
                  <w:u w:val="single"/>
                  <w:shd w:val="clear" w:color="auto" w:fill="auto"/>
                </w:rPr>
                <w:t>Unregistered Sales of Equity Securities and Use of Proceeds</w:t>
              </w:r>
            </w:hyperlink>
          </w:p>
        </w:tc>
        <w:tc>
          <w:tcPr>
            <w:tcW w:w="945" w:type="dxa"/>
            <w:tcBorders>
              <w:top w:val="nil"/>
              <w:left w:val="nil"/>
              <w:bottom w:val="nil"/>
              <w:right w:val="nil"/>
            </w:tcBorders>
            <w:shd w:val="clear" w:color="auto" w:fill="FFFFFF"/>
            <w:tcMar>
              <w:top w:w="0" w:type="dxa"/>
              <w:left w:w="53" w:type="dxa"/>
              <w:bottom w:w="0" w:type="dxa"/>
              <w:right w:w="53" w:type="dxa"/>
            </w:tcMar>
            <w:vAlign w:val="top"/>
          </w:tcPr>
          <w:p>
            <w:pPr>
              <w:pStyle w:val="Normal-wk"/>
              <w:keepNext/>
              <w:pageBreakBefore w:val="0"/>
              <w:numPr>
                <w:ilvl w:val="0"/>
                <w:numId w:val="0"/>
              </w:numPr>
              <w:spacing w:before="53" w:after="30" w:line="240" w:lineRule="auto"/>
              <w:ind w:left="0" w:right="0" w:firstLine="0"/>
              <w:jc w:val="righ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color w:val="0000FF"/>
                <w:sz w:val="20"/>
                <w:u w:val="single"/>
              </w:rPr>
              <w:fldChar w:fldCharType="begin"/>
            </w:r>
            <w:r>
              <w:rPr>
                <w:rFonts w:ascii="Times New Roman" w:eastAsia="Times New Roman" w:hAnsi="Times New Roman" w:cs="Times New Roman"/>
                <w:b w:val="0"/>
                <w:i w:val="0"/>
                <w:color w:val="0000FF"/>
                <w:sz w:val="20"/>
                <w:u w:val="single"/>
              </w:rPr>
              <w:instrText xml:space="preserve"> PAGEREF </w:instrText>
            </w:r>
            <w:r>
              <w:rPr>
                <w:rFonts w:ascii="Times New Roman" w:eastAsia="Times New Roman" w:hAnsi="Times New Roman" w:cs="Times New Roman"/>
                <w:b w:val="0"/>
                <w:i w:val="0"/>
                <w:color w:val="0000FF"/>
                <w:sz w:val="20"/>
                <w:u w:val="single"/>
              </w:rPr>
              <w:instrText xml:space="preserve"> </w:instrText>
            </w:r>
            <w:r>
              <w:rPr>
                <w:rFonts w:ascii="Times New Roman" w:eastAsia="Times New Roman" w:hAnsi="Times New Roman" w:cs="Times New Roman"/>
                <w:b w:val="0"/>
                <w:i w:val="0"/>
                <w:color w:val="0000FF"/>
                <w:sz w:val="20"/>
                <w:u w:val="single"/>
              </w:rPr>
              <w:instrText>Section32</w:instrText>
            </w:r>
            <w:r>
              <w:rPr>
                <w:rFonts w:ascii="Times New Roman" w:eastAsia="Times New Roman" w:hAnsi="Times New Roman" w:cs="Times New Roman"/>
                <w:b w:val="0"/>
                <w:i w:val="0"/>
                <w:color w:val="0000FF"/>
                <w:sz w:val="20"/>
                <w:u w:val="single"/>
              </w:rPr>
              <w:instrText xml:space="preserve"> \h</w:instrText>
            </w:r>
            <w:r>
              <w:rPr>
                <w:rFonts w:ascii="Times New Roman" w:eastAsia="Times New Roman" w:hAnsi="Times New Roman" w:cs="Times New Roman"/>
                <w:b w:val="0"/>
                <w:i w:val="0"/>
                <w:color w:val="0000FF"/>
                <w:sz w:val="20"/>
                <w:u w:val="single"/>
              </w:rPr>
              <w:fldChar w:fldCharType="separate"/>
            </w:r>
            <w:r>
              <w:rPr>
                <w:rFonts w:ascii="Times New Roman" w:eastAsia="Times New Roman" w:hAnsi="Times New Roman" w:cs="Times New Roman"/>
                <w:b w:val="0"/>
                <w:i w:val="0"/>
                <w:color w:val="0000FF"/>
                <w:sz w:val="20"/>
                <w:u w:val="single"/>
              </w:rPr>
              <w:t>27</w:t>
            </w:r>
            <w:r>
              <w:rPr>
                <w:rFonts w:ascii="Times New Roman" w:eastAsia="Times New Roman" w:hAnsi="Times New Roman" w:cs="Times New Roman"/>
                <w:b w:val="0"/>
                <w:i w:val="0"/>
                <w:color w:val="0000FF"/>
                <w:sz w:val="20"/>
                <w:u w:val="single"/>
              </w:rPr>
              <w:fldChar w:fldCharType="end"/>
            </w:r>
          </w:p>
        </w:tc>
      </w:tr>
      <w:tr>
        <w:tblPrEx>
          <w:tblW w:w="10245" w:type="dxa"/>
          <w:tblInd w:w="0" w:type="dxa"/>
          <w:tblLayout w:type="fixed"/>
        </w:tblPrEx>
        <w:trPr>
          <w:trHeight w:hRule="exact" w:val="285"/>
        </w:trPr>
        <w:tc>
          <w:tcPr>
            <w:tcW w:w="960" w:type="dxa"/>
            <w:tcBorders>
              <w:top w:val="nil"/>
              <w:left w:val="nil"/>
              <w:bottom w:val="nil"/>
              <w:right w:val="nil"/>
            </w:tcBorders>
            <w:shd w:val="clear" w:color="auto" w:fill="FFFFFF"/>
            <w:tcMar>
              <w:top w:w="0" w:type="dxa"/>
              <w:left w:w="53" w:type="dxa"/>
              <w:bottom w:w="0" w:type="dxa"/>
              <w:right w:w="53" w:type="dxa"/>
            </w:tcMar>
            <w:vAlign w:val="top"/>
          </w:tcPr>
          <w:p>
            <w:pPr>
              <w:keepNext/>
              <w:pageBreakBefore w:val="0"/>
              <w:spacing w:before="53" w:after="30" w:line="240" w:lineRule="auto"/>
              <w:jc w:val="both"/>
            </w:pPr>
            <w:r>
              <w:rPr>
                <w:rFonts w:ascii="Times New Roman" w:eastAsia="Times New Roman" w:hAnsi="Times New Roman" w:cs="Times New Roman"/>
                <w:b/>
                <w:i w:val="0"/>
                <w:color w:val="000000"/>
                <w:sz w:val="20"/>
                <w:u w:val="none"/>
              </w:rPr>
              <w:t>Item 3.</w:t>
            </w:r>
          </w:p>
        </w:tc>
        <w:tc>
          <w:tcPr>
            <w:tcW w:w="8340" w:type="dxa"/>
            <w:tcBorders>
              <w:top w:val="nil"/>
              <w:left w:val="nil"/>
              <w:bottom w:val="nil"/>
              <w:right w:val="nil"/>
            </w:tcBorders>
            <w:shd w:val="clear" w:color="auto" w:fill="FFFFFF"/>
            <w:tcMar>
              <w:top w:w="0" w:type="dxa"/>
              <w:left w:w="53" w:type="dxa"/>
              <w:bottom w:w="0" w:type="dxa"/>
              <w:right w:w="53" w:type="dxa"/>
            </w:tcMar>
            <w:vAlign w:val="top"/>
          </w:tcPr>
          <w:p>
            <w:pPr>
              <w:pStyle w:val="Normal-wk"/>
              <w:keepNext/>
              <w:pageBreakBefore w:val="0"/>
              <w:numPr>
                <w:ilvl w:val="0"/>
                <w:numId w:val="0"/>
              </w:numPr>
              <w:spacing w:before="53" w:after="30" w:line="240" w:lineRule="auto"/>
              <w:ind w:left="0" w:right="0" w:firstLine="0"/>
              <w:jc w:val="both"/>
              <w:outlineLvl w:val="9"/>
              <w:rPr>
                <w:rFonts w:ascii="Times New Roman" w:eastAsia="Times New Roman" w:hAnsi="Times New Roman" w:cs="Times New Roman"/>
                <w:b/>
                <w:i w:val="0"/>
                <w:sz w:val="20"/>
                <w:shd w:val="clear" w:color="auto" w:fill="auto"/>
              </w:rPr>
            </w:pPr>
            <w:hyperlink w:anchor="Section33" w:history="1">
              <w:r>
                <w:rPr>
                  <w:rFonts w:ascii="Times New Roman" w:eastAsia="Times New Roman" w:hAnsi="Times New Roman" w:cs="Times New Roman"/>
                  <w:b/>
                  <w:i w:val="0"/>
                  <w:color w:val="0000FF"/>
                  <w:sz w:val="20"/>
                  <w:u w:val="single"/>
                  <w:shd w:val="clear" w:color="auto" w:fill="auto"/>
                </w:rPr>
                <w:t>Defaults upon Senior Securities</w:t>
              </w:r>
            </w:hyperlink>
          </w:p>
        </w:tc>
        <w:tc>
          <w:tcPr>
            <w:tcW w:w="945" w:type="dxa"/>
            <w:tcBorders>
              <w:top w:val="nil"/>
              <w:left w:val="nil"/>
              <w:bottom w:val="nil"/>
              <w:right w:val="nil"/>
            </w:tcBorders>
            <w:shd w:val="clear" w:color="auto" w:fill="FFFFFF"/>
            <w:tcMar>
              <w:top w:w="0" w:type="dxa"/>
              <w:left w:w="53" w:type="dxa"/>
              <w:bottom w:w="0" w:type="dxa"/>
              <w:right w:w="53" w:type="dxa"/>
            </w:tcMar>
            <w:vAlign w:val="top"/>
          </w:tcPr>
          <w:p>
            <w:pPr>
              <w:pStyle w:val="Normal-wk"/>
              <w:keepNext/>
              <w:pageBreakBefore w:val="0"/>
              <w:numPr>
                <w:ilvl w:val="0"/>
                <w:numId w:val="0"/>
              </w:numPr>
              <w:spacing w:before="53" w:after="30" w:line="240" w:lineRule="auto"/>
              <w:ind w:left="0" w:right="0" w:firstLine="0"/>
              <w:jc w:val="righ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color w:val="0000FF"/>
                <w:sz w:val="20"/>
                <w:u w:val="single"/>
              </w:rPr>
              <w:fldChar w:fldCharType="begin"/>
            </w:r>
            <w:r>
              <w:rPr>
                <w:rFonts w:ascii="Times New Roman" w:eastAsia="Times New Roman" w:hAnsi="Times New Roman" w:cs="Times New Roman"/>
                <w:b w:val="0"/>
                <w:i w:val="0"/>
                <w:color w:val="0000FF"/>
                <w:sz w:val="20"/>
                <w:u w:val="single"/>
              </w:rPr>
              <w:instrText xml:space="preserve"> PAGEREF </w:instrText>
            </w:r>
            <w:r>
              <w:rPr>
                <w:rFonts w:ascii="Times New Roman" w:eastAsia="Times New Roman" w:hAnsi="Times New Roman" w:cs="Times New Roman"/>
                <w:b w:val="0"/>
                <w:i w:val="0"/>
                <w:color w:val="0000FF"/>
                <w:sz w:val="20"/>
                <w:u w:val="single"/>
              </w:rPr>
              <w:instrText xml:space="preserve"> </w:instrText>
            </w:r>
            <w:r>
              <w:rPr>
                <w:rFonts w:ascii="Times New Roman" w:eastAsia="Times New Roman" w:hAnsi="Times New Roman" w:cs="Times New Roman"/>
                <w:b w:val="0"/>
                <w:i w:val="0"/>
                <w:color w:val="0000FF"/>
                <w:sz w:val="20"/>
                <w:u w:val="single"/>
              </w:rPr>
              <w:instrText>Section33</w:instrText>
            </w:r>
            <w:r>
              <w:rPr>
                <w:rFonts w:ascii="Times New Roman" w:eastAsia="Times New Roman" w:hAnsi="Times New Roman" w:cs="Times New Roman"/>
                <w:b w:val="0"/>
                <w:i w:val="0"/>
                <w:color w:val="0000FF"/>
                <w:sz w:val="20"/>
                <w:u w:val="single"/>
              </w:rPr>
              <w:instrText xml:space="preserve"> \h</w:instrText>
            </w:r>
            <w:r>
              <w:rPr>
                <w:rFonts w:ascii="Times New Roman" w:eastAsia="Times New Roman" w:hAnsi="Times New Roman" w:cs="Times New Roman"/>
                <w:b w:val="0"/>
                <w:i w:val="0"/>
                <w:color w:val="0000FF"/>
                <w:sz w:val="20"/>
                <w:u w:val="single"/>
              </w:rPr>
              <w:fldChar w:fldCharType="separate"/>
            </w:r>
            <w:r>
              <w:rPr>
                <w:rFonts w:ascii="Times New Roman" w:eastAsia="Times New Roman" w:hAnsi="Times New Roman" w:cs="Times New Roman"/>
                <w:b w:val="0"/>
                <w:i w:val="0"/>
                <w:color w:val="0000FF"/>
                <w:sz w:val="20"/>
                <w:u w:val="single"/>
              </w:rPr>
              <w:t>27</w:t>
            </w:r>
            <w:r>
              <w:rPr>
                <w:rFonts w:ascii="Times New Roman" w:eastAsia="Times New Roman" w:hAnsi="Times New Roman" w:cs="Times New Roman"/>
                <w:b w:val="0"/>
                <w:i w:val="0"/>
                <w:color w:val="0000FF"/>
                <w:sz w:val="20"/>
                <w:u w:val="single"/>
              </w:rPr>
              <w:fldChar w:fldCharType="end"/>
            </w:r>
          </w:p>
        </w:tc>
      </w:tr>
      <w:tr>
        <w:tblPrEx>
          <w:tblW w:w="10245" w:type="dxa"/>
          <w:tblInd w:w="0" w:type="dxa"/>
          <w:tblLayout w:type="fixed"/>
        </w:tblPrEx>
        <w:trPr>
          <w:trHeight w:hRule="exact" w:val="285"/>
        </w:trPr>
        <w:tc>
          <w:tcPr>
            <w:tcW w:w="960" w:type="dxa"/>
            <w:tcBorders>
              <w:top w:val="nil"/>
              <w:left w:val="nil"/>
              <w:bottom w:val="nil"/>
              <w:right w:val="nil"/>
            </w:tcBorders>
            <w:shd w:val="clear" w:color="auto" w:fill="FFFFFF"/>
            <w:tcMar>
              <w:top w:w="0" w:type="dxa"/>
              <w:left w:w="53" w:type="dxa"/>
              <w:bottom w:w="0" w:type="dxa"/>
              <w:right w:w="53" w:type="dxa"/>
            </w:tcMar>
            <w:vAlign w:val="top"/>
          </w:tcPr>
          <w:p>
            <w:pPr>
              <w:keepNext/>
              <w:pageBreakBefore w:val="0"/>
              <w:spacing w:before="53" w:after="30" w:line="240" w:lineRule="auto"/>
              <w:jc w:val="both"/>
            </w:pPr>
            <w:r>
              <w:rPr>
                <w:rFonts w:ascii="Times New Roman" w:eastAsia="Times New Roman" w:hAnsi="Times New Roman" w:cs="Times New Roman"/>
                <w:b/>
                <w:i w:val="0"/>
                <w:color w:val="000000"/>
                <w:sz w:val="20"/>
                <w:u w:val="none"/>
              </w:rPr>
              <w:t>Item 4.</w:t>
            </w:r>
          </w:p>
        </w:tc>
        <w:tc>
          <w:tcPr>
            <w:tcW w:w="8340" w:type="dxa"/>
            <w:tcBorders>
              <w:top w:val="nil"/>
              <w:left w:val="nil"/>
              <w:bottom w:val="nil"/>
              <w:right w:val="nil"/>
            </w:tcBorders>
            <w:shd w:val="clear" w:color="auto" w:fill="FFFFFF"/>
            <w:tcMar>
              <w:top w:w="0" w:type="dxa"/>
              <w:left w:w="53" w:type="dxa"/>
              <w:bottom w:w="0" w:type="dxa"/>
              <w:right w:w="53" w:type="dxa"/>
            </w:tcMar>
            <w:vAlign w:val="top"/>
          </w:tcPr>
          <w:p>
            <w:pPr>
              <w:pStyle w:val="Normal-wk"/>
              <w:keepNext/>
              <w:pageBreakBefore w:val="0"/>
              <w:numPr>
                <w:ilvl w:val="0"/>
                <w:numId w:val="0"/>
              </w:numPr>
              <w:spacing w:before="53" w:after="30" w:line="240" w:lineRule="auto"/>
              <w:ind w:left="0" w:right="0" w:firstLine="0"/>
              <w:jc w:val="both"/>
              <w:outlineLvl w:val="9"/>
              <w:rPr>
                <w:rFonts w:ascii="Times New Roman" w:eastAsia="Times New Roman" w:hAnsi="Times New Roman" w:cs="Times New Roman"/>
                <w:b/>
                <w:i w:val="0"/>
                <w:sz w:val="20"/>
                <w:shd w:val="clear" w:color="auto" w:fill="auto"/>
              </w:rPr>
            </w:pPr>
            <w:hyperlink w:anchor="Section34" w:history="1">
              <w:r>
                <w:rPr>
                  <w:rFonts w:ascii="Times New Roman" w:eastAsia="Times New Roman" w:hAnsi="Times New Roman" w:cs="Times New Roman"/>
                  <w:b/>
                  <w:i w:val="0"/>
                  <w:color w:val="0000FF"/>
                  <w:sz w:val="20"/>
                  <w:u w:val="single"/>
                  <w:shd w:val="clear" w:color="auto" w:fill="auto"/>
                </w:rPr>
                <w:t>Mine Safety Disclosures</w:t>
              </w:r>
            </w:hyperlink>
          </w:p>
        </w:tc>
        <w:tc>
          <w:tcPr>
            <w:tcW w:w="945" w:type="dxa"/>
            <w:tcBorders>
              <w:top w:val="nil"/>
              <w:left w:val="nil"/>
              <w:bottom w:val="nil"/>
              <w:right w:val="nil"/>
            </w:tcBorders>
            <w:shd w:val="clear" w:color="auto" w:fill="FFFFFF"/>
            <w:tcMar>
              <w:top w:w="0" w:type="dxa"/>
              <w:left w:w="53" w:type="dxa"/>
              <w:bottom w:w="0" w:type="dxa"/>
              <w:right w:w="53" w:type="dxa"/>
            </w:tcMar>
            <w:vAlign w:val="top"/>
          </w:tcPr>
          <w:p>
            <w:pPr>
              <w:pStyle w:val="Normal-wk"/>
              <w:keepNext/>
              <w:pageBreakBefore w:val="0"/>
              <w:numPr>
                <w:ilvl w:val="0"/>
                <w:numId w:val="0"/>
              </w:numPr>
              <w:spacing w:before="53" w:after="30" w:line="240" w:lineRule="auto"/>
              <w:ind w:left="0" w:right="0" w:firstLine="0"/>
              <w:jc w:val="righ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color w:val="0000FF"/>
                <w:sz w:val="20"/>
                <w:u w:val="single"/>
              </w:rPr>
              <w:fldChar w:fldCharType="begin"/>
            </w:r>
            <w:r>
              <w:rPr>
                <w:rFonts w:ascii="Times New Roman" w:eastAsia="Times New Roman" w:hAnsi="Times New Roman" w:cs="Times New Roman"/>
                <w:b w:val="0"/>
                <w:i w:val="0"/>
                <w:color w:val="0000FF"/>
                <w:sz w:val="20"/>
                <w:u w:val="single"/>
              </w:rPr>
              <w:instrText xml:space="preserve"> PAGEREF </w:instrText>
            </w:r>
            <w:r>
              <w:rPr>
                <w:rFonts w:ascii="Times New Roman" w:eastAsia="Times New Roman" w:hAnsi="Times New Roman" w:cs="Times New Roman"/>
                <w:b w:val="0"/>
                <w:i w:val="0"/>
                <w:color w:val="0000FF"/>
                <w:sz w:val="20"/>
                <w:u w:val="single"/>
              </w:rPr>
              <w:instrText xml:space="preserve"> </w:instrText>
            </w:r>
            <w:r>
              <w:rPr>
                <w:rFonts w:ascii="Times New Roman" w:eastAsia="Times New Roman" w:hAnsi="Times New Roman" w:cs="Times New Roman"/>
                <w:b w:val="0"/>
                <w:i w:val="0"/>
                <w:color w:val="0000FF"/>
                <w:sz w:val="20"/>
                <w:u w:val="single"/>
              </w:rPr>
              <w:instrText>Section34</w:instrText>
            </w:r>
            <w:r>
              <w:rPr>
                <w:rFonts w:ascii="Times New Roman" w:eastAsia="Times New Roman" w:hAnsi="Times New Roman" w:cs="Times New Roman"/>
                <w:b w:val="0"/>
                <w:i w:val="0"/>
                <w:color w:val="0000FF"/>
                <w:sz w:val="20"/>
                <w:u w:val="single"/>
              </w:rPr>
              <w:instrText xml:space="preserve"> \h</w:instrText>
            </w:r>
            <w:r>
              <w:rPr>
                <w:rFonts w:ascii="Times New Roman" w:eastAsia="Times New Roman" w:hAnsi="Times New Roman" w:cs="Times New Roman"/>
                <w:b w:val="0"/>
                <w:i w:val="0"/>
                <w:color w:val="0000FF"/>
                <w:sz w:val="20"/>
                <w:u w:val="single"/>
              </w:rPr>
              <w:fldChar w:fldCharType="separate"/>
            </w:r>
            <w:r>
              <w:rPr>
                <w:rFonts w:ascii="Times New Roman" w:eastAsia="Times New Roman" w:hAnsi="Times New Roman" w:cs="Times New Roman"/>
                <w:b w:val="0"/>
                <w:i w:val="0"/>
                <w:color w:val="0000FF"/>
                <w:sz w:val="20"/>
                <w:u w:val="single"/>
              </w:rPr>
              <w:t>27</w:t>
            </w:r>
            <w:r>
              <w:rPr>
                <w:rFonts w:ascii="Times New Roman" w:eastAsia="Times New Roman" w:hAnsi="Times New Roman" w:cs="Times New Roman"/>
                <w:b w:val="0"/>
                <w:i w:val="0"/>
                <w:color w:val="0000FF"/>
                <w:sz w:val="20"/>
                <w:u w:val="single"/>
              </w:rPr>
              <w:fldChar w:fldCharType="end"/>
            </w:r>
          </w:p>
        </w:tc>
      </w:tr>
      <w:tr>
        <w:tblPrEx>
          <w:tblW w:w="10245" w:type="dxa"/>
          <w:tblInd w:w="0" w:type="dxa"/>
          <w:tblLayout w:type="fixed"/>
        </w:tblPrEx>
        <w:trPr>
          <w:trHeight w:hRule="exact" w:val="285"/>
        </w:trPr>
        <w:tc>
          <w:tcPr>
            <w:tcW w:w="960" w:type="dxa"/>
            <w:tcBorders>
              <w:top w:val="nil"/>
              <w:left w:val="nil"/>
              <w:bottom w:val="nil"/>
              <w:right w:val="nil"/>
            </w:tcBorders>
            <w:shd w:val="clear" w:color="auto" w:fill="FFFFFF"/>
            <w:tcMar>
              <w:top w:w="0" w:type="dxa"/>
              <w:left w:w="53" w:type="dxa"/>
              <w:bottom w:w="0" w:type="dxa"/>
              <w:right w:w="53" w:type="dxa"/>
            </w:tcMar>
            <w:vAlign w:val="top"/>
          </w:tcPr>
          <w:p>
            <w:pPr>
              <w:keepNext/>
              <w:pageBreakBefore w:val="0"/>
              <w:spacing w:before="53" w:after="30" w:line="240" w:lineRule="auto"/>
              <w:jc w:val="both"/>
            </w:pPr>
            <w:r>
              <w:rPr>
                <w:rFonts w:ascii="Times New Roman" w:eastAsia="Times New Roman" w:hAnsi="Times New Roman" w:cs="Times New Roman"/>
                <w:b/>
                <w:i w:val="0"/>
                <w:color w:val="000000"/>
                <w:sz w:val="20"/>
                <w:u w:val="none"/>
              </w:rPr>
              <w:t>Item 5.</w:t>
            </w:r>
          </w:p>
        </w:tc>
        <w:tc>
          <w:tcPr>
            <w:tcW w:w="8340" w:type="dxa"/>
            <w:tcBorders>
              <w:top w:val="nil"/>
              <w:left w:val="nil"/>
              <w:bottom w:val="nil"/>
              <w:right w:val="nil"/>
            </w:tcBorders>
            <w:shd w:val="clear" w:color="auto" w:fill="FFFFFF"/>
            <w:tcMar>
              <w:top w:w="0" w:type="dxa"/>
              <w:left w:w="53" w:type="dxa"/>
              <w:bottom w:w="0" w:type="dxa"/>
              <w:right w:w="53" w:type="dxa"/>
            </w:tcMar>
            <w:vAlign w:val="top"/>
          </w:tcPr>
          <w:p>
            <w:pPr>
              <w:pStyle w:val="Normal-wk"/>
              <w:keepNext/>
              <w:pageBreakBefore w:val="0"/>
              <w:numPr>
                <w:ilvl w:val="0"/>
                <w:numId w:val="0"/>
              </w:numPr>
              <w:spacing w:before="53" w:after="30" w:line="240" w:lineRule="auto"/>
              <w:ind w:left="0" w:right="0" w:firstLine="0"/>
              <w:jc w:val="both"/>
              <w:outlineLvl w:val="9"/>
              <w:rPr>
                <w:rFonts w:ascii="Times New Roman" w:eastAsia="Times New Roman" w:hAnsi="Times New Roman" w:cs="Times New Roman"/>
                <w:b/>
                <w:i w:val="0"/>
                <w:sz w:val="20"/>
                <w:shd w:val="clear" w:color="auto" w:fill="auto"/>
              </w:rPr>
            </w:pPr>
            <w:hyperlink w:anchor="Section35" w:history="1">
              <w:r>
                <w:rPr>
                  <w:rFonts w:ascii="Times New Roman" w:eastAsia="Times New Roman" w:hAnsi="Times New Roman" w:cs="Times New Roman"/>
                  <w:b/>
                  <w:i w:val="0"/>
                  <w:color w:val="0000FF"/>
                  <w:sz w:val="20"/>
                  <w:u w:val="single"/>
                  <w:shd w:val="clear" w:color="auto" w:fill="auto"/>
                </w:rPr>
                <w:t>Other Information</w:t>
              </w:r>
            </w:hyperlink>
          </w:p>
        </w:tc>
        <w:tc>
          <w:tcPr>
            <w:tcW w:w="945" w:type="dxa"/>
            <w:tcBorders>
              <w:top w:val="nil"/>
              <w:left w:val="nil"/>
              <w:bottom w:val="nil"/>
              <w:right w:val="nil"/>
            </w:tcBorders>
            <w:shd w:val="clear" w:color="auto" w:fill="FFFFFF"/>
            <w:tcMar>
              <w:top w:w="0" w:type="dxa"/>
              <w:left w:w="53" w:type="dxa"/>
              <w:bottom w:w="0" w:type="dxa"/>
              <w:right w:w="53" w:type="dxa"/>
            </w:tcMar>
            <w:vAlign w:val="top"/>
          </w:tcPr>
          <w:p>
            <w:pPr>
              <w:pStyle w:val="Normal-wk"/>
              <w:keepNext/>
              <w:pageBreakBefore w:val="0"/>
              <w:numPr>
                <w:ilvl w:val="0"/>
                <w:numId w:val="0"/>
              </w:numPr>
              <w:spacing w:before="53" w:after="30" w:line="240" w:lineRule="auto"/>
              <w:ind w:left="0" w:right="0" w:firstLine="0"/>
              <w:jc w:val="righ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color w:val="0000FF"/>
                <w:sz w:val="20"/>
                <w:u w:val="single"/>
              </w:rPr>
              <w:fldChar w:fldCharType="begin"/>
            </w:r>
            <w:r>
              <w:rPr>
                <w:rFonts w:ascii="Times New Roman" w:eastAsia="Times New Roman" w:hAnsi="Times New Roman" w:cs="Times New Roman"/>
                <w:b w:val="0"/>
                <w:i w:val="0"/>
                <w:color w:val="0000FF"/>
                <w:sz w:val="20"/>
                <w:u w:val="single"/>
              </w:rPr>
              <w:instrText xml:space="preserve"> PAGEREF </w:instrText>
            </w:r>
            <w:r>
              <w:rPr>
                <w:rFonts w:ascii="Times New Roman" w:eastAsia="Times New Roman" w:hAnsi="Times New Roman" w:cs="Times New Roman"/>
                <w:b w:val="0"/>
                <w:i w:val="0"/>
                <w:color w:val="0000FF"/>
                <w:sz w:val="20"/>
                <w:u w:val="single"/>
              </w:rPr>
              <w:instrText xml:space="preserve"> </w:instrText>
            </w:r>
            <w:r>
              <w:rPr>
                <w:rFonts w:ascii="Times New Roman" w:eastAsia="Times New Roman" w:hAnsi="Times New Roman" w:cs="Times New Roman"/>
                <w:b w:val="0"/>
                <w:i w:val="0"/>
                <w:color w:val="0000FF"/>
                <w:sz w:val="20"/>
                <w:u w:val="single"/>
              </w:rPr>
              <w:instrText>Section35</w:instrText>
            </w:r>
            <w:r>
              <w:rPr>
                <w:rFonts w:ascii="Times New Roman" w:eastAsia="Times New Roman" w:hAnsi="Times New Roman" w:cs="Times New Roman"/>
                <w:b w:val="0"/>
                <w:i w:val="0"/>
                <w:color w:val="0000FF"/>
                <w:sz w:val="20"/>
                <w:u w:val="single"/>
              </w:rPr>
              <w:instrText xml:space="preserve"> \h</w:instrText>
            </w:r>
            <w:r>
              <w:rPr>
                <w:rFonts w:ascii="Times New Roman" w:eastAsia="Times New Roman" w:hAnsi="Times New Roman" w:cs="Times New Roman"/>
                <w:b w:val="0"/>
                <w:i w:val="0"/>
                <w:color w:val="0000FF"/>
                <w:sz w:val="20"/>
                <w:u w:val="single"/>
              </w:rPr>
              <w:fldChar w:fldCharType="separate"/>
            </w:r>
            <w:r>
              <w:rPr>
                <w:rFonts w:ascii="Times New Roman" w:eastAsia="Times New Roman" w:hAnsi="Times New Roman" w:cs="Times New Roman"/>
                <w:b w:val="0"/>
                <w:i w:val="0"/>
                <w:color w:val="0000FF"/>
                <w:sz w:val="20"/>
                <w:u w:val="single"/>
              </w:rPr>
              <w:t>27</w:t>
            </w:r>
            <w:r>
              <w:rPr>
                <w:rFonts w:ascii="Times New Roman" w:eastAsia="Times New Roman" w:hAnsi="Times New Roman" w:cs="Times New Roman"/>
                <w:b w:val="0"/>
                <w:i w:val="0"/>
                <w:color w:val="0000FF"/>
                <w:sz w:val="20"/>
                <w:u w:val="single"/>
              </w:rPr>
              <w:fldChar w:fldCharType="end"/>
            </w:r>
          </w:p>
        </w:tc>
      </w:tr>
      <w:tr>
        <w:tblPrEx>
          <w:tblW w:w="10245" w:type="dxa"/>
          <w:tblInd w:w="0" w:type="dxa"/>
          <w:tblLayout w:type="fixed"/>
        </w:tblPrEx>
        <w:trPr>
          <w:trHeight w:hRule="exact" w:val="285"/>
        </w:trPr>
        <w:tc>
          <w:tcPr>
            <w:tcW w:w="960" w:type="dxa"/>
            <w:tcBorders>
              <w:top w:val="nil"/>
              <w:left w:val="nil"/>
              <w:bottom w:val="nil"/>
              <w:right w:val="nil"/>
            </w:tcBorders>
            <w:shd w:val="clear" w:color="auto" w:fill="FFFFFF"/>
            <w:tcMar>
              <w:top w:w="0" w:type="dxa"/>
              <w:left w:w="53" w:type="dxa"/>
              <w:bottom w:w="0" w:type="dxa"/>
              <w:right w:w="53" w:type="dxa"/>
            </w:tcMar>
            <w:vAlign w:val="top"/>
          </w:tcPr>
          <w:p>
            <w:pPr>
              <w:keepNext/>
              <w:pageBreakBefore w:val="0"/>
              <w:spacing w:before="53" w:after="30" w:line="240" w:lineRule="auto"/>
              <w:jc w:val="both"/>
            </w:pPr>
            <w:r>
              <w:rPr>
                <w:rFonts w:ascii="Times New Roman" w:eastAsia="Times New Roman" w:hAnsi="Times New Roman" w:cs="Times New Roman"/>
                <w:b/>
                <w:i w:val="0"/>
                <w:color w:val="000000"/>
                <w:sz w:val="20"/>
                <w:u w:val="none"/>
              </w:rPr>
              <w:t>Item 6.</w:t>
            </w:r>
          </w:p>
        </w:tc>
        <w:tc>
          <w:tcPr>
            <w:tcW w:w="8340" w:type="dxa"/>
            <w:tcBorders>
              <w:top w:val="nil"/>
              <w:left w:val="nil"/>
              <w:bottom w:val="nil"/>
              <w:right w:val="nil"/>
            </w:tcBorders>
            <w:shd w:val="clear" w:color="auto" w:fill="FFFFFF"/>
            <w:tcMar>
              <w:top w:w="0" w:type="dxa"/>
              <w:left w:w="53" w:type="dxa"/>
              <w:bottom w:w="0" w:type="dxa"/>
              <w:right w:w="53" w:type="dxa"/>
            </w:tcMar>
            <w:vAlign w:val="top"/>
          </w:tcPr>
          <w:p>
            <w:pPr>
              <w:pStyle w:val="Normal-wk"/>
              <w:keepNext/>
              <w:pageBreakBefore w:val="0"/>
              <w:numPr>
                <w:ilvl w:val="0"/>
                <w:numId w:val="0"/>
              </w:numPr>
              <w:spacing w:before="53" w:after="30" w:line="240" w:lineRule="auto"/>
              <w:ind w:left="0" w:right="0" w:firstLine="0"/>
              <w:jc w:val="both"/>
              <w:outlineLvl w:val="9"/>
              <w:rPr>
                <w:rFonts w:ascii="Times New Roman" w:eastAsia="Times New Roman" w:hAnsi="Times New Roman" w:cs="Times New Roman"/>
                <w:b/>
                <w:i w:val="0"/>
                <w:sz w:val="20"/>
                <w:shd w:val="clear" w:color="auto" w:fill="auto"/>
              </w:rPr>
            </w:pPr>
            <w:hyperlink w:anchor="Section36" w:history="1">
              <w:r>
                <w:rPr>
                  <w:rFonts w:ascii="Times New Roman" w:eastAsia="Times New Roman" w:hAnsi="Times New Roman" w:cs="Times New Roman"/>
                  <w:b/>
                  <w:i w:val="0"/>
                  <w:color w:val="0000FF"/>
                  <w:sz w:val="20"/>
                  <w:u w:val="single"/>
                  <w:shd w:val="clear" w:color="auto" w:fill="auto"/>
                </w:rPr>
                <w:t>Exhibits</w:t>
              </w:r>
            </w:hyperlink>
          </w:p>
        </w:tc>
        <w:tc>
          <w:tcPr>
            <w:tcW w:w="945" w:type="dxa"/>
            <w:tcBorders>
              <w:top w:val="nil"/>
              <w:left w:val="nil"/>
              <w:bottom w:val="nil"/>
              <w:right w:val="nil"/>
            </w:tcBorders>
            <w:shd w:val="clear" w:color="auto" w:fill="FFFFFF"/>
            <w:tcMar>
              <w:top w:w="0" w:type="dxa"/>
              <w:left w:w="53" w:type="dxa"/>
              <w:bottom w:w="0" w:type="dxa"/>
              <w:right w:w="53" w:type="dxa"/>
            </w:tcMar>
            <w:vAlign w:val="top"/>
          </w:tcPr>
          <w:p>
            <w:pPr>
              <w:pStyle w:val="Normal-wk"/>
              <w:keepNext/>
              <w:pageBreakBefore w:val="0"/>
              <w:numPr>
                <w:ilvl w:val="0"/>
                <w:numId w:val="0"/>
              </w:numPr>
              <w:spacing w:before="53" w:after="30" w:line="240" w:lineRule="auto"/>
              <w:ind w:left="0" w:right="0" w:firstLine="0"/>
              <w:jc w:val="righ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color w:val="0000FF"/>
                <w:sz w:val="20"/>
                <w:u w:val="single"/>
              </w:rPr>
              <w:fldChar w:fldCharType="begin"/>
            </w:r>
            <w:r>
              <w:rPr>
                <w:rFonts w:ascii="Times New Roman" w:eastAsia="Times New Roman" w:hAnsi="Times New Roman" w:cs="Times New Roman"/>
                <w:b w:val="0"/>
                <w:i w:val="0"/>
                <w:color w:val="0000FF"/>
                <w:sz w:val="20"/>
                <w:u w:val="single"/>
              </w:rPr>
              <w:instrText xml:space="preserve"> PAGEREF </w:instrText>
            </w:r>
            <w:r>
              <w:rPr>
                <w:rFonts w:ascii="Times New Roman" w:eastAsia="Times New Roman" w:hAnsi="Times New Roman" w:cs="Times New Roman"/>
                <w:b w:val="0"/>
                <w:i w:val="0"/>
                <w:color w:val="0000FF"/>
                <w:sz w:val="20"/>
                <w:u w:val="single"/>
              </w:rPr>
              <w:instrText xml:space="preserve"> </w:instrText>
            </w:r>
            <w:r>
              <w:rPr>
                <w:rFonts w:ascii="Times New Roman" w:eastAsia="Times New Roman" w:hAnsi="Times New Roman" w:cs="Times New Roman"/>
                <w:b w:val="0"/>
                <w:i w:val="0"/>
                <w:color w:val="0000FF"/>
                <w:sz w:val="20"/>
                <w:u w:val="single"/>
              </w:rPr>
              <w:instrText>Section36</w:instrText>
            </w:r>
            <w:r>
              <w:rPr>
                <w:rFonts w:ascii="Times New Roman" w:eastAsia="Times New Roman" w:hAnsi="Times New Roman" w:cs="Times New Roman"/>
                <w:b w:val="0"/>
                <w:i w:val="0"/>
                <w:color w:val="0000FF"/>
                <w:sz w:val="20"/>
                <w:u w:val="single"/>
              </w:rPr>
              <w:instrText xml:space="preserve"> \h</w:instrText>
            </w:r>
            <w:r>
              <w:rPr>
                <w:rFonts w:ascii="Times New Roman" w:eastAsia="Times New Roman" w:hAnsi="Times New Roman" w:cs="Times New Roman"/>
                <w:b w:val="0"/>
                <w:i w:val="0"/>
                <w:color w:val="0000FF"/>
                <w:sz w:val="20"/>
                <w:u w:val="single"/>
              </w:rPr>
              <w:fldChar w:fldCharType="separate"/>
            </w:r>
            <w:r>
              <w:rPr>
                <w:rFonts w:ascii="Times New Roman" w:eastAsia="Times New Roman" w:hAnsi="Times New Roman" w:cs="Times New Roman"/>
                <w:b w:val="0"/>
                <w:i w:val="0"/>
                <w:color w:val="0000FF"/>
                <w:sz w:val="20"/>
                <w:u w:val="single"/>
              </w:rPr>
              <w:t>28</w:t>
            </w:r>
            <w:r>
              <w:rPr>
                <w:rFonts w:ascii="Times New Roman" w:eastAsia="Times New Roman" w:hAnsi="Times New Roman" w:cs="Times New Roman"/>
                <w:b w:val="0"/>
                <w:i w:val="0"/>
                <w:color w:val="0000FF"/>
                <w:sz w:val="20"/>
                <w:u w:val="single"/>
              </w:rPr>
              <w:fldChar w:fldCharType="end"/>
            </w:r>
          </w:p>
        </w:tc>
      </w:tr>
      <w:tr>
        <w:tblPrEx>
          <w:tblW w:w="10245" w:type="dxa"/>
          <w:tblInd w:w="0" w:type="dxa"/>
          <w:tblLayout w:type="fixed"/>
        </w:tblPrEx>
        <w:trPr>
          <w:trHeight w:hRule="exact" w:val="285"/>
        </w:trPr>
        <w:tc>
          <w:tcPr>
            <w:tcW w:w="96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834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94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r>
      <w:tr>
        <w:tblPrEx>
          <w:tblW w:w="10245" w:type="dxa"/>
          <w:tblInd w:w="0" w:type="dxa"/>
          <w:tblLayout w:type="fixed"/>
        </w:tblPrEx>
        <w:trPr>
          <w:trHeight w:hRule="exact" w:val="285"/>
        </w:trPr>
        <w:tc>
          <w:tcPr>
            <w:tcW w:w="96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8340" w:type="dxa"/>
            <w:tcBorders>
              <w:top w:val="nil"/>
              <w:left w:val="nil"/>
              <w:bottom w:val="nil"/>
              <w:right w:val="nil"/>
            </w:tcBorders>
            <w:shd w:val="clear" w:color="auto" w:fill="FFFFFF"/>
            <w:tcMar>
              <w:top w:w="0" w:type="dxa"/>
              <w:left w:w="53" w:type="dxa"/>
              <w:bottom w:w="0" w:type="dxa"/>
              <w:right w:w="53" w:type="dxa"/>
            </w:tcMar>
            <w:vAlign w:val="top"/>
          </w:tcPr>
          <w:p>
            <w:pPr>
              <w:pStyle w:val="Normal-wk"/>
              <w:keepNext/>
              <w:pageBreakBefore w:val="0"/>
              <w:numPr>
                <w:ilvl w:val="0"/>
                <w:numId w:val="0"/>
              </w:numPr>
              <w:spacing w:before="53" w:after="30" w:line="240" w:lineRule="auto"/>
              <w:ind w:left="0" w:right="0" w:firstLine="0"/>
              <w:jc w:val="both"/>
              <w:outlineLvl w:val="9"/>
              <w:rPr>
                <w:rFonts w:ascii="Times New Roman" w:eastAsia="Times New Roman" w:hAnsi="Times New Roman" w:cs="Times New Roman"/>
                <w:b/>
                <w:i w:val="0"/>
                <w:color w:val="000000"/>
                <w:sz w:val="20"/>
                <w:u w:val="single"/>
                <w:shd w:val="clear" w:color="auto" w:fill="auto"/>
              </w:rPr>
            </w:pPr>
            <w:hyperlink w:anchor="Section37" w:history="1">
              <w:r>
                <w:rPr>
                  <w:rFonts w:ascii="Times New Roman" w:eastAsia="Times New Roman" w:hAnsi="Times New Roman" w:cs="Times New Roman"/>
                  <w:b/>
                  <w:i w:val="0"/>
                  <w:color w:val="0000FF"/>
                  <w:sz w:val="20"/>
                  <w:u w:val="single"/>
                  <w:shd w:val="clear" w:color="auto" w:fill="auto"/>
                </w:rPr>
                <w:t>Signatures</w:t>
              </w:r>
            </w:hyperlink>
          </w:p>
        </w:tc>
        <w:tc>
          <w:tcPr>
            <w:tcW w:w="945" w:type="dxa"/>
            <w:tcBorders>
              <w:top w:val="nil"/>
              <w:left w:val="nil"/>
              <w:bottom w:val="nil"/>
              <w:right w:val="nil"/>
            </w:tcBorders>
            <w:shd w:val="clear" w:color="auto" w:fill="FFFFFF"/>
            <w:tcMar>
              <w:top w:w="0" w:type="dxa"/>
              <w:left w:w="53" w:type="dxa"/>
              <w:bottom w:w="0" w:type="dxa"/>
              <w:right w:w="53" w:type="dxa"/>
            </w:tcMar>
            <w:vAlign w:val="top"/>
          </w:tcPr>
          <w:p>
            <w:pPr>
              <w:pStyle w:val="Normal-wk"/>
              <w:keepNext/>
              <w:pageBreakBefore w:val="0"/>
              <w:numPr>
                <w:ilvl w:val="0"/>
                <w:numId w:val="0"/>
              </w:numPr>
              <w:spacing w:before="53" w:after="30" w:line="240" w:lineRule="auto"/>
              <w:ind w:left="0" w:right="0" w:firstLine="0"/>
              <w:jc w:val="righ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color w:val="0000FF"/>
                <w:sz w:val="20"/>
                <w:u w:val="single"/>
              </w:rPr>
              <w:fldChar w:fldCharType="begin"/>
            </w:r>
            <w:r>
              <w:rPr>
                <w:rFonts w:ascii="Times New Roman" w:eastAsia="Times New Roman" w:hAnsi="Times New Roman" w:cs="Times New Roman"/>
                <w:b w:val="0"/>
                <w:i w:val="0"/>
                <w:color w:val="0000FF"/>
                <w:sz w:val="20"/>
                <w:u w:val="single"/>
              </w:rPr>
              <w:instrText xml:space="preserve"> PAGEREF </w:instrText>
            </w:r>
            <w:r>
              <w:rPr>
                <w:rFonts w:ascii="Times New Roman" w:eastAsia="Times New Roman" w:hAnsi="Times New Roman" w:cs="Times New Roman"/>
                <w:b w:val="0"/>
                <w:i w:val="0"/>
                <w:color w:val="0000FF"/>
                <w:sz w:val="20"/>
                <w:u w:val="single"/>
              </w:rPr>
              <w:instrText xml:space="preserve"> </w:instrText>
            </w:r>
            <w:r>
              <w:rPr>
                <w:rFonts w:ascii="Times New Roman" w:eastAsia="Times New Roman" w:hAnsi="Times New Roman" w:cs="Times New Roman"/>
                <w:b w:val="0"/>
                <w:i w:val="0"/>
                <w:color w:val="0000FF"/>
                <w:sz w:val="20"/>
                <w:u w:val="single"/>
              </w:rPr>
              <w:instrText>Section37</w:instrText>
            </w:r>
            <w:r>
              <w:rPr>
                <w:rFonts w:ascii="Times New Roman" w:eastAsia="Times New Roman" w:hAnsi="Times New Roman" w:cs="Times New Roman"/>
                <w:b w:val="0"/>
                <w:i w:val="0"/>
                <w:color w:val="0000FF"/>
                <w:sz w:val="20"/>
                <w:u w:val="single"/>
              </w:rPr>
              <w:instrText xml:space="preserve"> \h</w:instrText>
            </w:r>
            <w:r>
              <w:rPr>
                <w:rFonts w:ascii="Times New Roman" w:eastAsia="Times New Roman" w:hAnsi="Times New Roman" w:cs="Times New Roman"/>
                <w:b w:val="0"/>
                <w:i w:val="0"/>
                <w:color w:val="0000FF"/>
                <w:sz w:val="20"/>
                <w:u w:val="single"/>
              </w:rPr>
              <w:fldChar w:fldCharType="separate"/>
            </w:r>
            <w:r>
              <w:rPr>
                <w:rFonts w:ascii="Times New Roman" w:eastAsia="Times New Roman" w:hAnsi="Times New Roman" w:cs="Times New Roman"/>
                <w:b w:val="0"/>
                <w:i w:val="0"/>
                <w:color w:val="0000FF"/>
                <w:sz w:val="20"/>
                <w:u w:val="single"/>
              </w:rPr>
              <w:t>29</w:t>
            </w:r>
            <w:r>
              <w:rPr>
                <w:rFonts w:ascii="Times New Roman" w:eastAsia="Times New Roman" w:hAnsi="Times New Roman" w:cs="Times New Roman"/>
                <w:b w:val="0"/>
                <w:i w:val="0"/>
                <w:color w:val="0000FF"/>
                <w:sz w:val="20"/>
                <w:u w:val="single"/>
              </w:rPr>
              <w:fldChar w:fldCharType="end"/>
            </w:r>
          </w:p>
        </w:tc>
      </w:tr>
      <w:tr>
        <w:tblPrEx>
          <w:tblW w:w="10245" w:type="dxa"/>
          <w:tblInd w:w="0" w:type="dxa"/>
          <w:tblLayout w:type="fixed"/>
        </w:tblPrEx>
        <w:trPr>
          <w:trHeight w:hRule="exact" w:val="285"/>
        </w:trPr>
        <w:tc>
          <w:tcPr>
            <w:tcW w:w="96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834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94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r>
      <w:tr>
        <w:tblPrEx>
          <w:tblW w:w="10245" w:type="dxa"/>
          <w:tblInd w:w="0" w:type="dxa"/>
          <w:tblLayout w:type="fixed"/>
        </w:tblPrEx>
        <w:trPr>
          <w:trHeight w:hRule="exact" w:val="285"/>
        </w:trPr>
        <w:tc>
          <w:tcPr>
            <w:tcW w:w="96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834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94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r>
      <w:tr>
        <w:tblPrEx>
          <w:tblW w:w="10245" w:type="dxa"/>
          <w:tblInd w:w="0" w:type="dxa"/>
          <w:tblLayout w:type="fixed"/>
        </w:tblPrEx>
        <w:trPr>
          <w:trHeight w:hRule="exact" w:val="285"/>
        </w:trPr>
        <w:tc>
          <w:tcPr>
            <w:tcW w:w="96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834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94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r>
      <w:tr>
        <w:tblPrEx>
          <w:tblW w:w="10245" w:type="dxa"/>
          <w:tblInd w:w="0" w:type="dxa"/>
          <w:tblLayout w:type="fixed"/>
        </w:tblPrEx>
        <w:trPr>
          <w:trHeight w:hRule="exact" w:val="285"/>
        </w:trPr>
        <w:tc>
          <w:tcPr>
            <w:tcW w:w="96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834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94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r>
      <w:tr>
        <w:tblPrEx>
          <w:tblW w:w="10245" w:type="dxa"/>
          <w:tblInd w:w="0" w:type="dxa"/>
          <w:tblLayout w:type="fixed"/>
        </w:tblPrEx>
        <w:trPr>
          <w:trHeight w:hRule="exact" w:val="285"/>
        </w:trPr>
        <w:tc>
          <w:tcPr>
            <w:tcW w:w="96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834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94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r>
      <w:tr>
        <w:tblPrEx>
          <w:tblW w:w="10245" w:type="dxa"/>
          <w:tblInd w:w="0" w:type="dxa"/>
          <w:tblLayout w:type="fixed"/>
        </w:tblPrEx>
        <w:trPr>
          <w:trHeight w:hRule="exact" w:val="285"/>
        </w:trPr>
        <w:tc>
          <w:tcPr>
            <w:tcW w:w="96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834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94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r>
      <w:tr>
        <w:tblPrEx>
          <w:tblW w:w="10245" w:type="dxa"/>
          <w:tblInd w:w="0" w:type="dxa"/>
          <w:tblLayout w:type="fixed"/>
        </w:tblPrEx>
        <w:trPr>
          <w:trHeight w:hRule="exact" w:val="285"/>
        </w:trPr>
        <w:tc>
          <w:tcPr>
            <w:tcW w:w="96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834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94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r>
      <w:tr>
        <w:tblPrEx>
          <w:tblW w:w="10245" w:type="dxa"/>
          <w:tblInd w:w="0" w:type="dxa"/>
          <w:tblLayout w:type="fixed"/>
        </w:tblPrEx>
        <w:trPr>
          <w:trHeight w:hRule="exact" w:val="285"/>
        </w:trPr>
        <w:tc>
          <w:tcPr>
            <w:tcW w:w="96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834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94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r>
      <w:tr>
        <w:tblPrEx>
          <w:tblW w:w="10245" w:type="dxa"/>
          <w:tblInd w:w="0" w:type="dxa"/>
          <w:tblLayout w:type="fixed"/>
        </w:tblPrEx>
        <w:trPr>
          <w:trHeight w:hRule="exact" w:val="285"/>
        </w:trPr>
        <w:tc>
          <w:tcPr>
            <w:tcW w:w="96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834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94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r>
      <w:tr>
        <w:tblPrEx>
          <w:tblW w:w="10245" w:type="dxa"/>
          <w:tblInd w:w="0" w:type="dxa"/>
          <w:tblLayout w:type="fixed"/>
        </w:tblPrEx>
        <w:trPr>
          <w:trHeight w:hRule="exact" w:val="285"/>
        </w:trPr>
        <w:tc>
          <w:tcPr>
            <w:tcW w:w="960" w:type="dxa"/>
            <w:tcBorders>
              <w:top w:val="nil"/>
              <w:left w:val="nil"/>
              <w:bottom w:val="nil"/>
              <w:right w:val="nil"/>
            </w:tcBorders>
            <w:tcMar>
              <w:top w:w="0" w:type="dxa"/>
              <w:left w:w="0" w:type="dxa"/>
              <w:bottom w:w="0" w:type="dxa"/>
              <w:right w:w="0" w:type="dxa"/>
            </w:tcMar>
            <w:vAlign w:val="bottom"/>
          </w:tcPr>
          <w:p>
            <w:pPr>
              <w:pageBreakBefore w:val="0"/>
              <w:spacing w:before="0" w:after="0"/>
            </w:pPr>
          </w:p>
        </w:tc>
        <w:tc>
          <w:tcPr>
            <w:tcW w:w="8340" w:type="dxa"/>
            <w:tcBorders>
              <w:top w:val="nil"/>
              <w:left w:val="nil"/>
              <w:bottom w:val="nil"/>
              <w:right w:val="nil"/>
            </w:tcBorders>
            <w:tcMar>
              <w:top w:w="0" w:type="dxa"/>
              <w:left w:w="0" w:type="dxa"/>
              <w:bottom w:w="0" w:type="dxa"/>
              <w:right w:w="0" w:type="dxa"/>
            </w:tcMar>
            <w:vAlign w:val="bottom"/>
          </w:tcPr>
          <w:p>
            <w:pPr>
              <w:pageBreakBefore w:val="0"/>
              <w:spacing w:before="0" w:after="0"/>
            </w:pPr>
          </w:p>
        </w:tc>
        <w:tc>
          <w:tcPr>
            <w:tcW w:w="945" w:type="dxa"/>
            <w:tcBorders>
              <w:top w:val="nil"/>
              <w:left w:val="nil"/>
              <w:bottom w:val="nil"/>
              <w:right w:val="nil"/>
            </w:tcBorders>
            <w:tcMar>
              <w:top w:w="0" w:type="dxa"/>
              <w:left w:w="0" w:type="dxa"/>
              <w:bottom w:w="0" w:type="dxa"/>
              <w:right w:w="0" w:type="dxa"/>
            </w:tcMar>
            <w:vAlign w:val="bottom"/>
          </w:tcPr>
          <w:p>
            <w:pPr>
              <w:pageBreakBefore w:val="0"/>
              <w:spacing w:before="0" w:after="0"/>
            </w:pPr>
          </w:p>
        </w:tc>
      </w:tr>
    </w:tbl>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sectPr>
          <w:headerReference w:type="default" r:id="rId9"/>
          <w:footerReference w:type="default" r:id="rId10"/>
          <w:pgSz w:w="12240" w:h="15840"/>
          <w:pgMar w:top="765" w:right="990" w:bottom="855" w:left="990" w:header="270" w:footer="0"/>
          <w:cols w:space="708"/>
        </w:sectPr>
      </w:pPr>
    </w:p>
    <w:p>
      <w:pPr>
        <w:keepNext w:val="0"/>
        <w:keepLines/>
        <w:pageBreakBefore w:val="0"/>
        <w:widowControl w:val="0"/>
        <w:numPr>
          <w:ilvl w:val="0"/>
          <w:numId w:val="0"/>
        </w:numPr>
        <w:spacing w:before="0" w:after="0" w:line="288" w:lineRule="auto"/>
        <w:ind w:left="0" w:right="0" w:firstLine="0"/>
        <w:jc w:val="center"/>
        <w:outlineLvl w:val="0"/>
        <w:rPr>
          <w:rFonts w:ascii="Times New Roman" w:eastAsia="Times New Roman" w:hAnsi="Times New Roman" w:cs="Times New Roman"/>
          <w:b/>
          <w:i w:val="0"/>
          <w:sz w:val="20"/>
        </w:rPr>
      </w:pPr>
      <w:bookmarkStart w:id="2" w:name="Section3"/>
      <w:bookmarkEnd w:id="2"/>
      <w:r>
        <w:rPr>
          <w:rFonts w:ascii="Times New Roman" w:eastAsia="Times New Roman" w:hAnsi="Times New Roman" w:cs="Times New Roman"/>
          <w:b/>
          <w:i w:val="0"/>
          <w:sz w:val="20"/>
        </w:rPr>
        <w:t>PART I</w:t>
      </w:r>
    </w:p>
    <w:p>
      <w:pPr>
        <w:keepNext w:val="0"/>
        <w:keepLines/>
        <w:pageBreakBefore w:val="0"/>
        <w:widowControl w:val="0"/>
        <w:numPr>
          <w:ilvl w:val="0"/>
          <w:numId w:val="0"/>
        </w:numPr>
        <w:spacing w:before="0" w:after="0" w:line="288" w:lineRule="auto"/>
        <w:ind w:left="0" w:right="0" w:firstLine="0"/>
        <w:jc w:val="center"/>
        <w:outlineLvl w:val="0"/>
        <w:sectPr>
          <w:headerReference w:type="default" r:id="rId11"/>
          <w:footerReference w:type="default" r:id="rId12"/>
          <w:pgSz w:w="12240" w:h="15840"/>
          <w:pgMar w:top="855" w:right="990" w:bottom="855" w:left="990" w:header="270" w:footer="270"/>
          <w:pgNumType w:start="1"/>
          <w:cols w:space="708"/>
        </w:sectPr>
      </w:pPr>
    </w:p>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i w:val="0"/>
          <w:sz w:val="20"/>
        </w:rPr>
      </w:pPr>
      <w:bookmarkStart w:id="3" w:name="Section4"/>
      <w:bookmarkEnd w:id="3"/>
    </w:p>
    <w:p>
      <w:pPr>
        <w:keepNext/>
        <w:keepLines/>
        <w:pageBreakBefore w:val="0"/>
        <w:widowControl w:val="0"/>
        <w:numPr>
          <w:ilvl w:val="0"/>
          <w:numId w:val="0"/>
        </w:numPr>
        <w:spacing w:before="0" w:after="0" w:line="288" w:lineRule="auto"/>
        <w:ind w:left="0" w:right="0" w:firstLine="0"/>
        <w:jc w:val="left"/>
        <w:outlineLvl w:val="1"/>
        <w:rPr>
          <w:rFonts w:ascii="Times New Roman" w:eastAsia="Times New Roman" w:hAnsi="Times New Roman" w:cs="Times New Roman"/>
          <w:b/>
          <w:i w:val="0"/>
          <w:sz w:val="20"/>
        </w:rPr>
      </w:pPr>
      <w:r>
        <w:rPr>
          <w:rFonts w:ascii="Times New Roman" w:eastAsia="Times New Roman" w:hAnsi="Times New Roman" w:cs="Times New Roman"/>
          <w:b/>
          <w:i w:val="0"/>
          <w:sz w:val="20"/>
        </w:rPr>
        <w:t xml:space="preserve">ITEM 1. FINANCIAL STATEMENTS </w:t>
      </w:r>
    </w:p>
    <w:p>
      <w:pPr>
        <w:keepNext/>
        <w:keepLines/>
        <w:pageBreakBefore w:val="0"/>
        <w:widowControl w:val="0"/>
        <w:numPr>
          <w:ilvl w:val="0"/>
          <w:numId w:val="0"/>
        </w:numPr>
        <w:spacing w:before="0" w:after="0" w:line="288" w:lineRule="auto"/>
        <w:ind w:left="0" w:right="0" w:firstLine="0"/>
        <w:jc w:val="left"/>
        <w:outlineLvl w:val="1"/>
        <w:sectPr>
          <w:footerReference w:type="default" r:id="rId13"/>
          <w:type w:val="continuous"/>
          <w:pgSz w:w="12240" w:h="15840"/>
          <w:pgMar w:top="855" w:right="990" w:bottom="855" w:left="990" w:header="270" w:footer="270"/>
          <w:cols w:space="708"/>
        </w:sectPr>
      </w:pPr>
    </w:p>
    <w:p>
      <w:pPr>
        <w:keepNext/>
        <w:keepLines/>
        <w:pageBreakBefore w:val="0"/>
        <w:widowControl w:val="0"/>
        <w:numPr>
          <w:ilvl w:val="0"/>
          <w:numId w:val="0"/>
        </w:numPr>
        <w:spacing w:before="0" w:after="0" w:line="288" w:lineRule="auto"/>
        <w:ind w:left="0" w:right="0" w:firstLine="0"/>
        <w:jc w:val="center"/>
        <w:outlineLvl w:val="2"/>
        <w:rPr>
          <w:rFonts w:ascii="Times New Roman" w:eastAsia="Times New Roman" w:hAnsi="Times New Roman" w:cs="Times New Roman"/>
          <w:b/>
          <w:i w:val="0"/>
          <w:sz w:val="20"/>
        </w:rPr>
      </w:pPr>
      <w:bookmarkStart w:id="4" w:name="Section5"/>
      <w:bookmarkEnd w:id="4"/>
      <w:r>
        <w:rPr>
          <w:rFonts w:ascii="Times New Roman" w:eastAsia="Times New Roman" w:hAnsi="Times New Roman" w:cs="Times New Roman"/>
          <w:b/>
          <w:i w:val="0"/>
          <w:sz w:val="20"/>
        </w:rPr>
        <w:t>ASURE SOFTWARE, INC.</w:t>
      </w:r>
    </w:p>
    <w:p>
      <w:pPr>
        <w:keepNext/>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i w:val="0"/>
          <w:sz w:val="20"/>
        </w:rPr>
      </w:pPr>
      <w:r>
        <w:rPr>
          <w:rFonts w:ascii="Times New Roman" w:eastAsia="Times New Roman" w:hAnsi="Times New Roman" w:cs="Times New Roman"/>
          <w:b/>
          <w:i w:val="0"/>
          <w:sz w:val="20"/>
        </w:rPr>
        <w:t>CONDENSED CONSOLIDATED BALANCE SHEETS</w:t>
      </w:r>
    </w:p>
    <w:p>
      <w:pPr>
        <w:keepNext/>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16"/>
        </w:rPr>
      </w:pPr>
      <w:r>
        <w:rPr>
          <w:rFonts w:ascii="Times New Roman" w:eastAsia="Times New Roman" w:hAnsi="Times New Roman" w:cs="Times New Roman"/>
          <w:b w:val="0"/>
          <w:i w:val="0"/>
          <w:sz w:val="16"/>
        </w:rPr>
        <w:t>(in thousands, except per share amounts)</w:t>
      </w:r>
    </w:p>
    <w:p>
      <w:pPr>
        <w:keepNext/>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16"/>
        </w:rPr>
      </w:pPr>
      <w:r>
        <w:rPr>
          <w:rFonts w:ascii="Times New Roman" w:eastAsia="Times New Roman" w:hAnsi="Times New Roman" w:cs="Times New Roman"/>
          <w:b w:val="0"/>
          <w:i w:val="0"/>
          <w:sz w:val="16"/>
        </w:rPr>
        <w:t>(Unaudited)</w:t>
      </w:r>
    </w:p>
    <w:tbl>
      <w:tblPr>
        <w:tblStyle w:val="TableNormal0"/>
        <w:tblW w:w="10245" w:type="dxa"/>
        <w:jc w:val="left"/>
        <w:tblInd w:w="0" w:type="dxa"/>
        <w:tblLayout w:type="fixed"/>
      </w:tblPr>
      <w:tblGrid>
        <w:gridCol w:w="7260"/>
        <w:gridCol w:w="1455"/>
        <w:gridCol w:w="75"/>
        <w:gridCol w:w="1455"/>
      </w:tblGrid>
      <w:tr>
        <w:tblPrEx>
          <w:tblW w:w="10245" w:type="dxa"/>
          <w:tblInd w:w="0" w:type="dxa"/>
          <w:tblLayout w:type="fixed"/>
        </w:tblPrEx>
        <w:trPr>
          <w:trHeight w:hRule="exact" w:val="495"/>
        </w:trPr>
        <w:tc>
          <w:tcPr>
            <w:tcW w:w="726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45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88" w:lineRule="auto"/>
              <w:jc w:val="center"/>
            </w:pPr>
            <w:r>
              <w:rPr>
                <w:rFonts w:ascii="Times New Roman" w:eastAsia="Times New Roman" w:hAnsi="Times New Roman" w:cs="Times New Roman"/>
                <w:b/>
                <w:i w:val="0"/>
                <w:color w:val="000000"/>
                <w:sz w:val="16"/>
                <w:u w:val="none"/>
              </w:rPr>
              <w:t>March 31, 2026</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45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88" w:lineRule="auto"/>
              <w:jc w:val="center"/>
            </w:pPr>
            <w:r>
              <w:rPr>
                <w:rFonts w:ascii="Times New Roman" w:eastAsia="Times New Roman" w:hAnsi="Times New Roman" w:cs="Times New Roman"/>
                <w:b/>
                <w:i w:val="0"/>
                <w:color w:val="000000"/>
                <w:sz w:val="16"/>
                <w:u w:val="none"/>
              </w:rPr>
              <w:t>December 31, 2025</w:t>
            </w:r>
          </w:p>
        </w:tc>
      </w:tr>
      <w:tr>
        <w:tblPrEx>
          <w:tblW w:w="10245" w:type="dxa"/>
          <w:tblInd w:w="0" w:type="dxa"/>
          <w:tblLayout w:type="fixed"/>
        </w:tblPrEx>
        <w:trPr>
          <w:trHeight w:hRule="exact" w:val="240"/>
        </w:trPr>
        <w:tc>
          <w:tcPr>
            <w:tcW w:w="726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33" w:after="30" w:line="288" w:lineRule="auto"/>
              <w:jc w:val="left"/>
            </w:pPr>
            <w:r>
              <w:rPr>
                <w:rFonts w:ascii="Times New Roman" w:eastAsia="Times New Roman" w:hAnsi="Times New Roman" w:cs="Times New Roman"/>
                <w:b/>
                <w:i w:val="0"/>
                <w:color w:val="000000"/>
                <w:sz w:val="16"/>
                <w:u w:val="none"/>
              </w:rPr>
              <w:t>ASSETS</w:t>
            </w:r>
          </w:p>
        </w:tc>
        <w:tc>
          <w:tcPr>
            <w:tcW w:w="1455" w:type="dxa"/>
            <w:tcBorders>
              <w:top w:val="sing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55" w:type="dxa"/>
            <w:tcBorders>
              <w:top w:val="sing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r>
      <w:tr>
        <w:tblPrEx>
          <w:tblW w:w="10245" w:type="dxa"/>
          <w:tblInd w:w="0" w:type="dxa"/>
          <w:tblLayout w:type="fixed"/>
        </w:tblPrEx>
        <w:trPr>
          <w:trHeight w:hRule="exact" w:val="240"/>
        </w:trPr>
        <w:tc>
          <w:tcPr>
            <w:tcW w:w="726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88" w:lineRule="auto"/>
              <w:ind w:left="240"/>
              <w:jc w:val="left"/>
            </w:pPr>
            <w:r>
              <w:rPr>
                <w:rFonts w:ascii="Times New Roman" w:eastAsia="Times New Roman" w:hAnsi="Times New Roman" w:cs="Times New Roman"/>
                <w:b w:val="0"/>
                <w:i w:val="0"/>
                <w:color w:val="000000"/>
                <w:sz w:val="16"/>
                <w:u w:val="none"/>
              </w:rPr>
              <w:t>Current assets:</w:t>
            </w:r>
          </w:p>
        </w:tc>
        <w:tc>
          <w:tcPr>
            <w:tcW w:w="145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5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r>
      <w:tr>
        <w:tblPrEx>
          <w:tblW w:w="10245" w:type="dxa"/>
          <w:tblInd w:w="0" w:type="dxa"/>
          <w:tblLayout w:type="fixed"/>
        </w:tblPrEx>
        <w:trPr>
          <w:trHeight w:hRule="exact" w:val="240"/>
        </w:trPr>
        <w:tc>
          <w:tcPr>
            <w:tcW w:w="726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88" w:lineRule="auto"/>
              <w:ind w:left="630" w:hanging="180"/>
              <w:jc w:val="left"/>
            </w:pPr>
            <w:r>
              <w:rPr>
                <w:rFonts w:ascii="Times New Roman" w:eastAsia="Times New Roman" w:hAnsi="Times New Roman" w:cs="Times New Roman"/>
                <w:b w:val="0"/>
                <w:i w:val="0"/>
                <w:color w:val="000000"/>
                <w:sz w:val="16"/>
                <w:u w:val="none"/>
              </w:rPr>
              <w:t>Cash and cash equivalents</w:t>
            </w:r>
          </w:p>
        </w:tc>
        <w:tc>
          <w:tcPr>
            <w:tcW w:w="145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896"/>
                <w:tab w:val="left" w:pos="1387"/>
              </w:tabs>
              <w:spacing w:before="53" w:after="30" w:line="288" w:lineRule="auto"/>
              <w:jc w:val="right"/>
            </w:pPr>
            <w:r>
              <w:rPr>
                <w:rFonts w:ascii="Times New Roman" w:eastAsia="Times New Roman" w:hAnsi="Times New Roman" w:cs="Times New Roman"/>
                <w:b w:val="0"/>
                <w:i w:val="0"/>
                <w:color w:val="000000"/>
                <w:sz w:val="16"/>
                <w:u w:val="none"/>
              </w:rPr>
              <w:t>$</w:t>
              <w:tab/>
              <w:t>19,221</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5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896"/>
                <w:tab w:val="left" w:pos="1387"/>
              </w:tabs>
              <w:spacing w:before="53" w:after="30" w:line="288" w:lineRule="auto"/>
              <w:jc w:val="right"/>
            </w:pPr>
            <w:r>
              <w:rPr>
                <w:rFonts w:ascii="Times New Roman" w:eastAsia="Times New Roman" w:hAnsi="Times New Roman" w:cs="Times New Roman"/>
                <w:b w:val="0"/>
                <w:i w:val="0"/>
                <w:color w:val="000000"/>
                <w:sz w:val="16"/>
                <w:u w:val="none"/>
              </w:rPr>
              <w:t>$</w:t>
              <w:tab/>
              <w:t>25,244</w:t>
              <w:tab/>
            </w:r>
          </w:p>
        </w:tc>
      </w:tr>
      <w:tr>
        <w:tblPrEx>
          <w:tblW w:w="10245" w:type="dxa"/>
          <w:tblInd w:w="0" w:type="dxa"/>
          <w:tblLayout w:type="fixed"/>
        </w:tblPrEx>
        <w:trPr>
          <w:trHeight w:hRule="exact" w:val="435"/>
        </w:trPr>
        <w:tc>
          <w:tcPr>
            <w:tcW w:w="726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numPr>
                <w:ilvl w:val="0"/>
                <w:numId w:val="0"/>
              </w:numPr>
              <w:spacing w:before="53" w:after="30" w:line="288" w:lineRule="auto"/>
              <w:ind w:left="630" w:right="0" w:hanging="180"/>
              <w:jc w:val="left"/>
              <w:outlineLvl w:val="9"/>
              <w:rPr>
                <w:rFonts w:ascii="Times New Roman" w:eastAsia="Times New Roman" w:hAnsi="Times New Roman" w:cs="Times New Roman"/>
                <w:b w:val="0"/>
                <w:i w:val="0"/>
                <w:sz w:val="16"/>
              </w:rPr>
            </w:pPr>
            <w:r>
              <w:rPr>
                <w:rFonts w:ascii="Times New Roman" w:eastAsia="Times New Roman" w:hAnsi="Times New Roman" w:cs="Times New Roman"/>
                <w:b w:val="0"/>
                <w:i w:val="0"/>
                <w:sz w:val="16"/>
              </w:rPr>
              <w:t>Accounts receivable, net of allowance for credit losses</w:t>
            </w:r>
            <w:r>
              <w:rPr>
                <w:rFonts w:ascii="Times New Roman" w:eastAsia="Times New Roman" w:hAnsi="Times New Roman" w:cs="Times New Roman"/>
                <w:b w:val="0"/>
                <w:i w:val="0"/>
                <w:color w:val="000000"/>
                <w:sz w:val="16"/>
                <w:highlight w:val="white"/>
                <w:u w:val="none"/>
              </w:rPr>
              <w:t xml:space="preserve"> of </w:t>
            </w:r>
            <w:r>
              <w:rPr>
                <w:rFonts w:ascii="Times New Roman" w:eastAsia="Times New Roman" w:hAnsi="Times New Roman" w:cs="Times New Roman"/>
                <w:b w:val="0"/>
                <w:i w:val="0"/>
                <w:color w:val="000000"/>
                <w:sz w:val="16"/>
                <w:highlight w:val="white"/>
                <w:u w:val="none"/>
              </w:rPr>
              <w:t>$7,610</w:t>
            </w:r>
            <w:r>
              <w:rPr>
                <w:rFonts w:ascii="Times New Roman" w:eastAsia="Times New Roman" w:hAnsi="Times New Roman" w:cs="Times New Roman"/>
                <w:b w:val="0"/>
                <w:i w:val="0"/>
                <w:color w:val="000000"/>
                <w:sz w:val="16"/>
                <w:highlight w:val="white"/>
                <w:u w:val="none"/>
              </w:rPr>
              <w:t xml:space="preserve"> a</w:t>
            </w:r>
            <w:r>
              <w:rPr>
                <w:rFonts w:ascii="Times New Roman" w:eastAsia="Times New Roman" w:hAnsi="Times New Roman" w:cs="Times New Roman"/>
                <w:b w:val="0"/>
                <w:i w:val="0"/>
                <w:sz w:val="16"/>
              </w:rPr>
              <w:t>nd </w:t>
            </w:r>
            <w:r>
              <w:rPr>
                <w:rFonts w:ascii="Times New Roman" w:eastAsia="Times New Roman" w:hAnsi="Times New Roman" w:cs="Times New Roman"/>
                <w:b w:val="0"/>
                <w:i w:val="0"/>
                <w:color w:val="000000"/>
                <w:sz w:val="16"/>
                <w:u w:val="none"/>
              </w:rPr>
              <w:t>$7,206</w:t>
            </w:r>
            <w:r>
              <w:rPr>
                <w:rFonts w:ascii="Times New Roman" w:eastAsia="Times New Roman" w:hAnsi="Times New Roman" w:cs="Times New Roman"/>
                <w:b w:val="0"/>
                <w:i w:val="0"/>
                <w:sz w:val="16"/>
              </w:rPr>
              <w:t xml:space="preserve"> at </w:t>
            </w:r>
            <w:r>
              <w:rPr>
                <w:rFonts w:ascii="Times New Roman" w:eastAsia="Times New Roman" w:hAnsi="Times New Roman" w:cs="Times New Roman"/>
                <w:b w:val="0"/>
                <w:i w:val="0"/>
                <w:color w:val="000000"/>
                <w:sz w:val="16"/>
                <w:u w:val="none"/>
              </w:rPr>
              <w:t>March 31, 2026</w:t>
            </w:r>
            <w:r>
              <w:rPr>
                <w:rFonts w:ascii="Times New Roman" w:eastAsia="Times New Roman" w:hAnsi="Times New Roman" w:cs="Times New Roman"/>
                <w:b w:val="0"/>
                <w:i w:val="0"/>
                <w:sz w:val="16"/>
              </w:rPr>
              <w:t xml:space="preserve"> and </w:t>
            </w:r>
            <w:r>
              <w:rPr>
                <w:rFonts w:ascii="Times New Roman" w:eastAsia="Times New Roman" w:hAnsi="Times New Roman" w:cs="Times New Roman"/>
                <w:b w:val="0"/>
                <w:i w:val="0"/>
                <w:color w:val="000000"/>
                <w:sz w:val="16"/>
                <w:u w:val="none"/>
              </w:rPr>
              <w:t>December 31, 2025</w:t>
            </w:r>
            <w:r>
              <w:rPr>
                <w:rFonts w:ascii="Times New Roman" w:eastAsia="Times New Roman" w:hAnsi="Times New Roman" w:cs="Times New Roman"/>
                <w:b w:val="0"/>
                <w:i w:val="0"/>
                <w:sz w:val="16"/>
              </w:rPr>
              <w:t>, respectively</w:t>
            </w:r>
          </w:p>
        </w:tc>
        <w:tc>
          <w:tcPr>
            <w:tcW w:w="145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896"/>
                <w:tab w:val="left" w:pos="1387"/>
              </w:tabs>
              <w:spacing w:before="53" w:after="30" w:line="288" w:lineRule="auto"/>
              <w:jc w:val="right"/>
            </w:pPr>
            <w:r>
              <w:rPr>
                <w:rFonts w:ascii="Times New Roman" w:eastAsia="Times New Roman" w:hAnsi="Times New Roman" w:cs="Times New Roman"/>
                <w:b w:val="0"/>
                <w:i w:val="0"/>
                <w:color w:val="000000"/>
                <w:sz w:val="16"/>
                <w:u w:val="none"/>
              </w:rPr>
              <w:tab/>
              <w:t>13,467</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5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896"/>
                <w:tab w:val="left" w:pos="1387"/>
              </w:tabs>
              <w:spacing w:before="53" w:after="30" w:line="288" w:lineRule="auto"/>
              <w:jc w:val="right"/>
            </w:pPr>
            <w:r>
              <w:rPr>
                <w:rFonts w:ascii="Times New Roman" w:eastAsia="Times New Roman" w:hAnsi="Times New Roman" w:cs="Times New Roman"/>
                <w:b w:val="0"/>
                <w:i w:val="0"/>
                <w:color w:val="000000"/>
                <w:sz w:val="16"/>
                <w:u w:val="none"/>
              </w:rPr>
              <w:tab/>
              <w:t>15,859</w:t>
              <w:tab/>
            </w:r>
          </w:p>
        </w:tc>
      </w:tr>
      <w:tr>
        <w:tblPrEx>
          <w:tblW w:w="10245" w:type="dxa"/>
          <w:tblInd w:w="0" w:type="dxa"/>
          <w:tblLayout w:type="fixed"/>
        </w:tblPrEx>
        <w:trPr>
          <w:trHeight w:hRule="exact" w:val="240"/>
        </w:trPr>
        <w:tc>
          <w:tcPr>
            <w:tcW w:w="726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88" w:lineRule="auto"/>
              <w:ind w:left="630" w:hanging="180"/>
              <w:jc w:val="left"/>
            </w:pPr>
            <w:r>
              <w:rPr>
                <w:rFonts w:ascii="Times New Roman" w:eastAsia="Times New Roman" w:hAnsi="Times New Roman" w:cs="Times New Roman"/>
                <w:b w:val="0"/>
                <w:i w:val="0"/>
                <w:color w:val="000000"/>
                <w:sz w:val="16"/>
                <w:u w:val="none"/>
              </w:rPr>
              <w:t>Inventory</w:t>
            </w:r>
          </w:p>
        </w:tc>
        <w:tc>
          <w:tcPr>
            <w:tcW w:w="145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976"/>
                <w:tab w:val="left" w:pos="1387"/>
              </w:tabs>
              <w:spacing w:before="53" w:after="30" w:line="288" w:lineRule="auto"/>
              <w:jc w:val="right"/>
            </w:pPr>
            <w:r>
              <w:rPr>
                <w:rFonts w:ascii="Times New Roman" w:eastAsia="Times New Roman" w:hAnsi="Times New Roman" w:cs="Times New Roman"/>
                <w:b w:val="0"/>
                <w:i w:val="0"/>
                <w:color w:val="000000"/>
                <w:sz w:val="16"/>
                <w:u w:val="none"/>
              </w:rPr>
              <w:tab/>
              <w:t>2,647</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5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976"/>
                <w:tab w:val="left" w:pos="1387"/>
              </w:tabs>
              <w:spacing w:before="53" w:after="30" w:line="288" w:lineRule="auto"/>
              <w:jc w:val="right"/>
            </w:pPr>
            <w:r>
              <w:rPr>
                <w:rFonts w:ascii="Times New Roman" w:eastAsia="Times New Roman" w:hAnsi="Times New Roman" w:cs="Times New Roman"/>
                <w:b w:val="0"/>
                <w:i w:val="0"/>
                <w:color w:val="000000"/>
                <w:sz w:val="16"/>
                <w:u w:val="none"/>
              </w:rPr>
              <w:tab/>
              <w:t>2,826</w:t>
              <w:tab/>
            </w:r>
          </w:p>
        </w:tc>
      </w:tr>
      <w:tr>
        <w:tblPrEx>
          <w:tblW w:w="10245" w:type="dxa"/>
          <w:tblInd w:w="0" w:type="dxa"/>
          <w:tblLayout w:type="fixed"/>
        </w:tblPrEx>
        <w:trPr>
          <w:trHeight w:hRule="exact" w:val="240"/>
        </w:trPr>
        <w:tc>
          <w:tcPr>
            <w:tcW w:w="726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88" w:lineRule="auto"/>
              <w:ind w:left="630" w:hanging="180"/>
              <w:jc w:val="left"/>
            </w:pPr>
            <w:r>
              <w:rPr>
                <w:rFonts w:ascii="Times New Roman" w:eastAsia="Times New Roman" w:hAnsi="Times New Roman" w:cs="Times New Roman"/>
                <w:b w:val="0"/>
                <w:i w:val="0"/>
                <w:color w:val="000000"/>
                <w:sz w:val="16"/>
                <w:u w:val="none"/>
              </w:rPr>
              <w:t>Prepaid expenses and other current assets</w:t>
            </w:r>
          </w:p>
        </w:tc>
        <w:tc>
          <w:tcPr>
            <w:tcW w:w="145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976"/>
                <w:tab w:val="left" w:pos="1387"/>
              </w:tabs>
              <w:spacing w:before="53" w:after="30" w:line="288" w:lineRule="auto"/>
              <w:jc w:val="right"/>
            </w:pPr>
            <w:r>
              <w:rPr>
                <w:rFonts w:ascii="Times New Roman" w:eastAsia="Times New Roman" w:hAnsi="Times New Roman" w:cs="Times New Roman"/>
                <w:b w:val="0"/>
                <w:i w:val="0"/>
                <w:color w:val="000000"/>
                <w:sz w:val="16"/>
                <w:u w:val="none"/>
              </w:rPr>
              <w:tab/>
              <w:t>7,251</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5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976"/>
                <w:tab w:val="left" w:pos="1387"/>
              </w:tabs>
              <w:spacing w:before="53" w:after="30" w:line="288" w:lineRule="auto"/>
              <w:jc w:val="right"/>
            </w:pPr>
            <w:r>
              <w:rPr>
                <w:rFonts w:ascii="Times New Roman" w:eastAsia="Times New Roman" w:hAnsi="Times New Roman" w:cs="Times New Roman"/>
                <w:b w:val="0"/>
                <w:i w:val="0"/>
                <w:color w:val="000000"/>
                <w:sz w:val="16"/>
                <w:u w:val="none"/>
              </w:rPr>
              <w:tab/>
              <w:t>6,329</w:t>
              <w:tab/>
            </w:r>
          </w:p>
        </w:tc>
      </w:tr>
      <w:tr>
        <w:tblPrEx>
          <w:tblW w:w="10245" w:type="dxa"/>
          <w:tblInd w:w="0" w:type="dxa"/>
          <w:tblLayout w:type="fixed"/>
        </w:tblPrEx>
        <w:trPr>
          <w:trHeight w:hRule="exact" w:val="240"/>
        </w:trPr>
        <w:tc>
          <w:tcPr>
            <w:tcW w:w="726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33" w:after="30" w:line="288" w:lineRule="auto"/>
              <w:ind w:left="240"/>
              <w:jc w:val="left"/>
            </w:pPr>
            <w:r>
              <w:rPr>
                <w:rFonts w:ascii="Times New Roman" w:eastAsia="Times New Roman" w:hAnsi="Times New Roman" w:cs="Times New Roman"/>
                <w:b w:val="0"/>
                <w:i w:val="0"/>
                <w:color w:val="000000"/>
                <w:sz w:val="16"/>
                <w:u w:val="none"/>
              </w:rPr>
              <w:t>Total current assets before funds held for clients</w:t>
            </w:r>
          </w:p>
        </w:tc>
        <w:tc>
          <w:tcPr>
            <w:tcW w:w="145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896"/>
                <w:tab w:val="left" w:pos="1387"/>
              </w:tabs>
              <w:spacing w:before="33" w:after="30" w:line="288" w:lineRule="auto"/>
              <w:jc w:val="right"/>
            </w:pPr>
            <w:r>
              <w:rPr>
                <w:rFonts w:ascii="Times New Roman" w:eastAsia="Times New Roman" w:hAnsi="Times New Roman" w:cs="Times New Roman"/>
                <w:b w:val="0"/>
                <w:i w:val="0"/>
                <w:color w:val="000000"/>
                <w:sz w:val="16"/>
                <w:u w:val="none"/>
              </w:rPr>
              <w:tab/>
              <w:t>42,586</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5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896"/>
                <w:tab w:val="left" w:pos="1387"/>
              </w:tabs>
              <w:spacing w:before="33" w:after="30" w:line="288" w:lineRule="auto"/>
              <w:jc w:val="right"/>
            </w:pPr>
            <w:r>
              <w:rPr>
                <w:rFonts w:ascii="Times New Roman" w:eastAsia="Times New Roman" w:hAnsi="Times New Roman" w:cs="Times New Roman"/>
                <w:b w:val="0"/>
                <w:i w:val="0"/>
                <w:color w:val="000000"/>
                <w:sz w:val="16"/>
                <w:u w:val="none"/>
              </w:rPr>
              <w:tab/>
              <w:t>50,258</w:t>
              <w:tab/>
            </w:r>
          </w:p>
        </w:tc>
      </w:tr>
      <w:tr>
        <w:tblPrEx>
          <w:tblW w:w="10245" w:type="dxa"/>
          <w:tblInd w:w="0" w:type="dxa"/>
          <w:tblLayout w:type="fixed"/>
        </w:tblPrEx>
        <w:trPr>
          <w:trHeight w:hRule="exact" w:val="240"/>
        </w:trPr>
        <w:tc>
          <w:tcPr>
            <w:tcW w:w="726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88" w:lineRule="auto"/>
              <w:ind w:left="630" w:hanging="180"/>
              <w:jc w:val="left"/>
            </w:pPr>
            <w:r>
              <w:rPr>
                <w:rFonts w:ascii="Times New Roman" w:eastAsia="Times New Roman" w:hAnsi="Times New Roman" w:cs="Times New Roman"/>
                <w:b w:val="0"/>
                <w:i w:val="0"/>
                <w:color w:val="000000"/>
                <w:sz w:val="16"/>
                <w:u w:val="none"/>
              </w:rPr>
              <w:t>Funds held for clients</w:t>
            </w:r>
          </w:p>
        </w:tc>
        <w:tc>
          <w:tcPr>
            <w:tcW w:w="145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816"/>
                <w:tab w:val="left" w:pos="1387"/>
              </w:tabs>
              <w:spacing w:before="53" w:after="30" w:line="288" w:lineRule="auto"/>
              <w:jc w:val="right"/>
            </w:pPr>
            <w:r>
              <w:rPr>
                <w:rFonts w:ascii="Times New Roman" w:eastAsia="Times New Roman" w:hAnsi="Times New Roman" w:cs="Times New Roman"/>
                <w:b w:val="0"/>
                <w:i w:val="0"/>
                <w:color w:val="000000"/>
                <w:sz w:val="16"/>
                <w:u w:val="none"/>
              </w:rPr>
              <w:tab/>
              <w:t>216,514</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5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816"/>
                <w:tab w:val="left" w:pos="1387"/>
              </w:tabs>
              <w:spacing w:before="53" w:after="30" w:line="288" w:lineRule="auto"/>
              <w:jc w:val="right"/>
            </w:pPr>
            <w:r>
              <w:rPr>
                <w:rFonts w:ascii="Times New Roman" w:eastAsia="Times New Roman" w:hAnsi="Times New Roman" w:cs="Times New Roman"/>
                <w:b w:val="0"/>
                <w:i w:val="0"/>
                <w:color w:val="000000"/>
                <w:sz w:val="16"/>
                <w:u w:val="none"/>
              </w:rPr>
              <w:tab/>
              <w:t>228,111</w:t>
              <w:tab/>
            </w:r>
          </w:p>
        </w:tc>
      </w:tr>
      <w:tr>
        <w:tblPrEx>
          <w:tblW w:w="10245" w:type="dxa"/>
          <w:tblInd w:w="0" w:type="dxa"/>
          <w:tblLayout w:type="fixed"/>
        </w:tblPrEx>
        <w:trPr>
          <w:trHeight w:hRule="exact" w:val="240"/>
        </w:trPr>
        <w:tc>
          <w:tcPr>
            <w:tcW w:w="726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33" w:after="30" w:line="288" w:lineRule="auto"/>
              <w:ind w:left="240"/>
              <w:jc w:val="left"/>
            </w:pPr>
            <w:r>
              <w:rPr>
                <w:rFonts w:ascii="Times New Roman" w:eastAsia="Times New Roman" w:hAnsi="Times New Roman" w:cs="Times New Roman"/>
                <w:b w:val="0"/>
                <w:i w:val="0"/>
                <w:color w:val="000000"/>
                <w:sz w:val="16"/>
                <w:u w:val="none"/>
              </w:rPr>
              <w:t>Total current assets</w:t>
            </w:r>
          </w:p>
        </w:tc>
        <w:tc>
          <w:tcPr>
            <w:tcW w:w="1455" w:type="dxa"/>
            <w:tcBorders>
              <w:top w:val="single" w:sz="8" w:space="0" w:color="000000"/>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816"/>
                <w:tab w:val="left" w:pos="1387"/>
              </w:tabs>
              <w:spacing w:before="33" w:after="30" w:line="288" w:lineRule="auto"/>
              <w:jc w:val="right"/>
            </w:pPr>
            <w:r>
              <w:rPr>
                <w:rFonts w:ascii="Times New Roman" w:eastAsia="Times New Roman" w:hAnsi="Times New Roman" w:cs="Times New Roman"/>
                <w:b w:val="0"/>
                <w:i w:val="0"/>
                <w:color w:val="000000"/>
                <w:sz w:val="16"/>
                <w:u w:val="none"/>
              </w:rPr>
              <w:tab/>
              <w:t>259,100</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55" w:type="dxa"/>
            <w:tcBorders>
              <w:top w:val="single" w:sz="8" w:space="0" w:color="000000"/>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816"/>
                <w:tab w:val="left" w:pos="1387"/>
              </w:tabs>
              <w:spacing w:before="33" w:after="30" w:line="288" w:lineRule="auto"/>
              <w:jc w:val="right"/>
            </w:pPr>
            <w:r>
              <w:rPr>
                <w:rFonts w:ascii="Times New Roman" w:eastAsia="Times New Roman" w:hAnsi="Times New Roman" w:cs="Times New Roman"/>
                <w:b w:val="0"/>
                <w:i w:val="0"/>
                <w:color w:val="000000"/>
                <w:sz w:val="16"/>
                <w:u w:val="none"/>
              </w:rPr>
              <w:tab/>
              <w:t>278,369</w:t>
              <w:tab/>
            </w:r>
          </w:p>
        </w:tc>
      </w:tr>
      <w:tr>
        <w:tblPrEx>
          <w:tblW w:w="10245" w:type="dxa"/>
          <w:tblInd w:w="0" w:type="dxa"/>
          <w:tblLayout w:type="fixed"/>
        </w:tblPrEx>
        <w:trPr>
          <w:trHeight w:hRule="exact" w:val="240"/>
        </w:trPr>
        <w:tc>
          <w:tcPr>
            <w:tcW w:w="726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33" w:after="30" w:line="288" w:lineRule="auto"/>
              <w:ind w:left="240"/>
              <w:jc w:val="left"/>
            </w:pPr>
            <w:r>
              <w:rPr>
                <w:rFonts w:ascii="Times New Roman" w:eastAsia="Times New Roman" w:hAnsi="Times New Roman" w:cs="Times New Roman"/>
                <w:b w:val="0"/>
                <w:i w:val="0"/>
                <w:color w:val="000000"/>
                <w:sz w:val="16"/>
                <w:u w:val="none"/>
              </w:rPr>
              <w:t>Property and equipment, net</w:t>
            </w:r>
          </w:p>
        </w:tc>
        <w:tc>
          <w:tcPr>
            <w:tcW w:w="1455" w:type="dxa"/>
            <w:tcBorders>
              <w:top w:val="single" w:sz="8" w:space="0" w:color="000000"/>
              <w:left w:val="nil"/>
              <w:bottom w:val="nil"/>
              <w:right w:val="nil"/>
            </w:tcBorders>
            <w:shd w:val="clear" w:color="auto" w:fill="FFFFFF"/>
            <w:tcMar>
              <w:top w:w="0" w:type="dxa"/>
              <w:left w:w="0" w:type="dxa"/>
              <w:bottom w:w="0" w:type="dxa"/>
              <w:right w:w="15" w:type="dxa"/>
            </w:tcMar>
            <w:vAlign w:val="bottom"/>
          </w:tcPr>
          <w:p>
            <w:pPr>
              <w:keepNext/>
              <w:pageBreakBefore w:val="0"/>
              <w:tabs>
                <w:tab w:val="left" w:pos="896"/>
                <w:tab w:val="left" w:pos="1387"/>
              </w:tabs>
              <w:spacing w:before="33" w:after="30" w:line="288" w:lineRule="auto"/>
              <w:jc w:val="right"/>
            </w:pPr>
            <w:r>
              <w:rPr>
                <w:rFonts w:ascii="Times New Roman" w:eastAsia="Times New Roman" w:hAnsi="Times New Roman" w:cs="Times New Roman"/>
                <w:b w:val="0"/>
                <w:i w:val="0"/>
                <w:color w:val="000000"/>
                <w:sz w:val="16"/>
                <w:u w:val="none"/>
              </w:rPr>
              <w:tab/>
              <w:t>29,566</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55" w:type="dxa"/>
            <w:tcBorders>
              <w:top w:val="single" w:sz="8" w:space="0" w:color="000000"/>
              <w:left w:val="nil"/>
              <w:bottom w:val="nil"/>
              <w:right w:val="nil"/>
            </w:tcBorders>
            <w:shd w:val="clear" w:color="auto" w:fill="FFFFFF"/>
            <w:tcMar>
              <w:top w:w="0" w:type="dxa"/>
              <w:left w:w="0" w:type="dxa"/>
              <w:bottom w:w="0" w:type="dxa"/>
              <w:right w:w="15" w:type="dxa"/>
            </w:tcMar>
            <w:vAlign w:val="bottom"/>
          </w:tcPr>
          <w:p>
            <w:pPr>
              <w:keepNext/>
              <w:pageBreakBefore w:val="0"/>
              <w:tabs>
                <w:tab w:val="left" w:pos="896"/>
                <w:tab w:val="left" w:pos="1387"/>
              </w:tabs>
              <w:spacing w:before="33" w:after="30" w:line="288" w:lineRule="auto"/>
              <w:jc w:val="right"/>
            </w:pPr>
            <w:r>
              <w:rPr>
                <w:rFonts w:ascii="Times New Roman" w:eastAsia="Times New Roman" w:hAnsi="Times New Roman" w:cs="Times New Roman"/>
                <w:b w:val="0"/>
                <w:i w:val="0"/>
                <w:color w:val="000000"/>
                <w:sz w:val="16"/>
                <w:u w:val="none"/>
              </w:rPr>
              <w:tab/>
              <w:t>27,810</w:t>
              <w:tab/>
            </w:r>
          </w:p>
        </w:tc>
      </w:tr>
      <w:tr>
        <w:tblPrEx>
          <w:tblW w:w="10245" w:type="dxa"/>
          <w:tblInd w:w="0" w:type="dxa"/>
          <w:tblLayout w:type="fixed"/>
        </w:tblPrEx>
        <w:trPr>
          <w:trHeight w:hRule="exact" w:val="240"/>
        </w:trPr>
        <w:tc>
          <w:tcPr>
            <w:tcW w:w="726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88" w:lineRule="auto"/>
              <w:ind w:left="240"/>
              <w:jc w:val="left"/>
            </w:pPr>
            <w:r>
              <w:rPr>
                <w:rFonts w:ascii="Times New Roman" w:eastAsia="Times New Roman" w:hAnsi="Times New Roman" w:cs="Times New Roman"/>
                <w:b w:val="0"/>
                <w:i w:val="0"/>
                <w:color w:val="000000"/>
                <w:sz w:val="16"/>
                <w:u w:val="none"/>
              </w:rPr>
              <w:t>Goodwill</w:t>
            </w:r>
          </w:p>
        </w:tc>
        <w:tc>
          <w:tcPr>
            <w:tcW w:w="145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816"/>
                <w:tab w:val="left" w:pos="1387"/>
              </w:tabs>
              <w:spacing w:before="53" w:after="30" w:line="288" w:lineRule="auto"/>
              <w:jc w:val="right"/>
            </w:pPr>
            <w:r>
              <w:rPr>
                <w:rFonts w:ascii="Times New Roman" w:eastAsia="Times New Roman" w:hAnsi="Times New Roman" w:cs="Times New Roman"/>
                <w:b w:val="0"/>
                <w:i w:val="0"/>
                <w:color w:val="000000"/>
                <w:sz w:val="16"/>
                <w:u w:val="none"/>
              </w:rPr>
              <w:tab/>
              <w:t>115,759</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5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816"/>
                <w:tab w:val="left" w:pos="1387"/>
              </w:tabs>
              <w:spacing w:before="53" w:after="30" w:line="288" w:lineRule="auto"/>
              <w:jc w:val="right"/>
            </w:pPr>
            <w:r>
              <w:rPr>
                <w:rFonts w:ascii="Times New Roman" w:eastAsia="Times New Roman" w:hAnsi="Times New Roman" w:cs="Times New Roman"/>
                <w:b w:val="0"/>
                <w:i w:val="0"/>
                <w:color w:val="000000"/>
                <w:sz w:val="16"/>
                <w:u w:val="none"/>
              </w:rPr>
              <w:tab/>
              <w:t>115,759</w:t>
              <w:tab/>
            </w:r>
          </w:p>
        </w:tc>
      </w:tr>
      <w:tr>
        <w:tblPrEx>
          <w:tblW w:w="10245" w:type="dxa"/>
          <w:tblInd w:w="0" w:type="dxa"/>
          <w:tblLayout w:type="fixed"/>
        </w:tblPrEx>
        <w:trPr>
          <w:trHeight w:hRule="exact" w:val="240"/>
        </w:trPr>
        <w:tc>
          <w:tcPr>
            <w:tcW w:w="726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88" w:lineRule="auto"/>
              <w:ind w:left="240"/>
              <w:jc w:val="left"/>
            </w:pPr>
            <w:r>
              <w:rPr>
                <w:rFonts w:ascii="Times New Roman" w:eastAsia="Times New Roman" w:hAnsi="Times New Roman" w:cs="Times New Roman"/>
                <w:b w:val="0"/>
                <w:i w:val="0"/>
                <w:color w:val="000000"/>
                <w:sz w:val="16"/>
                <w:u w:val="none"/>
              </w:rPr>
              <w:t>Intangible assets, net</w:t>
            </w:r>
          </w:p>
        </w:tc>
        <w:tc>
          <w:tcPr>
            <w:tcW w:w="145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896"/>
                <w:tab w:val="left" w:pos="1387"/>
              </w:tabs>
              <w:spacing w:before="53" w:after="30" w:line="288" w:lineRule="auto"/>
              <w:jc w:val="right"/>
            </w:pPr>
            <w:r>
              <w:rPr>
                <w:rFonts w:ascii="Times New Roman" w:eastAsia="Times New Roman" w:hAnsi="Times New Roman" w:cs="Times New Roman"/>
                <w:b w:val="0"/>
                <w:i w:val="0"/>
                <w:color w:val="000000"/>
                <w:sz w:val="16"/>
                <w:u w:val="none"/>
              </w:rPr>
              <w:tab/>
              <w:t>88,788</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5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896"/>
                <w:tab w:val="left" w:pos="1387"/>
              </w:tabs>
              <w:spacing w:before="53" w:after="30" w:line="288" w:lineRule="auto"/>
              <w:jc w:val="right"/>
            </w:pPr>
            <w:r>
              <w:rPr>
                <w:rFonts w:ascii="Times New Roman" w:eastAsia="Times New Roman" w:hAnsi="Times New Roman" w:cs="Times New Roman"/>
                <w:b w:val="0"/>
                <w:i w:val="0"/>
                <w:color w:val="000000"/>
                <w:sz w:val="16"/>
                <w:u w:val="none"/>
              </w:rPr>
              <w:tab/>
              <w:t>87,911</w:t>
              <w:tab/>
            </w:r>
          </w:p>
        </w:tc>
      </w:tr>
      <w:tr>
        <w:tblPrEx>
          <w:tblW w:w="10245" w:type="dxa"/>
          <w:tblInd w:w="0" w:type="dxa"/>
          <w:tblLayout w:type="fixed"/>
        </w:tblPrEx>
        <w:trPr>
          <w:trHeight w:hRule="exact" w:val="240"/>
        </w:trPr>
        <w:tc>
          <w:tcPr>
            <w:tcW w:w="726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88" w:lineRule="auto"/>
              <w:ind w:left="240"/>
              <w:jc w:val="left"/>
            </w:pPr>
            <w:r>
              <w:rPr>
                <w:rFonts w:ascii="Times New Roman" w:eastAsia="Times New Roman" w:hAnsi="Times New Roman" w:cs="Times New Roman"/>
                <w:b w:val="0"/>
                <w:i w:val="0"/>
                <w:color w:val="000000"/>
                <w:sz w:val="16"/>
                <w:u w:val="none"/>
              </w:rPr>
              <w:t>Operating lease assets, net</w:t>
            </w:r>
          </w:p>
        </w:tc>
        <w:tc>
          <w:tcPr>
            <w:tcW w:w="145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976"/>
                <w:tab w:val="left" w:pos="1387"/>
              </w:tabs>
              <w:spacing w:before="53" w:after="30" w:line="288" w:lineRule="auto"/>
              <w:jc w:val="right"/>
            </w:pPr>
            <w:r>
              <w:rPr>
                <w:rFonts w:ascii="Times New Roman" w:eastAsia="Times New Roman" w:hAnsi="Times New Roman" w:cs="Times New Roman"/>
                <w:b w:val="0"/>
                <w:i w:val="0"/>
                <w:color w:val="000000"/>
                <w:sz w:val="16"/>
                <w:u w:val="none"/>
              </w:rPr>
              <w:tab/>
              <w:t>5,653</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5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976"/>
                <w:tab w:val="left" w:pos="1387"/>
              </w:tabs>
              <w:spacing w:before="53" w:after="30" w:line="288" w:lineRule="auto"/>
              <w:jc w:val="right"/>
            </w:pPr>
            <w:r>
              <w:rPr>
                <w:rFonts w:ascii="Times New Roman" w:eastAsia="Times New Roman" w:hAnsi="Times New Roman" w:cs="Times New Roman"/>
                <w:b w:val="0"/>
                <w:i w:val="0"/>
                <w:color w:val="000000"/>
                <w:sz w:val="16"/>
                <w:u w:val="none"/>
              </w:rPr>
              <w:tab/>
              <w:t>6,028</w:t>
              <w:tab/>
            </w:r>
          </w:p>
        </w:tc>
      </w:tr>
      <w:tr>
        <w:tblPrEx>
          <w:tblW w:w="10245" w:type="dxa"/>
          <w:tblInd w:w="0" w:type="dxa"/>
          <w:tblLayout w:type="fixed"/>
        </w:tblPrEx>
        <w:trPr>
          <w:trHeight w:hRule="exact" w:val="240"/>
        </w:trPr>
        <w:tc>
          <w:tcPr>
            <w:tcW w:w="726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88" w:lineRule="auto"/>
              <w:ind w:left="240"/>
              <w:jc w:val="left"/>
            </w:pPr>
            <w:r>
              <w:rPr>
                <w:rFonts w:ascii="Times New Roman" w:eastAsia="Times New Roman" w:hAnsi="Times New Roman" w:cs="Times New Roman"/>
                <w:b w:val="0"/>
                <w:i w:val="0"/>
                <w:color w:val="000000"/>
                <w:sz w:val="16"/>
                <w:u w:val="none"/>
              </w:rPr>
              <w:t>Other assets, net</w:t>
            </w:r>
          </w:p>
        </w:tc>
        <w:tc>
          <w:tcPr>
            <w:tcW w:w="145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896"/>
                <w:tab w:val="left" w:pos="1387"/>
              </w:tabs>
              <w:spacing w:before="53" w:after="30" w:line="288" w:lineRule="auto"/>
              <w:jc w:val="right"/>
            </w:pPr>
            <w:r>
              <w:rPr>
                <w:rFonts w:ascii="Times New Roman" w:eastAsia="Times New Roman" w:hAnsi="Times New Roman" w:cs="Times New Roman"/>
                <w:b w:val="0"/>
                <w:i w:val="0"/>
                <w:color w:val="000000"/>
                <w:sz w:val="16"/>
                <w:u w:val="none"/>
              </w:rPr>
              <w:tab/>
              <w:t>19,812</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5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896"/>
                <w:tab w:val="left" w:pos="1387"/>
              </w:tabs>
              <w:spacing w:before="53" w:after="30" w:line="288" w:lineRule="auto"/>
              <w:jc w:val="right"/>
            </w:pPr>
            <w:r>
              <w:rPr>
                <w:rFonts w:ascii="Times New Roman" w:eastAsia="Times New Roman" w:hAnsi="Times New Roman" w:cs="Times New Roman"/>
                <w:b w:val="0"/>
                <w:i w:val="0"/>
                <w:color w:val="000000"/>
                <w:sz w:val="16"/>
                <w:u w:val="none"/>
              </w:rPr>
              <w:tab/>
              <w:t>15,542</w:t>
              <w:tab/>
            </w:r>
          </w:p>
        </w:tc>
      </w:tr>
      <w:tr>
        <w:tblPrEx>
          <w:tblW w:w="10245" w:type="dxa"/>
          <w:tblInd w:w="0" w:type="dxa"/>
          <w:tblLayout w:type="fixed"/>
        </w:tblPrEx>
        <w:trPr>
          <w:trHeight w:hRule="exact" w:val="240"/>
        </w:trPr>
        <w:tc>
          <w:tcPr>
            <w:tcW w:w="726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33" w:after="30" w:line="288" w:lineRule="auto"/>
              <w:jc w:val="left"/>
            </w:pPr>
            <w:r>
              <w:rPr>
                <w:rFonts w:ascii="Times New Roman" w:eastAsia="Times New Roman" w:hAnsi="Times New Roman" w:cs="Times New Roman"/>
                <w:b w:val="0"/>
                <w:i w:val="0"/>
                <w:color w:val="000000"/>
                <w:sz w:val="16"/>
                <w:u w:val="none"/>
              </w:rPr>
              <w:t>Total assets</w:t>
            </w:r>
          </w:p>
        </w:tc>
        <w:tc>
          <w:tcPr>
            <w:tcW w:w="145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keepNext/>
              <w:pageBreakBefore w:val="0"/>
              <w:tabs>
                <w:tab w:val="left" w:pos="816"/>
                <w:tab w:val="left" w:pos="1387"/>
              </w:tabs>
              <w:spacing w:before="33" w:after="30" w:line="288" w:lineRule="auto"/>
              <w:jc w:val="right"/>
            </w:pPr>
            <w:r>
              <w:rPr>
                <w:rFonts w:ascii="Times New Roman" w:eastAsia="Times New Roman" w:hAnsi="Times New Roman" w:cs="Times New Roman"/>
                <w:b w:val="0"/>
                <w:i w:val="0"/>
                <w:color w:val="000000"/>
                <w:sz w:val="16"/>
                <w:u w:val="none"/>
              </w:rPr>
              <w:t>$</w:t>
              <w:tab/>
              <w:t>518,678</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5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keepNext/>
              <w:pageBreakBefore w:val="0"/>
              <w:tabs>
                <w:tab w:val="left" w:pos="816"/>
                <w:tab w:val="left" w:pos="1387"/>
              </w:tabs>
              <w:spacing w:before="33" w:after="30" w:line="288" w:lineRule="auto"/>
              <w:jc w:val="right"/>
            </w:pPr>
            <w:r>
              <w:rPr>
                <w:rFonts w:ascii="Times New Roman" w:eastAsia="Times New Roman" w:hAnsi="Times New Roman" w:cs="Times New Roman"/>
                <w:b w:val="0"/>
                <w:i w:val="0"/>
                <w:color w:val="000000"/>
                <w:sz w:val="16"/>
                <w:u w:val="none"/>
              </w:rPr>
              <w:t>$</w:t>
              <w:tab/>
              <w:t>531,419</w:t>
              <w:tab/>
            </w:r>
          </w:p>
        </w:tc>
      </w:tr>
      <w:tr>
        <w:tblPrEx>
          <w:tblW w:w="10245" w:type="dxa"/>
          <w:tblInd w:w="0" w:type="dxa"/>
          <w:tblLayout w:type="fixed"/>
        </w:tblPrEx>
        <w:trPr>
          <w:trHeight w:hRule="exact" w:val="240"/>
        </w:trPr>
        <w:tc>
          <w:tcPr>
            <w:tcW w:w="726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numPr>
                <w:ilvl w:val="0"/>
                <w:numId w:val="0"/>
              </w:numPr>
              <w:spacing w:before="0" w:after="30" w:line="288" w:lineRule="auto"/>
              <w:ind w:left="0" w:right="0" w:firstLine="0"/>
              <w:jc w:val="left"/>
              <w:outlineLvl w:val="9"/>
              <w:rPr>
                <w:rFonts w:ascii="Times New Roman" w:eastAsia="Times New Roman" w:hAnsi="Times New Roman" w:cs="Times New Roman"/>
                <w:b/>
                <w:i w:val="0"/>
                <w:sz w:val="16"/>
              </w:rPr>
            </w:pPr>
            <w:r>
              <w:rPr>
                <w:rFonts w:ascii="Times New Roman" w:eastAsia="Times New Roman" w:hAnsi="Times New Roman" w:cs="Times New Roman"/>
                <w:b/>
                <w:i w:val="0"/>
                <w:sz w:val="16"/>
              </w:rPr>
              <w:t>LIABILITIES AND STOCKHOLDERS</w:t>
            </w:r>
            <w:r>
              <w:rPr>
                <w:rFonts w:ascii="Times New Roman" w:eastAsia="Times New Roman" w:hAnsi="Times New Roman" w:cs="Times New Roman"/>
                <w:b w:val="0"/>
                <w:i w:val="0"/>
                <w:sz w:val="16"/>
              </w:rPr>
              <w:t>’</w:t>
            </w:r>
            <w:r>
              <w:rPr>
                <w:rFonts w:ascii="Times New Roman" w:eastAsia="Times New Roman" w:hAnsi="Times New Roman" w:cs="Times New Roman"/>
                <w:b/>
                <w:i w:val="0"/>
                <w:sz w:val="16"/>
              </w:rPr>
              <w:t xml:space="preserve"> EQUITY</w:t>
            </w:r>
          </w:p>
        </w:tc>
        <w:tc>
          <w:tcPr>
            <w:tcW w:w="1455" w:type="dxa"/>
            <w:tcBorders>
              <w:top w:val="double" w:sz="8" w:space="0" w:color="000000"/>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55" w:type="dxa"/>
            <w:tcBorders>
              <w:top w:val="double" w:sz="8" w:space="0" w:color="000000"/>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r>
      <w:tr>
        <w:tblPrEx>
          <w:tblW w:w="10245" w:type="dxa"/>
          <w:tblInd w:w="0" w:type="dxa"/>
          <w:tblLayout w:type="fixed"/>
        </w:tblPrEx>
        <w:trPr>
          <w:trHeight w:hRule="exact" w:val="240"/>
        </w:trPr>
        <w:tc>
          <w:tcPr>
            <w:tcW w:w="726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88" w:lineRule="auto"/>
              <w:ind w:left="240"/>
              <w:jc w:val="left"/>
            </w:pPr>
            <w:r>
              <w:rPr>
                <w:rFonts w:ascii="Times New Roman" w:eastAsia="Times New Roman" w:hAnsi="Times New Roman" w:cs="Times New Roman"/>
                <w:b w:val="0"/>
                <w:i w:val="0"/>
                <w:color w:val="000000"/>
                <w:sz w:val="16"/>
                <w:u w:val="none"/>
              </w:rPr>
              <w:t>Current liabilities:</w:t>
            </w:r>
          </w:p>
        </w:tc>
        <w:tc>
          <w:tcPr>
            <w:tcW w:w="145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5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r>
      <w:tr>
        <w:tblPrEx>
          <w:tblW w:w="10245" w:type="dxa"/>
          <w:tblInd w:w="0" w:type="dxa"/>
          <w:tblLayout w:type="fixed"/>
        </w:tblPrEx>
        <w:trPr>
          <w:trHeight w:hRule="exact" w:val="240"/>
        </w:trPr>
        <w:tc>
          <w:tcPr>
            <w:tcW w:w="726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88" w:lineRule="auto"/>
              <w:ind w:left="630" w:hanging="180"/>
              <w:jc w:val="left"/>
            </w:pPr>
            <w:r>
              <w:rPr>
                <w:rFonts w:ascii="Times New Roman" w:eastAsia="Times New Roman" w:hAnsi="Times New Roman" w:cs="Times New Roman"/>
                <w:b w:val="0"/>
                <w:i w:val="0"/>
                <w:color w:val="000000"/>
                <w:sz w:val="16"/>
                <w:u w:val="none"/>
              </w:rPr>
              <w:t>Current portion of notes payable</w:t>
            </w:r>
          </w:p>
        </w:tc>
        <w:tc>
          <w:tcPr>
            <w:tcW w:w="145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76"/>
                <w:tab w:val="left" w:pos="1387"/>
              </w:tabs>
              <w:spacing w:before="53" w:after="30" w:line="288" w:lineRule="auto"/>
              <w:jc w:val="right"/>
            </w:pPr>
            <w:r>
              <w:rPr>
                <w:rFonts w:ascii="Times New Roman" w:eastAsia="Times New Roman" w:hAnsi="Times New Roman" w:cs="Times New Roman"/>
                <w:b w:val="0"/>
                <w:i w:val="0"/>
                <w:color w:val="000000"/>
                <w:sz w:val="16"/>
                <w:u w:val="none"/>
              </w:rPr>
              <w:t>$</w:t>
              <w:tab/>
              <w:t>6,487</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5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76"/>
                <w:tab w:val="left" w:pos="1387"/>
              </w:tabs>
              <w:spacing w:before="53" w:after="30" w:line="288" w:lineRule="auto"/>
              <w:jc w:val="right"/>
            </w:pPr>
            <w:r>
              <w:rPr>
                <w:rFonts w:ascii="Times New Roman" w:eastAsia="Times New Roman" w:hAnsi="Times New Roman" w:cs="Times New Roman"/>
                <w:b w:val="0"/>
                <w:i w:val="0"/>
                <w:color w:val="000000"/>
                <w:sz w:val="16"/>
                <w:u w:val="none"/>
              </w:rPr>
              <w:t>$</w:t>
              <w:tab/>
              <w:t>4,344</w:t>
              <w:tab/>
            </w:r>
          </w:p>
        </w:tc>
      </w:tr>
      <w:tr>
        <w:tblPrEx>
          <w:tblW w:w="10245" w:type="dxa"/>
          <w:tblInd w:w="0" w:type="dxa"/>
          <w:tblLayout w:type="fixed"/>
        </w:tblPrEx>
        <w:trPr>
          <w:trHeight w:hRule="exact" w:val="240"/>
        </w:trPr>
        <w:tc>
          <w:tcPr>
            <w:tcW w:w="726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88" w:lineRule="auto"/>
              <w:ind w:left="630" w:hanging="180"/>
              <w:jc w:val="left"/>
            </w:pPr>
            <w:r>
              <w:rPr>
                <w:rFonts w:ascii="Times New Roman" w:eastAsia="Times New Roman" w:hAnsi="Times New Roman" w:cs="Times New Roman"/>
                <w:b w:val="0"/>
                <w:i w:val="0"/>
                <w:color w:val="000000"/>
                <w:sz w:val="16"/>
                <w:u w:val="none"/>
              </w:rPr>
              <w:t>Accounts payable</w:t>
            </w:r>
          </w:p>
        </w:tc>
        <w:tc>
          <w:tcPr>
            <w:tcW w:w="145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976"/>
                <w:tab w:val="left" w:pos="1387"/>
              </w:tabs>
              <w:spacing w:before="53" w:after="30" w:line="288" w:lineRule="auto"/>
              <w:jc w:val="right"/>
            </w:pPr>
            <w:r>
              <w:rPr>
                <w:rFonts w:ascii="Times New Roman" w:eastAsia="Times New Roman" w:hAnsi="Times New Roman" w:cs="Times New Roman"/>
                <w:b w:val="0"/>
                <w:i w:val="0"/>
                <w:color w:val="000000"/>
                <w:sz w:val="16"/>
                <w:u w:val="none"/>
              </w:rPr>
              <w:tab/>
              <w:t>2,002</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5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976"/>
                <w:tab w:val="left" w:pos="1387"/>
              </w:tabs>
              <w:spacing w:before="53" w:after="30" w:line="288" w:lineRule="auto"/>
              <w:jc w:val="right"/>
            </w:pPr>
            <w:r>
              <w:rPr>
                <w:rFonts w:ascii="Times New Roman" w:eastAsia="Times New Roman" w:hAnsi="Times New Roman" w:cs="Times New Roman"/>
                <w:b w:val="0"/>
                <w:i w:val="0"/>
                <w:color w:val="000000"/>
                <w:sz w:val="16"/>
                <w:u w:val="none"/>
              </w:rPr>
              <w:tab/>
              <w:t>2,174</w:t>
              <w:tab/>
            </w:r>
          </w:p>
        </w:tc>
      </w:tr>
      <w:tr>
        <w:tblPrEx>
          <w:tblW w:w="10245" w:type="dxa"/>
          <w:tblInd w:w="0" w:type="dxa"/>
          <w:tblLayout w:type="fixed"/>
        </w:tblPrEx>
        <w:trPr>
          <w:trHeight w:hRule="exact" w:val="240"/>
        </w:trPr>
        <w:tc>
          <w:tcPr>
            <w:tcW w:w="726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88" w:lineRule="auto"/>
              <w:ind w:left="630" w:hanging="180"/>
              <w:jc w:val="left"/>
            </w:pPr>
            <w:r>
              <w:rPr>
                <w:rFonts w:ascii="Times New Roman" w:eastAsia="Times New Roman" w:hAnsi="Times New Roman" w:cs="Times New Roman"/>
                <w:b w:val="0"/>
                <w:i w:val="0"/>
                <w:color w:val="000000"/>
                <w:sz w:val="16"/>
                <w:u w:val="none"/>
              </w:rPr>
              <w:t>Accrued compensation and benefits</w:t>
            </w:r>
          </w:p>
        </w:tc>
        <w:tc>
          <w:tcPr>
            <w:tcW w:w="145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76"/>
                <w:tab w:val="left" w:pos="1387"/>
              </w:tabs>
              <w:spacing w:before="53" w:after="30" w:line="288" w:lineRule="auto"/>
              <w:jc w:val="right"/>
            </w:pPr>
            <w:r>
              <w:rPr>
                <w:rFonts w:ascii="Times New Roman" w:eastAsia="Times New Roman" w:hAnsi="Times New Roman" w:cs="Times New Roman"/>
                <w:b w:val="0"/>
                <w:i w:val="0"/>
                <w:color w:val="000000"/>
                <w:sz w:val="16"/>
                <w:u w:val="none"/>
              </w:rPr>
              <w:tab/>
              <w:t>4,426</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5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76"/>
                <w:tab w:val="left" w:pos="1387"/>
              </w:tabs>
              <w:spacing w:before="53" w:after="30" w:line="288" w:lineRule="auto"/>
              <w:jc w:val="right"/>
            </w:pPr>
            <w:r>
              <w:rPr>
                <w:rFonts w:ascii="Times New Roman" w:eastAsia="Times New Roman" w:hAnsi="Times New Roman" w:cs="Times New Roman"/>
                <w:b w:val="0"/>
                <w:i w:val="0"/>
                <w:color w:val="000000"/>
                <w:sz w:val="16"/>
                <w:u w:val="none"/>
              </w:rPr>
              <w:tab/>
              <w:t>4,723</w:t>
              <w:tab/>
            </w:r>
          </w:p>
        </w:tc>
      </w:tr>
      <w:tr>
        <w:tblPrEx>
          <w:tblW w:w="10245" w:type="dxa"/>
          <w:tblInd w:w="0" w:type="dxa"/>
          <w:tblLayout w:type="fixed"/>
        </w:tblPrEx>
        <w:trPr>
          <w:trHeight w:hRule="exact" w:val="240"/>
        </w:trPr>
        <w:tc>
          <w:tcPr>
            <w:tcW w:w="726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88" w:lineRule="auto"/>
              <w:ind w:left="630" w:hanging="180"/>
              <w:jc w:val="left"/>
            </w:pPr>
            <w:r>
              <w:rPr>
                <w:rFonts w:ascii="Times New Roman" w:eastAsia="Times New Roman" w:hAnsi="Times New Roman" w:cs="Times New Roman"/>
                <w:b w:val="0"/>
                <w:i w:val="0"/>
                <w:color w:val="000000"/>
                <w:sz w:val="16"/>
                <w:u w:val="none"/>
              </w:rPr>
              <w:t>Lease liabilities, current</w:t>
            </w:r>
          </w:p>
        </w:tc>
        <w:tc>
          <w:tcPr>
            <w:tcW w:w="145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976"/>
                <w:tab w:val="left" w:pos="1387"/>
              </w:tabs>
              <w:spacing w:before="53" w:after="30" w:line="288" w:lineRule="auto"/>
              <w:jc w:val="right"/>
            </w:pPr>
            <w:r>
              <w:rPr>
                <w:rFonts w:ascii="Times New Roman" w:eastAsia="Times New Roman" w:hAnsi="Times New Roman" w:cs="Times New Roman"/>
                <w:b w:val="0"/>
                <w:i w:val="0"/>
                <w:color w:val="000000"/>
                <w:sz w:val="16"/>
                <w:u w:val="none"/>
              </w:rPr>
              <w:tab/>
              <w:t>2,018</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5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976"/>
                <w:tab w:val="left" w:pos="1387"/>
              </w:tabs>
              <w:spacing w:before="53" w:after="30" w:line="288" w:lineRule="auto"/>
              <w:jc w:val="right"/>
            </w:pPr>
            <w:r>
              <w:rPr>
                <w:rFonts w:ascii="Times New Roman" w:eastAsia="Times New Roman" w:hAnsi="Times New Roman" w:cs="Times New Roman"/>
                <w:b w:val="0"/>
                <w:i w:val="0"/>
                <w:color w:val="000000"/>
                <w:sz w:val="16"/>
                <w:u w:val="none"/>
              </w:rPr>
              <w:tab/>
              <w:t>1,956</w:t>
              <w:tab/>
            </w:r>
          </w:p>
        </w:tc>
      </w:tr>
      <w:tr>
        <w:tblPrEx>
          <w:tblW w:w="10245" w:type="dxa"/>
          <w:tblInd w:w="0" w:type="dxa"/>
          <w:tblLayout w:type="fixed"/>
        </w:tblPrEx>
        <w:trPr>
          <w:trHeight w:hRule="exact" w:val="240"/>
        </w:trPr>
        <w:tc>
          <w:tcPr>
            <w:tcW w:w="726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88" w:lineRule="auto"/>
              <w:ind w:left="630" w:hanging="180"/>
              <w:jc w:val="left"/>
            </w:pPr>
            <w:r>
              <w:rPr>
                <w:rFonts w:ascii="Times New Roman" w:eastAsia="Times New Roman" w:hAnsi="Times New Roman" w:cs="Times New Roman"/>
                <w:b w:val="0"/>
                <w:i w:val="0"/>
                <w:color w:val="000000"/>
                <w:sz w:val="16"/>
                <w:u w:val="none"/>
              </w:rPr>
              <w:t>Other accrued liabilities</w:t>
            </w:r>
          </w:p>
        </w:tc>
        <w:tc>
          <w:tcPr>
            <w:tcW w:w="145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76"/>
                <w:tab w:val="left" w:pos="1387"/>
              </w:tabs>
              <w:spacing w:before="53" w:after="30" w:line="288" w:lineRule="auto"/>
              <w:jc w:val="right"/>
            </w:pPr>
            <w:r>
              <w:rPr>
                <w:rFonts w:ascii="Times New Roman" w:eastAsia="Times New Roman" w:hAnsi="Times New Roman" w:cs="Times New Roman"/>
                <w:b w:val="0"/>
                <w:i w:val="0"/>
                <w:color w:val="000000"/>
                <w:sz w:val="16"/>
                <w:u w:val="none"/>
              </w:rPr>
              <w:tab/>
              <w:t>7,008</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5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76"/>
                <w:tab w:val="left" w:pos="1387"/>
              </w:tabs>
              <w:spacing w:before="53" w:after="30" w:line="288" w:lineRule="auto"/>
              <w:jc w:val="right"/>
            </w:pPr>
            <w:r>
              <w:rPr>
                <w:rFonts w:ascii="Times New Roman" w:eastAsia="Times New Roman" w:hAnsi="Times New Roman" w:cs="Times New Roman"/>
                <w:b w:val="0"/>
                <w:i w:val="0"/>
                <w:color w:val="000000"/>
                <w:sz w:val="16"/>
                <w:u w:val="none"/>
              </w:rPr>
              <w:tab/>
              <w:t>6,422</w:t>
              <w:tab/>
            </w:r>
          </w:p>
        </w:tc>
      </w:tr>
      <w:tr>
        <w:tblPrEx>
          <w:tblW w:w="10245" w:type="dxa"/>
          <w:tblInd w:w="0" w:type="dxa"/>
          <w:tblLayout w:type="fixed"/>
        </w:tblPrEx>
        <w:trPr>
          <w:trHeight w:hRule="exact" w:val="240"/>
        </w:trPr>
        <w:tc>
          <w:tcPr>
            <w:tcW w:w="726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88" w:lineRule="auto"/>
              <w:ind w:left="630" w:hanging="180"/>
              <w:jc w:val="left"/>
            </w:pPr>
            <w:r>
              <w:rPr>
                <w:rFonts w:ascii="Times New Roman" w:eastAsia="Times New Roman" w:hAnsi="Times New Roman" w:cs="Times New Roman"/>
                <w:b w:val="0"/>
                <w:i w:val="0"/>
                <w:color w:val="000000"/>
                <w:sz w:val="16"/>
                <w:u w:val="none"/>
              </w:rPr>
              <w:t>Deferred revenue</w:t>
            </w:r>
          </w:p>
        </w:tc>
        <w:tc>
          <w:tcPr>
            <w:tcW w:w="145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976"/>
                <w:tab w:val="left" w:pos="1387"/>
              </w:tabs>
              <w:spacing w:before="53" w:after="30" w:line="288" w:lineRule="auto"/>
              <w:jc w:val="right"/>
            </w:pPr>
            <w:r>
              <w:rPr>
                <w:rFonts w:ascii="Times New Roman" w:eastAsia="Times New Roman" w:hAnsi="Times New Roman" w:cs="Times New Roman"/>
                <w:b w:val="0"/>
                <w:i w:val="0"/>
                <w:color w:val="000000"/>
                <w:sz w:val="16"/>
                <w:u w:val="none"/>
              </w:rPr>
              <w:tab/>
              <w:t>7,036</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5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896"/>
                <w:tab w:val="left" w:pos="1387"/>
              </w:tabs>
              <w:spacing w:before="53" w:after="30" w:line="288" w:lineRule="auto"/>
              <w:jc w:val="right"/>
            </w:pPr>
            <w:r>
              <w:rPr>
                <w:rFonts w:ascii="Times New Roman" w:eastAsia="Times New Roman" w:hAnsi="Times New Roman" w:cs="Times New Roman"/>
                <w:b w:val="0"/>
                <w:i w:val="0"/>
                <w:color w:val="000000"/>
                <w:sz w:val="16"/>
                <w:u w:val="none"/>
              </w:rPr>
              <w:tab/>
              <w:t>11,622</w:t>
              <w:tab/>
            </w:r>
          </w:p>
        </w:tc>
      </w:tr>
      <w:tr>
        <w:tblPrEx>
          <w:tblW w:w="10245" w:type="dxa"/>
          <w:tblInd w:w="0" w:type="dxa"/>
          <w:tblLayout w:type="fixed"/>
        </w:tblPrEx>
        <w:trPr>
          <w:trHeight w:hRule="exact" w:val="240"/>
        </w:trPr>
        <w:tc>
          <w:tcPr>
            <w:tcW w:w="726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33" w:after="30" w:line="288" w:lineRule="auto"/>
              <w:ind w:left="240"/>
              <w:jc w:val="left"/>
            </w:pPr>
            <w:r>
              <w:rPr>
                <w:rFonts w:ascii="Times New Roman" w:eastAsia="Times New Roman" w:hAnsi="Times New Roman" w:cs="Times New Roman"/>
                <w:b w:val="0"/>
                <w:i w:val="0"/>
                <w:color w:val="000000"/>
                <w:sz w:val="16"/>
                <w:u w:val="none"/>
              </w:rPr>
              <w:t>Total current liabilities before client fund obligations</w:t>
            </w:r>
          </w:p>
        </w:tc>
        <w:tc>
          <w:tcPr>
            <w:tcW w:w="1455" w:type="dxa"/>
            <w:tcBorders>
              <w:top w:val="single" w:sz="8" w:space="0" w:color="000000"/>
              <w:left w:val="nil"/>
              <w:bottom w:val="nil"/>
              <w:right w:val="nil"/>
            </w:tcBorders>
            <w:shd w:val="clear" w:color="auto" w:fill="FFFFFF"/>
            <w:tcMar>
              <w:top w:w="0" w:type="dxa"/>
              <w:left w:w="0" w:type="dxa"/>
              <w:bottom w:w="0" w:type="dxa"/>
              <w:right w:w="15" w:type="dxa"/>
            </w:tcMar>
            <w:vAlign w:val="bottom"/>
          </w:tcPr>
          <w:p>
            <w:pPr>
              <w:keepNext/>
              <w:pageBreakBefore w:val="0"/>
              <w:tabs>
                <w:tab w:val="left" w:pos="896"/>
                <w:tab w:val="left" w:pos="1387"/>
              </w:tabs>
              <w:spacing w:before="33" w:after="30" w:line="288" w:lineRule="auto"/>
              <w:jc w:val="right"/>
            </w:pPr>
            <w:r>
              <w:rPr>
                <w:rFonts w:ascii="Times New Roman" w:eastAsia="Times New Roman" w:hAnsi="Times New Roman" w:cs="Times New Roman"/>
                <w:b w:val="0"/>
                <w:i w:val="0"/>
                <w:color w:val="000000"/>
                <w:sz w:val="16"/>
                <w:u w:val="none"/>
              </w:rPr>
              <w:tab/>
              <w:t>28,977</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55" w:type="dxa"/>
            <w:tcBorders>
              <w:top w:val="single" w:sz="8" w:space="0" w:color="000000"/>
              <w:left w:val="nil"/>
              <w:bottom w:val="nil"/>
              <w:right w:val="nil"/>
            </w:tcBorders>
            <w:shd w:val="clear" w:color="auto" w:fill="FFFFFF"/>
            <w:tcMar>
              <w:top w:w="0" w:type="dxa"/>
              <w:left w:w="0" w:type="dxa"/>
              <w:bottom w:w="0" w:type="dxa"/>
              <w:right w:w="15" w:type="dxa"/>
            </w:tcMar>
            <w:vAlign w:val="bottom"/>
          </w:tcPr>
          <w:p>
            <w:pPr>
              <w:keepNext/>
              <w:pageBreakBefore w:val="0"/>
              <w:tabs>
                <w:tab w:val="left" w:pos="896"/>
                <w:tab w:val="left" w:pos="1387"/>
              </w:tabs>
              <w:spacing w:before="33" w:after="30" w:line="288" w:lineRule="auto"/>
              <w:jc w:val="right"/>
            </w:pPr>
            <w:r>
              <w:rPr>
                <w:rFonts w:ascii="Times New Roman" w:eastAsia="Times New Roman" w:hAnsi="Times New Roman" w:cs="Times New Roman"/>
                <w:b w:val="0"/>
                <w:i w:val="0"/>
                <w:color w:val="000000"/>
                <w:sz w:val="16"/>
                <w:u w:val="none"/>
              </w:rPr>
              <w:tab/>
              <w:t>31,241</w:t>
              <w:tab/>
            </w:r>
          </w:p>
        </w:tc>
      </w:tr>
      <w:tr>
        <w:tblPrEx>
          <w:tblW w:w="10245" w:type="dxa"/>
          <w:tblInd w:w="0" w:type="dxa"/>
          <w:tblLayout w:type="fixed"/>
        </w:tblPrEx>
        <w:trPr>
          <w:trHeight w:hRule="exact" w:val="240"/>
        </w:trPr>
        <w:tc>
          <w:tcPr>
            <w:tcW w:w="726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88" w:lineRule="auto"/>
              <w:ind w:left="630" w:hanging="180"/>
              <w:jc w:val="left"/>
            </w:pPr>
            <w:r>
              <w:rPr>
                <w:rFonts w:ascii="Times New Roman" w:eastAsia="Times New Roman" w:hAnsi="Times New Roman" w:cs="Times New Roman"/>
                <w:b w:val="0"/>
                <w:i w:val="0"/>
                <w:color w:val="000000"/>
                <w:sz w:val="16"/>
                <w:u w:val="none"/>
              </w:rPr>
              <w:t>Client fund obligations</w:t>
            </w:r>
          </w:p>
        </w:tc>
        <w:tc>
          <w:tcPr>
            <w:tcW w:w="145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816"/>
                <w:tab w:val="left" w:pos="1387"/>
              </w:tabs>
              <w:spacing w:before="53" w:after="30" w:line="288" w:lineRule="auto"/>
              <w:jc w:val="right"/>
            </w:pPr>
            <w:r>
              <w:rPr>
                <w:rFonts w:ascii="Times New Roman" w:eastAsia="Times New Roman" w:hAnsi="Times New Roman" w:cs="Times New Roman"/>
                <w:b w:val="0"/>
                <w:i w:val="0"/>
                <w:color w:val="000000"/>
                <w:sz w:val="16"/>
                <w:u w:val="none"/>
              </w:rPr>
              <w:tab/>
              <w:t>217,305</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5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816"/>
                <w:tab w:val="left" w:pos="1387"/>
              </w:tabs>
              <w:spacing w:before="53" w:after="30" w:line="288" w:lineRule="auto"/>
              <w:jc w:val="right"/>
            </w:pPr>
            <w:r>
              <w:rPr>
                <w:rFonts w:ascii="Times New Roman" w:eastAsia="Times New Roman" w:hAnsi="Times New Roman" w:cs="Times New Roman"/>
                <w:b w:val="0"/>
                <w:i w:val="0"/>
                <w:color w:val="000000"/>
                <w:sz w:val="16"/>
                <w:u w:val="none"/>
              </w:rPr>
              <w:tab/>
              <w:t>228,482</w:t>
              <w:tab/>
            </w:r>
          </w:p>
        </w:tc>
      </w:tr>
      <w:tr>
        <w:tblPrEx>
          <w:tblW w:w="10245" w:type="dxa"/>
          <w:tblInd w:w="0" w:type="dxa"/>
          <w:tblLayout w:type="fixed"/>
        </w:tblPrEx>
        <w:trPr>
          <w:trHeight w:hRule="exact" w:val="240"/>
        </w:trPr>
        <w:tc>
          <w:tcPr>
            <w:tcW w:w="726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33" w:after="30" w:line="288" w:lineRule="auto"/>
              <w:ind w:left="240"/>
              <w:jc w:val="left"/>
            </w:pPr>
            <w:r>
              <w:rPr>
                <w:rFonts w:ascii="Times New Roman" w:eastAsia="Times New Roman" w:hAnsi="Times New Roman" w:cs="Times New Roman"/>
                <w:b w:val="0"/>
                <w:i w:val="0"/>
                <w:color w:val="000000"/>
                <w:sz w:val="16"/>
                <w:u w:val="none"/>
              </w:rPr>
              <w:t>Total current liabilities</w:t>
            </w:r>
          </w:p>
        </w:tc>
        <w:tc>
          <w:tcPr>
            <w:tcW w:w="1455"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816"/>
                <w:tab w:val="left" w:pos="1387"/>
              </w:tabs>
              <w:spacing w:before="33" w:after="30" w:line="288" w:lineRule="auto"/>
              <w:jc w:val="right"/>
            </w:pPr>
            <w:r>
              <w:rPr>
                <w:rFonts w:ascii="Times New Roman" w:eastAsia="Times New Roman" w:hAnsi="Times New Roman" w:cs="Times New Roman"/>
                <w:b w:val="0"/>
                <w:i w:val="0"/>
                <w:color w:val="000000"/>
                <w:sz w:val="16"/>
                <w:u w:val="none"/>
              </w:rPr>
              <w:tab/>
              <w:t>246,282</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55"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816"/>
                <w:tab w:val="left" w:pos="1387"/>
              </w:tabs>
              <w:spacing w:before="33" w:after="30" w:line="288" w:lineRule="auto"/>
              <w:jc w:val="right"/>
            </w:pPr>
            <w:r>
              <w:rPr>
                <w:rFonts w:ascii="Times New Roman" w:eastAsia="Times New Roman" w:hAnsi="Times New Roman" w:cs="Times New Roman"/>
                <w:b w:val="0"/>
                <w:i w:val="0"/>
                <w:color w:val="000000"/>
                <w:sz w:val="16"/>
                <w:u w:val="none"/>
              </w:rPr>
              <w:tab/>
              <w:t>259,723</w:t>
              <w:tab/>
            </w:r>
          </w:p>
        </w:tc>
      </w:tr>
      <w:tr>
        <w:tblPrEx>
          <w:tblW w:w="10245" w:type="dxa"/>
          <w:tblInd w:w="0" w:type="dxa"/>
          <w:tblLayout w:type="fixed"/>
        </w:tblPrEx>
        <w:trPr>
          <w:trHeight w:hRule="exact" w:val="240"/>
        </w:trPr>
        <w:tc>
          <w:tcPr>
            <w:tcW w:w="726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33" w:after="30" w:line="288" w:lineRule="auto"/>
              <w:ind w:left="240"/>
              <w:jc w:val="left"/>
            </w:pPr>
            <w:r>
              <w:rPr>
                <w:rFonts w:ascii="Times New Roman" w:eastAsia="Times New Roman" w:hAnsi="Times New Roman" w:cs="Times New Roman"/>
                <w:b w:val="0"/>
                <w:i w:val="0"/>
                <w:color w:val="000000"/>
                <w:sz w:val="16"/>
                <w:u w:val="none"/>
              </w:rPr>
              <w:t>Long-term liabilities:</w:t>
            </w:r>
          </w:p>
        </w:tc>
        <w:tc>
          <w:tcPr>
            <w:tcW w:w="1455" w:type="dxa"/>
            <w:tcBorders>
              <w:top w:val="sing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55" w:type="dxa"/>
            <w:tcBorders>
              <w:top w:val="sing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r>
      <w:tr>
        <w:tblPrEx>
          <w:tblW w:w="10245" w:type="dxa"/>
          <w:tblInd w:w="0" w:type="dxa"/>
          <w:tblLayout w:type="fixed"/>
        </w:tblPrEx>
        <w:trPr>
          <w:trHeight w:hRule="exact" w:val="240"/>
        </w:trPr>
        <w:tc>
          <w:tcPr>
            <w:tcW w:w="726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88" w:lineRule="auto"/>
              <w:ind w:left="630" w:hanging="180"/>
              <w:jc w:val="left"/>
            </w:pPr>
            <w:r>
              <w:rPr>
                <w:rFonts w:ascii="Times New Roman" w:eastAsia="Times New Roman" w:hAnsi="Times New Roman" w:cs="Times New Roman"/>
                <w:b w:val="0"/>
                <w:i w:val="0"/>
                <w:color w:val="000000"/>
                <w:sz w:val="16"/>
                <w:u w:val="none"/>
              </w:rPr>
              <w:t>Deferred revenue</w:t>
            </w:r>
          </w:p>
        </w:tc>
        <w:tc>
          <w:tcPr>
            <w:tcW w:w="145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76"/>
                <w:tab w:val="left" w:pos="1387"/>
              </w:tabs>
              <w:spacing w:before="53" w:after="30" w:line="288" w:lineRule="auto"/>
              <w:jc w:val="right"/>
            </w:pPr>
            <w:r>
              <w:rPr>
                <w:rFonts w:ascii="Times New Roman" w:eastAsia="Times New Roman" w:hAnsi="Times New Roman" w:cs="Times New Roman"/>
                <w:b w:val="0"/>
                <w:i w:val="0"/>
                <w:color w:val="000000"/>
                <w:sz w:val="16"/>
                <w:u w:val="none"/>
              </w:rPr>
              <w:tab/>
              <w:t>1,582</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5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76"/>
                <w:tab w:val="left" w:pos="1387"/>
              </w:tabs>
              <w:spacing w:before="53" w:after="30" w:line="288" w:lineRule="auto"/>
              <w:jc w:val="right"/>
            </w:pPr>
            <w:r>
              <w:rPr>
                <w:rFonts w:ascii="Times New Roman" w:eastAsia="Times New Roman" w:hAnsi="Times New Roman" w:cs="Times New Roman"/>
                <w:b w:val="0"/>
                <w:i w:val="0"/>
                <w:color w:val="000000"/>
                <w:sz w:val="16"/>
                <w:u w:val="none"/>
              </w:rPr>
              <w:tab/>
              <w:t>1,909</w:t>
              <w:tab/>
            </w:r>
          </w:p>
        </w:tc>
      </w:tr>
      <w:tr>
        <w:tblPrEx>
          <w:tblW w:w="10245" w:type="dxa"/>
          <w:tblInd w:w="0" w:type="dxa"/>
          <w:tblLayout w:type="fixed"/>
        </w:tblPrEx>
        <w:trPr>
          <w:trHeight w:hRule="exact" w:val="240"/>
        </w:trPr>
        <w:tc>
          <w:tcPr>
            <w:tcW w:w="726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88" w:lineRule="auto"/>
              <w:ind w:left="630" w:hanging="180"/>
              <w:jc w:val="left"/>
            </w:pPr>
            <w:r>
              <w:rPr>
                <w:rFonts w:ascii="Times New Roman" w:eastAsia="Times New Roman" w:hAnsi="Times New Roman" w:cs="Times New Roman"/>
                <w:b w:val="0"/>
                <w:i w:val="0"/>
                <w:color w:val="000000"/>
                <w:sz w:val="16"/>
                <w:u w:val="none"/>
              </w:rPr>
              <w:t>Deferred tax liability</w:t>
            </w:r>
          </w:p>
        </w:tc>
        <w:tc>
          <w:tcPr>
            <w:tcW w:w="145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976"/>
                <w:tab w:val="left" w:pos="1387"/>
              </w:tabs>
              <w:spacing w:before="53" w:after="30" w:line="288" w:lineRule="auto"/>
              <w:jc w:val="right"/>
            </w:pPr>
            <w:r>
              <w:rPr>
                <w:rFonts w:ascii="Times New Roman" w:eastAsia="Times New Roman" w:hAnsi="Times New Roman" w:cs="Times New Roman"/>
                <w:b w:val="0"/>
                <w:i w:val="0"/>
                <w:color w:val="000000"/>
                <w:sz w:val="16"/>
                <w:u w:val="none"/>
              </w:rPr>
              <w:tab/>
              <w:t>3,407</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5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976"/>
                <w:tab w:val="left" w:pos="1387"/>
              </w:tabs>
              <w:spacing w:before="53" w:after="30" w:line="288" w:lineRule="auto"/>
              <w:jc w:val="right"/>
            </w:pPr>
            <w:r>
              <w:rPr>
                <w:rFonts w:ascii="Times New Roman" w:eastAsia="Times New Roman" w:hAnsi="Times New Roman" w:cs="Times New Roman"/>
                <w:b w:val="0"/>
                <w:i w:val="0"/>
                <w:color w:val="000000"/>
                <w:sz w:val="16"/>
                <w:u w:val="none"/>
              </w:rPr>
              <w:tab/>
              <w:t>3,264</w:t>
              <w:tab/>
            </w:r>
          </w:p>
        </w:tc>
      </w:tr>
      <w:tr>
        <w:tblPrEx>
          <w:tblW w:w="10245" w:type="dxa"/>
          <w:tblInd w:w="0" w:type="dxa"/>
          <w:tblLayout w:type="fixed"/>
        </w:tblPrEx>
        <w:trPr>
          <w:trHeight w:hRule="exact" w:val="240"/>
        </w:trPr>
        <w:tc>
          <w:tcPr>
            <w:tcW w:w="726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88" w:lineRule="auto"/>
              <w:ind w:left="630" w:hanging="180"/>
              <w:jc w:val="left"/>
            </w:pPr>
            <w:r>
              <w:rPr>
                <w:rFonts w:ascii="Times New Roman" w:eastAsia="Times New Roman" w:hAnsi="Times New Roman" w:cs="Times New Roman"/>
                <w:b w:val="0"/>
                <w:i w:val="0"/>
                <w:color w:val="000000"/>
                <w:sz w:val="16"/>
                <w:u w:val="none"/>
              </w:rPr>
              <w:t>Notes payable, net of current portion</w:t>
            </w:r>
          </w:p>
        </w:tc>
        <w:tc>
          <w:tcPr>
            <w:tcW w:w="145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896"/>
                <w:tab w:val="left" w:pos="1387"/>
              </w:tabs>
              <w:spacing w:before="53" w:after="30" w:line="288" w:lineRule="auto"/>
              <w:jc w:val="right"/>
            </w:pPr>
            <w:r>
              <w:rPr>
                <w:rFonts w:ascii="Times New Roman" w:eastAsia="Times New Roman" w:hAnsi="Times New Roman" w:cs="Times New Roman"/>
                <w:b w:val="0"/>
                <w:i w:val="0"/>
                <w:color w:val="000000"/>
                <w:sz w:val="16"/>
                <w:u w:val="none"/>
              </w:rPr>
              <w:tab/>
              <w:t>62,346</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5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896"/>
                <w:tab w:val="left" w:pos="1387"/>
              </w:tabs>
              <w:spacing w:before="53" w:after="30" w:line="288" w:lineRule="auto"/>
              <w:jc w:val="right"/>
            </w:pPr>
            <w:r>
              <w:rPr>
                <w:rFonts w:ascii="Times New Roman" w:eastAsia="Times New Roman" w:hAnsi="Times New Roman" w:cs="Times New Roman"/>
                <w:b w:val="0"/>
                <w:i w:val="0"/>
                <w:color w:val="000000"/>
                <w:sz w:val="16"/>
                <w:u w:val="none"/>
              </w:rPr>
              <w:tab/>
              <w:t>63,282</w:t>
              <w:tab/>
            </w:r>
          </w:p>
        </w:tc>
      </w:tr>
      <w:tr>
        <w:tblPrEx>
          <w:tblW w:w="10245" w:type="dxa"/>
          <w:tblInd w:w="0" w:type="dxa"/>
          <w:tblLayout w:type="fixed"/>
        </w:tblPrEx>
        <w:trPr>
          <w:trHeight w:hRule="exact" w:val="240"/>
        </w:trPr>
        <w:tc>
          <w:tcPr>
            <w:tcW w:w="726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88" w:lineRule="auto"/>
              <w:ind w:left="630" w:hanging="180"/>
              <w:jc w:val="left"/>
            </w:pPr>
            <w:r>
              <w:rPr>
                <w:rFonts w:ascii="Times New Roman" w:eastAsia="Times New Roman" w:hAnsi="Times New Roman" w:cs="Times New Roman"/>
                <w:b w:val="0"/>
                <w:i w:val="0"/>
                <w:color w:val="000000"/>
                <w:sz w:val="16"/>
                <w:u w:val="none"/>
              </w:rPr>
              <w:t>Lease liabilities, noncurrent</w:t>
            </w:r>
          </w:p>
        </w:tc>
        <w:tc>
          <w:tcPr>
            <w:tcW w:w="145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976"/>
                <w:tab w:val="left" w:pos="1387"/>
              </w:tabs>
              <w:spacing w:before="53" w:after="30" w:line="288" w:lineRule="auto"/>
              <w:jc w:val="right"/>
            </w:pPr>
            <w:r>
              <w:rPr>
                <w:rFonts w:ascii="Times New Roman" w:eastAsia="Times New Roman" w:hAnsi="Times New Roman" w:cs="Times New Roman"/>
                <w:b w:val="0"/>
                <w:i w:val="0"/>
                <w:color w:val="000000"/>
                <w:sz w:val="16"/>
                <w:u w:val="none"/>
              </w:rPr>
              <w:tab/>
              <w:t>4,736</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5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976"/>
                <w:tab w:val="left" w:pos="1387"/>
              </w:tabs>
              <w:spacing w:before="53" w:after="30" w:line="288" w:lineRule="auto"/>
              <w:jc w:val="right"/>
            </w:pPr>
            <w:r>
              <w:rPr>
                <w:rFonts w:ascii="Times New Roman" w:eastAsia="Times New Roman" w:hAnsi="Times New Roman" w:cs="Times New Roman"/>
                <w:b w:val="0"/>
                <w:i w:val="0"/>
                <w:color w:val="000000"/>
                <w:sz w:val="16"/>
                <w:u w:val="none"/>
              </w:rPr>
              <w:tab/>
              <w:t>5,221</w:t>
              <w:tab/>
            </w:r>
          </w:p>
        </w:tc>
      </w:tr>
      <w:tr>
        <w:tblPrEx>
          <w:tblW w:w="10245" w:type="dxa"/>
          <w:tblInd w:w="0" w:type="dxa"/>
          <w:tblLayout w:type="fixed"/>
        </w:tblPrEx>
        <w:trPr>
          <w:trHeight w:hRule="exact" w:val="240"/>
        </w:trPr>
        <w:tc>
          <w:tcPr>
            <w:tcW w:w="726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88" w:lineRule="auto"/>
              <w:ind w:left="630" w:hanging="180"/>
              <w:jc w:val="left"/>
            </w:pPr>
            <w:r>
              <w:rPr>
                <w:rFonts w:ascii="Times New Roman" w:eastAsia="Times New Roman" w:hAnsi="Times New Roman" w:cs="Times New Roman"/>
                <w:b w:val="0"/>
                <w:i w:val="0"/>
                <w:color w:val="000000"/>
                <w:sz w:val="16"/>
                <w:u w:val="none"/>
              </w:rPr>
              <w:t>Other liabilities</w:t>
            </w:r>
          </w:p>
        </w:tc>
        <w:tc>
          <w:tcPr>
            <w:tcW w:w="145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1096"/>
                <w:tab w:val="left" w:pos="1387"/>
              </w:tabs>
              <w:spacing w:before="53" w:after="30" w:line="288" w:lineRule="auto"/>
              <w:jc w:val="right"/>
            </w:pPr>
            <w:r>
              <w:rPr>
                <w:rFonts w:ascii="Times New Roman" w:eastAsia="Times New Roman" w:hAnsi="Times New Roman" w:cs="Times New Roman"/>
                <w:b w:val="0"/>
                <w:i w:val="0"/>
                <w:color w:val="000000"/>
                <w:sz w:val="16"/>
                <w:u w:val="none"/>
              </w:rPr>
              <w:tab/>
              <w:t>202</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5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1096"/>
                <w:tab w:val="left" w:pos="1387"/>
              </w:tabs>
              <w:spacing w:before="53" w:after="30" w:line="288" w:lineRule="auto"/>
              <w:jc w:val="right"/>
            </w:pPr>
            <w:r>
              <w:rPr>
                <w:rFonts w:ascii="Times New Roman" w:eastAsia="Times New Roman" w:hAnsi="Times New Roman" w:cs="Times New Roman"/>
                <w:b w:val="0"/>
                <w:i w:val="0"/>
                <w:color w:val="000000"/>
                <w:sz w:val="16"/>
                <w:u w:val="none"/>
              </w:rPr>
              <w:tab/>
              <w:t>224</w:t>
              <w:tab/>
            </w:r>
          </w:p>
        </w:tc>
      </w:tr>
      <w:tr>
        <w:tblPrEx>
          <w:tblW w:w="10245" w:type="dxa"/>
          <w:tblInd w:w="0" w:type="dxa"/>
          <w:tblLayout w:type="fixed"/>
        </w:tblPrEx>
        <w:trPr>
          <w:trHeight w:hRule="exact" w:val="240"/>
        </w:trPr>
        <w:tc>
          <w:tcPr>
            <w:tcW w:w="726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33" w:after="30" w:line="288" w:lineRule="auto"/>
              <w:ind w:left="240"/>
              <w:jc w:val="left"/>
            </w:pPr>
            <w:r>
              <w:rPr>
                <w:rFonts w:ascii="Times New Roman" w:eastAsia="Times New Roman" w:hAnsi="Times New Roman" w:cs="Times New Roman"/>
                <w:b w:val="0"/>
                <w:i w:val="0"/>
                <w:color w:val="000000"/>
                <w:sz w:val="16"/>
                <w:u w:val="none"/>
              </w:rPr>
              <w:t>Total long-term liabilities</w:t>
            </w:r>
          </w:p>
        </w:tc>
        <w:tc>
          <w:tcPr>
            <w:tcW w:w="1455" w:type="dxa"/>
            <w:tcBorders>
              <w:top w:val="single" w:sz="8" w:space="0" w:color="000000"/>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896"/>
                <w:tab w:val="left" w:pos="1387"/>
              </w:tabs>
              <w:spacing w:before="33" w:after="30" w:line="288" w:lineRule="auto"/>
              <w:jc w:val="right"/>
            </w:pPr>
            <w:r>
              <w:rPr>
                <w:rFonts w:ascii="Times New Roman" w:eastAsia="Times New Roman" w:hAnsi="Times New Roman" w:cs="Times New Roman"/>
                <w:b w:val="0"/>
                <w:i w:val="0"/>
                <w:color w:val="000000"/>
                <w:sz w:val="16"/>
                <w:u w:val="none"/>
              </w:rPr>
              <w:tab/>
              <w:t>72,273</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55" w:type="dxa"/>
            <w:tcBorders>
              <w:top w:val="single" w:sz="8" w:space="0" w:color="000000"/>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896"/>
                <w:tab w:val="left" w:pos="1387"/>
              </w:tabs>
              <w:spacing w:before="33" w:after="30" w:line="288" w:lineRule="auto"/>
              <w:jc w:val="right"/>
            </w:pPr>
            <w:r>
              <w:rPr>
                <w:rFonts w:ascii="Times New Roman" w:eastAsia="Times New Roman" w:hAnsi="Times New Roman" w:cs="Times New Roman"/>
                <w:b w:val="0"/>
                <w:i w:val="0"/>
                <w:color w:val="000000"/>
                <w:sz w:val="16"/>
                <w:u w:val="none"/>
              </w:rPr>
              <w:tab/>
              <w:t>73,900</w:t>
              <w:tab/>
            </w:r>
          </w:p>
        </w:tc>
      </w:tr>
      <w:tr>
        <w:tblPrEx>
          <w:tblW w:w="10245" w:type="dxa"/>
          <w:tblInd w:w="0" w:type="dxa"/>
          <w:tblLayout w:type="fixed"/>
        </w:tblPrEx>
        <w:trPr>
          <w:trHeight w:hRule="exact" w:val="240"/>
        </w:trPr>
        <w:tc>
          <w:tcPr>
            <w:tcW w:w="726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33" w:after="30" w:line="288" w:lineRule="auto"/>
              <w:ind w:left="240"/>
              <w:jc w:val="left"/>
            </w:pPr>
            <w:r>
              <w:rPr>
                <w:rFonts w:ascii="Times New Roman" w:eastAsia="Times New Roman" w:hAnsi="Times New Roman" w:cs="Times New Roman"/>
                <w:b w:val="0"/>
                <w:i w:val="0"/>
                <w:color w:val="000000"/>
                <w:sz w:val="16"/>
                <w:u w:val="none"/>
              </w:rPr>
              <w:t>Total liabilities</w:t>
            </w:r>
          </w:p>
        </w:tc>
        <w:tc>
          <w:tcPr>
            <w:tcW w:w="1455"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816"/>
                <w:tab w:val="left" w:pos="1387"/>
              </w:tabs>
              <w:spacing w:before="33" w:after="30" w:line="288" w:lineRule="auto"/>
              <w:jc w:val="right"/>
            </w:pPr>
            <w:r>
              <w:rPr>
                <w:rFonts w:ascii="Times New Roman" w:eastAsia="Times New Roman" w:hAnsi="Times New Roman" w:cs="Times New Roman"/>
                <w:b w:val="0"/>
                <w:i w:val="0"/>
                <w:color w:val="000000"/>
                <w:sz w:val="16"/>
                <w:u w:val="none"/>
              </w:rPr>
              <w:tab/>
              <w:t>318,555</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55"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816"/>
                <w:tab w:val="left" w:pos="1387"/>
              </w:tabs>
              <w:spacing w:before="33" w:after="30" w:line="288" w:lineRule="auto"/>
              <w:jc w:val="right"/>
            </w:pPr>
            <w:r>
              <w:rPr>
                <w:rFonts w:ascii="Times New Roman" w:eastAsia="Times New Roman" w:hAnsi="Times New Roman" w:cs="Times New Roman"/>
                <w:b w:val="0"/>
                <w:i w:val="0"/>
                <w:color w:val="000000"/>
                <w:sz w:val="16"/>
                <w:u w:val="none"/>
              </w:rPr>
              <w:tab/>
              <w:t>333,623</w:t>
              <w:tab/>
            </w:r>
          </w:p>
        </w:tc>
      </w:tr>
      <w:tr>
        <w:tblPrEx>
          <w:tblW w:w="10245" w:type="dxa"/>
          <w:tblInd w:w="0" w:type="dxa"/>
          <w:tblLayout w:type="fixed"/>
        </w:tblPrEx>
        <w:trPr>
          <w:trHeight w:hRule="exact" w:val="240"/>
        </w:trPr>
        <w:tc>
          <w:tcPr>
            <w:tcW w:w="726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33" w:after="30" w:line="288" w:lineRule="auto"/>
              <w:ind w:left="240"/>
              <w:jc w:val="left"/>
            </w:pPr>
            <w:r>
              <w:rPr>
                <w:rFonts w:ascii="Times New Roman" w:eastAsia="Times New Roman" w:hAnsi="Times New Roman" w:cs="Times New Roman"/>
                <w:b w:val="0"/>
                <w:i w:val="0"/>
                <w:color w:val="000000"/>
                <w:sz w:val="16"/>
                <w:u w:val="none"/>
              </w:rPr>
              <w:t>Commitments and contingencies - Note 8</w:t>
            </w:r>
          </w:p>
        </w:tc>
        <w:tc>
          <w:tcPr>
            <w:tcW w:w="1455" w:type="dxa"/>
            <w:tcBorders>
              <w:top w:val="single" w:sz="8" w:space="0" w:color="000000"/>
              <w:left w:val="nil"/>
              <w:bottom w:val="nil"/>
              <w:right w:val="nil"/>
            </w:tcBorders>
            <w:shd w:val="clear" w:color="auto" w:fill="CCEEFF"/>
            <w:tcMar>
              <w:top w:w="0" w:type="dxa"/>
              <w:left w:w="0" w:type="dxa"/>
              <w:bottom w:w="0" w:type="dxa"/>
              <w:right w:w="53" w:type="dxa"/>
            </w:tcMar>
            <w:vAlign w:val="bottom"/>
          </w:tcPr>
          <w:p>
            <w:pPr>
              <w:keepNext/>
              <w:pageBreakBefore w:val="0"/>
              <w:spacing w:before="33" w:after="30" w:line="288" w:lineRule="auto"/>
              <w:jc w:val="righ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55" w:type="dxa"/>
            <w:tcBorders>
              <w:top w:val="single" w:sz="8" w:space="0" w:color="000000"/>
              <w:left w:val="nil"/>
              <w:bottom w:val="nil"/>
              <w:right w:val="nil"/>
            </w:tcBorders>
            <w:shd w:val="clear" w:color="auto" w:fill="CCEEFF"/>
            <w:tcMar>
              <w:top w:w="0" w:type="dxa"/>
              <w:left w:w="0" w:type="dxa"/>
              <w:bottom w:w="0" w:type="dxa"/>
              <w:right w:w="53" w:type="dxa"/>
            </w:tcMar>
            <w:vAlign w:val="bottom"/>
          </w:tcPr>
          <w:p>
            <w:pPr>
              <w:keepNext/>
              <w:pageBreakBefore w:val="0"/>
              <w:spacing w:before="33" w:after="30" w:line="288" w:lineRule="auto"/>
              <w:jc w:val="right"/>
            </w:pPr>
          </w:p>
        </w:tc>
      </w:tr>
      <w:tr>
        <w:tblPrEx>
          <w:tblW w:w="10245" w:type="dxa"/>
          <w:tblInd w:w="0" w:type="dxa"/>
          <w:tblLayout w:type="fixed"/>
        </w:tblPrEx>
        <w:trPr>
          <w:trHeight w:hRule="exact" w:val="240"/>
        </w:trPr>
        <w:tc>
          <w:tcPr>
            <w:tcW w:w="726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88" w:lineRule="auto"/>
              <w:ind w:left="240"/>
              <w:jc w:val="left"/>
            </w:pPr>
            <w:r>
              <w:rPr>
                <w:rFonts w:ascii="Times New Roman" w:eastAsia="Times New Roman" w:hAnsi="Times New Roman" w:cs="Times New Roman"/>
                <w:b w:val="0"/>
                <w:i w:val="0"/>
                <w:color w:val="000000"/>
                <w:sz w:val="16"/>
                <w:u w:val="none"/>
              </w:rPr>
              <w:t>Stockholders’ equity:</w:t>
            </w:r>
          </w:p>
        </w:tc>
        <w:tc>
          <w:tcPr>
            <w:tcW w:w="145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5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r>
      <w:tr>
        <w:tblPrEx>
          <w:tblW w:w="10245" w:type="dxa"/>
          <w:tblInd w:w="0" w:type="dxa"/>
          <w:tblLayout w:type="fixed"/>
        </w:tblPrEx>
        <w:trPr>
          <w:trHeight w:hRule="exact" w:val="240"/>
        </w:trPr>
        <w:tc>
          <w:tcPr>
            <w:tcW w:w="726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numPr>
                <w:ilvl w:val="0"/>
                <w:numId w:val="0"/>
              </w:numPr>
              <w:spacing w:before="53" w:after="30" w:line="288" w:lineRule="auto"/>
              <w:ind w:left="630" w:right="0" w:hanging="180"/>
              <w:jc w:val="left"/>
              <w:outlineLvl w:val="9"/>
              <w:rPr>
                <w:rFonts w:ascii="Times New Roman" w:eastAsia="Times New Roman" w:hAnsi="Times New Roman" w:cs="Times New Roman"/>
                <w:b w:val="0"/>
                <w:i w:val="0"/>
                <w:sz w:val="16"/>
              </w:rPr>
            </w:pPr>
            <w:r>
              <w:rPr>
                <w:rFonts w:ascii="Times New Roman" w:eastAsia="Times New Roman" w:hAnsi="Times New Roman" w:cs="Times New Roman"/>
                <w:b w:val="0"/>
                <w:i w:val="0"/>
                <w:sz w:val="16"/>
              </w:rPr>
              <w:t xml:space="preserve">Preferred stock, </w:t>
            </w:r>
            <w:r>
              <w:rPr>
                <w:rFonts w:ascii="Times New Roman" w:eastAsia="Times New Roman" w:hAnsi="Times New Roman" w:cs="Times New Roman"/>
                <w:b w:val="0"/>
                <w:i w:val="0"/>
                <w:color w:val="000000"/>
                <w:sz w:val="16"/>
                <w:u w:val="none"/>
              </w:rPr>
              <w:t>$0.01</w:t>
            </w:r>
            <w:r>
              <w:rPr>
                <w:rFonts w:ascii="Times New Roman" w:eastAsia="Times New Roman" w:hAnsi="Times New Roman" w:cs="Times New Roman"/>
                <w:b w:val="0"/>
                <w:i w:val="0"/>
                <w:sz w:val="16"/>
              </w:rPr>
              <w:t xml:space="preserve"> par value; </w:t>
            </w:r>
            <w:r>
              <w:rPr>
                <w:rFonts w:ascii="Times New Roman" w:eastAsia="Times New Roman" w:hAnsi="Times New Roman" w:cs="Times New Roman"/>
                <w:b w:val="0"/>
                <w:i w:val="0"/>
                <w:color w:val="000000"/>
                <w:sz w:val="16"/>
                <w:u w:val="none"/>
              </w:rPr>
              <w:t>1,500</w:t>
            </w:r>
            <w:r>
              <w:rPr>
                <w:rFonts w:ascii="Times New Roman" w:eastAsia="Times New Roman" w:hAnsi="Times New Roman" w:cs="Times New Roman"/>
                <w:b w:val="0"/>
                <w:i w:val="0"/>
                <w:sz w:val="16"/>
              </w:rPr>
              <w:t xml:space="preserve"> shares authorized; </w:t>
            </w:r>
            <w:r>
              <w:rPr>
                <w:rFonts w:ascii="Times New Roman" w:eastAsia="Times New Roman" w:hAnsi="Times New Roman" w:cs="Times New Roman"/>
                <w:b w:val="0"/>
                <w:i w:val="0"/>
                <w:color w:val="000000"/>
                <w:sz w:val="16"/>
                <w:u w:val="none"/>
              </w:rPr>
              <w:t>none</w:t>
            </w:r>
            <w:r>
              <w:rPr>
                <w:rFonts w:ascii="Times New Roman" w:eastAsia="Times New Roman" w:hAnsi="Times New Roman" w:cs="Times New Roman"/>
                <w:b w:val="0"/>
                <w:i w:val="0"/>
                <w:sz w:val="16"/>
              </w:rPr>
              <w:t xml:space="preserve"> issued or outstanding</w:t>
            </w:r>
          </w:p>
        </w:tc>
        <w:tc>
          <w:tcPr>
            <w:tcW w:w="145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176"/>
                <w:tab w:val="left" w:pos="1387"/>
              </w:tabs>
              <w:spacing w:before="53" w:after="30" w:line="288"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5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176"/>
                <w:tab w:val="left" w:pos="1387"/>
              </w:tabs>
              <w:spacing w:before="53" w:after="30" w:line="288" w:lineRule="auto"/>
              <w:jc w:val="right"/>
            </w:pPr>
            <w:r>
              <w:rPr>
                <w:rFonts w:ascii="Times New Roman" w:eastAsia="Times New Roman" w:hAnsi="Times New Roman" w:cs="Times New Roman"/>
                <w:b w:val="0"/>
                <w:i w:val="0"/>
                <w:color w:val="000000"/>
                <w:sz w:val="16"/>
                <w:u w:val="none"/>
              </w:rPr>
              <w:tab/>
              <w:t>—</w:t>
              <w:tab/>
            </w:r>
          </w:p>
        </w:tc>
      </w:tr>
      <w:tr>
        <w:tblPrEx>
          <w:tblW w:w="10245" w:type="dxa"/>
          <w:tblInd w:w="0" w:type="dxa"/>
          <w:tblLayout w:type="fixed"/>
        </w:tblPrEx>
        <w:trPr>
          <w:trHeight w:hRule="exact" w:val="420"/>
        </w:trPr>
        <w:tc>
          <w:tcPr>
            <w:tcW w:w="726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numPr>
                <w:ilvl w:val="0"/>
                <w:numId w:val="0"/>
              </w:numPr>
              <w:spacing w:before="53" w:after="30" w:line="288" w:lineRule="auto"/>
              <w:ind w:left="630" w:right="0" w:hanging="180"/>
              <w:jc w:val="left"/>
              <w:outlineLvl w:val="9"/>
              <w:rPr>
                <w:rFonts w:ascii="Times New Roman" w:eastAsia="Times New Roman" w:hAnsi="Times New Roman" w:cs="Times New Roman"/>
                <w:b w:val="0"/>
                <w:i w:val="0"/>
                <w:sz w:val="16"/>
              </w:rPr>
            </w:pPr>
            <w:r>
              <w:rPr>
                <w:rFonts w:ascii="Times New Roman" w:eastAsia="Times New Roman" w:hAnsi="Times New Roman" w:cs="Times New Roman"/>
                <w:b w:val="0"/>
                <w:i w:val="0"/>
                <w:sz w:val="16"/>
              </w:rPr>
              <w:t xml:space="preserve">Common stock, </w:t>
            </w:r>
            <w:r>
              <w:rPr>
                <w:rFonts w:ascii="Times New Roman" w:eastAsia="Times New Roman" w:hAnsi="Times New Roman" w:cs="Times New Roman"/>
                <w:b w:val="0"/>
                <w:i w:val="0"/>
                <w:color w:val="000000"/>
                <w:sz w:val="16"/>
                <w:u w:val="none"/>
              </w:rPr>
              <w:t>$0.01</w:t>
            </w:r>
            <w:r>
              <w:rPr>
                <w:rFonts w:ascii="Times New Roman" w:eastAsia="Times New Roman" w:hAnsi="Times New Roman" w:cs="Times New Roman"/>
                <w:b w:val="0"/>
                <w:i w:val="0"/>
                <w:sz w:val="16"/>
              </w:rPr>
              <w:t xml:space="preserve"> par value; </w:t>
            </w:r>
            <w:r>
              <w:rPr>
                <w:rFonts w:ascii="Times New Roman" w:eastAsia="Times New Roman" w:hAnsi="Times New Roman" w:cs="Times New Roman"/>
                <w:b w:val="0"/>
                <w:i w:val="0"/>
                <w:color w:val="000000"/>
                <w:sz w:val="16"/>
                <w:u w:val="none"/>
              </w:rPr>
              <w:t>44,000</w:t>
            </w:r>
            <w:r>
              <w:rPr>
                <w:rFonts w:ascii="Times New Roman" w:eastAsia="Times New Roman" w:hAnsi="Times New Roman" w:cs="Times New Roman"/>
                <w:b w:val="0"/>
                <w:i w:val="0"/>
                <w:sz w:val="16"/>
              </w:rPr>
              <w:t xml:space="preserve"> shares authorized; </w:t>
            </w:r>
            <w:r>
              <w:rPr>
                <w:rFonts w:ascii="Times New Roman" w:eastAsia="Times New Roman" w:hAnsi="Times New Roman" w:cs="Times New Roman"/>
                <w:b w:val="0"/>
                <w:i w:val="0"/>
                <w:color w:val="000000"/>
                <w:sz w:val="16"/>
                <w:u w:val="none"/>
              </w:rPr>
              <w:t>28,637</w:t>
            </w:r>
            <w:r>
              <w:rPr>
                <w:rFonts w:ascii="Times New Roman" w:eastAsia="Times New Roman" w:hAnsi="Times New Roman" w:cs="Times New Roman"/>
                <w:b w:val="0"/>
                <w:i w:val="0"/>
                <w:sz w:val="16"/>
              </w:rPr>
              <w:t xml:space="preserve"> and </w:t>
            </w:r>
            <w:r>
              <w:rPr>
                <w:rFonts w:ascii="Times New Roman" w:eastAsia="Times New Roman" w:hAnsi="Times New Roman" w:cs="Times New Roman"/>
                <w:b w:val="0"/>
                <w:i w:val="0"/>
                <w:color w:val="000000"/>
                <w:sz w:val="16"/>
                <w:u w:val="none"/>
              </w:rPr>
              <w:t>28,076</w:t>
            </w:r>
            <w:r>
              <w:rPr>
                <w:rFonts w:ascii="Times New Roman" w:eastAsia="Times New Roman" w:hAnsi="Times New Roman" w:cs="Times New Roman"/>
                <w:b w:val="0"/>
                <w:i w:val="0"/>
                <w:sz w:val="16"/>
              </w:rPr>
              <w:t xml:space="preserve"> shares issued, </w:t>
            </w:r>
            <w:r>
              <w:rPr>
                <w:rFonts w:ascii="Times New Roman" w:eastAsia="Times New Roman" w:hAnsi="Times New Roman" w:cs="Times New Roman"/>
                <w:b w:val="0"/>
                <w:i w:val="0"/>
                <w:color w:val="000000"/>
                <w:sz w:val="16"/>
                <w:u w:val="none"/>
              </w:rPr>
              <w:t>28,637</w:t>
            </w:r>
            <w:r>
              <w:rPr>
                <w:rFonts w:ascii="Times New Roman" w:eastAsia="Times New Roman" w:hAnsi="Times New Roman" w:cs="Times New Roman"/>
                <w:b w:val="0"/>
                <w:i w:val="0"/>
                <w:sz w:val="16"/>
              </w:rPr>
              <w:t xml:space="preserve"> and </w:t>
            </w:r>
            <w:r>
              <w:rPr>
                <w:rFonts w:ascii="Times New Roman" w:eastAsia="Times New Roman" w:hAnsi="Times New Roman" w:cs="Times New Roman"/>
                <w:b w:val="0"/>
                <w:i w:val="0"/>
                <w:color w:val="000000"/>
                <w:sz w:val="16"/>
                <w:u w:val="none"/>
              </w:rPr>
              <w:t>28,076</w:t>
            </w:r>
            <w:r>
              <w:rPr>
                <w:rFonts w:ascii="Times New Roman" w:eastAsia="Times New Roman" w:hAnsi="Times New Roman" w:cs="Times New Roman"/>
                <w:b w:val="0"/>
                <w:i w:val="0"/>
                <w:sz w:val="16"/>
              </w:rPr>
              <w:t xml:space="preserve"> shares outstanding at </w:t>
            </w:r>
            <w:r>
              <w:rPr>
                <w:rFonts w:ascii="Times New Roman" w:eastAsia="Times New Roman" w:hAnsi="Times New Roman" w:cs="Times New Roman"/>
                <w:b w:val="0"/>
                <w:i w:val="0"/>
                <w:color w:val="000000"/>
                <w:sz w:val="16"/>
                <w:u w:val="none"/>
              </w:rPr>
              <w:t>March 31, 2026</w:t>
            </w:r>
            <w:r>
              <w:rPr>
                <w:rFonts w:ascii="Times New Roman" w:eastAsia="Times New Roman" w:hAnsi="Times New Roman" w:cs="Times New Roman"/>
                <w:b w:val="0"/>
                <w:i w:val="0"/>
                <w:sz w:val="16"/>
              </w:rPr>
              <w:t xml:space="preserve"> and </w:t>
            </w:r>
            <w:r>
              <w:rPr>
                <w:rFonts w:ascii="Times New Roman" w:eastAsia="Times New Roman" w:hAnsi="Times New Roman" w:cs="Times New Roman"/>
                <w:b w:val="0"/>
                <w:i w:val="0"/>
                <w:color w:val="000000"/>
                <w:sz w:val="16"/>
                <w:u w:val="none"/>
              </w:rPr>
              <w:t>December 31, 2025</w:t>
            </w:r>
            <w:r>
              <w:rPr>
                <w:rFonts w:ascii="Times New Roman" w:eastAsia="Times New Roman" w:hAnsi="Times New Roman" w:cs="Times New Roman"/>
                <w:b w:val="0"/>
                <w:i w:val="0"/>
                <w:sz w:val="16"/>
              </w:rPr>
              <w:t>, respectively</w:t>
            </w:r>
          </w:p>
        </w:tc>
        <w:tc>
          <w:tcPr>
            <w:tcW w:w="145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096"/>
                <w:tab w:val="left" w:pos="1387"/>
              </w:tabs>
              <w:spacing w:before="53" w:after="30" w:line="288" w:lineRule="auto"/>
              <w:jc w:val="right"/>
            </w:pPr>
            <w:r>
              <w:rPr>
                <w:rFonts w:ascii="Times New Roman" w:eastAsia="Times New Roman" w:hAnsi="Times New Roman" w:cs="Times New Roman"/>
                <w:b w:val="0"/>
                <w:i w:val="0"/>
                <w:color w:val="000000"/>
                <w:sz w:val="16"/>
                <w:u w:val="none"/>
              </w:rPr>
              <w:tab/>
              <w:t>286</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5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096"/>
                <w:tab w:val="left" w:pos="1387"/>
              </w:tabs>
              <w:spacing w:before="53" w:after="30" w:line="288" w:lineRule="auto"/>
              <w:jc w:val="right"/>
            </w:pPr>
            <w:r>
              <w:rPr>
                <w:rFonts w:ascii="Times New Roman" w:eastAsia="Times New Roman" w:hAnsi="Times New Roman" w:cs="Times New Roman"/>
                <w:b w:val="0"/>
                <w:i w:val="0"/>
                <w:color w:val="000000"/>
                <w:sz w:val="16"/>
                <w:u w:val="none"/>
              </w:rPr>
              <w:tab/>
              <w:t>281</w:t>
              <w:tab/>
            </w:r>
          </w:p>
        </w:tc>
      </w:tr>
      <w:tr>
        <w:tblPrEx>
          <w:tblW w:w="10245" w:type="dxa"/>
          <w:tblInd w:w="0" w:type="dxa"/>
          <w:tblLayout w:type="fixed"/>
        </w:tblPrEx>
        <w:trPr>
          <w:trHeight w:hRule="exact" w:val="240"/>
        </w:trPr>
        <w:tc>
          <w:tcPr>
            <w:tcW w:w="726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numPr>
                <w:ilvl w:val="0"/>
                <w:numId w:val="0"/>
              </w:numPr>
              <w:spacing w:before="53" w:after="30" w:line="288" w:lineRule="auto"/>
              <w:ind w:left="630" w:right="0" w:hanging="180"/>
              <w:jc w:val="left"/>
              <w:outlineLvl w:val="9"/>
              <w:rPr>
                <w:rFonts w:ascii="Times New Roman" w:eastAsia="Times New Roman" w:hAnsi="Times New Roman" w:cs="Times New Roman"/>
                <w:b w:val="0"/>
                <w:i w:val="0"/>
                <w:sz w:val="16"/>
              </w:rPr>
            </w:pPr>
            <w:r>
              <w:rPr>
                <w:rFonts w:ascii="Times New Roman" w:eastAsia="Times New Roman" w:hAnsi="Times New Roman" w:cs="Times New Roman"/>
                <w:b w:val="0"/>
                <w:i w:val="0"/>
                <w:sz w:val="16"/>
              </w:rPr>
              <w:t xml:space="preserve">Treasury stock at cost, </w:t>
            </w:r>
            <w:r>
              <w:rPr>
                <w:rFonts w:ascii="Times New Roman" w:eastAsia="Times New Roman" w:hAnsi="Times New Roman" w:cs="Times New Roman"/>
                <w:b w:val="0"/>
                <w:i w:val="0"/>
                <w:color w:val="000000"/>
                <w:sz w:val="16"/>
                <w:u w:val="none"/>
              </w:rPr>
              <w:t>zero</w:t>
            </w:r>
            <w:r>
              <w:rPr>
                <w:rFonts w:ascii="Times New Roman" w:eastAsia="Times New Roman" w:hAnsi="Times New Roman" w:cs="Times New Roman"/>
                <w:b w:val="0"/>
                <w:i w:val="0"/>
                <w:sz w:val="16"/>
                <w:vertAlign w:val="superscript"/>
              </w:rPr>
              <w:t>(1)</w:t>
            </w:r>
            <w:r>
              <w:rPr>
                <w:rFonts w:ascii="Times New Roman" w:eastAsia="Times New Roman" w:hAnsi="Times New Roman" w:cs="Times New Roman"/>
                <w:b w:val="0"/>
                <w:i w:val="0"/>
                <w:sz w:val="16"/>
              </w:rPr>
              <w:t xml:space="preserve"> shares at </w:t>
            </w:r>
            <w:r>
              <w:rPr>
                <w:rFonts w:ascii="Times New Roman" w:eastAsia="Times New Roman" w:hAnsi="Times New Roman" w:cs="Times New Roman"/>
                <w:b w:val="0"/>
                <w:i w:val="0"/>
                <w:color w:val="000000"/>
                <w:sz w:val="16"/>
                <w:u w:val="none"/>
              </w:rPr>
              <w:t>March 31, 2026</w:t>
            </w:r>
            <w:r>
              <w:rPr>
                <w:rFonts w:ascii="Times New Roman" w:eastAsia="Times New Roman" w:hAnsi="Times New Roman" w:cs="Times New Roman"/>
                <w:b w:val="0"/>
                <w:i w:val="0"/>
                <w:sz w:val="16"/>
              </w:rPr>
              <w:t xml:space="preserve"> and </w:t>
            </w:r>
            <w:r>
              <w:rPr>
                <w:rFonts w:ascii="Times New Roman" w:eastAsia="Times New Roman" w:hAnsi="Times New Roman" w:cs="Times New Roman"/>
                <w:b w:val="0"/>
                <w:i w:val="0"/>
                <w:color w:val="000000"/>
                <w:sz w:val="16"/>
                <w:u w:val="none"/>
              </w:rPr>
              <w:t>December 31, 2025</w:t>
            </w:r>
          </w:p>
        </w:tc>
        <w:tc>
          <w:tcPr>
            <w:tcW w:w="145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176"/>
                <w:tab w:val="left" w:pos="1387"/>
              </w:tabs>
              <w:spacing w:before="53" w:after="30" w:line="288"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5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176"/>
                <w:tab w:val="left" w:pos="1387"/>
              </w:tabs>
              <w:spacing w:before="53" w:after="30" w:line="288" w:lineRule="auto"/>
              <w:jc w:val="right"/>
            </w:pPr>
            <w:r>
              <w:rPr>
                <w:rFonts w:ascii="Times New Roman" w:eastAsia="Times New Roman" w:hAnsi="Times New Roman" w:cs="Times New Roman"/>
                <w:b w:val="0"/>
                <w:i w:val="0"/>
                <w:color w:val="000000"/>
                <w:sz w:val="16"/>
                <w:u w:val="none"/>
              </w:rPr>
              <w:tab/>
              <w:t>—</w:t>
              <w:tab/>
            </w:r>
          </w:p>
        </w:tc>
      </w:tr>
      <w:tr>
        <w:tblPrEx>
          <w:tblW w:w="10245" w:type="dxa"/>
          <w:tblInd w:w="0" w:type="dxa"/>
          <w:tblLayout w:type="fixed"/>
        </w:tblPrEx>
        <w:trPr>
          <w:trHeight w:hRule="exact" w:val="240"/>
        </w:trPr>
        <w:tc>
          <w:tcPr>
            <w:tcW w:w="726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88" w:lineRule="auto"/>
              <w:ind w:left="630" w:hanging="180"/>
              <w:jc w:val="left"/>
            </w:pPr>
            <w:r>
              <w:rPr>
                <w:rFonts w:ascii="Times New Roman" w:eastAsia="Times New Roman" w:hAnsi="Times New Roman" w:cs="Times New Roman"/>
                <w:b w:val="0"/>
                <w:i w:val="0"/>
                <w:color w:val="000000"/>
                <w:sz w:val="16"/>
                <w:u w:val="none"/>
              </w:rPr>
              <w:t>Additional paid-in capital</w:t>
            </w:r>
          </w:p>
        </w:tc>
        <w:tc>
          <w:tcPr>
            <w:tcW w:w="145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816"/>
                <w:tab w:val="left" w:pos="1387"/>
              </w:tabs>
              <w:spacing w:before="53" w:after="30" w:line="288" w:lineRule="auto"/>
              <w:jc w:val="right"/>
            </w:pPr>
            <w:r>
              <w:rPr>
                <w:rFonts w:ascii="Times New Roman" w:eastAsia="Times New Roman" w:hAnsi="Times New Roman" w:cs="Times New Roman"/>
                <w:b w:val="0"/>
                <w:i w:val="0"/>
                <w:color w:val="000000"/>
                <w:sz w:val="16"/>
                <w:u w:val="none"/>
              </w:rPr>
              <w:tab/>
              <w:t>519,717</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5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816"/>
                <w:tab w:val="left" w:pos="1387"/>
              </w:tabs>
              <w:spacing w:before="53" w:after="30" w:line="288" w:lineRule="auto"/>
              <w:jc w:val="right"/>
            </w:pPr>
            <w:r>
              <w:rPr>
                <w:rFonts w:ascii="Times New Roman" w:eastAsia="Times New Roman" w:hAnsi="Times New Roman" w:cs="Times New Roman"/>
                <w:b w:val="0"/>
                <w:i w:val="0"/>
                <w:color w:val="000000"/>
                <w:sz w:val="16"/>
                <w:u w:val="none"/>
              </w:rPr>
              <w:tab/>
              <w:t>517,432</w:t>
              <w:tab/>
            </w:r>
          </w:p>
        </w:tc>
      </w:tr>
      <w:tr>
        <w:tblPrEx>
          <w:tblW w:w="10245" w:type="dxa"/>
          <w:tblInd w:w="0" w:type="dxa"/>
          <w:tblLayout w:type="fixed"/>
        </w:tblPrEx>
        <w:trPr>
          <w:trHeight w:hRule="exact" w:val="240"/>
        </w:trPr>
        <w:tc>
          <w:tcPr>
            <w:tcW w:w="726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88" w:lineRule="auto"/>
              <w:ind w:left="630" w:hanging="180"/>
              <w:jc w:val="left"/>
            </w:pPr>
            <w:r>
              <w:rPr>
                <w:rFonts w:ascii="Times New Roman" w:eastAsia="Times New Roman" w:hAnsi="Times New Roman" w:cs="Times New Roman"/>
                <w:b w:val="0"/>
                <w:i w:val="0"/>
                <w:color w:val="000000"/>
                <w:sz w:val="16"/>
                <w:u w:val="none"/>
              </w:rPr>
              <w:t>Accumulated deficit</w:t>
            </w:r>
          </w:p>
        </w:tc>
        <w:tc>
          <w:tcPr>
            <w:tcW w:w="145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742"/>
              </w:tabs>
              <w:spacing w:before="53" w:after="30" w:line="288" w:lineRule="auto"/>
              <w:jc w:val="right"/>
            </w:pPr>
            <w:r>
              <w:rPr>
                <w:rFonts w:ascii="Times New Roman" w:eastAsia="Times New Roman" w:hAnsi="Times New Roman" w:cs="Times New Roman"/>
                <w:b w:val="0"/>
                <w:i w:val="0"/>
                <w:color w:val="000000"/>
                <w:sz w:val="16"/>
                <w:u w:val="none"/>
              </w:rPr>
              <w:tab/>
              <w:t>(319,727)</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5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742"/>
              </w:tabs>
              <w:spacing w:before="53" w:after="30" w:line="288" w:lineRule="auto"/>
              <w:jc w:val="right"/>
            </w:pPr>
            <w:r>
              <w:rPr>
                <w:rFonts w:ascii="Times New Roman" w:eastAsia="Times New Roman" w:hAnsi="Times New Roman" w:cs="Times New Roman"/>
                <w:b w:val="0"/>
                <w:i w:val="0"/>
                <w:color w:val="000000"/>
                <w:sz w:val="16"/>
                <w:u w:val="none"/>
              </w:rPr>
              <w:tab/>
              <w:t>(320,352)</w:t>
            </w:r>
          </w:p>
        </w:tc>
      </w:tr>
      <w:tr>
        <w:tblPrEx>
          <w:tblW w:w="10245" w:type="dxa"/>
          <w:tblInd w:w="0" w:type="dxa"/>
          <w:tblLayout w:type="fixed"/>
        </w:tblPrEx>
        <w:trPr>
          <w:trHeight w:hRule="exact" w:val="240"/>
        </w:trPr>
        <w:tc>
          <w:tcPr>
            <w:tcW w:w="726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88" w:lineRule="auto"/>
              <w:ind w:left="630" w:hanging="180"/>
              <w:jc w:val="left"/>
            </w:pPr>
            <w:r>
              <w:rPr>
                <w:rFonts w:ascii="Times New Roman" w:eastAsia="Times New Roman" w:hAnsi="Times New Roman" w:cs="Times New Roman"/>
                <w:b w:val="0"/>
                <w:i w:val="0"/>
                <w:color w:val="000000"/>
                <w:sz w:val="16"/>
                <w:u w:val="none"/>
              </w:rPr>
              <w:t>Accumulated other comprehensive income (loss)</w:t>
            </w:r>
          </w:p>
        </w:tc>
        <w:tc>
          <w:tcPr>
            <w:tcW w:w="145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1022"/>
              </w:tabs>
              <w:spacing w:before="53" w:after="30" w:line="288" w:lineRule="auto"/>
              <w:jc w:val="right"/>
            </w:pPr>
            <w:r>
              <w:rPr>
                <w:rFonts w:ascii="Times New Roman" w:eastAsia="Times New Roman" w:hAnsi="Times New Roman" w:cs="Times New Roman"/>
                <w:b w:val="0"/>
                <w:i w:val="0"/>
                <w:color w:val="000000"/>
                <w:sz w:val="16"/>
                <w:u w:val="none"/>
              </w:rPr>
              <w:tab/>
              <w:t>(153)</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5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1096"/>
                <w:tab w:val="left" w:pos="1387"/>
              </w:tabs>
              <w:spacing w:before="53" w:after="30" w:line="288" w:lineRule="auto"/>
              <w:jc w:val="right"/>
            </w:pPr>
            <w:r>
              <w:rPr>
                <w:rFonts w:ascii="Times New Roman" w:eastAsia="Times New Roman" w:hAnsi="Times New Roman" w:cs="Times New Roman"/>
                <w:b w:val="0"/>
                <w:i w:val="0"/>
                <w:color w:val="000000"/>
                <w:sz w:val="16"/>
                <w:u w:val="none"/>
              </w:rPr>
              <w:tab/>
              <w:t>435</w:t>
              <w:tab/>
            </w:r>
          </w:p>
        </w:tc>
      </w:tr>
      <w:tr>
        <w:tblPrEx>
          <w:tblW w:w="10245" w:type="dxa"/>
          <w:tblInd w:w="0" w:type="dxa"/>
          <w:tblLayout w:type="fixed"/>
        </w:tblPrEx>
        <w:trPr>
          <w:trHeight w:hRule="exact" w:val="240"/>
        </w:trPr>
        <w:tc>
          <w:tcPr>
            <w:tcW w:w="726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33" w:after="30" w:line="288" w:lineRule="auto"/>
              <w:ind w:left="240"/>
              <w:jc w:val="left"/>
            </w:pPr>
            <w:r>
              <w:rPr>
                <w:rFonts w:ascii="Times New Roman" w:eastAsia="Times New Roman" w:hAnsi="Times New Roman" w:cs="Times New Roman"/>
                <w:b w:val="0"/>
                <w:i w:val="0"/>
                <w:color w:val="000000"/>
                <w:sz w:val="16"/>
                <w:u w:val="none"/>
              </w:rPr>
              <w:t>Total stockholders’ equity</w:t>
            </w:r>
          </w:p>
        </w:tc>
        <w:tc>
          <w:tcPr>
            <w:tcW w:w="1455" w:type="dxa"/>
            <w:tcBorders>
              <w:top w:val="single" w:sz="8" w:space="0" w:color="000000"/>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816"/>
                <w:tab w:val="left" w:pos="1387"/>
              </w:tabs>
              <w:spacing w:before="33" w:after="30" w:line="288" w:lineRule="auto"/>
              <w:jc w:val="right"/>
            </w:pPr>
            <w:r>
              <w:rPr>
                <w:rFonts w:ascii="Times New Roman" w:eastAsia="Times New Roman" w:hAnsi="Times New Roman" w:cs="Times New Roman"/>
                <w:b w:val="0"/>
                <w:i w:val="0"/>
                <w:color w:val="000000"/>
                <w:sz w:val="16"/>
                <w:u w:val="none"/>
              </w:rPr>
              <w:tab/>
              <w:t>200,123</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55" w:type="dxa"/>
            <w:tcBorders>
              <w:top w:val="single" w:sz="8" w:space="0" w:color="000000"/>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816"/>
                <w:tab w:val="left" w:pos="1387"/>
              </w:tabs>
              <w:spacing w:before="33" w:after="30" w:line="288" w:lineRule="auto"/>
              <w:jc w:val="right"/>
            </w:pPr>
            <w:r>
              <w:rPr>
                <w:rFonts w:ascii="Times New Roman" w:eastAsia="Times New Roman" w:hAnsi="Times New Roman" w:cs="Times New Roman"/>
                <w:b w:val="0"/>
                <w:i w:val="0"/>
                <w:color w:val="000000"/>
                <w:sz w:val="16"/>
                <w:u w:val="none"/>
              </w:rPr>
              <w:tab/>
              <w:t>197,796</w:t>
              <w:tab/>
            </w:r>
          </w:p>
        </w:tc>
      </w:tr>
      <w:tr>
        <w:tblPrEx>
          <w:tblW w:w="10245" w:type="dxa"/>
          <w:tblInd w:w="0" w:type="dxa"/>
          <w:tblLayout w:type="fixed"/>
        </w:tblPrEx>
        <w:trPr>
          <w:trHeight w:hRule="exact" w:val="240"/>
        </w:trPr>
        <w:tc>
          <w:tcPr>
            <w:tcW w:w="726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33" w:after="30" w:line="288" w:lineRule="auto"/>
              <w:jc w:val="left"/>
            </w:pPr>
            <w:r>
              <w:rPr>
                <w:rFonts w:ascii="Times New Roman" w:eastAsia="Times New Roman" w:hAnsi="Times New Roman" w:cs="Times New Roman"/>
                <w:b w:val="0"/>
                <w:i w:val="0"/>
                <w:color w:val="000000"/>
                <w:sz w:val="16"/>
                <w:u w:val="none"/>
              </w:rPr>
              <w:t>Total liabilities and stockholders’ equity</w:t>
            </w:r>
          </w:p>
        </w:tc>
        <w:tc>
          <w:tcPr>
            <w:tcW w:w="145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keepNext/>
              <w:pageBreakBefore w:val="0"/>
              <w:tabs>
                <w:tab w:val="left" w:pos="816"/>
                <w:tab w:val="left" w:pos="1387"/>
              </w:tabs>
              <w:spacing w:before="33" w:after="30" w:line="288" w:lineRule="auto"/>
              <w:jc w:val="right"/>
            </w:pPr>
            <w:r>
              <w:rPr>
                <w:rFonts w:ascii="Times New Roman" w:eastAsia="Times New Roman" w:hAnsi="Times New Roman" w:cs="Times New Roman"/>
                <w:b w:val="0"/>
                <w:i w:val="0"/>
                <w:color w:val="000000"/>
                <w:sz w:val="16"/>
                <w:u w:val="none"/>
              </w:rPr>
              <w:t>$</w:t>
              <w:tab/>
              <w:t>518,678</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5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keepNext/>
              <w:pageBreakBefore w:val="0"/>
              <w:tabs>
                <w:tab w:val="left" w:pos="816"/>
                <w:tab w:val="left" w:pos="1387"/>
              </w:tabs>
              <w:spacing w:before="33" w:after="30" w:line="288" w:lineRule="auto"/>
              <w:jc w:val="right"/>
            </w:pPr>
            <w:r>
              <w:rPr>
                <w:rFonts w:ascii="Times New Roman" w:eastAsia="Times New Roman" w:hAnsi="Times New Roman" w:cs="Times New Roman"/>
                <w:b w:val="0"/>
                <w:i w:val="0"/>
                <w:color w:val="000000"/>
                <w:sz w:val="16"/>
                <w:u w:val="none"/>
              </w:rPr>
              <w:t>$</w:t>
              <w:tab/>
              <w:t>531,419</w:t>
              <w:tab/>
            </w:r>
          </w:p>
        </w:tc>
      </w:tr>
      <w:tr>
        <w:tblPrEx>
          <w:tblW w:w="10245" w:type="dxa"/>
          <w:tblInd w:w="0" w:type="dxa"/>
          <w:tblLayout w:type="fixed"/>
        </w:tblPrEx>
        <w:trPr>
          <w:trHeight w:hRule="exact" w:val="225"/>
        </w:trPr>
        <w:tc>
          <w:tcPr>
            <w:tcW w:w="10245" w:type="dxa"/>
            <w:gridSpan w:val="4"/>
            <w:tcBorders>
              <w:top w:val="nil"/>
              <w:left w:val="nil"/>
              <w:bottom w:val="nil"/>
              <w:right w:val="nil"/>
            </w:tcBorders>
            <w:shd w:val="clear" w:color="auto" w:fill="FFFFFF"/>
            <w:tcMar>
              <w:top w:w="0" w:type="dxa"/>
              <w:left w:w="53" w:type="dxa"/>
              <w:bottom w:w="0" w:type="dxa"/>
              <w:right w:w="53" w:type="dxa"/>
            </w:tcMar>
            <w:vAlign w:val="bottom"/>
          </w:tcPr>
          <w:p>
            <w:pPr>
              <w:pageBreakBefore w:val="0"/>
              <w:spacing w:before="0" w:after="30" w:line="288" w:lineRule="auto"/>
              <w:jc w:val="left"/>
            </w:pPr>
            <w:r>
              <w:rPr>
                <w:rFonts w:ascii="Times New Roman" w:eastAsia="Times New Roman" w:hAnsi="Times New Roman" w:cs="Times New Roman"/>
                <w:b w:val="0"/>
                <w:i w:val="0"/>
                <w:color w:val="000000"/>
                <w:sz w:val="14"/>
                <w:u w:val="none"/>
              </w:rPr>
              <w:t xml:space="preserve">  (1)    The aggregate Treasury stock of prior repurchases of our own common stock was retired and subsequently issued effective January 1, 2024.</w:t>
            </w:r>
          </w:p>
        </w:tc>
      </w:tr>
    </w:tbl>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The accompanying notes are an integral part of these Condensed Consolidated Financial Statements.</w:t>
      </w:r>
    </w:p>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20"/>
        </w:rPr>
        <w:sectPr>
          <w:footerReference w:type="default" r:id="rId14"/>
          <w:type w:val="continuous"/>
          <w:pgSz w:w="12240" w:h="15840"/>
          <w:pgMar w:top="855" w:right="990" w:bottom="855" w:left="990" w:header="270" w:footer="270"/>
          <w:cols w:space="708"/>
        </w:sectPr>
      </w:pPr>
    </w:p>
    <w:p>
      <w:pPr>
        <w:keepNext w:val="0"/>
        <w:keepLines/>
        <w:pageBreakBefore w:val="0"/>
        <w:widowControl w:val="0"/>
        <w:numPr>
          <w:ilvl w:val="0"/>
          <w:numId w:val="0"/>
        </w:numPr>
        <w:spacing w:before="0" w:after="0" w:line="288" w:lineRule="auto"/>
        <w:ind w:left="0" w:right="0" w:firstLine="0"/>
        <w:jc w:val="center"/>
        <w:outlineLvl w:val="2"/>
        <w:rPr>
          <w:rFonts w:ascii="Times New Roman" w:eastAsia="Times New Roman" w:hAnsi="Times New Roman" w:cs="Times New Roman"/>
          <w:b/>
          <w:i w:val="0"/>
          <w:sz w:val="20"/>
        </w:rPr>
      </w:pPr>
      <w:bookmarkStart w:id="5" w:name="Section6"/>
      <w:bookmarkEnd w:id="5"/>
      <w:r>
        <w:rPr>
          <w:rFonts w:ascii="Times New Roman" w:eastAsia="Times New Roman" w:hAnsi="Times New Roman" w:cs="Times New Roman"/>
          <w:b/>
          <w:i w:val="0"/>
          <w:sz w:val="20"/>
        </w:rPr>
        <w:t>ASURE SOFTWARE, INC.</w:t>
      </w:r>
    </w:p>
    <w:p>
      <w:pPr>
        <w:keepNext/>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i w:val="0"/>
          <w:sz w:val="20"/>
        </w:rPr>
      </w:pPr>
      <w:r>
        <w:rPr>
          <w:rFonts w:ascii="Times New Roman" w:eastAsia="Times New Roman" w:hAnsi="Times New Roman" w:cs="Times New Roman"/>
          <w:b/>
          <w:i w:val="0"/>
          <w:sz w:val="20"/>
        </w:rPr>
        <w:t xml:space="preserve">CONDENSED CONSOLIDATED STATEMENTS OF COMPREHENSIVE </w:t>
      </w:r>
      <w:r>
        <w:rPr>
          <w:rFonts w:ascii="Times New Roman" w:eastAsia="Times New Roman" w:hAnsi="Times New Roman" w:cs="Times New Roman"/>
          <w:b/>
          <w:i w:val="0"/>
          <w:color w:val="000000"/>
          <w:sz w:val="20"/>
          <w:u w:val="none"/>
        </w:rPr>
        <w:t>INCOME AND LOSS</w:t>
      </w:r>
    </w:p>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16"/>
        </w:rPr>
      </w:pPr>
      <w:r>
        <w:rPr>
          <w:rFonts w:ascii="Times New Roman" w:eastAsia="Times New Roman" w:hAnsi="Times New Roman" w:cs="Times New Roman"/>
          <w:b w:val="0"/>
          <w:i w:val="0"/>
          <w:sz w:val="16"/>
        </w:rPr>
        <w:t>(in thousands, except per share amounts)</w:t>
      </w:r>
    </w:p>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16"/>
        </w:rPr>
      </w:pPr>
      <w:r>
        <w:rPr>
          <w:rFonts w:ascii="Times New Roman" w:eastAsia="Times New Roman" w:hAnsi="Times New Roman" w:cs="Times New Roman"/>
          <w:b w:val="0"/>
          <w:i w:val="0"/>
          <w:sz w:val="16"/>
        </w:rPr>
        <w:t>(Unaudited)</w:t>
      </w:r>
    </w:p>
    <w:tbl>
      <w:tblPr>
        <w:tblStyle w:val="TableNormal0"/>
        <w:tblW w:w="10260" w:type="dxa"/>
        <w:jc w:val="left"/>
        <w:tblInd w:w="0" w:type="dxa"/>
        <w:tblLayout w:type="fixed"/>
      </w:tblPr>
      <w:tblGrid>
        <w:gridCol w:w="4680"/>
        <w:gridCol w:w="285"/>
        <w:gridCol w:w="1140"/>
        <w:gridCol w:w="1140"/>
        <w:gridCol w:w="1470"/>
        <w:gridCol w:w="75"/>
        <w:gridCol w:w="1470"/>
      </w:tblGrid>
      <w:tr>
        <w:tblPrEx>
          <w:tblW w:w="10260" w:type="dxa"/>
          <w:tblInd w:w="0" w:type="dxa"/>
          <w:tblLayout w:type="fixed"/>
        </w:tblPrEx>
        <w:trPr>
          <w:trHeight w:hRule="exact" w:val="480"/>
        </w:trPr>
        <w:tc>
          <w:tcPr>
            <w:tcW w:w="468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28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14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14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3015" w:type="dxa"/>
            <w:gridSpan w:val="3"/>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line="288" w:lineRule="auto"/>
              <w:jc w:val="center"/>
            </w:pPr>
            <w:r>
              <w:rPr>
                <w:rFonts w:ascii="Times New Roman" w:eastAsia="Times New Roman" w:hAnsi="Times New Roman" w:cs="Times New Roman"/>
                <w:b/>
                <w:i w:val="0"/>
                <w:color w:val="000000"/>
                <w:sz w:val="20"/>
                <w:u w:val="none"/>
              </w:rPr>
              <w:t>Three Months Ended</w:t>
            </w:r>
          </w:p>
          <w:p>
            <w:pPr>
              <w:spacing w:after="30" w:line="288" w:lineRule="auto"/>
              <w:jc w:val="center"/>
            </w:pPr>
            <w:r>
              <w:rPr>
                <w:rFonts w:ascii="Times New Roman" w:eastAsia="Times New Roman" w:hAnsi="Times New Roman" w:cs="Times New Roman"/>
                <w:b/>
                <w:i w:val="0"/>
                <w:color w:val="000000"/>
                <w:sz w:val="20"/>
                <w:u w:val="none"/>
              </w:rPr>
              <w:t>March 31,</w:t>
            </w:r>
          </w:p>
        </w:tc>
      </w:tr>
      <w:tr>
        <w:tblPrEx>
          <w:tblW w:w="10260" w:type="dxa"/>
          <w:tblInd w:w="0" w:type="dxa"/>
          <w:tblLayout w:type="fixed"/>
        </w:tblPrEx>
        <w:trPr>
          <w:trHeight w:hRule="exact" w:val="300"/>
        </w:trPr>
        <w:tc>
          <w:tcPr>
            <w:tcW w:w="468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28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14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14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470"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33" w:after="30" w:line="288" w:lineRule="auto"/>
              <w:jc w:val="center"/>
            </w:pPr>
            <w:r>
              <w:rPr>
                <w:rFonts w:ascii="Times New Roman" w:eastAsia="Times New Roman" w:hAnsi="Times New Roman" w:cs="Times New Roman"/>
                <w:b/>
                <w:i w:val="0"/>
                <w:color w:val="000000"/>
                <w:sz w:val="20"/>
                <w:u w:val="none"/>
              </w:rPr>
              <w:t>2026</w:t>
            </w:r>
          </w:p>
        </w:tc>
        <w:tc>
          <w:tcPr>
            <w:tcW w:w="75" w:type="dxa"/>
            <w:tcBorders>
              <w:top w:val="single" w:sz="8" w:space="0" w:color="000000"/>
              <w:left w:val="nil"/>
              <w:bottom w:val="nil"/>
              <w:right w:val="nil"/>
            </w:tcBorders>
            <w:tcMar>
              <w:top w:w="0" w:type="dxa"/>
              <w:left w:w="0" w:type="dxa"/>
              <w:bottom w:w="0" w:type="dxa"/>
              <w:right w:w="0" w:type="dxa"/>
            </w:tcMar>
            <w:vAlign w:val="bottom"/>
          </w:tcPr>
          <w:p>
            <w:pPr>
              <w:keepNext/>
              <w:pageBreakBefore w:val="0"/>
              <w:spacing w:before="0" w:after="0"/>
            </w:pPr>
          </w:p>
        </w:tc>
        <w:tc>
          <w:tcPr>
            <w:tcW w:w="1470" w:type="dxa"/>
            <w:tcBorders>
              <w:top w:val="single" w:sz="8" w:space="0" w:color="000000"/>
              <w:left w:val="nil"/>
              <w:bottom w:val="single" w:sz="8" w:space="0" w:color="000000"/>
              <w:right w:val="nil"/>
            </w:tcBorders>
            <w:tcMar>
              <w:top w:w="0" w:type="dxa"/>
              <w:left w:w="53" w:type="dxa"/>
              <w:bottom w:w="0" w:type="dxa"/>
              <w:right w:w="53" w:type="dxa"/>
            </w:tcMar>
            <w:vAlign w:val="bottom"/>
          </w:tcPr>
          <w:p>
            <w:pPr>
              <w:keepNext/>
              <w:pageBreakBefore w:val="0"/>
              <w:spacing w:before="33" w:after="30" w:line="288" w:lineRule="auto"/>
              <w:jc w:val="center"/>
            </w:pPr>
            <w:r>
              <w:rPr>
                <w:rFonts w:ascii="Times New Roman" w:eastAsia="Times New Roman" w:hAnsi="Times New Roman" w:cs="Times New Roman"/>
                <w:b/>
                <w:i w:val="0"/>
                <w:color w:val="000000"/>
                <w:sz w:val="20"/>
                <w:u w:val="none"/>
              </w:rPr>
              <w:t>2025</w:t>
            </w:r>
          </w:p>
        </w:tc>
      </w:tr>
      <w:tr>
        <w:tblPrEx>
          <w:tblW w:w="10260" w:type="dxa"/>
          <w:tblInd w:w="0" w:type="dxa"/>
          <w:tblLayout w:type="fixed"/>
        </w:tblPrEx>
        <w:trPr>
          <w:trHeight w:hRule="exact" w:val="285"/>
        </w:trPr>
        <w:tc>
          <w:tcPr>
            <w:tcW w:w="468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33" w:after="30" w:line="288" w:lineRule="auto"/>
              <w:jc w:val="left"/>
            </w:pPr>
            <w:r>
              <w:rPr>
                <w:rFonts w:ascii="Times New Roman" w:eastAsia="Times New Roman" w:hAnsi="Times New Roman" w:cs="Times New Roman"/>
                <w:b w:val="0"/>
                <w:i w:val="0"/>
                <w:color w:val="000000"/>
                <w:sz w:val="20"/>
                <w:u w:val="none"/>
              </w:rPr>
              <w:t>Revenue:</w:t>
            </w:r>
          </w:p>
        </w:tc>
        <w:tc>
          <w:tcPr>
            <w:tcW w:w="28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140"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140"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70" w:type="dxa"/>
            <w:tcBorders>
              <w:top w:val="sing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70" w:type="dxa"/>
            <w:tcBorders>
              <w:top w:val="sing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r>
      <w:tr>
        <w:tblPrEx>
          <w:tblW w:w="10260" w:type="dxa"/>
          <w:tblInd w:w="0" w:type="dxa"/>
          <w:tblLayout w:type="fixed"/>
        </w:tblPrEx>
        <w:trPr>
          <w:trHeight w:hRule="exact" w:val="300"/>
        </w:trPr>
        <w:tc>
          <w:tcPr>
            <w:tcW w:w="468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88" w:lineRule="auto"/>
              <w:ind w:left="360"/>
              <w:jc w:val="left"/>
            </w:pPr>
            <w:r>
              <w:rPr>
                <w:rFonts w:ascii="Times New Roman" w:eastAsia="Times New Roman" w:hAnsi="Times New Roman" w:cs="Times New Roman"/>
                <w:b w:val="0"/>
                <w:i w:val="0"/>
                <w:color w:val="000000"/>
                <w:sz w:val="20"/>
                <w:u w:val="none"/>
              </w:rPr>
              <w:t>Recurring</w:t>
            </w:r>
          </w:p>
        </w:tc>
        <w:tc>
          <w:tcPr>
            <w:tcW w:w="28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14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14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7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87"/>
                <w:tab w:val="left" w:pos="1402"/>
              </w:tabs>
              <w:spacing w:before="53" w:after="30" w:line="288" w:lineRule="auto"/>
              <w:jc w:val="right"/>
            </w:pPr>
            <w:r>
              <w:rPr>
                <w:rFonts w:ascii="Times New Roman" w:eastAsia="Times New Roman" w:hAnsi="Times New Roman" w:cs="Times New Roman"/>
                <w:b w:val="0"/>
                <w:i w:val="0"/>
                <w:color w:val="000000"/>
                <w:sz w:val="20"/>
                <w:u w:val="none"/>
              </w:rPr>
              <w:t>$</w:t>
              <w:tab/>
              <w:t>37,757</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7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87"/>
                <w:tab w:val="left" w:pos="1402"/>
              </w:tabs>
              <w:spacing w:before="53" w:after="30" w:line="288" w:lineRule="auto"/>
              <w:jc w:val="right"/>
            </w:pPr>
            <w:r>
              <w:rPr>
                <w:rFonts w:ascii="Times New Roman" w:eastAsia="Times New Roman" w:hAnsi="Times New Roman" w:cs="Times New Roman"/>
                <w:b w:val="0"/>
                <w:i w:val="0"/>
                <w:color w:val="000000"/>
                <w:sz w:val="20"/>
                <w:u w:val="none"/>
              </w:rPr>
              <w:t>$</w:t>
              <w:tab/>
              <w:t>33,187</w:t>
              <w:tab/>
            </w:r>
          </w:p>
        </w:tc>
      </w:tr>
      <w:tr>
        <w:tblPrEx>
          <w:tblW w:w="10260" w:type="dxa"/>
          <w:tblInd w:w="0" w:type="dxa"/>
          <w:tblLayout w:type="fixed"/>
        </w:tblPrEx>
        <w:trPr>
          <w:trHeight w:hRule="exact" w:val="300"/>
        </w:trPr>
        <w:tc>
          <w:tcPr>
            <w:tcW w:w="468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88" w:lineRule="auto"/>
              <w:ind w:left="360"/>
              <w:jc w:val="left"/>
            </w:pPr>
            <w:r>
              <w:rPr>
                <w:rFonts w:ascii="Times New Roman" w:eastAsia="Times New Roman" w:hAnsi="Times New Roman" w:cs="Times New Roman"/>
                <w:b w:val="0"/>
                <w:i w:val="0"/>
                <w:color w:val="000000"/>
                <w:sz w:val="20"/>
                <w:u w:val="none"/>
              </w:rPr>
              <w:t>Professional services, hardware and other</w:t>
            </w:r>
          </w:p>
        </w:tc>
        <w:tc>
          <w:tcPr>
            <w:tcW w:w="28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140"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140"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7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887"/>
                <w:tab w:val="left" w:pos="1402"/>
              </w:tabs>
              <w:spacing w:before="53" w:after="30" w:line="288" w:lineRule="auto"/>
              <w:jc w:val="right"/>
            </w:pPr>
            <w:r>
              <w:rPr>
                <w:rFonts w:ascii="Times New Roman" w:eastAsia="Times New Roman" w:hAnsi="Times New Roman" w:cs="Times New Roman"/>
                <w:b w:val="0"/>
                <w:i w:val="0"/>
                <w:color w:val="000000"/>
                <w:sz w:val="20"/>
                <w:u w:val="none"/>
              </w:rPr>
              <w:tab/>
              <w:t>5,000</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7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887"/>
                <w:tab w:val="left" w:pos="1402"/>
              </w:tabs>
              <w:spacing w:before="53" w:after="30" w:line="288" w:lineRule="auto"/>
              <w:jc w:val="right"/>
            </w:pPr>
            <w:r>
              <w:rPr>
                <w:rFonts w:ascii="Times New Roman" w:eastAsia="Times New Roman" w:hAnsi="Times New Roman" w:cs="Times New Roman"/>
                <w:b w:val="0"/>
                <w:i w:val="0"/>
                <w:color w:val="000000"/>
                <w:sz w:val="20"/>
                <w:u w:val="none"/>
              </w:rPr>
              <w:tab/>
              <w:t>1,667</w:t>
              <w:tab/>
            </w:r>
          </w:p>
        </w:tc>
      </w:tr>
      <w:tr>
        <w:tblPrEx>
          <w:tblW w:w="10260" w:type="dxa"/>
          <w:tblInd w:w="0" w:type="dxa"/>
          <w:tblLayout w:type="fixed"/>
        </w:tblPrEx>
        <w:trPr>
          <w:trHeight w:hRule="exact" w:val="300"/>
        </w:trPr>
        <w:tc>
          <w:tcPr>
            <w:tcW w:w="468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33" w:after="30" w:line="288" w:lineRule="auto"/>
              <w:jc w:val="left"/>
            </w:pPr>
            <w:r>
              <w:rPr>
                <w:rFonts w:ascii="Times New Roman" w:eastAsia="Times New Roman" w:hAnsi="Times New Roman" w:cs="Times New Roman"/>
                <w:b w:val="0"/>
                <w:i w:val="0"/>
                <w:color w:val="000000"/>
                <w:sz w:val="20"/>
                <w:u w:val="none"/>
              </w:rPr>
              <w:t>Total revenue</w:t>
            </w:r>
          </w:p>
        </w:tc>
        <w:tc>
          <w:tcPr>
            <w:tcW w:w="28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14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14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7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pPr>
              <w:keepNext/>
              <w:pageBreakBefore w:val="0"/>
              <w:tabs>
                <w:tab w:val="left" w:pos="787"/>
                <w:tab w:val="left" w:pos="1402"/>
              </w:tabs>
              <w:spacing w:before="33" w:after="30" w:line="288" w:lineRule="auto"/>
              <w:jc w:val="right"/>
            </w:pPr>
            <w:r>
              <w:rPr>
                <w:rFonts w:ascii="Times New Roman" w:eastAsia="Times New Roman" w:hAnsi="Times New Roman" w:cs="Times New Roman"/>
                <w:b w:val="0"/>
                <w:i w:val="0"/>
                <w:color w:val="000000"/>
                <w:sz w:val="20"/>
                <w:u w:val="none"/>
              </w:rPr>
              <w:tab/>
              <w:t>42,757</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7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pPr>
              <w:keepNext/>
              <w:pageBreakBefore w:val="0"/>
              <w:tabs>
                <w:tab w:val="left" w:pos="787"/>
                <w:tab w:val="left" w:pos="1402"/>
              </w:tabs>
              <w:spacing w:before="33" w:after="30" w:line="288" w:lineRule="auto"/>
              <w:jc w:val="right"/>
            </w:pPr>
            <w:r>
              <w:rPr>
                <w:rFonts w:ascii="Times New Roman" w:eastAsia="Times New Roman" w:hAnsi="Times New Roman" w:cs="Times New Roman"/>
                <w:b w:val="0"/>
                <w:i w:val="0"/>
                <w:color w:val="000000"/>
                <w:sz w:val="20"/>
                <w:u w:val="none"/>
              </w:rPr>
              <w:tab/>
              <w:t>34,854</w:t>
              <w:tab/>
            </w:r>
          </w:p>
        </w:tc>
      </w:tr>
      <w:tr>
        <w:tblPrEx>
          <w:tblW w:w="10260" w:type="dxa"/>
          <w:tblInd w:w="0" w:type="dxa"/>
          <w:tblLayout w:type="fixed"/>
        </w:tblPrEx>
        <w:trPr>
          <w:trHeight w:hRule="exact" w:val="300"/>
        </w:trPr>
        <w:tc>
          <w:tcPr>
            <w:tcW w:w="468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88" w:lineRule="auto"/>
              <w:jc w:val="left"/>
            </w:pPr>
            <w:r>
              <w:rPr>
                <w:rFonts w:ascii="Times New Roman" w:eastAsia="Times New Roman" w:hAnsi="Times New Roman" w:cs="Times New Roman"/>
                <w:b w:val="0"/>
                <w:i w:val="0"/>
                <w:color w:val="000000"/>
                <w:sz w:val="20"/>
                <w:u w:val="none"/>
              </w:rPr>
              <w:t>Cost of sales</w:t>
            </w:r>
          </w:p>
        </w:tc>
        <w:tc>
          <w:tcPr>
            <w:tcW w:w="28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140"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140"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7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787"/>
                <w:tab w:val="left" w:pos="1402"/>
              </w:tabs>
              <w:spacing w:before="53" w:after="30" w:line="288" w:lineRule="auto"/>
              <w:jc w:val="right"/>
            </w:pPr>
            <w:r>
              <w:rPr>
                <w:rFonts w:ascii="Times New Roman" w:eastAsia="Times New Roman" w:hAnsi="Times New Roman" w:cs="Times New Roman"/>
                <w:b w:val="0"/>
                <w:i w:val="0"/>
                <w:color w:val="000000"/>
                <w:sz w:val="20"/>
                <w:u w:val="none"/>
              </w:rPr>
              <w:tab/>
              <w:t>12,287</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7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787"/>
                <w:tab w:val="left" w:pos="1402"/>
              </w:tabs>
              <w:spacing w:before="53" w:after="30" w:line="288" w:lineRule="auto"/>
              <w:jc w:val="right"/>
            </w:pPr>
            <w:r>
              <w:rPr>
                <w:rFonts w:ascii="Times New Roman" w:eastAsia="Times New Roman" w:hAnsi="Times New Roman" w:cs="Times New Roman"/>
                <w:b w:val="0"/>
                <w:i w:val="0"/>
                <w:color w:val="000000"/>
                <w:sz w:val="20"/>
                <w:u w:val="none"/>
              </w:rPr>
              <w:tab/>
              <w:t>10,246</w:t>
              <w:tab/>
            </w:r>
          </w:p>
        </w:tc>
      </w:tr>
      <w:tr>
        <w:tblPrEx>
          <w:tblW w:w="10260" w:type="dxa"/>
          <w:tblInd w:w="0" w:type="dxa"/>
          <w:tblLayout w:type="fixed"/>
        </w:tblPrEx>
        <w:trPr>
          <w:trHeight w:hRule="exact" w:val="300"/>
        </w:trPr>
        <w:tc>
          <w:tcPr>
            <w:tcW w:w="468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33" w:after="30" w:line="288" w:lineRule="auto"/>
              <w:ind w:left="345"/>
              <w:jc w:val="left"/>
            </w:pPr>
            <w:r>
              <w:rPr>
                <w:rFonts w:ascii="Times New Roman" w:eastAsia="Times New Roman" w:hAnsi="Times New Roman" w:cs="Times New Roman"/>
                <w:b w:val="0"/>
                <w:i w:val="0"/>
                <w:color w:val="000000"/>
                <w:sz w:val="20"/>
                <w:u w:val="none"/>
              </w:rPr>
              <w:t>Gross profit</w:t>
            </w:r>
          </w:p>
        </w:tc>
        <w:tc>
          <w:tcPr>
            <w:tcW w:w="28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14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14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7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787"/>
                <w:tab w:val="left" w:pos="1402"/>
              </w:tabs>
              <w:spacing w:before="33" w:after="30" w:line="288" w:lineRule="auto"/>
              <w:jc w:val="right"/>
            </w:pPr>
            <w:r>
              <w:rPr>
                <w:rFonts w:ascii="Times New Roman" w:eastAsia="Times New Roman" w:hAnsi="Times New Roman" w:cs="Times New Roman"/>
                <w:b w:val="0"/>
                <w:i w:val="0"/>
                <w:color w:val="000000"/>
                <w:sz w:val="20"/>
                <w:u w:val="none"/>
              </w:rPr>
              <w:tab/>
              <w:t>30,470</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7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787"/>
                <w:tab w:val="left" w:pos="1402"/>
              </w:tabs>
              <w:spacing w:before="33" w:after="30" w:line="288" w:lineRule="auto"/>
              <w:jc w:val="right"/>
            </w:pPr>
            <w:r>
              <w:rPr>
                <w:rFonts w:ascii="Times New Roman" w:eastAsia="Times New Roman" w:hAnsi="Times New Roman" w:cs="Times New Roman"/>
                <w:b w:val="0"/>
                <w:i w:val="0"/>
                <w:color w:val="000000"/>
                <w:sz w:val="20"/>
                <w:u w:val="none"/>
              </w:rPr>
              <w:tab/>
              <w:t>24,608</w:t>
              <w:tab/>
            </w:r>
          </w:p>
        </w:tc>
      </w:tr>
      <w:tr>
        <w:tblPrEx>
          <w:tblW w:w="10260" w:type="dxa"/>
          <w:tblInd w:w="0" w:type="dxa"/>
          <w:tblLayout w:type="fixed"/>
        </w:tblPrEx>
        <w:trPr>
          <w:trHeight w:hRule="exact" w:val="285"/>
        </w:trPr>
        <w:tc>
          <w:tcPr>
            <w:tcW w:w="468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33" w:after="30" w:line="288" w:lineRule="auto"/>
              <w:jc w:val="left"/>
            </w:pPr>
            <w:r>
              <w:rPr>
                <w:rFonts w:ascii="Times New Roman" w:eastAsia="Times New Roman" w:hAnsi="Times New Roman" w:cs="Times New Roman"/>
                <w:b w:val="0"/>
                <w:i w:val="0"/>
                <w:color w:val="000000"/>
                <w:sz w:val="20"/>
                <w:u w:val="none"/>
              </w:rPr>
              <w:t>Operating expenses:</w:t>
            </w:r>
          </w:p>
        </w:tc>
        <w:tc>
          <w:tcPr>
            <w:tcW w:w="28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140"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140"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70" w:type="dxa"/>
            <w:tcBorders>
              <w:top w:val="sing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70" w:type="dxa"/>
            <w:tcBorders>
              <w:top w:val="sing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r>
      <w:tr>
        <w:tblPrEx>
          <w:tblW w:w="10260" w:type="dxa"/>
          <w:tblInd w:w="0" w:type="dxa"/>
          <w:tblLayout w:type="fixed"/>
        </w:tblPrEx>
        <w:trPr>
          <w:trHeight w:hRule="exact" w:val="300"/>
        </w:trPr>
        <w:tc>
          <w:tcPr>
            <w:tcW w:w="468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88" w:lineRule="auto"/>
              <w:ind w:left="360"/>
              <w:jc w:val="left"/>
            </w:pPr>
            <w:r>
              <w:rPr>
                <w:rFonts w:ascii="Times New Roman" w:eastAsia="Times New Roman" w:hAnsi="Times New Roman" w:cs="Times New Roman"/>
                <w:b w:val="0"/>
                <w:i w:val="0"/>
                <w:color w:val="000000"/>
                <w:sz w:val="20"/>
                <w:u w:val="none"/>
              </w:rPr>
              <w:t>Sales and marketing</w:t>
            </w:r>
          </w:p>
        </w:tc>
        <w:tc>
          <w:tcPr>
            <w:tcW w:w="28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14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14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7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887"/>
                <w:tab w:val="left" w:pos="1402"/>
              </w:tabs>
              <w:spacing w:before="53" w:after="30" w:line="288" w:lineRule="auto"/>
              <w:jc w:val="right"/>
            </w:pPr>
            <w:r>
              <w:rPr>
                <w:rFonts w:ascii="Times New Roman" w:eastAsia="Times New Roman" w:hAnsi="Times New Roman" w:cs="Times New Roman"/>
                <w:b w:val="0"/>
                <w:i w:val="0"/>
                <w:color w:val="000000"/>
                <w:sz w:val="20"/>
                <w:u w:val="none"/>
              </w:rPr>
              <w:tab/>
              <w:t>8,764</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7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887"/>
                <w:tab w:val="left" w:pos="1402"/>
              </w:tabs>
              <w:spacing w:before="53" w:after="30" w:line="288" w:lineRule="auto"/>
              <w:jc w:val="right"/>
            </w:pPr>
            <w:r>
              <w:rPr>
                <w:rFonts w:ascii="Times New Roman" w:eastAsia="Times New Roman" w:hAnsi="Times New Roman" w:cs="Times New Roman"/>
                <w:b w:val="0"/>
                <w:i w:val="0"/>
                <w:color w:val="000000"/>
                <w:sz w:val="20"/>
                <w:u w:val="none"/>
              </w:rPr>
              <w:tab/>
              <w:t>8,386</w:t>
              <w:tab/>
            </w:r>
          </w:p>
        </w:tc>
      </w:tr>
      <w:tr>
        <w:tblPrEx>
          <w:tblW w:w="10260" w:type="dxa"/>
          <w:tblInd w:w="0" w:type="dxa"/>
          <w:tblLayout w:type="fixed"/>
        </w:tblPrEx>
        <w:trPr>
          <w:trHeight w:hRule="exact" w:val="300"/>
        </w:trPr>
        <w:tc>
          <w:tcPr>
            <w:tcW w:w="468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88" w:lineRule="auto"/>
              <w:ind w:left="360"/>
              <w:jc w:val="left"/>
            </w:pPr>
            <w:r>
              <w:rPr>
                <w:rFonts w:ascii="Times New Roman" w:eastAsia="Times New Roman" w:hAnsi="Times New Roman" w:cs="Times New Roman"/>
                <w:b w:val="0"/>
                <w:i w:val="0"/>
                <w:color w:val="000000"/>
                <w:sz w:val="20"/>
                <w:u w:val="none"/>
              </w:rPr>
              <w:t>General and administrative</w:t>
            </w:r>
          </w:p>
        </w:tc>
        <w:tc>
          <w:tcPr>
            <w:tcW w:w="28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140"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140"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7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787"/>
                <w:tab w:val="left" w:pos="1402"/>
              </w:tabs>
              <w:spacing w:before="53" w:after="30" w:line="288" w:lineRule="auto"/>
              <w:jc w:val="right"/>
            </w:pPr>
            <w:r>
              <w:rPr>
                <w:rFonts w:ascii="Times New Roman" w:eastAsia="Times New Roman" w:hAnsi="Times New Roman" w:cs="Times New Roman"/>
                <w:b w:val="0"/>
                <w:i w:val="0"/>
                <w:color w:val="000000"/>
                <w:sz w:val="20"/>
                <w:u w:val="none"/>
              </w:rPr>
              <w:tab/>
              <w:t>12,748</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7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787"/>
                <w:tab w:val="left" w:pos="1402"/>
              </w:tabs>
              <w:spacing w:before="53" w:after="30" w:line="288" w:lineRule="auto"/>
              <w:jc w:val="right"/>
            </w:pPr>
            <w:r>
              <w:rPr>
                <w:rFonts w:ascii="Times New Roman" w:eastAsia="Times New Roman" w:hAnsi="Times New Roman" w:cs="Times New Roman"/>
                <w:b w:val="0"/>
                <w:i w:val="0"/>
                <w:color w:val="000000"/>
                <w:sz w:val="20"/>
                <w:u w:val="none"/>
              </w:rPr>
              <w:tab/>
              <w:t>11,900</w:t>
              <w:tab/>
            </w:r>
          </w:p>
        </w:tc>
      </w:tr>
      <w:tr>
        <w:tblPrEx>
          <w:tblW w:w="10260" w:type="dxa"/>
          <w:tblInd w:w="0" w:type="dxa"/>
          <w:tblLayout w:type="fixed"/>
        </w:tblPrEx>
        <w:trPr>
          <w:trHeight w:hRule="exact" w:val="300"/>
        </w:trPr>
        <w:tc>
          <w:tcPr>
            <w:tcW w:w="468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88" w:lineRule="auto"/>
              <w:ind w:left="360"/>
              <w:jc w:val="left"/>
            </w:pPr>
            <w:r>
              <w:rPr>
                <w:rFonts w:ascii="Times New Roman" w:eastAsia="Times New Roman" w:hAnsi="Times New Roman" w:cs="Times New Roman"/>
                <w:b w:val="0"/>
                <w:i w:val="0"/>
                <w:color w:val="000000"/>
                <w:sz w:val="20"/>
                <w:u w:val="none"/>
              </w:rPr>
              <w:t>Research and development</w:t>
            </w:r>
          </w:p>
        </w:tc>
        <w:tc>
          <w:tcPr>
            <w:tcW w:w="28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14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14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7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887"/>
                <w:tab w:val="left" w:pos="1402"/>
              </w:tabs>
              <w:spacing w:before="53" w:after="30" w:line="288" w:lineRule="auto"/>
              <w:jc w:val="right"/>
            </w:pPr>
            <w:r>
              <w:rPr>
                <w:rFonts w:ascii="Times New Roman" w:eastAsia="Times New Roman" w:hAnsi="Times New Roman" w:cs="Times New Roman"/>
                <w:b w:val="0"/>
                <w:i w:val="0"/>
                <w:color w:val="000000"/>
                <w:sz w:val="20"/>
                <w:u w:val="none"/>
              </w:rPr>
              <w:tab/>
              <w:t>1,657</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7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887"/>
                <w:tab w:val="left" w:pos="1402"/>
              </w:tabs>
              <w:spacing w:before="53" w:after="30" w:line="288" w:lineRule="auto"/>
              <w:jc w:val="right"/>
            </w:pPr>
            <w:r>
              <w:rPr>
                <w:rFonts w:ascii="Times New Roman" w:eastAsia="Times New Roman" w:hAnsi="Times New Roman" w:cs="Times New Roman"/>
                <w:b w:val="0"/>
                <w:i w:val="0"/>
                <w:color w:val="000000"/>
                <w:sz w:val="20"/>
                <w:u w:val="none"/>
              </w:rPr>
              <w:tab/>
              <w:t>2,029</w:t>
              <w:tab/>
            </w:r>
          </w:p>
        </w:tc>
      </w:tr>
      <w:tr>
        <w:tblPrEx>
          <w:tblW w:w="10260" w:type="dxa"/>
          <w:tblInd w:w="0" w:type="dxa"/>
          <w:tblLayout w:type="fixed"/>
        </w:tblPrEx>
        <w:trPr>
          <w:trHeight w:hRule="exact" w:val="300"/>
        </w:trPr>
        <w:tc>
          <w:tcPr>
            <w:tcW w:w="468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88" w:lineRule="auto"/>
              <w:ind w:left="360"/>
              <w:jc w:val="left"/>
            </w:pPr>
            <w:r>
              <w:rPr>
                <w:rFonts w:ascii="Times New Roman" w:eastAsia="Times New Roman" w:hAnsi="Times New Roman" w:cs="Times New Roman"/>
                <w:b w:val="0"/>
                <w:i w:val="0"/>
                <w:color w:val="000000"/>
                <w:sz w:val="20"/>
                <w:u w:val="none"/>
              </w:rPr>
              <w:t>Amortization of intangible assets</w:t>
            </w:r>
          </w:p>
        </w:tc>
        <w:tc>
          <w:tcPr>
            <w:tcW w:w="28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140"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140"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7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887"/>
                <w:tab w:val="left" w:pos="1402"/>
              </w:tabs>
              <w:spacing w:before="53" w:after="30" w:line="288" w:lineRule="auto"/>
              <w:jc w:val="right"/>
            </w:pPr>
            <w:r>
              <w:rPr>
                <w:rFonts w:ascii="Times New Roman" w:eastAsia="Times New Roman" w:hAnsi="Times New Roman" w:cs="Times New Roman"/>
                <w:b w:val="0"/>
                <w:i w:val="0"/>
                <w:color w:val="000000"/>
                <w:sz w:val="20"/>
                <w:u w:val="none"/>
              </w:rPr>
              <w:tab/>
              <w:t>4,972</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7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887"/>
                <w:tab w:val="left" w:pos="1402"/>
              </w:tabs>
              <w:spacing w:before="53" w:after="30" w:line="288" w:lineRule="auto"/>
              <w:jc w:val="right"/>
            </w:pPr>
            <w:r>
              <w:rPr>
                <w:rFonts w:ascii="Times New Roman" w:eastAsia="Times New Roman" w:hAnsi="Times New Roman" w:cs="Times New Roman"/>
                <w:b w:val="0"/>
                <w:i w:val="0"/>
                <w:color w:val="000000"/>
                <w:sz w:val="20"/>
                <w:u w:val="none"/>
              </w:rPr>
              <w:tab/>
              <w:t>4,308</w:t>
              <w:tab/>
            </w:r>
          </w:p>
        </w:tc>
      </w:tr>
      <w:tr>
        <w:tblPrEx>
          <w:tblW w:w="10260" w:type="dxa"/>
          <w:tblInd w:w="0" w:type="dxa"/>
          <w:tblLayout w:type="fixed"/>
        </w:tblPrEx>
        <w:trPr>
          <w:trHeight w:hRule="exact" w:val="300"/>
        </w:trPr>
        <w:tc>
          <w:tcPr>
            <w:tcW w:w="468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33" w:after="30" w:line="288" w:lineRule="auto"/>
              <w:jc w:val="left"/>
            </w:pPr>
            <w:r>
              <w:rPr>
                <w:rFonts w:ascii="Times New Roman" w:eastAsia="Times New Roman" w:hAnsi="Times New Roman" w:cs="Times New Roman"/>
                <w:b w:val="0"/>
                <w:i w:val="0"/>
                <w:color w:val="000000"/>
                <w:sz w:val="20"/>
                <w:u w:val="none"/>
              </w:rPr>
              <w:t>Total operating expenses</w:t>
            </w:r>
          </w:p>
        </w:tc>
        <w:tc>
          <w:tcPr>
            <w:tcW w:w="28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14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14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7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787"/>
                <w:tab w:val="left" w:pos="1402"/>
              </w:tabs>
              <w:spacing w:before="33" w:after="30" w:line="288" w:lineRule="auto"/>
              <w:jc w:val="right"/>
            </w:pPr>
            <w:r>
              <w:rPr>
                <w:rFonts w:ascii="Times New Roman" w:eastAsia="Times New Roman" w:hAnsi="Times New Roman" w:cs="Times New Roman"/>
                <w:b w:val="0"/>
                <w:i w:val="0"/>
                <w:color w:val="000000"/>
                <w:sz w:val="20"/>
                <w:u w:val="none"/>
              </w:rPr>
              <w:tab/>
              <w:t>28,141</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7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787"/>
                <w:tab w:val="left" w:pos="1402"/>
              </w:tabs>
              <w:spacing w:before="33" w:after="30" w:line="288" w:lineRule="auto"/>
              <w:jc w:val="right"/>
            </w:pPr>
            <w:r>
              <w:rPr>
                <w:rFonts w:ascii="Times New Roman" w:eastAsia="Times New Roman" w:hAnsi="Times New Roman" w:cs="Times New Roman"/>
                <w:b w:val="0"/>
                <w:i w:val="0"/>
                <w:color w:val="000000"/>
                <w:sz w:val="20"/>
                <w:u w:val="none"/>
              </w:rPr>
              <w:tab/>
              <w:t>26,623</w:t>
              <w:tab/>
            </w:r>
          </w:p>
        </w:tc>
      </w:tr>
      <w:tr>
        <w:tblPrEx>
          <w:tblW w:w="10260" w:type="dxa"/>
          <w:tblInd w:w="0" w:type="dxa"/>
          <w:tblLayout w:type="fixed"/>
        </w:tblPrEx>
        <w:trPr>
          <w:trHeight w:hRule="exact" w:val="300"/>
        </w:trPr>
        <w:tc>
          <w:tcPr>
            <w:tcW w:w="468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33" w:after="30" w:line="288" w:lineRule="auto"/>
              <w:jc w:val="left"/>
            </w:pPr>
            <w:r>
              <w:rPr>
                <w:rFonts w:ascii="Times New Roman" w:eastAsia="Times New Roman" w:hAnsi="Times New Roman" w:cs="Times New Roman"/>
                <w:b w:val="0"/>
                <w:i w:val="0"/>
                <w:color w:val="000000"/>
                <w:sz w:val="20"/>
                <w:u w:val="none"/>
              </w:rPr>
              <w:t>Income (loss) from operations</w:t>
            </w:r>
          </w:p>
        </w:tc>
        <w:tc>
          <w:tcPr>
            <w:tcW w:w="28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140"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140"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7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887"/>
                <w:tab w:val="left" w:pos="1402"/>
              </w:tabs>
              <w:spacing w:before="33" w:after="30" w:line="288" w:lineRule="auto"/>
              <w:jc w:val="right"/>
            </w:pPr>
            <w:r>
              <w:rPr>
                <w:rFonts w:ascii="Times New Roman" w:eastAsia="Times New Roman" w:hAnsi="Times New Roman" w:cs="Times New Roman"/>
                <w:b w:val="0"/>
                <w:i w:val="0"/>
                <w:color w:val="000000"/>
                <w:sz w:val="20"/>
                <w:u w:val="none"/>
              </w:rPr>
              <w:tab/>
              <w:t>2,329</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7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801"/>
              </w:tabs>
              <w:spacing w:before="33" w:after="30" w:line="288" w:lineRule="auto"/>
              <w:jc w:val="right"/>
            </w:pPr>
            <w:r>
              <w:rPr>
                <w:rFonts w:ascii="Times New Roman" w:eastAsia="Times New Roman" w:hAnsi="Times New Roman" w:cs="Times New Roman"/>
                <w:b w:val="0"/>
                <w:i w:val="0"/>
                <w:color w:val="000000"/>
                <w:sz w:val="20"/>
                <w:u w:val="none"/>
              </w:rPr>
              <w:tab/>
              <w:t>(2,015)</w:t>
            </w:r>
          </w:p>
        </w:tc>
      </w:tr>
      <w:tr>
        <w:tblPrEx>
          <w:tblW w:w="10260" w:type="dxa"/>
          <w:tblInd w:w="0" w:type="dxa"/>
          <w:tblLayout w:type="fixed"/>
        </w:tblPrEx>
        <w:trPr>
          <w:trHeight w:hRule="exact" w:val="300"/>
        </w:trPr>
        <w:tc>
          <w:tcPr>
            <w:tcW w:w="468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88" w:lineRule="auto"/>
              <w:ind w:left="360"/>
              <w:jc w:val="left"/>
            </w:pPr>
            <w:r>
              <w:rPr>
                <w:rFonts w:ascii="Times New Roman" w:eastAsia="Times New Roman" w:hAnsi="Times New Roman" w:cs="Times New Roman"/>
                <w:b w:val="0"/>
                <w:i w:val="0"/>
                <w:color w:val="000000"/>
                <w:sz w:val="20"/>
                <w:u w:val="none"/>
              </w:rPr>
              <w:t>Interest income</w:t>
            </w:r>
          </w:p>
        </w:tc>
        <w:tc>
          <w:tcPr>
            <w:tcW w:w="28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14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14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7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037"/>
                <w:tab w:val="left" w:pos="1402"/>
              </w:tabs>
              <w:spacing w:before="53" w:after="30" w:line="240" w:lineRule="auto"/>
              <w:jc w:val="right"/>
            </w:pPr>
            <w:r>
              <w:rPr>
                <w:rFonts w:ascii="Times New Roman" w:eastAsia="Times New Roman" w:hAnsi="Times New Roman" w:cs="Times New Roman"/>
                <w:b w:val="0"/>
                <w:i w:val="0"/>
                <w:color w:val="000000"/>
                <w:sz w:val="20"/>
                <w:u w:val="none"/>
              </w:rPr>
              <w:tab/>
              <w:t>188</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7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037"/>
                <w:tab w:val="left" w:pos="1402"/>
              </w:tabs>
              <w:spacing w:before="53" w:after="30" w:line="240" w:lineRule="auto"/>
              <w:jc w:val="right"/>
            </w:pPr>
            <w:r>
              <w:rPr>
                <w:rFonts w:ascii="Times New Roman" w:eastAsia="Times New Roman" w:hAnsi="Times New Roman" w:cs="Times New Roman"/>
                <w:b w:val="0"/>
                <w:i w:val="0"/>
                <w:color w:val="000000"/>
                <w:sz w:val="20"/>
                <w:u w:val="none"/>
              </w:rPr>
              <w:tab/>
              <w:t>171</w:t>
              <w:tab/>
            </w:r>
          </w:p>
        </w:tc>
      </w:tr>
      <w:tr>
        <w:tblPrEx>
          <w:tblW w:w="10260" w:type="dxa"/>
          <w:tblInd w:w="0" w:type="dxa"/>
          <w:tblLayout w:type="fixed"/>
        </w:tblPrEx>
        <w:trPr>
          <w:trHeight w:hRule="exact" w:val="300"/>
        </w:trPr>
        <w:tc>
          <w:tcPr>
            <w:tcW w:w="468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88" w:lineRule="auto"/>
              <w:ind w:left="360"/>
              <w:jc w:val="left"/>
            </w:pPr>
            <w:r>
              <w:rPr>
                <w:rFonts w:ascii="Times New Roman" w:eastAsia="Times New Roman" w:hAnsi="Times New Roman" w:cs="Times New Roman"/>
                <w:b w:val="0"/>
                <w:i w:val="0"/>
                <w:color w:val="000000"/>
                <w:sz w:val="20"/>
                <w:u w:val="none"/>
              </w:rPr>
              <w:t>Interest expense</w:t>
            </w:r>
          </w:p>
        </w:tc>
        <w:tc>
          <w:tcPr>
            <w:tcW w:w="28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140"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140"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7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801"/>
              </w:tabs>
              <w:spacing w:before="53" w:after="30" w:line="288" w:lineRule="auto"/>
              <w:jc w:val="right"/>
            </w:pPr>
            <w:r>
              <w:rPr>
                <w:rFonts w:ascii="Times New Roman" w:eastAsia="Times New Roman" w:hAnsi="Times New Roman" w:cs="Times New Roman"/>
                <w:b w:val="0"/>
                <w:i w:val="0"/>
                <w:color w:val="000000"/>
                <w:sz w:val="20"/>
                <w:u w:val="none"/>
              </w:rPr>
              <w:tab/>
              <w:t>(1,748)</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7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951"/>
              </w:tabs>
              <w:spacing w:before="53" w:after="30" w:line="288" w:lineRule="auto"/>
              <w:jc w:val="right"/>
            </w:pPr>
            <w:r>
              <w:rPr>
                <w:rFonts w:ascii="Times New Roman" w:eastAsia="Times New Roman" w:hAnsi="Times New Roman" w:cs="Times New Roman"/>
                <w:b w:val="0"/>
                <w:i w:val="0"/>
                <w:color w:val="000000"/>
                <w:sz w:val="20"/>
                <w:u w:val="none"/>
              </w:rPr>
              <w:tab/>
              <w:t>(451)</w:t>
            </w:r>
          </w:p>
        </w:tc>
      </w:tr>
      <w:tr>
        <w:tblPrEx>
          <w:tblW w:w="10260" w:type="dxa"/>
          <w:tblInd w:w="0" w:type="dxa"/>
          <w:tblLayout w:type="fixed"/>
        </w:tblPrEx>
        <w:trPr>
          <w:trHeight w:hRule="exact" w:val="300"/>
        </w:trPr>
        <w:tc>
          <w:tcPr>
            <w:tcW w:w="468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88" w:lineRule="auto"/>
              <w:ind w:left="360"/>
              <w:jc w:val="left"/>
            </w:pPr>
            <w:r>
              <w:rPr>
                <w:rFonts w:ascii="Times New Roman" w:eastAsia="Times New Roman" w:hAnsi="Times New Roman" w:cs="Times New Roman"/>
                <w:b w:val="0"/>
                <w:i w:val="0"/>
                <w:color w:val="000000"/>
                <w:sz w:val="20"/>
                <w:u w:val="none"/>
              </w:rPr>
              <w:t>Other income, net</w:t>
            </w:r>
          </w:p>
        </w:tc>
        <w:tc>
          <w:tcPr>
            <w:tcW w:w="28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14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14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7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1137"/>
                <w:tab w:val="left" w:pos="1402"/>
              </w:tabs>
              <w:spacing w:before="53" w:after="3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7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1037"/>
                <w:tab w:val="left" w:pos="1402"/>
              </w:tabs>
              <w:spacing w:before="53" w:after="30" w:line="240" w:lineRule="auto"/>
              <w:jc w:val="right"/>
            </w:pPr>
            <w:r>
              <w:rPr>
                <w:rFonts w:ascii="Times New Roman" w:eastAsia="Times New Roman" w:hAnsi="Times New Roman" w:cs="Times New Roman"/>
                <w:b w:val="0"/>
                <w:i w:val="0"/>
                <w:color w:val="000000"/>
                <w:sz w:val="20"/>
                <w:u w:val="none"/>
              </w:rPr>
              <w:tab/>
              <w:t>188</w:t>
              <w:tab/>
            </w:r>
          </w:p>
        </w:tc>
      </w:tr>
      <w:tr>
        <w:tblPrEx>
          <w:tblW w:w="10260" w:type="dxa"/>
          <w:tblInd w:w="0" w:type="dxa"/>
          <w:tblLayout w:type="fixed"/>
        </w:tblPrEx>
        <w:trPr>
          <w:trHeight w:hRule="exact" w:val="300"/>
        </w:trPr>
        <w:tc>
          <w:tcPr>
            <w:tcW w:w="468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33" w:after="30" w:line="288" w:lineRule="auto"/>
              <w:jc w:val="left"/>
            </w:pPr>
            <w:r>
              <w:rPr>
                <w:rFonts w:ascii="Times New Roman" w:eastAsia="Times New Roman" w:hAnsi="Times New Roman" w:cs="Times New Roman"/>
                <w:b w:val="0"/>
                <w:i w:val="0"/>
                <w:color w:val="000000"/>
                <w:sz w:val="20"/>
                <w:u w:val="none"/>
              </w:rPr>
              <w:t>Income (loss) from operations before income taxes</w:t>
            </w:r>
          </w:p>
        </w:tc>
        <w:tc>
          <w:tcPr>
            <w:tcW w:w="28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140"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140"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7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1037"/>
                <w:tab w:val="left" w:pos="1402"/>
              </w:tabs>
              <w:spacing w:before="33" w:after="30" w:line="288" w:lineRule="auto"/>
              <w:jc w:val="right"/>
            </w:pPr>
            <w:r>
              <w:rPr>
                <w:rFonts w:ascii="Times New Roman" w:eastAsia="Times New Roman" w:hAnsi="Times New Roman" w:cs="Times New Roman"/>
                <w:b w:val="0"/>
                <w:i w:val="0"/>
                <w:color w:val="000000"/>
                <w:sz w:val="20"/>
                <w:u w:val="none"/>
              </w:rPr>
              <w:tab/>
              <w:t>769</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7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801"/>
              </w:tabs>
              <w:spacing w:before="33" w:after="30" w:line="288" w:lineRule="auto"/>
              <w:jc w:val="right"/>
            </w:pPr>
            <w:r>
              <w:rPr>
                <w:rFonts w:ascii="Times New Roman" w:eastAsia="Times New Roman" w:hAnsi="Times New Roman" w:cs="Times New Roman"/>
                <w:b w:val="0"/>
                <w:i w:val="0"/>
                <w:color w:val="000000"/>
                <w:sz w:val="20"/>
                <w:u w:val="none"/>
              </w:rPr>
              <w:tab/>
              <w:t>(2,107)</w:t>
            </w:r>
          </w:p>
        </w:tc>
      </w:tr>
      <w:tr>
        <w:tblPrEx>
          <w:tblW w:w="10260" w:type="dxa"/>
          <w:tblInd w:w="0" w:type="dxa"/>
          <w:tblLayout w:type="fixed"/>
        </w:tblPrEx>
        <w:trPr>
          <w:trHeight w:hRule="exact" w:val="300"/>
        </w:trPr>
        <w:tc>
          <w:tcPr>
            <w:tcW w:w="468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88" w:lineRule="auto"/>
              <w:ind w:left="360"/>
              <w:jc w:val="left"/>
            </w:pPr>
            <w:r>
              <w:rPr>
                <w:rFonts w:ascii="Times New Roman" w:eastAsia="Times New Roman" w:hAnsi="Times New Roman" w:cs="Times New Roman"/>
                <w:b w:val="0"/>
                <w:i w:val="0"/>
                <w:color w:val="000000"/>
                <w:sz w:val="20"/>
                <w:u w:val="none"/>
              </w:rPr>
              <w:t>Income tax expense</w:t>
            </w:r>
          </w:p>
        </w:tc>
        <w:tc>
          <w:tcPr>
            <w:tcW w:w="28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14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14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7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1037"/>
                <w:tab w:val="left" w:pos="1402"/>
              </w:tabs>
              <w:spacing w:before="53" w:after="30" w:line="288" w:lineRule="auto"/>
              <w:jc w:val="right"/>
            </w:pPr>
            <w:r>
              <w:rPr>
                <w:rFonts w:ascii="Times New Roman" w:eastAsia="Times New Roman" w:hAnsi="Times New Roman" w:cs="Times New Roman"/>
                <w:b w:val="0"/>
                <w:i w:val="0"/>
                <w:color w:val="000000"/>
                <w:sz w:val="20"/>
                <w:u w:val="none"/>
              </w:rPr>
              <w:tab/>
              <w:t>144</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7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1037"/>
                <w:tab w:val="left" w:pos="1402"/>
              </w:tabs>
              <w:spacing w:before="53" w:after="30" w:line="288" w:lineRule="auto"/>
              <w:jc w:val="right"/>
            </w:pPr>
            <w:r>
              <w:rPr>
                <w:rFonts w:ascii="Times New Roman" w:eastAsia="Times New Roman" w:hAnsi="Times New Roman" w:cs="Times New Roman"/>
                <w:b w:val="0"/>
                <w:i w:val="0"/>
                <w:color w:val="000000"/>
                <w:sz w:val="20"/>
                <w:u w:val="none"/>
              </w:rPr>
              <w:tab/>
              <w:t>291</w:t>
              <w:tab/>
            </w:r>
          </w:p>
        </w:tc>
      </w:tr>
      <w:tr>
        <w:tblPrEx>
          <w:tblW w:w="10260" w:type="dxa"/>
          <w:tblInd w:w="0" w:type="dxa"/>
          <w:tblLayout w:type="fixed"/>
        </w:tblPrEx>
        <w:trPr>
          <w:trHeight w:hRule="exact" w:val="300"/>
        </w:trPr>
        <w:tc>
          <w:tcPr>
            <w:tcW w:w="468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33" w:after="30" w:line="288" w:lineRule="auto"/>
              <w:jc w:val="left"/>
            </w:pPr>
            <w:r>
              <w:rPr>
                <w:rFonts w:ascii="Times New Roman" w:eastAsia="Times New Roman" w:hAnsi="Times New Roman" w:cs="Times New Roman"/>
                <w:b w:val="0"/>
                <w:i w:val="0"/>
                <w:color w:val="000000"/>
                <w:sz w:val="20"/>
                <w:u w:val="none"/>
              </w:rPr>
              <w:t>Net income (loss)</w:t>
            </w:r>
          </w:p>
        </w:tc>
        <w:tc>
          <w:tcPr>
            <w:tcW w:w="28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140"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140"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7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1037"/>
                <w:tab w:val="left" w:pos="1402"/>
              </w:tabs>
              <w:spacing w:before="33" w:after="30" w:line="288" w:lineRule="auto"/>
              <w:jc w:val="right"/>
            </w:pPr>
            <w:r>
              <w:rPr>
                <w:rFonts w:ascii="Times New Roman" w:eastAsia="Times New Roman" w:hAnsi="Times New Roman" w:cs="Times New Roman"/>
                <w:b w:val="0"/>
                <w:i w:val="0"/>
                <w:color w:val="000000"/>
                <w:sz w:val="20"/>
                <w:u w:val="none"/>
              </w:rPr>
              <w:tab/>
              <w:t>625</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7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801"/>
              </w:tabs>
              <w:spacing w:before="33" w:after="30" w:line="288" w:lineRule="auto"/>
              <w:jc w:val="right"/>
            </w:pPr>
            <w:r>
              <w:rPr>
                <w:rFonts w:ascii="Times New Roman" w:eastAsia="Times New Roman" w:hAnsi="Times New Roman" w:cs="Times New Roman"/>
                <w:b w:val="0"/>
                <w:i w:val="0"/>
                <w:color w:val="000000"/>
                <w:sz w:val="20"/>
                <w:u w:val="none"/>
              </w:rPr>
              <w:tab/>
              <w:t>(2,398)</w:t>
            </w:r>
          </w:p>
        </w:tc>
      </w:tr>
      <w:tr>
        <w:tblPrEx>
          <w:tblW w:w="10260" w:type="dxa"/>
          <w:tblInd w:w="0" w:type="dxa"/>
          <w:tblLayout w:type="fixed"/>
        </w:tblPrEx>
        <w:trPr>
          <w:trHeight w:hRule="exact" w:val="285"/>
        </w:trPr>
        <w:tc>
          <w:tcPr>
            <w:tcW w:w="468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88" w:lineRule="auto"/>
              <w:jc w:val="left"/>
            </w:pPr>
            <w:r>
              <w:rPr>
                <w:rFonts w:ascii="Times New Roman" w:eastAsia="Times New Roman" w:hAnsi="Times New Roman" w:cs="Times New Roman"/>
                <w:b w:val="0"/>
                <w:i w:val="0"/>
                <w:color w:val="000000"/>
                <w:sz w:val="20"/>
                <w:u w:val="none"/>
              </w:rPr>
              <w:t>Other comprehensive income (loss):</w:t>
            </w:r>
          </w:p>
        </w:tc>
        <w:tc>
          <w:tcPr>
            <w:tcW w:w="28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14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14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7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7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r>
      <w:tr>
        <w:tblPrEx>
          <w:tblW w:w="10260" w:type="dxa"/>
          <w:tblInd w:w="0" w:type="dxa"/>
          <w:tblLayout w:type="fixed"/>
        </w:tblPrEx>
        <w:trPr>
          <w:trHeight w:hRule="exact" w:val="300"/>
        </w:trPr>
        <w:tc>
          <w:tcPr>
            <w:tcW w:w="468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88" w:lineRule="auto"/>
              <w:ind w:left="360"/>
              <w:jc w:val="left"/>
            </w:pPr>
            <w:r>
              <w:rPr>
                <w:rFonts w:ascii="Times New Roman" w:eastAsia="Times New Roman" w:hAnsi="Times New Roman" w:cs="Times New Roman"/>
                <w:b w:val="0"/>
                <w:i w:val="0"/>
                <w:color w:val="000000"/>
                <w:sz w:val="20"/>
                <w:u w:val="none"/>
              </w:rPr>
              <w:t>Unrealized gain (loss) on marketable securities</w:t>
            </w:r>
          </w:p>
        </w:tc>
        <w:tc>
          <w:tcPr>
            <w:tcW w:w="28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140"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140"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7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951"/>
              </w:tabs>
              <w:spacing w:before="53" w:after="30" w:line="288" w:lineRule="auto"/>
              <w:jc w:val="right"/>
            </w:pPr>
            <w:r>
              <w:rPr>
                <w:rFonts w:ascii="Times New Roman" w:eastAsia="Times New Roman" w:hAnsi="Times New Roman" w:cs="Times New Roman"/>
                <w:b w:val="0"/>
                <w:i w:val="0"/>
                <w:color w:val="000000"/>
                <w:sz w:val="20"/>
                <w:u w:val="none"/>
              </w:rPr>
              <w:tab/>
              <w:t>(588)</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7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1037"/>
                <w:tab w:val="left" w:pos="1402"/>
              </w:tabs>
              <w:spacing w:before="53" w:after="30" w:line="288" w:lineRule="auto"/>
              <w:jc w:val="right"/>
            </w:pPr>
            <w:r>
              <w:rPr>
                <w:rFonts w:ascii="Times New Roman" w:eastAsia="Times New Roman" w:hAnsi="Times New Roman" w:cs="Times New Roman"/>
                <w:b w:val="0"/>
                <w:i w:val="0"/>
                <w:color w:val="000000"/>
                <w:sz w:val="20"/>
                <w:u w:val="none"/>
              </w:rPr>
              <w:tab/>
              <w:t>442</w:t>
              <w:tab/>
            </w:r>
          </w:p>
        </w:tc>
      </w:tr>
      <w:tr>
        <w:tblPrEx>
          <w:tblW w:w="10260" w:type="dxa"/>
          <w:tblInd w:w="0" w:type="dxa"/>
          <w:tblLayout w:type="fixed"/>
        </w:tblPrEx>
        <w:trPr>
          <w:trHeight w:hRule="exact" w:val="300"/>
        </w:trPr>
        <w:tc>
          <w:tcPr>
            <w:tcW w:w="468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33" w:after="30" w:line="288" w:lineRule="auto"/>
              <w:jc w:val="left"/>
            </w:pPr>
            <w:r>
              <w:rPr>
                <w:rFonts w:ascii="Times New Roman" w:eastAsia="Times New Roman" w:hAnsi="Times New Roman" w:cs="Times New Roman"/>
                <w:b w:val="0"/>
                <w:i w:val="0"/>
                <w:color w:val="000000"/>
                <w:sz w:val="20"/>
                <w:u w:val="none"/>
              </w:rPr>
              <w:t>Comprehensive income (loss)</w:t>
            </w:r>
          </w:p>
        </w:tc>
        <w:tc>
          <w:tcPr>
            <w:tcW w:w="28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14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14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7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keepNext/>
              <w:pageBreakBefore w:val="0"/>
              <w:tabs>
                <w:tab w:val="left" w:pos="1137"/>
                <w:tab w:val="left" w:pos="1402"/>
              </w:tabs>
              <w:spacing w:before="33" w:after="30" w:line="288" w:lineRule="auto"/>
              <w:jc w:val="right"/>
            </w:pPr>
            <w:r>
              <w:rPr>
                <w:rFonts w:ascii="Times New Roman" w:eastAsia="Times New Roman" w:hAnsi="Times New Roman" w:cs="Times New Roman"/>
                <w:b w:val="0"/>
                <w:i w:val="0"/>
                <w:color w:val="000000"/>
                <w:sz w:val="20"/>
                <w:u w:val="none"/>
              </w:rPr>
              <w:t>$</w:t>
              <w:tab/>
              <w:t>37</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7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keepNext/>
              <w:pageBreakBefore w:val="0"/>
              <w:tabs>
                <w:tab w:val="left" w:pos="801"/>
              </w:tabs>
              <w:spacing w:before="33" w:after="30" w:line="288" w:lineRule="auto"/>
              <w:jc w:val="right"/>
            </w:pPr>
            <w:r>
              <w:rPr>
                <w:rFonts w:ascii="Times New Roman" w:eastAsia="Times New Roman" w:hAnsi="Times New Roman" w:cs="Times New Roman"/>
                <w:b w:val="0"/>
                <w:i w:val="0"/>
                <w:color w:val="000000"/>
                <w:sz w:val="20"/>
                <w:u w:val="none"/>
              </w:rPr>
              <w:t>$</w:t>
              <w:tab/>
              <w:t>(1,956)</w:t>
            </w:r>
          </w:p>
        </w:tc>
      </w:tr>
      <w:tr>
        <w:tblPrEx>
          <w:tblW w:w="10260" w:type="dxa"/>
          <w:tblInd w:w="0" w:type="dxa"/>
          <w:tblLayout w:type="fixed"/>
        </w:tblPrEx>
        <w:trPr>
          <w:trHeight w:hRule="exact" w:val="300"/>
        </w:trPr>
        <w:tc>
          <w:tcPr>
            <w:tcW w:w="4680"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28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140"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140"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70" w:type="dxa"/>
            <w:tcBorders>
              <w:top w:val="doub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70" w:type="dxa"/>
            <w:tcBorders>
              <w:top w:val="doub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r>
      <w:tr>
        <w:tblPrEx>
          <w:tblW w:w="10260" w:type="dxa"/>
          <w:tblInd w:w="0" w:type="dxa"/>
          <w:tblLayout w:type="fixed"/>
        </w:tblPrEx>
        <w:trPr>
          <w:trHeight w:hRule="exact" w:val="285"/>
        </w:trPr>
        <w:tc>
          <w:tcPr>
            <w:tcW w:w="468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88" w:lineRule="auto"/>
              <w:jc w:val="left"/>
            </w:pPr>
            <w:r>
              <w:rPr>
                <w:rFonts w:ascii="Times New Roman" w:eastAsia="Times New Roman" w:hAnsi="Times New Roman" w:cs="Times New Roman"/>
                <w:b w:val="0"/>
                <w:i w:val="0"/>
                <w:color w:val="000000"/>
                <w:sz w:val="20"/>
                <w:u w:val="none"/>
              </w:rPr>
              <w:t>Basic and diluted earnings (loss) per share</w:t>
            </w:r>
          </w:p>
        </w:tc>
        <w:tc>
          <w:tcPr>
            <w:tcW w:w="28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14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14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7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7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r>
      <w:tr>
        <w:tblPrEx>
          <w:tblW w:w="10260" w:type="dxa"/>
          <w:tblInd w:w="0" w:type="dxa"/>
          <w:tblLayout w:type="fixed"/>
        </w:tblPrEx>
        <w:trPr>
          <w:trHeight w:hRule="exact" w:val="300"/>
        </w:trPr>
        <w:tc>
          <w:tcPr>
            <w:tcW w:w="468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88" w:lineRule="auto"/>
              <w:ind w:left="360"/>
              <w:jc w:val="left"/>
            </w:pPr>
            <w:r>
              <w:rPr>
                <w:rFonts w:ascii="Times New Roman" w:eastAsia="Times New Roman" w:hAnsi="Times New Roman" w:cs="Times New Roman"/>
                <w:b w:val="0"/>
                <w:i w:val="0"/>
                <w:color w:val="000000"/>
                <w:sz w:val="20"/>
                <w:u w:val="none"/>
              </w:rPr>
              <w:t>Basic</w:t>
            </w:r>
          </w:p>
        </w:tc>
        <w:tc>
          <w:tcPr>
            <w:tcW w:w="28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140"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140"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7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987"/>
                <w:tab w:val="left" w:pos="1402"/>
              </w:tabs>
              <w:spacing w:before="53" w:after="30" w:line="288" w:lineRule="auto"/>
              <w:jc w:val="right"/>
            </w:pPr>
            <w:r>
              <w:rPr>
                <w:rFonts w:ascii="Times New Roman" w:eastAsia="Times New Roman" w:hAnsi="Times New Roman" w:cs="Times New Roman"/>
                <w:b w:val="0"/>
                <w:i w:val="0"/>
                <w:color w:val="000000"/>
                <w:sz w:val="20"/>
                <w:u w:val="none"/>
              </w:rPr>
              <w:t>$</w:t>
              <w:tab/>
              <w:t>0.02</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7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901"/>
              </w:tabs>
              <w:spacing w:before="53" w:after="30" w:line="288" w:lineRule="auto"/>
              <w:jc w:val="right"/>
            </w:pPr>
            <w:r>
              <w:rPr>
                <w:rFonts w:ascii="Times New Roman" w:eastAsia="Times New Roman" w:hAnsi="Times New Roman" w:cs="Times New Roman"/>
                <w:b w:val="0"/>
                <w:i w:val="0"/>
                <w:color w:val="000000"/>
                <w:sz w:val="20"/>
                <w:u w:val="none"/>
              </w:rPr>
              <w:t>$</w:t>
              <w:tab/>
              <w:t>(0.09)</w:t>
            </w:r>
          </w:p>
        </w:tc>
      </w:tr>
      <w:tr>
        <w:tblPrEx>
          <w:tblW w:w="10260" w:type="dxa"/>
          <w:tblInd w:w="0" w:type="dxa"/>
          <w:tblLayout w:type="fixed"/>
        </w:tblPrEx>
        <w:trPr>
          <w:trHeight w:hRule="exact" w:val="300"/>
        </w:trPr>
        <w:tc>
          <w:tcPr>
            <w:tcW w:w="468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88" w:lineRule="auto"/>
              <w:ind w:left="360"/>
              <w:jc w:val="left"/>
            </w:pPr>
            <w:r>
              <w:rPr>
                <w:rFonts w:ascii="Times New Roman" w:eastAsia="Times New Roman" w:hAnsi="Times New Roman" w:cs="Times New Roman"/>
                <w:b w:val="0"/>
                <w:i w:val="0"/>
                <w:color w:val="000000"/>
                <w:sz w:val="20"/>
                <w:u w:val="none"/>
              </w:rPr>
              <w:t>Diluted</w:t>
            </w:r>
          </w:p>
        </w:tc>
        <w:tc>
          <w:tcPr>
            <w:tcW w:w="28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14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14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7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87"/>
                <w:tab w:val="left" w:pos="1402"/>
              </w:tabs>
              <w:spacing w:before="53" w:after="30" w:line="288" w:lineRule="auto"/>
              <w:jc w:val="right"/>
            </w:pPr>
            <w:r>
              <w:rPr>
                <w:rFonts w:ascii="Times New Roman" w:eastAsia="Times New Roman" w:hAnsi="Times New Roman" w:cs="Times New Roman"/>
                <w:b w:val="0"/>
                <w:i w:val="0"/>
                <w:color w:val="000000"/>
                <w:sz w:val="20"/>
                <w:u w:val="none"/>
              </w:rPr>
              <w:t>$</w:t>
              <w:tab/>
              <w:t>0.02</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7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01"/>
              </w:tabs>
              <w:spacing w:before="53" w:after="30" w:line="288" w:lineRule="auto"/>
              <w:jc w:val="right"/>
            </w:pPr>
            <w:r>
              <w:rPr>
                <w:rFonts w:ascii="Times New Roman" w:eastAsia="Times New Roman" w:hAnsi="Times New Roman" w:cs="Times New Roman"/>
                <w:b w:val="0"/>
                <w:i w:val="0"/>
                <w:color w:val="000000"/>
                <w:sz w:val="20"/>
                <w:u w:val="none"/>
              </w:rPr>
              <w:t>$</w:t>
              <w:tab/>
              <w:t>(0.09)</w:t>
            </w:r>
          </w:p>
        </w:tc>
      </w:tr>
      <w:tr>
        <w:tblPrEx>
          <w:tblW w:w="10260" w:type="dxa"/>
          <w:tblInd w:w="0" w:type="dxa"/>
          <w:tblLayout w:type="fixed"/>
        </w:tblPrEx>
        <w:trPr>
          <w:trHeight w:hRule="exact" w:val="285"/>
        </w:trPr>
        <w:tc>
          <w:tcPr>
            <w:tcW w:w="4680"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28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140"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140"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70"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70"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r>
      <w:tr>
        <w:tblPrEx>
          <w:tblW w:w="10260" w:type="dxa"/>
          <w:tblInd w:w="0" w:type="dxa"/>
          <w:tblLayout w:type="fixed"/>
        </w:tblPrEx>
        <w:trPr>
          <w:trHeight w:hRule="exact" w:val="285"/>
        </w:trPr>
        <w:tc>
          <w:tcPr>
            <w:tcW w:w="468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88" w:lineRule="auto"/>
              <w:jc w:val="left"/>
            </w:pPr>
            <w:r>
              <w:rPr>
                <w:rFonts w:ascii="Times New Roman" w:eastAsia="Times New Roman" w:hAnsi="Times New Roman" w:cs="Times New Roman"/>
                <w:b w:val="0"/>
                <w:i w:val="0"/>
                <w:color w:val="000000"/>
                <w:sz w:val="20"/>
                <w:u w:val="none"/>
              </w:rPr>
              <w:t>Weighted average basic and diluted shares</w:t>
            </w:r>
          </w:p>
        </w:tc>
        <w:tc>
          <w:tcPr>
            <w:tcW w:w="28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14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14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7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7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r>
      <w:tr>
        <w:tblPrEx>
          <w:tblW w:w="10260" w:type="dxa"/>
          <w:tblInd w:w="0" w:type="dxa"/>
          <w:tblLayout w:type="fixed"/>
        </w:tblPrEx>
        <w:trPr>
          <w:trHeight w:hRule="exact" w:val="300"/>
        </w:trPr>
        <w:tc>
          <w:tcPr>
            <w:tcW w:w="468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88" w:lineRule="auto"/>
              <w:ind w:left="360"/>
              <w:jc w:val="left"/>
            </w:pPr>
            <w:r>
              <w:rPr>
                <w:rFonts w:ascii="Times New Roman" w:eastAsia="Times New Roman" w:hAnsi="Times New Roman" w:cs="Times New Roman"/>
                <w:b w:val="0"/>
                <w:i w:val="0"/>
                <w:color w:val="000000"/>
                <w:sz w:val="20"/>
                <w:u w:val="none"/>
              </w:rPr>
              <w:t>Basic</w:t>
            </w:r>
          </w:p>
        </w:tc>
        <w:tc>
          <w:tcPr>
            <w:tcW w:w="28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140"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140"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7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787"/>
                <w:tab w:val="left" w:pos="1402"/>
              </w:tabs>
              <w:spacing w:before="53" w:after="30" w:line="288" w:lineRule="auto"/>
              <w:jc w:val="right"/>
            </w:pPr>
            <w:r>
              <w:rPr>
                <w:rFonts w:ascii="Times New Roman" w:eastAsia="Times New Roman" w:hAnsi="Times New Roman" w:cs="Times New Roman"/>
                <w:b w:val="0"/>
                <w:i w:val="0"/>
                <w:color w:val="000000"/>
                <w:sz w:val="20"/>
                <w:u w:val="none"/>
              </w:rPr>
              <w:tab/>
              <w:t>28,420</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7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787"/>
                <w:tab w:val="left" w:pos="1402"/>
              </w:tabs>
              <w:spacing w:before="53" w:after="30" w:line="288" w:lineRule="auto"/>
              <w:jc w:val="right"/>
            </w:pPr>
            <w:r>
              <w:rPr>
                <w:rFonts w:ascii="Times New Roman" w:eastAsia="Times New Roman" w:hAnsi="Times New Roman" w:cs="Times New Roman"/>
                <w:b w:val="0"/>
                <w:i w:val="0"/>
                <w:color w:val="000000"/>
                <w:sz w:val="20"/>
                <w:u w:val="none"/>
              </w:rPr>
              <w:tab/>
              <w:t>26,961</w:t>
              <w:tab/>
            </w:r>
          </w:p>
        </w:tc>
      </w:tr>
      <w:tr>
        <w:tblPrEx>
          <w:tblW w:w="10260" w:type="dxa"/>
          <w:tblInd w:w="0" w:type="dxa"/>
          <w:tblLayout w:type="fixed"/>
        </w:tblPrEx>
        <w:trPr>
          <w:trHeight w:hRule="exact" w:val="300"/>
        </w:trPr>
        <w:tc>
          <w:tcPr>
            <w:tcW w:w="4680" w:type="dxa"/>
            <w:tcBorders>
              <w:top w:val="nil"/>
              <w:left w:val="nil"/>
              <w:bottom w:val="nil"/>
              <w:right w:val="nil"/>
            </w:tcBorders>
            <w:shd w:val="clear" w:color="auto" w:fill="FFFFFF"/>
            <w:tcMar>
              <w:top w:w="0" w:type="dxa"/>
              <w:left w:w="53" w:type="dxa"/>
              <w:bottom w:w="0" w:type="dxa"/>
              <w:right w:w="53" w:type="dxa"/>
            </w:tcMar>
            <w:vAlign w:val="bottom"/>
          </w:tcPr>
          <w:p>
            <w:pPr>
              <w:pageBreakBefore w:val="0"/>
              <w:spacing w:before="53" w:after="30" w:line="288" w:lineRule="auto"/>
              <w:ind w:left="360"/>
              <w:jc w:val="left"/>
            </w:pPr>
            <w:r>
              <w:rPr>
                <w:rFonts w:ascii="Times New Roman" w:eastAsia="Times New Roman" w:hAnsi="Times New Roman" w:cs="Times New Roman"/>
                <w:b w:val="0"/>
                <w:i w:val="0"/>
                <w:color w:val="000000"/>
                <w:sz w:val="20"/>
                <w:u w:val="none"/>
              </w:rPr>
              <w:t>Diluted</w:t>
            </w:r>
          </w:p>
        </w:tc>
        <w:tc>
          <w:tcPr>
            <w:tcW w:w="28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1140"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1140"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1470" w:type="dxa"/>
            <w:tcBorders>
              <w:top w:val="nil"/>
              <w:left w:val="nil"/>
              <w:bottom w:val="nil"/>
              <w:right w:val="nil"/>
            </w:tcBorders>
            <w:shd w:val="clear" w:color="auto" w:fill="FFFFFF"/>
            <w:tcMar>
              <w:top w:w="0" w:type="dxa"/>
              <w:left w:w="0" w:type="dxa"/>
              <w:bottom w:w="0" w:type="dxa"/>
              <w:right w:w="15" w:type="dxa"/>
            </w:tcMar>
            <w:vAlign w:val="bottom"/>
          </w:tcPr>
          <w:p>
            <w:pPr>
              <w:pageBreakBefore w:val="0"/>
              <w:tabs>
                <w:tab w:val="left" w:pos="787"/>
                <w:tab w:val="left" w:pos="1402"/>
              </w:tabs>
              <w:spacing w:before="53" w:after="30" w:line="288" w:lineRule="auto"/>
              <w:jc w:val="right"/>
            </w:pPr>
            <w:r>
              <w:rPr>
                <w:rFonts w:ascii="Times New Roman" w:eastAsia="Times New Roman" w:hAnsi="Times New Roman" w:cs="Times New Roman"/>
                <w:b w:val="0"/>
                <w:i w:val="0"/>
                <w:color w:val="000000"/>
                <w:sz w:val="20"/>
                <w:u w:val="none"/>
              </w:rPr>
              <w:tab/>
              <w:t>28,871</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1470" w:type="dxa"/>
            <w:tcBorders>
              <w:top w:val="nil"/>
              <w:left w:val="nil"/>
              <w:bottom w:val="nil"/>
              <w:right w:val="nil"/>
            </w:tcBorders>
            <w:shd w:val="clear" w:color="auto" w:fill="FFFFFF"/>
            <w:tcMar>
              <w:top w:w="0" w:type="dxa"/>
              <w:left w:w="0" w:type="dxa"/>
              <w:bottom w:w="0" w:type="dxa"/>
              <w:right w:w="15" w:type="dxa"/>
            </w:tcMar>
            <w:vAlign w:val="bottom"/>
          </w:tcPr>
          <w:p>
            <w:pPr>
              <w:pageBreakBefore w:val="0"/>
              <w:tabs>
                <w:tab w:val="left" w:pos="787"/>
                <w:tab w:val="left" w:pos="1402"/>
              </w:tabs>
              <w:spacing w:before="53" w:after="30" w:line="288" w:lineRule="auto"/>
              <w:jc w:val="right"/>
            </w:pPr>
            <w:r>
              <w:rPr>
                <w:rFonts w:ascii="Times New Roman" w:eastAsia="Times New Roman" w:hAnsi="Times New Roman" w:cs="Times New Roman"/>
                <w:b w:val="0"/>
                <w:i w:val="0"/>
                <w:color w:val="000000"/>
                <w:sz w:val="20"/>
                <w:u w:val="none"/>
              </w:rPr>
              <w:tab/>
              <w:t>26,961</w:t>
              <w:tab/>
            </w:r>
          </w:p>
        </w:tc>
      </w:tr>
    </w:tbl>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The accompanying notes are an integral part of these Condensed Consolidated Financial Statements.</w:t>
      </w:r>
    </w:p>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20"/>
        </w:rPr>
        <w:sectPr>
          <w:pgSz w:w="12240" w:h="15840"/>
          <w:pgMar w:top="855" w:right="990" w:bottom="855" w:left="990" w:header="270" w:footer="270"/>
          <w:cols w:space="708"/>
        </w:sectPr>
      </w:pPr>
    </w:p>
    <w:p>
      <w:pPr>
        <w:keepNext w:val="0"/>
        <w:keepLines/>
        <w:pageBreakBefore w:val="0"/>
        <w:widowControl w:val="0"/>
        <w:numPr>
          <w:ilvl w:val="0"/>
          <w:numId w:val="0"/>
        </w:numPr>
        <w:spacing w:before="0" w:after="0" w:line="288" w:lineRule="auto"/>
        <w:ind w:left="0" w:right="0" w:firstLine="0"/>
        <w:jc w:val="center"/>
        <w:outlineLvl w:val="2"/>
        <w:rPr>
          <w:rFonts w:ascii="Times New Roman" w:eastAsia="Times New Roman" w:hAnsi="Times New Roman" w:cs="Times New Roman"/>
          <w:b/>
          <w:i w:val="0"/>
          <w:sz w:val="20"/>
        </w:rPr>
      </w:pPr>
      <w:bookmarkStart w:id="6" w:name="Section7"/>
      <w:bookmarkEnd w:id="6"/>
      <w:r>
        <w:rPr>
          <w:rFonts w:ascii="Times New Roman" w:eastAsia="Times New Roman" w:hAnsi="Times New Roman" w:cs="Times New Roman"/>
          <w:b/>
          <w:i w:val="0"/>
          <w:sz w:val="20"/>
        </w:rPr>
        <w:t>ASURE SOFTWARE, INC.</w:t>
      </w:r>
    </w:p>
    <w:p>
      <w:pPr>
        <w:keepNext/>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i w:val="0"/>
          <w:sz w:val="20"/>
        </w:rPr>
      </w:pPr>
      <w:r>
        <w:rPr>
          <w:rFonts w:ascii="Times New Roman" w:eastAsia="Times New Roman" w:hAnsi="Times New Roman" w:cs="Times New Roman"/>
          <w:b/>
          <w:i w:val="0"/>
          <w:sz w:val="20"/>
        </w:rPr>
        <w:t>CONDENSED CONSOLIDATED STATEMENTS OF CHANGES IN STOCKHOLDERS’ EQUITY</w:t>
      </w:r>
    </w:p>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16"/>
        </w:rPr>
      </w:pPr>
      <w:r>
        <w:rPr>
          <w:rFonts w:ascii="Times New Roman" w:eastAsia="Times New Roman" w:hAnsi="Times New Roman" w:cs="Times New Roman"/>
          <w:b w:val="0"/>
          <w:i w:val="0"/>
          <w:sz w:val="16"/>
        </w:rPr>
        <w:t>(in thousands)</w:t>
      </w:r>
    </w:p>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16"/>
        </w:rPr>
      </w:pPr>
      <w:r>
        <w:rPr>
          <w:rFonts w:ascii="Times New Roman" w:eastAsia="Times New Roman" w:hAnsi="Times New Roman" w:cs="Times New Roman"/>
          <w:b w:val="0"/>
          <w:i w:val="0"/>
          <w:sz w:val="16"/>
        </w:rPr>
        <w:t>(Unaudited)</w:t>
      </w:r>
    </w:p>
    <w:tbl>
      <w:tblPr>
        <w:tblStyle w:val="TableNormal0"/>
        <w:tblW w:w="10800" w:type="dxa"/>
        <w:jc w:val="center"/>
        <w:tblLayout w:type="fixed"/>
      </w:tblPr>
      <w:tblGrid>
        <w:gridCol w:w="3300"/>
        <w:gridCol w:w="960"/>
        <w:gridCol w:w="75"/>
        <w:gridCol w:w="900"/>
        <w:gridCol w:w="75"/>
        <w:gridCol w:w="900"/>
        <w:gridCol w:w="75"/>
        <w:gridCol w:w="1005"/>
        <w:gridCol w:w="75"/>
        <w:gridCol w:w="1020"/>
        <w:gridCol w:w="75"/>
        <w:gridCol w:w="1200"/>
        <w:gridCol w:w="75"/>
        <w:gridCol w:w="1065"/>
      </w:tblGrid>
      <w:tr>
        <w:tblPrEx>
          <w:tblW w:w="10800" w:type="dxa"/>
          <w:tblLayout w:type="fixed"/>
        </w:tblPrEx>
        <w:trPr>
          <w:trHeight w:hRule="exact" w:val="615"/>
        </w:trPr>
        <w:tc>
          <w:tcPr>
            <w:tcW w:w="330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960"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88" w:lineRule="auto"/>
              <w:jc w:val="center"/>
            </w:pPr>
            <w:r>
              <w:rPr>
                <w:rFonts w:ascii="Times New Roman" w:eastAsia="Times New Roman" w:hAnsi="Times New Roman" w:cs="Times New Roman"/>
                <w:b/>
                <w:i w:val="0"/>
                <w:color w:val="000000"/>
                <w:sz w:val="16"/>
                <w:u w:val="none"/>
              </w:rPr>
              <w:t>Common Stock Outstanding</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900"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88" w:lineRule="auto"/>
              <w:jc w:val="center"/>
            </w:pPr>
            <w:r>
              <w:rPr>
                <w:rFonts w:ascii="Times New Roman" w:eastAsia="Times New Roman" w:hAnsi="Times New Roman" w:cs="Times New Roman"/>
                <w:b/>
                <w:i w:val="0"/>
                <w:color w:val="000000"/>
                <w:sz w:val="16"/>
                <w:u w:val="none"/>
              </w:rPr>
              <w:t>Common Stock Amount</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900"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88" w:lineRule="auto"/>
              <w:jc w:val="center"/>
            </w:pPr>
            <w:r>
              <w:rPr>
                <w:rFonts w:ascii="Times New Roman" w:eastAsia="Times New Roman" w:hAnsi="Times New Roman" w:cs="Times New Roman"/>
                <w:b/>
                <w:i w:val="0"/>
                <w:color w:val="000000"/>
                <w:sz w:val="16"/>
                <w:u w:val="none"/>
              </w:rPr>
              <w:t>Treasury Stock</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00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88" w:lineRule="auto"/>
              <w:jc w:val="center"/>
            </w:pPr>
            <w:r>
              <w:rPr>
                <w:rFonts w:ascii="Times New Roman" w:eastAsia="Times New Roman" w:hAnsi="Times New Roman" w:cs="Times New Roman"/>
                <w:b/>
                <w:i w:val="0"/>
                <w:color w:val="000000"/>
                <w:sz w:val="16"/>
                <w:u w:val="none"/>
              </w:rPr>
              <w:t>Additional Paid-in Capital</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020"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88" w:lineRule="auto"/>
              <w:jc w:val="center"/>
            </w:pPr>
            <w:r>
              <w:rPr>
                <w:rFonts w:ascii="Times New Roman" w:eastAsia="Times New Roman" w:hAnsi="Times New Roman" w:cs="Times New Roman"/>
                <w:b/>
                <w:i w:val="0"/>
                <w:color w:val="000000"/>
                <w:sz w:val="16"/>
                <w:u w:val="none"/>
              </w:rPr>
              <w:t>Accumulated Deficit</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200"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88" w:lineRule="auto"/>
              <w:jc w:val="center"/>
            </w:pPr>
            <w:r>
              <w:rPr>
                <w:rFonts w:ascii="Times New Roman" w:eastAsia="Times New Roman" w:hAnsi="Times New Roman" w:cs="Times New Roman"/>
                <w:b/>
                <w:i w:val="0"/>
                <w:color w:val="000000"/>
                <w:sz w:val="16"/>
                <w:u w:val="none"/>
              </w:rPr>
              <w:t>Other Comprehensive Income (Loss)</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06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88" w:lineRule="auto"/>
              <w:jc w:val="center"/>
            </w:pPr>
            <w:r>
              <w:rPr>
                <w:rFonts w:ascii="Times New Roman" w:eastAsia="Times New Roman" w:hAnsi="Times New Roman" w:cs="Times New Roman"/>
                <w:b/>
                <w:i w:val="0"/>
                <w:color w:val="000000"/>
                <w:sz w:val="16"/>
                <w:u w:val="none"/>
              </w:rPr>
              <w:t>Total Stockholders’ Equity</w:t>
            </w:r>
          </w:p>
        </w:tc>
      </w:tr>
      <w:tr>
        <w:tblPrEx>
          <w:tblW w:w="10800" w:type="dxa"/>
          <w:tblLayout w:type="fixed"/>
        </w:tblPrEx>
        <w:trPr>
          <w:trHeight w:hRule="exact" w:val="240"/>
        </w:trPr>
        <w:tc>
          <w:tcPr>
            <w:tcW w:w="330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33" w:after="30" w:line="240" w:lineRule="auto"/>
              <w:jc w:val="left"/>
            </w:pPr>
            <w:r>
              <w:rPr>
                <w:rFonts w:ascii="Times New Roman" w:eastAsia="Times New Roman" w:hAnsi="Times New Roman" w:cs="Times New Roman"/>
                <w:b w:val="0"/>
                <w:i w:val="0"/>
                <w:color w:val="000000"/>
                <w:sz w:val="16"/>
                <w:u w:val="none"/>
              </w:rPr>
              <w:t>Balance at December 31, 2025</w:t>
            </w:r>
          </w:p>
        </w:tc>
        <w:tc>
          <w:tcPr>
            <w:tcW w:w="96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401"/>
                <w:tab w:val="left" w:pos="892"/>
              </w:tabs>
              <w:spacing w:before="33" w:after="30" w:line="240" w:lineRule="auto"/>
              <w:jc w:val="right"/>
            </w:pPr>
            <w:r>
              <w:rPr>
                <w:rFonts w:ascii="Times New Roman" w:eastAsia="Times New Roman" w:hAnsi="Times New Roman" w:cs="Times New Roman"/>
                <w:b w:val="0"/>
                <w:i w:val="0"/>
                <w:color w:val="000000"/>
                <w:sz w:val="16"/>
                <w:u w:val="none"/>
              </w:rPr>
              <w:tab/>
              <w:t>28,076</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9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541"/>
                <w:tab w:val="left" w:pos="832"/>
              </w:tabs>
              <w:spacing w:before="33" w:after="30" w:line="240" w:lineRule="auto"/>
              <w:jc w:val="right"/>
            </w:pPr>
            <w:r>
              <w:rPr>
                <w:rFonts w:ascii="Times New Roman" w:eastAsia="Times New Roman" w:hAnsi="Times New Roman" w:cs="Times New Roman"/>
                <w:b w:val="0"/>
                <w:i w:val="0"/>
                <w:color w:val="000000"/>
                <w:sz w:val="16"/>
                <w:u w:val="none"/>
              </w:rPr>
              <w:t>$</w:t>
              <w:tab/>
              <w:t>281</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9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621"/>
                <w:tab w:val="left" w:pos="832"/>
              </w:tabs>
              <w:spacing w:before="33" w:after="30" w:line="240" w:lineRule="auto"/>
              <w:jc w:val="right"/>
            </w:pPr>
            <w:r>
              <w:rPr>
                <w:rFonts w:ascii="Times New Roman" w:eastAsia="Times New Roman" w:hAnsi="Times New Roman" w:cs="Times New Roman"/>
                <w:b w:val="0"/>
                <w:i w:val="0"/>
                <w:color w:val="000000"/>
                <w:sz w:val="16"/>
                <w:u w:val="none"/>
              </w:rPr>
              <w:t>$</w:t>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00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366"/>
                <w:tab w:val="left" w:pos="937"/>
              </w:tabs>
              <w:spacing w:before="33" w:after="30" w:line="240" w:lineRule="auto"/>
              <w:jc w:val="right"/>
            </w:pPr>
            <w:r>
              <w:rPr>
                <w:rFonts w:ascii="Times New Roman" w:eastAsia="Times New Roman" w:hAnsi="Times New Roman" w:cs="Times New Roman"/>
                <w:b w:val="0"/>
                <w:i w:val="0"/>
                <w:color w:val="000000"/>
                <w:sz w:val="16"/>
                <w:u w:val="none"/>
              </w:rPr>
              <w:t>$</w:t>
              <w:tab/>
              <w:t>517,432</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02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307"/>
              </w:tabs>
              <w:spacing w:before="33" w:after="30" w:line="240" w:lineRule="auto"/>
              <w:jc w:val="right"/>
            </w:pPr>
            <w:r>
              <w:rPr>
                <w:rFonts w:ascii="Times New Roman" w:eastAsia="Times New Roman" w:hAnsi="Times New Roman" w:cs="Times New Roman"/>
                <w:b w:val="0"/>
                <w:i w:val="0"/>
                <w:color w:val="000000"/>
                <w:sz w:val="16"/>
                <w:u w:val="none"/>
              </w:rPr>
              <w:t>$</w:t>
              <w:tab/>
              <w:t>(320,352)</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841"/>
                <w:tab w:val="left" w:pos="1132"/>
              </w:tabs>
              <w:spacing w:before="33" w:after="30" w:line="240" w:lineRule="auto"/>
              <w:jc w:val="right"/>
            </w:pPr>
            <w:r>
              <w:rPr>
                <w:rFonts w:ascii="Times New Roman" w:eastAsia="Times New Roman" w:hAnsi="Times New Roman" w:cs="Times New Roman"/>
                <w:b w:val="0"/>
                <w:i w:val="0"/>
                <w:color w:val="000000"/>
                <w:sz w:val="16"/>
                <w:u w:val="none"/>
              </w:rPr>
              <w:t>$</w:t>
              <w:tab/>
              <w:t>435</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06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426"/>
                <w:tab w:val="left" w:pos="997"/>
              </w:tabs>
              <w:spacing w:before="33" w:after="30" w:line="240" w:lineRule="auto"/>
              <w:jc w:val="right"/>
            </w:pPr>
            <w:r>
              <w:rPr>
                <w:rFonts w:ascii="Times New Roman" w:eastAsia="Times New Roman" w:hAnsi="Times New Roman" w:cs="Times New Roman"/>
                <w:b w:val="0"/>
                <w:i w:val="0"/>
                <w:color w:val="000000"/>
                <w:sz w:val="16"/>
                <w:u w:val="none"/>
              </w:rPr>
              <w:t>$</w:t>
              <w:tab/>
              <w:t>197,796</w:t>
              <w:tab/>
            </w:r>
          </w:p>
        </w:tc>
      </w:tr>
      <w:tr>
        <w:tblPrEx>
          <w:tblW w:w="10800" w:type="dxa"/>
          <w:tblLayout w:type="fixed"/>
        </w:tblPrEx>
        <w:trPr>
          <w:trHeight w:hRule="exact" w:val="405"/>
        </w:trPr>
        <w:tc>
          <w:tcPr>
            <w:tcW w:w="330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ind w:left="240"/>
              <w:jc w:val="left"/>
            </w:pPr>
            <w:r>
              <w:rPr>
                <w:rFonts w:ascii="Times New Roman" w:eastAsia="Times New Roman" w:hAnsi="Times New Roman" w:cs="Times New Roman"/>
                <w:b w:val="0"/>
                <w:i w:val="0"/>
                <w:color w:val="000000"/>
                <w:sz w:val="16"/>
                <w:u w:val="none"/>
              </w:rPr>
              <w:t>Stock issued upon option exercise and vesting of restricted and performance stock units</w:t>
            </w:r>
          </w:p>
        </w:tc>
        <w:tc>
          <w:tcPr>
            <w:tcW w:w="96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601"/>
                <w:tab w:val="left" w:pos="892"/>
              </w:tabs>
              <w:spacing w:before="53" w:after="30" w:line="240" w:lineRule="auto"/>
              <w:jc w:val="right"/>
            </w:pPr>
            <w:r>
              <w:rPr>
                <w:rFonts w:ascii="Times New Roman" w:eastAsia="Times New Roman" w:hAnsi="Times New Roman" w:cs="Times New Roman"/>
                <w:b w:val="0"/>
                <w:i w:val="0"/>
                <w:color w:val="000000"/>
                <w:sz w:val="16"/>
                <w:u w:val="none"/>
              </w:rPr>
              <w:tab/>
              <w:t>512</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9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01"/>
                <w:tab w:val="left" w:pos="832"/>
              </w:tabs>
              <w:spacing w:before="53" w:after="30" w:line="240" w:lineRule="auto"/>
              <w:jc w:val="right"/>
            </w:pPr>
            <w:r>
              <w:rPr>
                <w:rFonts w:ascii="Times New Roman" w:eastAsia="Times New Roman" w:hAnsi="Times New Roman" w:cs="Times New Roman"/>
                <w:b w:val="0"/>
                <w:i w:val="0"/>
                <w:color w:val="000000"/>
                <w:sz w:val="16"/>
                <w:u w:val="none"/>
              </w:rPr>
              <w:tab/>
              <w:t>5</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9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621"/>
                <w:tab w:val="left" w:pos="832"/>
              </w:tabs>
              <w:spacing w:before="53" w:after="30" w:line="240"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0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572"/>
              </w:tabs>
              <w:spacing w:before="53" w:after="30" w:line="240" w:lineRule="auto"/>
              <w:jc w:val="right"/>
            </w:pPr>
            <w:r>
              <w:rPr>
                <w:rFonts w:ascii="Times New Roman" w:eastAsia="Times New Roman" w:hAnsi="Times New Roman" w:cs="Times New Roman"/>
                <w:b w:val="0"/>
                <w:i w:val="0"/>
                <w:color w:val="000000"/>
                <w:sz w:val="16"/>
                <w:u w:val="none"/>
              </w:rPr>
              <w:tab/>
              <w:t>(310)</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02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41"/>
                <w:tab w:val="left" w:pos="952"/>
              </w:tabs>
              <w:spacing w:before="53" w:after="30" w:line="240"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21"/>
                <w:tab w:val="left" w:pos="1132"/>
              </w:tabs>
              <w:spacing w:before="53" w:after="30" w:line="240"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06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632"/>
              </w:tabs>
              <w:spacing w:before="53" w:after="30" w:line="240" w:lineRule="auto"/>
              <w:jc w:val="right"/>
            </w:pPr>
            <w:r>
              <w:rPr>
                <w:rFonts w:ascii="Times New Roman" w:eastAsia="Times New Roman" w:hAnsi="Times New Roman" w:cs="Times New Roman"/>
                <w:b w:val="0"/>
                <w:i w:val="0"/>
                <w:color w:val="000000"/>
                <w:sz w:val="16"/>
                <w:u w:val="none"/>
              </w:rPr>
              <w:tab/>
              <w:t>(305)</w:t>
            </w:r>
          </w:p>
        </w:tc>
      </w:tr>
      <w:tr>
        <w:tblPrEx>
          <w:tblW w:w="10800" w:type="dxa"/>
          <w:tblLayout w:type="fixed"/>
        </w:tblPrEx>
        <w:trPr>
          <w:trHeight w:hRule="exact" w:val="240"/>
        </w:trPr>
        <w:tc>
          <w:tcPr>
            <w:tcW w:w="330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88" w:lineRule="auto"/>
              <w:ind w:left="240"/>
              <w:jc w:val="left"/>
            </w:pPr>
            <w:r>
              <w:rPr>
                <w:rFonts w:ascii="Times New Roman" w:eastAsia="Times New Roman" w:hAnsi="Times New Roman" w:cs="Times New Roman"/>
                <w:b w:val="0"/>
                <w:i w:val="0"/>
                <w:color w:val="000000"/>
                <w:sz w:val="16"/>
                <w:u w:val="none"/>
              </w:rPr>
              <w:t>Stock issued for acquisitions</w:t>
            </w:r>
          </w:p>
        </w:tc>
        <w:tc>
          <w:tcPr>
            <w:tcW w:w="96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681"/>
                <w:tab w:val="left" w:pos="892"/>
              </w:tabs>
              <w:spacing w:before="53" w:after="30" w:line="240" w:lineRule="auto"/>
              <w:jc w:val="right"/>
            </w:pPr>
            <w:r>
              <w:rPr>
                <w:rFonts w:ascii="Times New Roman" w:eastAsia="Times New Roman" w:hAnsi="Times New Roman" w:cs="Times New Roman"/>
                <w:b w:val="0"/>
                <w:i w:val="0"/>
                <w:color w:val="000000"/>
                <w:sz w:val="16"/>
                <w:u w:val="none"/>
              </w:rPr>
              <w:tab/>
              <w:t>49</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90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621"/>
                <w:tab w:val="left" w:pos="832"/>
              </w:tabs>
              <w:spacing w:before="53" w:after="30" w:line="240"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90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621"/>
                <w:tab w:val="left" w:pos="832"/>
              </w:tabs>
              <w:spacing w:before="53" w:after="30" w:line="240"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0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646"/>
                <w:tab w:val="left" w:pos="937"/>
              </w:tabs>
              <w:spacing w:before="53" w:after="30" w:line="240" w:lineRule="auto"/>
              <w:jc w:val="right"/>
            </w:pPr>
            <w:r>
              <w:rPr>
                <w:rFonts w:ascii="Times New Roman" w:eastAsia="Times New Roman" w:hAnsi="Times New Roman" w:cs="Times New Roman"/>
                <w:b w:val="0"/>
                <w:i w:val="0"/>
                <w:color w:val="000000"/>
                <w:sz w:val="16"/>
                <w:u w:val="none"/>
              </w:rPr>
              <w:tab/>
              <w:t>445</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02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741"/>
                <w:tab w:val="left" w:pos="952"/>
              </w:tabs>
              <w:spacing w:before="53" w:after="30" w:line="240"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0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921"/>
                <w:tab w:val="left" w:pos="1132"/>
              </w:tabs>
              <w:spacing w:before="53" w:after="30" w:line="240"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06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706"/>
                <w:tab w:val="left" w:pos="997"/>
              </w:tabs>
              <w:spacing w:before="53" w:after="30" w:line="240" w:lineRule="auto"/>
              <w:jc w:val="right"/>
            </w:pPr>
            <w:r>
              <w:rPr>
                <w:rFonts w:ascii="Times New Roman" w:eastAsia="Times New Roman" w:hAnsi="Times New Roman" w:cs="Times New Roman"/>
                <w:b w:val="0"/>
                <w:i w:val="0"/>
                <w:color w:val="000000"/>
                <w:sz w:val="16"/>
                <w:u w:val="none"/>
              </w:rPr>
              <w:tab/>
              <w:t>445</w:t>
              <w:tab/>
            </w:r>
          </w:p>
        </w:tc>
      </w:tr>
      <w:tr>
        <w:tblPrEx>
          <w:tblW w:w="10800" w:type="dxa"/>
          <w:tblLayout w:type="fixed"/>
        </w:tblPrEx>
        <w:trPr>
          <w:trHeight w:hRule="exact" w:val="240"/>
        </w:trPr>
        <w:tc>
          <w:tcPr>
            <w:tcW w:w="330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ind w:left="240"/>
              <w:jc w:val="left"/>
            </w:pPr>
            <w:r>
              <w:rPr>
                <w:rFonts w:ascii="Times New Roman" w:eastAsia="Times New Roman" w:hAnsi="Times New Roman" w:cs="Times New Roman"/>
                <w:b w:val="0"/>
                <w:i w:val="0"/>
                <w:color w:val="000000"/>
                <w:sz w:val="16"/>
                <w:u w:val="none"/>
              </w:rPr>
              <w:t>Share-based compensation</w:t>
            </w:r>
          </w:p>
        </w:tc>
        <w:tc>
          <w:tcPr>
            <w:tcW w:w="96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681"/>
                <w:tab w:val="left" w:pos="892"/>
              </w:tabs>
              <w:spacing w:before="53" w:after="30" w:line="240"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9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621"/>
                <w:tab w:val="left" w:pos="832"/>
              </w:tabs>
              <w:spacing w:before="53" w:after="30" w:line="240"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9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621"/>
                <w:tab w:val="left" w:pos="832"/>
              </w:tabs>
              <w:spacing w:before="53" w:after="30" w:line="240"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0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526"/>
                <w:tab w:val="left" w:pos="937"/>
              </w:tabs>
              <w:spacing w:before="53" w:after="30" w:line="240" w:lineRule="auto"/>
              <w:jc w:val="right"/>
            </w:pPr>
            <w:r>
              <w:rPr>
                <w:rFonts w:ascii="Times New Roman" w:eastAsia="Times New Roman" w:hAnsi="Times New Roman" w:cs="Times New Roman"/>
                <w:b w:val="0"/>
                <w:i w:val="0"/>
                <w:color w:val="000000"/>
                <w:sz w:val="16"/>
                <w:u w:val="none"/>
              </w:rPr>
              <w:tab/>
              <w:t>2,150</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02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41"/>
                <w:tab w:val="left" w:pos="952"/>
              </w:tabs>
              <w:spacing w:before="53" w:after="30" w:line="240"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21"/>
                <w:tab w:val="left" w:pos="1132"/>
              </w:tabs>
              <w:spacing w:before="53" w:after="30" w:line="240"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06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586"/>
                <w:tab w:val="left" w:pos="997"/>
              </w:tabs>
              <w:spacing w:before="53" w:after="30" w:line="240" w:lineRule="auto"/>
              <w:jc w:val="right"/>
            </w:pPr>
            <w:r>
              <w:rPr>
                <w:rFonts w:ascii="Times New Roman" w:eastAsia="Times New Roman" w:hAnsi="Times New Roman" w:cs="Times New Roman"/>
                <w:b w:val="0"/>
                <w:i w:val="0"/>
                <w:color w:val="000000"/>
                <w:sz w:val="16"/>
                <w:u w:val="none"/>
              </w:rPr>
              <w:tab/>
              <w:t>2,150</w:t>
              <w:tab/>
            </w:r>
          </w:p>
        </w:tc>
      </w:tr>
      <w:tr>
        <w:tblPrEx>
          <w:tblW w:w="10800" w:type="dxa"/>
          <w:tblLayout w:type="fixed"/>
        </w:tblPrEx>
        <w:trPr>
          <w:trHeight w:hRule="exact" w:val="240"/>
        </w:trPr>
        <w:tc>
          <w:tcPr>
            <w:tcW w:w="330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ind w:left="240"/>
              <w:jc w:val="left"/>
            </w:pPr>
            <w:r>
              <w:rPr>
                <w:rFonts w:ascii="Times New Roman" w:eastAsia="Times New Roman" w:hAnsi="Times New Roman" w:cs="Times New Roman"/>
                <w:b w:val="0"/>
                <w:i w:val="0"/>
                <w:color w:val="000000"/>
                <w:sz w:val="16"/>
                <w:u w:val="none"/>
              </w:rPr>
              <w:t>Net income</w:t>
            </w:r>
          </w:p>
        </w:tc>
        <w:tc>
          <w:tcPr>
            <w:tcW w:w="96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681"/>
                <w:tab w:val="left" w:pos="892"/>
              </w:tabs>
              <w:spacing w:before="53" w:after="30" w:line="240"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90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621"/>
                <w:tab w:val="left" w:pos="832"/>
              </w:tabs>
              <w:spacing w:before="53" w:after="30" w:line="240"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90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621"/>
                <w:tab w:val="left" w:pos="832"/>
              </w:tabs>
              <w:spacing w:before="53" w:after="30" w:line="240"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0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726"/>
                <w:tab w:val="left" w:pos="937"/>
              </w:tabs>
              <w:spacing w:before="53" w:after="30" w:line="240"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02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661"/>
                <w:tab w:val="left" w:pos="952"/>
              </w:tabs>
              <w:spacing w:before="53" w:after="30" w:line="240" w:lineRule="auto"/>
              <w:jc w:val="right"/>
            </w:pPr>
            <w:r>
              <w:rPr>
                <w:rFonts w:ascii="Times New Roman" w:eastAsia="Times New Roman" w:hAnsi="Times New Roman" w:cs="Times New Roman"/>
                <w:b w:val="0"/>
                <w:i w:val="0"/>
                <w:color w:val="000000"/>
                <w:sz w:val="16"/>
                <w:u w:val="none"/>
              </w:rPr>
              <w:tab/>
              <w:t>625</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0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921"/>
                <w:tab w:val="left" w:pos="1132"/>
              </w:tabs>
              <w:spacing w:before="53" w:after="30" w:line="240"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06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706"/>
                <w:tab w:val="left" w:pos="997"/>
              </w:tabs>
              <w:spacing w:before="53" w:after="30" w:line="240" w:lineRule="auto"/>
              <w:jc w:val="right"/>
            </w:pPr>
            <w:r>
              <w:rPr>
                <w:rFonts w:ascii="Times New Roman" w:eastAsia="Times New Roman" w:hAnsi="Times New Roman" w:cs="Times New Roman"/>
                <w:b w:val="0"/>
                <w:i w:val="0"/>
                <w:color w:val="000000"/>
                <w:sz w:val="16"/>
                <w:u w:val="none"/>
              </w:rPr>
              <w:tab/>
              <w:t>625</w:t>
              <w:tab/>
            </w:r>
          </w:p>
        </w:tc>
      </w:tr>
      <w:tr>
        <w:tblPrEx>
          <w:tblW w:w="10800" w:type="dxa"/>
          <w:tblLayout w:type="fixed"/>
        </w:tblPrEx>
        <w:trPr>
          <w:trHeight w:hRule="exact" w:val="240"/>
        </w:trPr>
        <w:tc>
          <w:tcPr>
            <w:tcW w:w="330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ind w:left="240"/>
              <w:jc w:val="left"/>
            </w:pPr>
            <w:r>
              <w:rPr>
                <w:rFonts w:ascii="Times New Roman" w:eastAsia="Times New Roman" w:hAnsi="Times New Roman" w:cs="Times New Roman"/>
                <w:b w:val="0"/>
                <w:i w:val="0"/>
                <w:color w:val="000000"/>
                <w:sz w:val="16"/>
                <w:u w:val="none"/>
              </w:rPr>
              <w:t>Other comprehensive loss</w:t>
            </w:r>
          </w:p>
        </w:tc>
        <w:tc>
          <w:tcPr>
            <w:tcW w:w="96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681"/>
                <w:tab w:val="left" w:pos="892"/>
              </w:tabs>
              <w:spacing w:before="53" w:after="30" w:line="240"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9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621"/>
                <w:tab w:val="left" w:pos="832"/>
              </w:tabs>
              <w:spacing w:before="53" w:after="30" w:line="240"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9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621"/>
                <w:tab w:val="left" w:pos="832"/>
              </w:tabs>
              <w:spacing w:before="53" w:after="30" w:line="240"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00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726"/>
                <w:tab w:val="left" w:pos="937"/>
              </w:tabs>
              <w:spacing w:before="53" w:after="30" w:line="240"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02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741"/>
                <w:tab w:val="left" w:pos="952"/>
              </w:tabs>
              <w:spacing w:before="53" w:after="30" w:line="240"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2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767"/>
              </w:tabs>
              <w:spacing w:before="53" w:after="30" w:line="240" w:lineRule="auto"/>
              <w:jc w:val="right"/>
            </w:pPr>
            <w:r>
              <w:rPr>
                <w:rFonts w:ascii="Times New Roman" w:eastAsia="Times New Roman" w:hAnsi="Times New Roman" w:cs="Times New Roman"/>
                <w:b w:val="0"/>
                <w:i w:val="0"/>
                <w:color w:val="000000"/>
                <w:sz w:val="16"/>
                <w:u w:val="none"/>
              </w:rPr>
              <w:tab/>
              <w:t>(588)</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06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632"/>
              </w:tabs>
              <w:spacing w:before="53" w:after="30" w:line="240" w:lineRule="auto"/>
              <w:jc w:val="right"/>
            </w:pPr>
            <w:r>
              <w:rPr>
                <w:rFonts w:ascii="Times New Roman" w:eastAsia="Times New Roman" w:hAnsi="Times New Roman" w:cs="Times New Roman"/>
                <w:b w:val="0"/>
                <w:i w:val="0"/>
                <w:color w:val="000000"/>
                <w:sz w:val="16"/>
                <w:u w:val="none"/>
              </w:rPr>
              <w:tab/>
              <w:t>(588)</w:t>
            </w:r>
          </w:p>
        </w:tc>
      </w:tr>
      <w:tr>
        <w:tblPrEx>
          <w:tblW w:w="10800" w:type="dxa"/>
          <w:tblLayout w:type="fixed"/>
        </w:tblPrEx>
        <w:trPr>
          <w:trHeight w:hRule="exact" w:val="240"/>
        </w:trPr>
        <w:tc>
          <w:tcPr>
            <w:tcW w:w="3300" w:type="dxa"/>
            <w:tcBorders>
              <w:top w:val="nil"/>
              <w:left w:val="nil"/>
              <w:bottom w:val="nil"/>
              <w:right w:val="nil"/>
            </w:tcBorders>
            <w:shd w:val="clear" w:color="auto" w:fill="CCEEFF"/>
            <w:tcMar>
              <w:top w:w="0" w:type="dxa"/>
              <w:left w:w="53" w:type="dxa"/>
              <w:bottom w:w="0" w:type="dxa"/>
              <w:right w:w="53" w:type="dxa"/>
            </w:tcMar>
            <w:vAlign w:val="bottom"/>
          </w:tcPr>
          <w:p>
            <w:pPr>
              <w:pageBreakBefore w:val="0"/>
              <w:spacing w:before="33" w:after="30" w:line="240" w:lineRule="auto"/>
              <w:jc w:val="left"/>
            </w:pPr>
            <w:r>
              <w:rPr>
                <w:rFonts w:ascii="Times New Roman" w:eastAsia="Times New Roman" w:hAnsi="Times New Roman" w:cs="Times New Roman"/>
                <w:b w:val="0"/>
                <w:i w:val="0"/>
                <w:color w:val="000000"/>
                <w:sz w:val="16"/>
                <w:u w:val="none"/>
              </w:rPr>
              <w:t>Balance at March 31, 2026</w:t>
            </w:r>
          </w:p>
        </w:tc>
        <w:tc>
          <w:tcPr>
            <w:tcW w:w="96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401"/>
                <w:tab w:val="left" w:pos="892"/>
              </w:tabs>
              <w:spacing w:before="33" w:after="30" w:line="240" w:lineRule="auto"/>
              <w:jc w:val="right"/>
            </w:pPr>
            <w:r>
              <w:rPr>
                <w:rFonts w:ascii="Times New Roman" w:eastAsia="Times New Roman" w:hAnsi="Times New Roman" w:cs="Times New Roman"/>
                <w:b w:val="0"/>
                <w:i w:val="0"/>
                <w:color w:val="000000"/>
                <w:sz w:val="16"/>
                <w:u w:val="none"/>
              </w:rPr>
              <w:tab/>
              <w:t>28,637</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pPr>
          </w:p>
        </w:tc>
        <w:tc>
          <w:tcPr>
            <w:tcW w:w="9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541"/>
                <w:tab w:val="left" w:pos="832"/>
              </w:tabs>
              <w:spacing w:before="33" w:after="30" w:line="240" w:lineRule="auto"/>
              <w:jc w:val="right"/>
            </w:pPr>
            <w:r>
              <w:rPr>
                <w:rFonts w:ascii="Times New Roman" w:eastAsia="Times New Roman" w:hAnsi="Times New Roman" w:cs="Times New Roman"/>
                <w:b w:val="0"/>
                <w:i w:val="0"/>
                <w:color w:val="000000"/>
                <w:sz w:val="16"/>
                <w:u w:val="none"/>
              </w:rPr>
              <w:t>$</w:t>
              <w:tab/>
              <w:t>286</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pPr>
          </w:p>
        </w:tc>
        <w:tc>
          <w:tcPr>
            <w:tcW w:w="9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621"/>
                <w:tab w:val="left" w:pos="832"/>
              </w:tabs>
              <w:spacing w:before="33" w:after="30" w:line="240" w:lineRule="auto"/>
              <w:jc w:val="right"/>
            </w:pPr>
            <w:r>
              <w:rPr>
                <w:rFonts w:ascii="Times New Roman" w:eastAsia="Times New Roman" w:hAnsi="Times New Roman" w:cs="Times New Roman"/>
                <w:b w:val="0"/>
                <w:i w:val="0"/>
                <w:color w:val="000000"/>
                <w:sz w:val="16"/>
                <w:u w:val="none"/>
              </w:rPr>
              <w:t>$</w:t>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pPr>
          </w:p>
        </w:tc>
        <w:tc>
          <w:tcPr>
            <w:tcW w:w="100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366"/>
                <w:tab w:val="left" w:pos="937"/>
              </w:tabs>
              <w:spacing w:before="33" w:after="30" w:line="240" w:lineRule="auto"/>
              <w:jc w:val="right"/>
            </w:pPr>
            <w:r>
              <w:rPr>
                <w:rFonts w:ascii="Times New Roman" w:eastAsia="Times New Roman" w:hAnsi="Times New Roman" w:cs="Times New Roman"/>
                <w:b w:val="0"/>
                <w:i w:val="0"/>
                <w:color w:val="000000"/>
                <w:sz w:val="16"/>
                <w:u w:val="none"/>
              </w:rPr>
              <w:t>$</w:t>
              <w:tab/>
              <w:t>519,717</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pPr>
          </w:p>
        </w:tc>
        <w:tc>
          <w:tcPr>
            <w:tcW w:w="102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307"/>
              </w:tabs>
              <w:spacing w:before="33" w:after="30" w:line="240" w:lineRule="auto"/>
              <w:jc w:val="right"/>
            </w:pPr>
            <w:r>
              <w:rPr>
                <w:rFonts w:ascii="Times New Roman" w:eastAsia="Times New Roman" w:hAnsi="Times New Roman" w:cs="Times New Roman"/>
                <w:b w:val="0"/>
                <w:i w:val="0"/>
                <w:color w:val="000000"/>
                <w:sz w:val="16"/>
                <w:u w:val="none"/>
              </w:rPr>
              <w:t>$</w:t>
              <w:tab/>
              <w:t>(319,727)</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pPr>
          </w:p>
        </w:tc>
        <w:tc>
          <w:tcPr>
            <w:tcW w:w="12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767"/>
              </w:tabs>
              <w:spacing w:before="33" w:after="30" w:line="240" w:lineRule="auto"/>
              <w:jc w:val="right"/>
            </w:pPr>
            <w:r>
              <w:rPr>
                <w:rFonts w:ascii="Times New Roman" w:eastAsia="Times New Roman" w:hAnsi="Times New Roman" w:cs="Times New Roman"/>
                <w:b w:val="0"/>
                <w:i w:val="0"/>
                <w:color w:val="000000"/>
                <w:sz w:val="16"/>
                <w:u w:val="none"/>
              </w:rPr>
              <w:t>$</w:t>
              <w:tab/>
              <w:t>(153)</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pPr>
          </w:p>
        </w:tc>
        <w:tc>
          <w:tcPr>
            <w:tcW w:w="106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426"/>
                <w:tab w:val="left" w:pos="997"/>
              </w:tabs>
              <w:spacing w:before="33" w:after="30" w:line="240" w:lineRule="auto"/>
              <w:jc w:val="right"/>
            </w:pPr>
            <w:r>
              <w:rPr>
                <w:rFonts w:ascii="Times New Roman" w:eastAsia="Times New Roman" w:hAnsi="Times New Roman" w:cs="Times New Roman"/>
                <w:b w:val="0"/>
                <w:i w:val="0"/>
                <w:color w:val="000000"/>
                <w:sz w:val="16"/>
                <w:u w:val="none"/>
              </w:rPr>
              <w:t>$</w:t>
              <w:tab/>
              <w:t>200,123</w:t>
              <w:tab/>
            </w:r>
          </w:p>
        </w:tc>
      </w:tr>
    </w:tbl>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The accompanying notes are an integral part of these Condensed Consolidated Financial Statements.</w:t>
      </w:r>
    </w:p>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i w:val="0"/>
          <w:sz w:val="20"/>
        </w:rPr>
      </w:pPr>
    </w:p>
    <w:p>
      <w:pPr>
        <w:keepNext w:val="0"/>
        <w:keepLines/>
        <w:pageBreakBefore w:val="0"/>
        <w:widowControl w:val="0"/>
        <w:numPr>
          <w:ilvl w:val="0"/>
          <w:numId w:val="0"/>
        </w:numPr>
        <w:spacing w:before="200" w:after="0" w:line="288" w:lineRule="auto"/>
        <w:ind w:left="0" w:right="0" w:firstLine="0"/>
        <w:jc w:val="center"/>
        <w:outlineLvl w:val="9"/>
        <w:rPr>
          <w:rFonts w:ascii="Times New Roman" w:eastAsia="Times New Roman" w:hAnsi="Times New Roman" w:cs="Times New Roman"/>
          <w:b/>
          <w:i w:val="0"/>
          <w:sz w:val="20"/>
        </w:rPr>
      </w:pPr>
    </w:p>
    <w:p>
      <w:pPr>
        <w:keepNext w:val="0"/>
        <w:keepLines/>
        <w:pageBreakBefore w:val="0"/>
        <w:widowControl w:val="0"/>
        <w:numPr>
          <w:ilvl w:val="0"/>
          <w:numId w:val="0"/>
        </w:numPr>
        <w:spacing w:before="200" w:after="0" w:line="288" w:lineRule="auto"/>
        <w:ind w:left="0" w:right="0" w:firstLine="0"/>
        <w:jc w:val="center"/>
        <w:outlineLvl w:val="9"/>
        <w:rPr>
          <w:rFonts w:ascii="Times New Roman" w:eastAsia="Times New Roman" w:hAnsi="Times New Roman" w:cs="Times New Roman"/>
          <w:b/>
          <w:i w:val="0"/>
          <w:sz w:val="20"/>
        </w:rPr>
      </w:pPr>
    </w:p>
    <w:p>
      <w:pPr>
        <w:keepNext w:val="0"/>
        <w:keepLines/>
        <w:pageBreakBefore w:val="0"/>
        <w:widowControl w:val="0"/>
        <w:numPr>
          <w:ilvl w:val="0"/>
          <w:numId w:val="0"/>
        </w:numPr>
        <w:spacing w:before="200" w:after="0" w:line="288" w:lineRule="auto"/>
        <w:ind w:left="0" w:right="0" w:firstLine="0"/>
        <w:jc w:val="center"/>
        <w:outlineLvl w:val="9"/>
        <w:rPr>
          <w:rFonts w:ascii="Times New Roman" w:eastAsia="Times New Roman" w:hAnsi="Times New Roman" w:cs="Times New Roman"/>
          <w:b/>
          <w:i w:val="0"/>
          <w:sz w:val="20"/>
        </w:rPr>
      </w:pPr>
    </w:p>
    <w:p>
      <w:pPr>
        <w:keepNext w:val="0"/>
        <w:keepLines/>
        <w:pageBreakBefore w:val="0"/>
        <w:widowControl w:val="0"/>
        <w:numPr>
          <w:ilvl w:val="0"/>
          <w:numId w:val="0"/>
        </w:numPr>
        <w:spacing w:before="200" w:after="0" w:line="288" w:lineRule="auto"/>
        <w:ind w:left="0" w:right="0" w:firstLine="0"/>
        <w:jc w:val="center"/>
        <w:outlineLvl w:val="9"/>
        <w:rPr>
          <w:rFonts w:ascii="Times New Roman" w:eastAsia="Times New Roman" w:hAnsi="Times New Roman" w:cs="Times New Roman"/>
          <w:b/>
          <w:i w:val="0"/>
          <w:sz w:val="20"/>
        </w:rPr>
      </w:pPr>
    </w:p>
    <w:p>
      <w:pPr>
        <w:keepNext w:val="0"/>
        <w:keepLines/>
        <w:pageBreakBefore w:val="0"/>
        <w:widowControl w:val="0"/>
        <w:numPr>
          <w:ilvl w:val="0"/>
          <w:numId w:val="0"/>
        </w:numPr>
        <w:spacing w:before="200" w:after="0" w:line="288" w:lineRule="auto"/>
        <w:ind w:left="0" w:right="0" w:firstLine="0"/>
        <w:jc w:val="center"/>
        <w:outlineLvl w:val="9"/>
        <w:rPr>
          <w:rFonts w:ascii="Times New Roman" w:eastAsia="Times New Roman" w:hAnsi="Times New Roman" w:cs="Times New Roman"/>
          <w:b/>
          <w:i w:val="0"/>
          <w:sz w:val="20"/>
        </w:rPr>
      </w:pPr>
    </w:p>
    <w:p>
      <w:pPr>
        <w:keepNext w:val="0"/>
        <w:keepLines/>
        <w:pageBreakBefore w:val="0"/>
        <w:widowControl w:val="0"/>
        <w:numPr>
          <w:ilvl w:val="0"/>
          <w:numId w:val="0"/>
        </w:numPr>
        <w:spacing w:before="200" w:after="0" w:line="288" w:lineRule="auto"/>
        <w:ind w:left="0" w:right="0" w:firstLine="0"/>
        <w:jc w:val="center"/>
        <w:outlineLvl w:val="9"/>
        <w:rPr>
          <w:rFonts w:ascii="Times New Roman" w:eastAsia="Times New Roman" w:hAnsi="Times New Roman" w:cs="Times New Roman"/>
          <w:b/>
          <w:i w:val="0"/>
          <w:sz w:val="20"/>
        </w:rPr>
      </w:pPr>
    </w:p>
    <w:p>
      <w:pPr>
        <w:keepNext w:val="0"/>
        <w:keepLines/>
        <w:pageBreakBefore w:val="0"/>
        <w:widowControl w:val="0"/>
        <w:numPr>
          <w:ilvl w:val="0"/>
          <w:numId w:val="0"/>
        </w:numPr>
        <w:spacing w:before="200" w:after="0" w:line="288" w:lineRule="auto"/>
        <w:ind w:left="0" w:right="0" w:firstLine="0"/>
        <w:jc w:val="center"/>
        <w:outlineLvl w:val="9"/>
        <w:rPr>
          <w:rFonts w:ascii="Times New Roman" w:eastAsia="Times New Roman" w:hAnsi="Times New Roman" w:cs="Times New Roman"/>
          <w:b/>
          <w:i w:val="0"/>
          <w:sz w:val="20"/>
        </w:rPr>
      </w:pPr>
    </w:p>
    <w:p>
      <w:pPr>
        <w:keepNext w:val="0"/>
        <w:keepLines/>
        <w:pageBreakBefore w:val="0"/>
        <w:widowControl w:val="0"/>
        <w:numPr>
          <w:ilvl w:val="0"/>
          <w:numId w:val="0"/>
        </w:numPr>
        <w:spacing w:before="200" w:after="0" w:line="288" w:lineRule="auto"/>
        <w:ind w:left="0" w:right="0" w:firstLine="0"/>
        <w:jc w:val="center"/>
        <w:outlineLvl w:val="9"/>
        <w:rPr>
          <w:rFonts w:ascii="Times New Roman" w:eastAsia="Times New Roman" w:hAnsi="Times New Roman" w:cs="Times New Roman"/>
          <w:b/>
          <w:i w:val="0"/>
          <w:sz w:val="20"/>
        </w:rPr>
      </w:pPr>
    </w:p>
    <w:p>
      <w:pPr>
        <w:keepNext w:val="0"/>
        <w:keepLines/>
        <w:pageBreakBefore w:val="0"/>
        <w:widowControl w:val="0"/>
        <w:numPr>
          <w:ilvl w:val="0"/>
          <w:numId w:val="0"/>
        </w:numPr>
        <w:spacing w:before="200" w:after="0" w:line="288" w:lineRule="auto"/>
        <w:ind w:left="0" w:right="0" w:firstLine="0"/>
        <w:jc w:val="center"/>
        <w:outlineLvl w:val="9"/>
        <w:rPr>
          <w:rFonts w:ascii="Times New Roman" w:eastAsia="Times New Roman" w:hAnsi="Times New Roman" w:cs="Times New Roman"/>
          <w:b/>
          <w:i w:val="0"/>
          <w:sz w:val="20"/>
        </w:rPr>
      </w:pPr>
    </w:p>
    <w:p>
      <w:pPr>
        <w:keepNext w:val="0"/>
        <w:keepLines/>
        <w:pageBreakBefore/>
        <w:widowControl w:val="0"/>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20"/>
        </w:rPr>
      </w:pPr>
      <w:r>
        <w:rPr>
          <w:rFonts w:ascii="Times New Roman" w:eastAsia="Times New Roman" w:hAnsi="Times New Roman" w:cs="Times New Roman"/>
          <w:b/>
          <w:i w:val="0"/>
          <w:sz w:val="20"/>
        </w:rPr>
        <w:t>ASURE SOFTWARE, INC.</w:t>
      </w:r>
    </w:p>
    <w:p>
      <w:pPr>
        <w:keepNext/>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i w:val="0"/>
          <w:sz w:val="20"/>
        </w:rPr>
      </w:pPr>
      <w:r>
        <w:rPr>
          <w:rFonts w:ascii="Times New Roman" w:eastAsia="Times New Roman" w:hAnsi="Times New Roman" w:cs="Times New Roman"/>
          <w:b/>
          <w:i w:val="0"/>
          <w:sz w:val="20"/>
        </w:rPr>
        <w:t>CONDENSED CONSOLIDATED STATEMENTS OF CHANGES IN STOCKHOLDERS’ EQUITY</w:t>
      </w:r>
    </w:p>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16"/>
        </w:rPr>
      </w:pPr>
      <w:r>
        <w:rPr>
          <w:rFonts w:ascii="Times New Roman" w:eastAsia="Times New Roman" w:hAnsi="Times New Roman" w:cs="Times New Roman"/>
          <w:b w:val="0"/>
          <w:i w:val="0"/>
          <w:sz w:val="16"/>
        </w:rPr>
        <w:t>(in thousands)</w:t>
      </w:r>
    </w:p>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16"/>
        </w:rPr>
      </w:pPr>
      <w:r>
        <w:rPr>
          <w:rFonts w:ascii="Times New Roman" w:eastAsia="Times New Roman" w:hAnsi="Times New Roman" w:cs="Times New Roman"/>
          <w:b w:val="0"/>
          <w:i w:val="0"/>
          <w:sz w:val="16"/>
        </w:rPr>
        <w:t>(Unaudited)</w:t>
      </w:r>
    </w:p>
    <w:tbl>
      <w:tblPr>
        <w:tblStyle w:val="TableNormal0"/>
        <w:tblW w:w="10800" w:type="dxa"/>
        <w:jc w:val="center"/>
        <w:tblLayout w:type="fixed"/>
      </w:tblPr>
      <w:tblGrid>
        <w:gridCol w:w="3300"/>
        <w:gridCol w:w="960"/>
        <w:gridCol w:w="75"/>
        <w:gridCol w:w="900"/>
        <w:gridCol w:w="75"/>
        <w:gridCol w:w="900"/>
        <w:gridCol w:w="75"/>
        <w:gridCol w:w="1005"/>
        <w:gridCol w:w="75"/>
        <w:gridCol w:w="1020"/>
        <w:gridCol w:w="75"/>
        <w:gridCol w:w="1200"/>
        <w:gridCol w:w="75"/>
        <w:gridCol w:w="1065"/>
      </w:tblGrid>
      <w:tr>
        <w:tblPrEx>
          <w:tblW w:w="10800" w:type="dxa"/>
          <w:tblLayout w:type="fixed"/>
        </w:tblPrEx>
        <w:trPr>
          <w:trHeight w:hRule="exact" w:val="615"/>
        </w:trPr>
        <w:tc>
          <w:tcPr>
            <w:tcW w:w="330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960"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88" w:lineRule="auto"/>
              <w:jc w:val="center"/>
            </w:pPr>
            <w:r>
              <w:rPr>
                <w:rFonts w:ascii="Times New Roman" w:eastAsia="Times New Roman" w:hAnsi="Times New Roman" w:cs="Times New Roman"/>
                <w:b/>
                <w:i w:val="0"/>
                <w:color w:val="000000"/>
                <w:sz w:val="16"/>
                <w:u w:val="none"/>
              </w:rPr>
              <w:t>Common Stock Outstanding</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900"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88" w:lineRule="auto"/>
              <w:jc w:val="center"/>
            </w:pPr>
            <w:r>
              <w:rPr>
                <w:rFonts w:ascii="Times New Roman" w:eastAsia="Times New Roman" w:hAnsi="Times New Roman" w:cs="Times New Roman"/>
                <w:b/>
                <w:i w:val="0"/>
                <w:color w:val="000000"/>
                <w:sz w:val="16"/>
                <w:u w:val="none"/>
              </w:rPr>
              <w:t>Common Stock Amount</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900"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88" w:lineRule="auto"/>
              <w:jc w:val="center"/>
            </w:pPr>
            <w:r>
              <w:rPr>
                <w:rFonts w:ascii="Times New Roman" w:eastAsia="Times New Roman" w:hAnsi="Times New Roman" w:cs="Times New Roman"/>
                <w:b/>
                <w:i w:val="0"/>
                <w:color w:val="000000"/>
                <w:sz w:val="16"/>
                <w:u w:val="none"/>
              </w:rPr>
              <w:t>Treasury Stock</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00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88" w:lineRule="auto"/>
              <w:jc w:val="center"/>
            </w:pPr>
            <w:r>
              <w:rPr>
                <w:rFonts w:ascii="Times New Roman" w:eastAsia="Times New Roman" w:hAnsi="Times New Roman" w:cs="Times New Roman"/>
                <w:b/>
                <w:i w:val="0"/>
                <w:color w:val="000000"/>
                <w:sz w:val="16"/>
                <w:u w:val="none"/>
              </w:rPr>
              <w:t>Additional Paid-in Capital</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020"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88" w:lineRule="auto"/>
              <w:jc w:val="center"/>
            </w:pPr>
            <w:r>
              <w:rPr>
                <w:rFonts w:ascii="Times New Roman" w:eastAsia="Times New Roman" w:hAnsi="Times New Roman" w:cs="Times New Roman"/>
                <w:b/>
                <w:i w:val="0"/>
                <w:color w:val="000000"/>
                <w:sz w:val="16"/>
                <w:u w:val="none"/>
              </w:rPr>
              <w:t>Accumulated Deficit</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200"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88" w:lineRule="auto"/>
              <w:jc w:val="center"/>
            </w:pPr>
            <w:r>
              <w:rPr>
                <w:rFonts w:ascii="Times New Roman" w:eastAsia="Times New Roman" w:hAnsi="Times New Roman" w:cs="Times New Roman"/>
                <w:b/>
                <w:i w:val="0"/>
                <w:color w:val="000000"/>
                <w:sz w:val="16"/>
                <w:u w:val="none"/>
              </w:rPr>
              <w:t>Other Comprehensive Income (Loss)</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06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88" w:lineRule="auto"/>
              <w:jc w:val="center"/>
            </w:pPr>
            <w:r>
              <w:rPr>
                <w:rFonts w:ascii="Times New Roman" w:eastAsia="Times New Roman" w:hAnsi="Times New Roman" w:cs="Times New Roman"/>
                <w:b/>
                <w:i w:val="0"/>
                <w:color w:val="000000"/>
                <w:sz w:val="16"/>
                <w:u w:val="none"/>
              </w:rPr>
              <w:t>Total Stockholders’ Equity</w:t>
            </w:r>
          </w:p>
        </w:tc>
      </w:tr>
      <w:tr>
        <w:tblPrEx>
          <w:tblW w:w="10800" w:type="dxa"/>
          <w:tblLayout w:type="fixed"/>
        </w:tblPrEx>
        <w:trPr>
          <w:trHeight w:hRule="exact" w:val="240"/>
        </w:trPr>
        <w:tc>
          <w:tcPr>
            <w:tcW w:w="330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33" w:after="30" w:line="240" w:lineRule="auto"/>
              <w:jc w:val="left"/>
            </w:pPr>
            <w:r>
              <w:rPr>
                <w:rFonts w:ascii="Times New Roman" w:eastAsia="Times New Roman" w:hAnsi="Times New Roman" w:cs="Times New Roman"/>
                <w:b w:val="0"/>
                <w:i w:val="0"/>
                <w:color w:val="000000"/>
                <w:sz w:val="16"/>
                <w:u w:val="none"/>
              </w:rPr>
              <w:t>Balance at December 31, 2024</w:t>
            </w:r>
          </w:p>
        </w:tc>
        <w:tc>
          <w:tcPr>
            <w:tcW w:w="96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401"/>
                <w:tab w:val="left" w:pos="892"/>
              </w:tabs>
              <w:spacing w:before="33" w:after="30" w:line="240" w:lineRule="auto"/>
              <w:jc w:val="right"/>
            </w:pPr>
            <w:r>
              <w:rPr>
                <w:rFonts w:ascii="Times New Roman" w:eastAsia="Times New Roman" w:hAnsi="Times New Roman" w:cs="Times New Roman"/>
                <w:b w:val="0"/>
                <w:i w:val="0"/>
                <w:color w:val="000000"/>
                <w:sz w:val="16"/>
                <w:u w:val="none"/>
              </w:rPr>
              <w:tab/>
              <w:t>26,671</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9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541"/>
                <w:tab w:val="left" w:pos="832"/>
              </w:tabs>
              <w:spacing w:before="33" w:after="30" w:line="240" w:lineRule="auto"/>
              <w:jc w:val="right"/>
            </w:pPr>
            <w:r>
              <w:rPr>
                <w:rFonts w:ascii="Times New Roman" w:eastAsia="Times New Roman" w:hAnsi="Times New Roman" w:cs="Times New Roman"/>
                <w:b w:val="0"/>
                <w:i w:val="0"/>
                <w:color w:val="000000"/>
                <w:sz w:val="16"/>
                <w:u w:val="none"/>
              </w:rPr>
              <w:t>$</w:t>
              <w:tab/>
              <w:t>267</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9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621"/>
                <w:tab w:val="left" w:pos="832"/>
              </w:tabs>
              <w:spacing w:before="33" w:after="30" w:line="240" w:lineRule="auto"/>
              <w:jc w:val="right"/>
            </w:pPr>
            <w:r>
              <w:rPr>
                <w:rFonts w:ascii="Times New Roman" w:eastAsia="Times New Roman" w:hAnsi="Times New Roman" w:cs="Times New Roman"/>
                <w:b w:val="0"/>
                <w:i w:val="0"/>
                <w:color w:val="000000"/>
                <w:sz w:val="16"/>
                <w:u w:val="none"/>
              </w:rPr>
              <w:t>$</w:t>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00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366"/>
                <w:tab w:val="left" w:pos="937"/>
              </w:tabs>
              <w:spacing w:before="33" w:after="30" w:line="240" w:lineRule="auto"/>
              <w:jc w:val="right"/>
            </w:pPr>
            <w:r>
              <w:rPr>
                <w:rFonts w:ascii="Times New Roman" w:eastAsia="Times New Roman" w:hAnsi="Times New Roman" w:cs="Times New Roman"/>
                <w:b w:val="0"/>
                <w:i w:val="0"/>
                <w:color w:val="000000"/>
                <w:sz w:val="16"/>
                <w:u w:val="none"/>
              </w:rPr>
              <w:t>$</w:t>
              <w:tab/>
              <w:t>504,849</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02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307"/>
              </w:tabs>
              <w:spacing w:before="33" w:after="30" w:line="240" w:lineRule="auto"/>
              <w:jc w:val="right"/>
            </w:pPr>
            <w:r>
              <w:rPr>
                <w:rFonts w:ascii="Times New Roman" w:eastAsia="Times New Roman" w:hAnsi="Times New Roman" w:cs="Times New Roman"/>
                <w:b w:val="0"/>
                <w:i w:val="0"/>
                <w:color w:val="000000"/>
                <w:sz w:val="16"/>
                <w:u w:val="none"/>
              </w:rPr>
              <w:t>$</w:t>
              <w:tab/>
              <w:t>(307,226)</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767"/>
              </w:tabs>
              <w:spacing w:before="33" w:after="30" w:line="240" w:lineRule="auto"/>
              <w:jc w:val="right"/>
            </w:pPr>
            <w:r>
              <w:rPr>
                <w:rFonts w:ascii="Times New Roman" w:eastAsia="Times New Roman" w:hAnsi="Times New Roman" w:cs="Times New Roman"/>
                <w:b w:val="0"/>
                <w:i w:val="0"/>
                <w:color w:val="000000"/>
                <w:sz w:val="16"/>
                <w:u w:val="none"/>
              </w:rPr>
              <w:t>$</w:t>
              <w:tab/>
              <w:t>(575)</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06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426"/>
                <w:tab w:val="left" w:pos="997"/>
              </w:tabs>
              <w:spacing w:before="33" w:after="30" w:line="240" w:lineRule="auto"/>
              <w:jc w:val="right"/>
            </w:pPr>
            <w:r>
              <w:rPr>
                <w:rFonts w:ascii="Times New Roman" w:eastAsia="Times New Roman" w:hAnsi="Times New Roman" w:cs="Times New Roman"/>
                <w:b w:val="0"/>
                <w:i w:val="0"/>
                <w:color w:val="000000"/>
                <w:sz w:val="16"/>
                <w:u w:val="none"/>
              </w:rPr>
              <w:t>$</w:t>
              <w:tab/>
              <w:t>197,315</w:t>
              <w:tab/>
            </w:r>
          </w:p>
        </w:tc>
      </w:tr>
      <w:tr>
        <w:tblPrEx>
          <w:tblW w:w="10800" w:type="dxa"/>
          <w:tblLayout w:type="fixed"/>
        </w:tblPrEx>
        <w:trPr>
          <w:trHeight w:hRule="exact" w:val="405"/>
        </w:trPr>
        <w:tc>
          <w:tcPr>
            <w:tcW w:w="330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ind w:left="240"/>
              <w:jc w:val="left"/>
            </w:pPr>
            <w:r>
              <w:rPr>
                <w:rFonts w:ascii="Times New Roman" w:eastAsia="Times New Roman" w:hAnsi="Times New Roman" w:cs="Times New Roman"/>
                <w:b w:val="0"/>
                <w:i w:val="0"/>
                <w:color w:val="000000"/>
                <w:sz w:val="16"/>
                <w:u w:val="none"/>
              </w:rPr>
              <w:t>Stock issued upon option exercise and vesting of restricted stock units</w:t>
            </w:r>
          </w:p>
        </w:tc>
        <w:tc>
          <w:tcPr>
            <w:tcW w:w="96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601"/>
                <w:tab w:val="left" w:pos="892"/>
              </w:tabs>
              <w:spacing w:before="53" w:after="30" w:line="240" w:lineRule="auto"/>
              <w:jc w:val="right"/>
            </w:pPr>
            <w:r>
              <w:rPr>
                <w:rFonts w:ascii="Times New Roman" w:eastAsia="Times New Roman" w:hAnsi="Times New Roman" w:cs="Times New Roman"/>
                <w:b w:val="0"/>
                <w:i w:val="0"/>
                <w:color w:val="000000"/>
                <w:sz w:val="16"/>
                <w:u w:val="none"/>
              </w:rPr>
              <w:tab/>
              <w:t>451</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9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01"/>
                <w:tab w:val="left" w:pos="832"/>
              </w:tabs>
              <w:spacing w:before="53" w:after="30" w:line="240" w:lineRule="auto"/>
              <w:jc w:val="right"/>
            </w:pPr>
            <w:r>
              <w:rPr>
                <w:rFonts w:ascii="Times New Roman" w:eastAsia="Times New Roman" w:hAnsi="Times New Roman" w:cs="Times New Roman"/>
                <w:b w:val="0"/>
                <w:i w:val="0"/>
                <w:color w:val="000000"/>
                <w:sz w:val="16"/>
                <w:u w:val="none"/>
              </w:rPr>
              <w:tab/>
              <w:t>4</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9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621"/>
                <w:tab w:val="left" w:pos="832"/>
              </w:tabs>
              <w:spacing w:before="53" w:after="30" w:line="240"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0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646"/>
                <w:tab w:val="left" w:pos="937"/>
              </w:tabs>
              <w:spacing w:before="53" w:after="30" w:line="240" w:lineRule="auto"/>
              <w:jc w:val="right"/>
            </w:pPr>
            <w:r>
              <w:rPr>
                <w:rFonts w:ascii="Times New Roman" w:eastAsia="Times New Roman" w:hAnsi="Times New Roman" w:cs="Times New Roman"/>
                <w:b w:val="0"/>
                <w:i w:val="0"/>
                <w:color w:val="000000"/>
                <w:sz w:val="16"/>
                <w:u w:val="none"/>
              </w:rPr>
              <w:tab/>
              <w:t>437</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02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41"/>
                <w:tab w:val="left" w:pos="952"/>
              </w:tabs>
              <w:spacing w:before="53" w:after="30" w:line="240"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21"/>
                <w:tab w:val="left" w:pos="1132"/>
              </w:tabs>
              <w:spacing w:before="53" w:after="30" w:line="240"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06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06"/>
                <w:tab w:val="left" w:pos="997"/>
              </w:tabs>
              <w:spacing w:before="53" w:after="30" w:line="240" w:lineRule="auto"/>
              <w:jc w:val="right"/>
            </w:pPr>
            <w:r>
              <w:rPr>
                <w:rFonts w:ascii="Times New Roman" w:eastAsia="Times New Roman" w:hAnsi="Times New Roman" w:cs="Times New Roman"/>
                <w:b w:val="0"/>
                <w:i w:val="0"/>
                <w:color w:val="000000"/>
                <w:sz w:val="16"/>
                <w:u w:val="none"/>
              </w:rPr>
              <w:tab/>
              <w:t>441</w:t>
              <w:tab/>
            </w:r>
          </w:p>
        </w:tc>
      </w:tr>
      <w:tr>
        <w:tblPrEx>
          <w:tblW w:w="10800" w:type="dxa"/>
          <w:tblLayout w:type="fixed"/>
        </w:tblPrEx>
        <w:trPr>
          <w:trHeight w:hRule="exact" w:val="240"/>
        </w:trPr>
        <w:tc>
          <w:tcPr>
            <w:tcW w:w="330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ind w:left="240"/>
              <w:jc w:val="left"/>
            </w:pPr>
            <w:r>
              <w:rPr>
                <w:rFonts w:ascii="Times New Roman" w:eastAsia="Times New Roman" w:hAnsi="Times New Roman" w:cs="Times New Roman"/>
                <w:b w:val="0"/>
                <w:i w:val="0"/>
                <w:color w:val="000000"/>
                <w:sz w:val="16"/>
                <w:u w:val="none"/>
              </w:rPr>
              <w:t>Share-based compensation</w:t>
            </w:r>
          </w:p>
        </w:tc>
        <w:tc>
          <w:tcPr>
            <w:tcW w:w="96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681"/>
                <w:tab w:val="left" w:pos="892"/>
              </w:tabs>
              <w:spacing w:before="53" w:after="30" w:line="240"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90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621"/>
                <w:tab w:val="left" w:pos="832"/>
              </w:tabs>
              <w:spacing w:before="53" w:after="30" w:line="240"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90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621"/>
                <w:tab w:val="left" w:pos="832"/>
              </w:tabs>
              <w:spacing w:before="53" w:after="30" w:line="240"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0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526"/>
                <w:tab w:val="left" w:pos="937"/>
              </w:tabs>
              <w:spacing w:before="53" w:after="30" w:line="240" w:lineRule="auto"/>
              <w:jc w:val="right"/>
            </w:pPr>
            <w:r>
              <w:rPr>
                <w:rFonts w:ascii="Times New Roman" w:eastAsia="Times New Roman" w:hAnsi="Times New Roman" w:cs="Times New Roman"/>
                <w:b w:val="0"/>
                <w:i w:val="0"/>
                <w:color w:val="000000"/>
                <w:sz w:val="16"/>
                <w:u w:val="none"/>
              </w:rPr>
              <w:tab/>
              <w:t>1,863</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02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741"/>
                <w:tab w:val="left" w:pos="952"/>
              </w:tabs>
              <w:spacing w:before="53" w:after="30" w:line="240"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0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921"/>
                <w:tab w:val="left" w:pos="1132"/>
              </w:tabs>
              <w:spacing w:before="53" w:after="30" w:line="240"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06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586"/>
                <w:tab w:val="left" w:pos="997"/>
              </w:tabs>
              <w:spacing w:before="53" w:after="30" w:line="240" w:lineRule="auto"/>
              <w:jc w:val="right"/>
            </w:pPr>
            <w:r>
              <w:rPr>
                <w:rFonts w:ascii="Times New Roman" w:eastAsia="Times New Roman" w:hAnsi="Times New Roman" w:cs="Times New Roman"/>
                <w:b w:val="0"/>
                <w:i w:val="0"/>
                <w:color w:val="000000"/>
                <w:sz w:val="16"/>
                <w:u w:val="none"/>
              </w:rPr>
              <w:tab/>
              <w:t>1,863</w:t>
              <w:tab/>
            </w:r>
          </w:p>
        </w:tc>
      </w:tr>
      <w:tr>
        <w:tblPrEx>
          <w:tblW w:w="10800" w:type="dxa"/>
          <w:tblLayout w:type="fixed"/>
        </w:tblPrEx>
        <w:trPr>
          <w:trHeight w:hRule="exact" w:val="240"/>
        </w:trPr>
        <w:tc>
          <w:tcPr>
            <w:tcW w:w="330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ind w:left="240"/>
              <w:jc w:val="left"/>
            </w:pPr>
            <w:r>
              <w:rPr>
                <w:rFonts w:ascii="Times New Roman" w:eastAsia="Times New Roman" w:hAnsi="Times New Roman" w:cs="Times New Roman"/>
                <w:b w:val="0"/>
                <w:i w:val="0"/>
                <w:color w:val="000000"/>
                <w:sz w:val="16"/>
                <w:u w:val="none"/>
              </w:rPr>
              <w:t>Net loss</w:t>
            </w:r>
          </w:p>
        </w:tc>
        <w:tc>
          <w:tcPr>
            <w:tcW w:w="96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681"/>
                <w:tab w:val="left" w:pos="892"/>
              </w:tabs>
              <w:spacing w:before="53" w:after="30" w:line="240"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9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621"/>
                <w:tab w:val="left" w:pos="832"/>
              </w:tabs>
              <w:spacing w:before="53" w:after="30" w:line="240"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9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621"/>
                <w:tab w:val="left" w:pos="832"/>
              </w:tabs>
              <w:spacing w:before="53" w:after="30" w:line="240"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0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26"/>
                <w:tab w:val="left" w:pos="937"/>
              </w:tabs>
              <w:spacing w:before="53" w:after="30" w:line="240"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02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467"/>
              </w:tabs>
              <w:spacing w:before="53" w:after="30" w:line="240" w:lineRule="auto"/>
              <w:jc w:val="right"/>
            </w:pPr>
            <w:r>
              <w:rPr>
                <w:rFonts w:ascii="Times New Roman" w:eastAsia="Times New Roman" w:hAnsi="Times New Roman" w:cs="Times New Roman"/>
                <w:b w:val="0"/>
                <w:i w:val="0"/>
                <w:color w:val="000000"/>
                <w:sz w:val="16"/>
                <w:u w:val="none"/>
              </w:rPr>
              <w:tab/>
              <w:t>(2,398)</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21"/>
                <w:tab w:val="left" w:pos="1132"/>
              </w:tabs>
              <w:spacing w:before="53" w:after="30" w:line="240"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06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512"/>
              </w:tabs>
              <w:spacing w:before="53" w:after="30" w:line="240" w:lineRule="auto"/>
              <w:jc w:val="right"/>
            </w:pPr>
            <w:r>
              <w:rPr>
                <w:rFonts w:ascii="Times New Roman" w:eastAsia="Times New Roman" w:hAnsi="Times New Roman" w:cs="Times New Roman"/>
                <w:b w:val="0"/>
                <w:i w:val="0"/>
                <w:color w:val="000000"/>
                <w:sz w:val="16"/>
                <w:u w:val="none"/>
              </w:rPr>
              <w:tab/>
              <w:t>(2,398)</w:t>
            </w:r>
          </w:p>
        </w:tc>
      </w:tr>
      <w:tr>
        <w:tblPrEx>
          <w:tblW w:w="10800" w:type="dxa"/>
          <w:tblLayout w:type="fixed"/>
        </w:tblPrEx>
        <w:trPr>
          <w:trHeight w:hRule="exact" w:val="240"/>
        </w:trPr>
        <w:tc>
          <w:tcPr>
            <w:tcW w:w="330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ind w:left="240"/>
              <w:jc w:val="left"/>
            </w:pPr>
            <w:r>
              <w:rPr>
                <w:rFonts w:ascii="Times New Roman" w:eastAsia="Times New Roman" w:hAnsi="Times New Roman" w:cs="Times New Roman"/>
                <w:b w:val="0"/>
                <w:i w:val="0"/>
                <w:color w:val="000000"/>
                <w:sz w:val="16"/>
                <w:u w:val="none"/>
              </w:rPr>
              <w:t>Other comprehensive income</w:t>
            </w:r>
          </w:p>
        </w:tc>
        <w:tc>
          <w:tcPr>
            <w:tcW w:w="96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681"/>
                <w:tab w:val="left" w:pos="892"/>
              </w:tabs>
              <w:spacing w:before="53" w:after="30" w:line="240"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9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621"/>
                <w:tab w:val="left" w:pos="832"/>
              </w:tabs>
              <w:spacing w:before="53" w:after="30" w:line="240"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9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621"/>
                <w:tab w:val="left" w:pos="832"/>
              </w:tabs>
              <w:spacing w:before="53" w:after="30" w:line="240"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00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726"/>
                <w:tab w:val="left" w:pos="937"/>
              </w:tabs>
              <w:spacing w:before="53" w:after="30" w:line="240"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02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741"/>
                <w:tab w:val="left" w:pos="952"/>
              </w:tabs>
              <w:spacing w:before="53" w:after="30" w:line="240"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841"/>
                <w:tab w:val="left" w:pos="1132"/>
              </w:tabs>
              <w:spacing w:before="53" w:after="30" w:line="240" w:lineRule="auto"/>
              <w:jc w:val="right"/>
            </w:pPr>
            <w:r>
              <w:rPr>
                <w:rFonts w:ascii="Times New Roman" w:eastAsia="Times New Roman" w:hAnsi="Times New Roman" w:cs="Times New Roman"/>
                <w:b w:val="0"/>
                <w:i w:val="0"/>
                <w:color w:val="000000"/>
                <w:sz w:val="16"/>
                <w:u w:val="none"/>
              </w:rPr>
              <w:tab/>
              <w:t>442</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06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706"/>
                <w:tab w:val="left" w:pos="997"/>
              </w:tabs>
              <w:spacing w:before="53" w:after="30" w:line="240" w:lineRule="auto"/>
              <w:jc w:val="right"/>
            </w:pPr>
            <w:r>
              <w:rPr>
                <w:rFonts w:ascii="Times New Roman" w:eastAsia="Times New Roman" w:hAnsi="Times New Roman" w:cs="Times New Roman"/>
                <w:b w:val="0"/>
                <w:i w:val="0"/>
                <w:color w:val="000000"/>
                <w:sz w:val="16"/>
                <w:u w:val="none"/>
              </w:rPr>
              <w:tab/>
              <w:t>442</w:t>
              <w:tab/>
            </w:r>
          </w:p>
        </w:tc>
      </w:tr>
      <w:tr>
        <w:tblPrEx>
          <w:tblW w:w="10800" w:type="dxa"/>
          <w:tblLayout w:type="fixed"/>
        </w:tblPrEx>
        <w:trPr>
          <w:trHeight w:hRule="exact" w:val="240"/>
        </w:trPr>
        <w:tc>
          <w:tcPr>
            <w:tcW w:w="3300" w:type="dxa"/>
            <w:tcBorders>
              <w:top w:val="nil"/>
              <w:left w:val="nil"/>
              <w:bottom w:val="nil"/>
              <w:right w:val="nil"/>
            </w:tcBorders>
            <w:shd w:val="clear" w:color="auto" w:fill="FFFFFF"/>
            <w:tcMar>
              <w:top w:w="0" w:type="dxa"/>
              <w:left w:w="53" w:type="dxa"/>
              <w:bottom w:w="0" w:type="dxa"/>
              <w:right w:w="53" w:type="dxa"/>
            </w:tcMar>
            <w:vAlign w:val="bottom"/>
          </w:tcPr>
          <w:p>
            <w:pPr>
              <w:pageBreakBefore w:val="0"/>
              <w:spacing w:before="33" w:after="30" w:line="240" w:lineRule="auto"/>
              <w:jc w:val="left"/>
            </w:pPr>
            <w:r>
              <w:rPr>
                <w:rFonts w:ascii="Times New Roman" w:eastAsia="Times New Roman" w:hAnsi="Times New Roman" w:cs="Times New Roman"/>
                <w:b w:val="0"/>
                <w:i w:val="0"/>
                <w:color w:val="000000"/>
                <w:sz w:val="16"/>
                <w:u w:val="none"/>
              </w:rPr>
              <w:t>Balance at March 31, 2025</w:t>
            </w:r>
          </w:p>
        </w:tc>
        <w:tc>
          <w:tcPr>
            <w:tcW w:w="96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pageBreakBefore w:val="0"/>
              <w:tabs>
                <w:tab w:val="left" w:pos="401"/>
                <w:tab w:val="left" w:pos="892"/>
              </w:tabs>
              <w:spacing w:before="33" w:after="30" w:line="240" w:lineRule="auto"/>
              <w:jc w:val="right"/>
            </w:pPr>
            <w:r>
              <w:rPr>
                <w:rFonts w:ascii="Times New Roman" w:eastAsia="Times New Roman" w:hAnsi="Times New Roman" w:cs="Times New Roman"/>
                <w:b w:val="0"/>
                <w:i w:val="0"/>
                <w:color w:val="000000"/>
                <w:sz w:val="16"/>
                <w:u w:val="none"/>
              </w:rPr>
              <w:tab/>
              <w:t>27,122</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9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pageBreakBefore w:val="0"/>
              <w:tabs>
                <w:tab w:val="left" w:pos="541"/>
                <w:tab w:val="left" w:pos="832"/>
              </w:tabs>
              <w:spacing w:before="33" w:after="30" w:line="240" w:lineRule="auto"/>
              <w:jc w:val="right"/>
            </w:pPr>
            <w:r>
              <w:rPr>
                <w:rFonts w:ascii="Times New Roman" w:eastAsia="Times New Roman" w:hAnsi="Times New Roman" w:cs="Times New Roman"/>
                <w:b w:val="0"/>
                <w:i w:val="0"/>
                <w:color w:val="000000"/>
                <w:sz w:val="16"/>
                <w:u w:val="none"/>
              </w:rPr>
              <w:t>$</w:t>
              <w:tab/>
              <w:t>271</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9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pageBreakBefore w:val="0"/>
              <w:tabs>
                <w:tab w:val="left" w:pos="621"/>
                <w:tab w:val="left" w:pos="832"/>
              </w:tabs>
              <w:spacing w:before="33" w:after="30" w:line="240" w:lineRule="auto"/>
              <w:jc w:val="right"/>
            </w:pPr>
            <w:r>
              <w:rPr>
                <w:rFonts w:ascii="Times New Roman" w:eastAsia="Times New Roman" w:hAnsi="Times New Roman" w:cs="Times New Roman"/>
                <w:b w:val="0"/>
                <w:i w:val="0"/>
                <w:color w:val="000000"/>
                <w:sz w:val="16"/>
                <w:u w:val="none"/>
              </w:rPr>
              <w:t>$</w:t>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100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pageBreakBefore w:val="0"/>
              <w:tabs>
                <w:tab w:val="left" w:pos="366"/>
                <w:tab w:val="left" w:pos="937"/>
              </w:tabs>
              <w:spacing w:before="33" w:after="30" w:line="240" w:lineRule="auto"/>
              <w:jc w:val="right"/>
            </w:pPr>
            <w:r>
              <w:rPr>
                <w:rFonts w:ascii="Times New Roman" w:eastAsia="Times New Roman" w:hAnsi="Times New Roman" w:cs="Times New Roman"/>
                <w:b w:val="0"/>
                <w:i w:val="0"/>
                <w:color w:val="000000"/>
                <w:sz w:val="16"/>
                <w:u w:val="none"/>
              </w:rPr>
              <w:t>$</w:t>
              <w:tab/>
              <w:t>507,149</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102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pageBreakBefore w:val="0"/>
              <w:tabs>
                <w:tab w:val="left" w:pos="307"/>
              </w:tabs>
              <w:spacing w:before="33" w:after="30" w:line="240" w:lineRule="auto"/>
              <w:jc w:val="right"/>
            </w:pPr>
            <w:r>
              <w:rPr>
                <w:rFonts w:ascii="Times New Roman" w:eastAsia="Times New Roman" w:hAnsi="Times New Roman" w:cs="Times New Roman"/>
                <w:b w:val="0"/>
                <w:i w:val="0"/>
                <w:color w:val="000000"/>
                <w:sz w:val="16"/>
                <w:u w:val="none"/>
              </w:rPr>
              <w:t>$</w:t>
              <w:tab/>
              <w:t>(309,624)</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12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pageBreakBefore w:val="0"/>
              <w:tabs>
                <w:tab w:val="left" w:pos="767"/>
              </w:tabs>
              <w:spacing w:before="33" w:after="30" w:line="240" w:lineRule="auto"/>
              <w:jc w:val="right"/>
            </w:pPr>
            <w:r>
              <w:rPr>
                <w:rFonts w:ascii="Times New Roman" w:eastAsia="Times New Roman" w:hAnsi="Times New Roman" w:cs="Times New Roman"/>
                <w:b w:val="0"/>
                <w:i w:val="0"/>
                <w:color w:val="000000"/>
                <w:sz w:val="16"/>
                <w:u w:val="none"/>
              </w:rPr>
              <w:t>$</w:t>
              <w:tab/>
              <w:t>(133)</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106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pageBreakBefore w:val="0"/>
              <w:tabs>
                <w:tab w:val="left" w:pos="426"/>
                <w:tab w:val="left" w:pos="997"/>
              </w:tabs>
              <w:spacing w:before="33" w:after="30" w:line="240" w:lineRule="auto"/>
              <w:jc w:val="right"/>
            </w:pPr>
            <w:r>
              <w:rPr>
                <w:rFonts w:ascii="Times New Roman" w:eastAsia="Times New Roman" w:hAnsi="Times New Roman" w:cs="Times New Roman"/>
                <w:b w:val="0"/>
                <w:i w:val="0"/>
                <w:color w:val="000000"/>
                <w:sz w:val="16"/>
                <w:u w:val="none"/>
              </w:rPr>
              <w:t>$</w:t>
              <w:tab/>
              <w:t>197,663</w:t>
              <w:tab/>
            </w:r>
          </w:p>
        </w:tc>
      </w:tr>
    </w:tbl>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The accompanying notes are an integral part of these Condensed Consolidated Financial Statements.</w:t>
      </w:r>
    </w:p>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20"/>
        </w:rPr>
        <w:sectPr>
          <w:pgSz w:w="12240" w:h="15840"/>
          <w:pgMar w:top="855" w:right="990" w:bottom="855" w:left="990" w:header="270" w:footer="270"/>
          <w:cols w:space="708"/>
        </w:sectPr>
      </w:pPr>
    </w:p>
    <w:p>
      <w:pPr>
        <w:keepNext w:val="0"/>
        <w:keepLines/>
        <w:pageBreakBefore w:val="0"/>
        <w:widowControl w:val="0"/>
        <w:numPr>
          <w:ilvl w:val="0"/>
          <w:numId w:val="0"/>
        </w:numPr>
        <w:spacing w:before="0" w:after="0" w:line="288" w:lineRule="auto"/>
        <w:ind w:left="0" w:right="0" w:firstLine="0"/>
        <w:jc w:val="center"/>
        <w:outlineLvl w:val="2"/>
        <w:rPr>
          <w:rFonts w:ascii="Times New Roman" w:eastAsia="Times New Roman" w:hAnsi="Times New Roman" w:cs="Times New Roman"/>
          <w:b/>
          <w:i w:val="0"/>
          <w:sz w:val="20"/>
        </w:rPr>
      </w:pPr>
      <w:bookmarkStart w:id="7" w:name="Section8"/>
      <w:bookmarkEnd w:id="7"/>
      <w:r>
        <w:rPr>
          <w:rFonts w:ascii="Times New Roman" w:eastAsia="Times New Roman" w:hAnsi="Times New Roman" w:cs="Times New Roman"/>
          <w:b/>
          <w:i w:val="0"/>
          <w:sz w:val="20"/>
        </w:rPr>
        <w:t>ASURE SOFTWARE, INC.</w:t>
      </w:r>
    </w:p>
    <w:p>
      <w:pPr>
        <w:keepNext/>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i w:val="0"/>
          <w:sz w:val="20"/>
        </w:rPr>
      </w:pPr>
      <w:r>
        <w:rPr>
          <w:rFonts w:ascii="Times New Roman" w:eastAsia="Times New Roman" w:hAnsi="Times New Roman" w:cs="Times New Roman"/>
          <w:b/>
          <w:i w:val="0"/>
          <w:sz w:val="20"/>
        </w:rPr>
        <w:t>CONDENSED CONSOLIDATED STATEMENTS OF CASH FLOWS</w:t>
      </w:r>
    </w:p>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16"/>
        </w:rPr>
      </w:pPr>
      <w:r>
        <w:rPr>
          <w:rFonts w:ascii="Times New Roman" w:eastAsia="Times New Roman" w:hAnsi="Times New Roman" w:cs="Times New Roman"/>
          <w:b w:val="0"/>
          <w:i w:val="0"/>
          <w:sz w:val="16"/>
        </w:rPr>
        <w:t>(in thousands)</w:t>
      </w:r>
    </w:p>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16"/>
        </w:rPr>
      </w:pPr>
      <w:r>
        <w:rPr>
          <w:rFonts w:ascii="Times New Roman" w:eastAsia="Times New Roman" w:hAnsi="Times New Roman" w:cs="Times New Roman"/>
          <w:b w:val="0"/>
          <w:i w:val="0"/>
          <w:sz w:val="16"/>
        </w:rPr>
        <w:t>(Unaudited)</w:t>
      </w:r>
    </w:p>
    <w:tbl>
      <w:tblPr>
        <w:tblStyle w:val="TableNormal0"/>
        <w:tblW w:w="10245" w:type="dxa"/>
        <w:jc w:val="left"/>
        <w:tblInd w:w="0" w:type="dxa"/>
        <w:tblLayout w:type="fixed"/>
      </w:tblPr>
      <w:tblGrid>
        <w:gridCol w:w="7575"/>
        <w:gridCol w:w="1305"/>
        <w:gridCol w:w="60"/>
        <w:gridCol w:w="1305"/>
      </w:tblGrid>
      <w:tr>
        <w:tblPrEx>
          <w:tblW w:w="10245" w:type="dxa"/>
          <w:tblInd w:w="0" w:type="dxa"/>
          <w:tblLayout w:type="fixed"/>
        </w:tblPrEx>
        <w:trPr>
          <w:trHeight w:hRule="exact" w:val="255"/>
        </w:trPr>
        <w:tc>
          <w:tcPr>
            <w:tcW w:w="75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2670" w:type="dxa"/>
            <w:gridSpan w:val="3"/>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88" w:lineRule="auto"/>
              <w:jc w:val="center"/>
            </w:pPr>
            <w:r>
              <w:rPr>
                <w:rFonts w:ascii="Times New Roman" w:eastAsia="Times New Roman" w:hAnsi="Times New Roman" w:cs="Times New Roman"/>
                <w:b/>
                <w:i w:val="0"/>
                <w:color w:val="000000"/>
                <w:sz w:val="16"/>
                <w:u w:val="none"/>
              </w:rPr>
              <w:t>Three Months Ended March 31,</w:t>
            </w:r>
          </w:p>
        </w:tc>
      </w:tr>
      <w:tr>
        <w:tblPrEx>
          <w:tblW w:w="10245" w:type="dxa"/>
          <w:tblInd w:w="0" w:type="dxa"/>
          <w:tblLayout w:type="fixed"/>
        </w:tblPrEx>
        <w:trPr>
          <w:trHeight w:hRule="exact" w:val="255"/>
        </w:trPr>
        <w:tc>
          <w:tcPr>
            <w:tcW w:w="75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30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33" w:after="30" w:line="288" w:lineRule="auto"/>
              <w:jc w:val="center"/>
            </w:pPr>
            <w:r>
              <w:rPr>
                <w:rFonts w:ascii="Times New Roman" w:eastAsia="Times New Roman" w:hAnsi="Times New Roman" w:cs="Times New Roman"/>
                <w:b/>
                <w:i w:val="0"/>
                <w:color w:val="000000"/>
                <w:sz w:val="16"/>
                <w:u w:val="none"/>
              </w:rPr>
              <w:t>2026</w:t>
            </w:r>
          </w:p>
        </w:tc>
        <w:tc>
          <w:tcPr>
            <w:tcW w:w="60" w:type="dxa"/>
            <w:tcBorders>
              <w:top w:val="single" w:sz="8" w:space="0" w:color="000000"/>
              <w:left w:val="nil"/>
              <w:bottom w:val="nil"/>
              <w:right w:val="nil"/>
            </w:tcBorders>
            <w:tcMar>
              <w:top w:w="0" w:type="dxa"/>
              <w:left w:w="0" w:type="dxa"/>
              <w:bottom w:w="0" w:type="dxa"/>
              <w:right w:w="0" w:type="dxa"/>
            </w:tcMar>
            <w:vAlign w:val="bottom"/>
          </w:tcPr>
          <w:p>
            <w:pPr>
              <w:keepNext/>
              <w:pageBreakBefore w:val="0"/>
              <w:spacing w:before="0" w:after="0"/>
            </w:pPr>
          </w:p>
        </w:tc>
        <w:tc>
          <w:tcPr>
            <w:tcW w:w="1305" w:type="dxa"/>
            <w:tcBorders>
              <w:top w:val="single" w:sz="8" w:space="0" w:color="000000"/>
              <w:left w:val="nil"/>
              <w:bottom w:val="single" w:sz="8" w:space="0" w:color="000000"/>
              <w:right w:val="nil"/>
            </w:tcBorders>
            <w:tcMar>
              <w:top w:w="0" w:type="dxa"/>
              <w:left w:w="53" w:type="dxa"/>
              <w:bottom w:w="0" w:type="dxa"/>
              <w:right w:w="53" w:type="dxa"/>
            </w:tcMar>
            <w:vAlign w:val="bottom"/>
          </w:tcPr>
          <w:p>
            <w:pPr>
              <w:keepNext/>
              <w:pageBreakBefore w:val="0"/>
              <w:spacing w:before="33" w:after="30" w:line="288" w:lineRule="auto"/>
              <w:jc w:val="center"/>
            </w:pPr>
            <w:r>
              <w:rPr>
                <w:rFonts w:ascii="Times New Roman" w:eastAsia="Times New Roman" w:hAnsi="Times New Roman" w:cs="Times New Roman"/>
                <w:b/>
                <w:i w:val="0"/>
                <w:color w:val="000000"/>
                <w:sz w:val="16"/>
                <w:u w:val="none"/>
              </w:rPr>
              <w:t>2025</w:t>
            </w:r>
          </w:p>
        </w:tc>
      </w:tr>
      <w:tr>
        <w:tblPrEx>
          <w:tblW w:w="10245" w:type="dxa"/>
          <w:tblInd w:w="0" w:type="dxa"/>
          <w:tblLayout w:type="fixed"/>
        </w:tblPrEx>
        <w:trPr>
          <w:trHeight w:hRule="exact" w:val="255"/>
        </w:trPr>
        <w:tc>
          <w:tcPr>
            <w:tcW w:w="757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33" w:after="30" w:line="288" w:lineRule="auto"/>
              <w:jc w:val="left"/>
            </w:pPr>
            <w:r>
              <w:rPr>
                <w:rFonts w:ascii="Times New Roman" w:eastAsia="Times New Roman" w:hAnsi="Times New Roman" w:cs="Times New Roman"/>
                <w:b w:val="0"/>
                <w:i w:val="0"/>
                <w:color w:val="000000"/>
                <w:sz w:val="16"/>
                <w:u w:val="none"/>
              </w:rPr>
              <w:t>Cash flows from operating activities:</w:t>
            </w:r>
          </w:p>
        </w:tc>
        <w:tc>
          <w:tcPr>
            <w:tcW w:w="1305" w:type="dxa"/>
            <w:tcBorders>
              <w:top w:val="sing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60"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sing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r>
      <w:tr>
        <w:tblPrEx>
          <w:tblW w:w="10245" w:type="dxa"/>
          <w:tblInd w:w="0" w:type="dxa"/>
          <w:tblLayout w:type="fixed"/>
        </w:tblPrEx>
        <w:trPr>
          <w:trHeight w:hRule="exact" w:val="255"/>
        </w:trPr>
        <w:tc>
          <w:tcPr>
            <w:tcW w:w="757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88" w:lineRule="auto"/>
              <w:ind w:left="240"/>
              <w:jc w:val="left"/>
            </w:pPr>
            <w:r>
              <w:rPr>
                <w:rFonts w:ascii="Times New Roman" w:eastAsia="Times New Roman" w:hAnsi="Times New Roman" w:cs="Times New Roman"/>
                <w:b w:val="0"/>
                <w:i w:val="0"/>
                <w:color w:val="000000"/>
                <w:sz w:val="16"/>
                <w:u w:val="none"/>
              </w:rPr>
              <w:t>Net income (loss)</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46"/>
                <w:tab w:val="left" w:pos="1237"/>
              </w:tabs>
              <w:spacing w:before="53" w:after="30" w:line="288" w:lineRule="auto"/>
              <w:jc w:val="right"/>
            </w:pPr>
            <w:r>
              <w:rPr>
                <w:rFonts w:ascii="Times New Roman" w:eastAsia="Times New Roman" w:hAnsi="Times New Roman" w:cs="Times New Roman"/>
                <w:b w:val="0"/>
                <w:i w:val="0"/>
                <w:color w:val="000000"/>
                <w:sz w:val="16"/>
                <w:u w:val="none"/>
              </w:rPr>
              <w:t>$</w:t>
              <w:tab/>
              <w:t>625</w:t>
              <w:tab/>
            </w:r>
          </w:p>
        </w:tc>
        <w:tc>
          <w:tcPr>
            <w:tcW w:w="6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52"/>
              </w:tabs>
              <w:spacing w:before="53" w:after="30" w:line="288" w:lineRule="auto"/>
              <w:jc w:val="right"/>
            </w:pPr>
            <w:r>
              <w:rPr>
                <w:rFonts w:ascii="Times New Roman" w:eastAsia="Times New Roman" w:hAnsi="Times New Roman" w:cs="Times New Roman"/>
                <w:b w:val="0"/>
                <w:i w:val="0"/>
                <w:color w:val="000000"/>
                <w:sz w:val="16"/>
                <w:u w:val="none"/>
              </w:rPr>
              <w:t>$</w:t>
              <w:tab/>
              <w:t>(2,398)</w:t>
            </w:r>
          </w:p>
        </w:tc>
      </w:tr>
      <w:tr>
        <w:tblPrEx>
          <w:tblW w:w="10245" w:type="dxa"/>
          <w:tblInd w:w="0" w:type="dxa"/>
          <w:tblLayout w:type="fixed"/>
        </w:tblPrEx>
        <w:trPr>
          <w:trHeight w:hRule="exact" w:val="240"/>
        </w:trPr>
        <w:tc>
          <w:tcPr>
            <w:tcW w:w="757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88" w:lineRule="auto"/>
              <w:ind w:left="225"/>
              <w:jc w:val="left"/>
            </w:pPr>
            <w:r>
              <w:rPr>
                <w:rFonts w:ascii="Times New Roman" w:eastAsia="Times New Roman" w:hAnsi="Times New Roman" w:cs="Times New Roman"/>
                <w:b w:val="0"/>
                <w:i w:val="0"/>
                <w:color w:val="000000"/>
                <w:sz w:val="16"/>
                <w:u w:val="none"/>
              </w:rPr>
              <w:t>Adjustments to reconcile income (loss) to net cash provided by operations:</w:t>
            </w:r>
          </w:p>
        </w:tc>
        <w:tc>
          <w:tcPr>
            <w:tcW w:w="130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60"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r>
      <w:tr>
        <w:tblPrEx>
          <w:tblW w:w="10245" w:type="dxa"/>
          <w:tblInd w:w="0" w:type="dxa"/>
          <w:tblLayout w:type="fixed"/>
        </w:tblPrEx>
        <w:trPr>
          <w:trHeight w:hRule="exact" w:val="255"/>
        </w:trPr>
        <w:tc>
          <w:tcPr>
            <w:tcW w:w="757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88" w:lineRule="auto"/>
              <w:ind w:left="375"/>
              <w:jc w:val="left"/>
            </w:pPr>
            <w:r>
              <w:rPr>
                <w:rFonts w:ascii="Times New Roman" w:eastAsia="Times New Roman" w:hAnsi="Times New Roman" w:cs="Times New Roman"/>
                <w:b w:val="0"/>
                <w:i w:val="0"/>
                <w:color w:val="000000"/>
                <w:sz w:val="16"/>
                <w:u w:val="none"/>
              </w:rPr>
              <w:t>Depreciation and amortization</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826"/>
                <w:tab w:val="left" w:pos="1237"/>
              </w:tabs>
              <w:spacing w:before="53" w:after="30" w:line="288" w:lineRule="auto"/>
              <w:jc w:val="right"/>
            </w:pPr>
            <w:r>
              <w:rPr>
                <w:rFonts w:ascii="Times New Roman" w:eastAsia="Times New Roman" w:hAnsi="Times New Roman" w:cs="Times New Roman"/>
                <w:b w:val="0"/>
                <w:i w:val="0"/>
                <w:color w:val="000000"/>
                <w:sz w:val="16"/>
                <w:u w:val="none"/>
              </w:rPr>
              <w:tab/>
              <w:t>7,073</w:t>
              <w:tab/>
            </w:r>
          </w:p>
        </w:tc>
        <w:tc>
          <w:tcPr>
            <w:tcW w:w="6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826"/>
                <w:tab w:val="left" w:pos="1237"/>
              </w:tabs>
              <w:spacing w:before="53" w:after="30" w:line="288" w:lineRule="auto"/>
              <w:jc w:val="right"/>
            </w:pPr>
            <w:r>
              <w:rPr>
                <w:rFonts w:ascii="Times New Roman" w:eastAsia="Times New Roman" w:hAnsi="Times New Roman" w:cs="Times New Roman"/>
                <w:b w:val="0"/>
                <w:i w:val="0"/>
                <w:color w:val="000000"/>
                <w:sz w:val="16"/>
                <w:u w:val="none"/>
              </w:rPr>
              <w:tab/>
              <w:t>5,972</w:t>
              <w:tab/>
            </w:r>
          </w:p>
        </w:tc>
      </w:tr>
      <w:tr>
        <w:tblPrEx>
          <w:tblW w:w="10245" w:type="dxa"/>
          <w:tblInd w:w="0" w:type="dxa"/>
          <w:tblLayout w:type="fixed"/>
        </w:tblPrEx>
        <w:trPr>
          <w:trHeight w:hRule="exact" w:val="255"/>
        </w:trPr>
        <w:tc>
          <w:tcPr>
            <w:tcW w:w="757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88" w:lineRule="auto"/>
              <w:ind w:left="375"/>
              <w:jc w:val="left"/>
            </w:pPr>
            <w:r>
              <w:rPr>
                <w:rFonts w:ascii="Times New Roman" w:eastAsia="Times New Roman" w:hAnsi="Times New Roman" w:cs="Times New Roman"/>
                <w:b w:val="0"/>
                <w:i w:val="0"/>
                <w:color w:val="000000"/>
                <w:sz w:val="16"/>
                <w:u w:val="none"/>
              </w:rPr>
              <w:t>Amortization of operating lease assets</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946"/>
                <w:tab w:val="left" w:pos="1237"/>
              </w:tabs>
              <w:spacing w:before="53" w:after="30" w:line="288" w:lineRule="auto"/>
              <w:jc w:val="right"/>
            </w:pPr>
            <w:r>
              <w:rPr>
                <w:rFonts w:ascii="Times New Roman" w:eastAsia="Times New Roman" w:hAnsi="Times New Roman" w:cs="Times New Roman"/>
                <w:b w:val="0"/>
                <w:i w:val="0"/>
                <w:color w:val="000000"/>
                <w:sz w:val="16"/>
                <w:u w:val="none"/>
              </w:rPr>
              <w:tab/>
              <w:t>444</w:t>
              <w:tab/>
            </w:r>
          </w:p>
        </w:tc>
        <w:tc>
          <w:tcPr>
            <w:tcW w:w="60"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946"/>
                <w:tab w:val="left" w:pos="1237"/>
              </w:tabs>
              <w:spacing w:before="53" w:after="30" w:line="288" w:lineRule="auto"/>
              <w:jc w:val="right"/>
            </w:pPr>
            <w:r>
              <w:rPr>
                <w:rFonts w:ascii="Times New Roman" w:eastAsia="Times New Roman" w:hAnsi="Times New Roman" w:cs="Times New Roman"/>
                <w:b w:val="0"/>
                <w:i w:val="0"/>
                <w:color w:val="000000"/>
                <w:sz w:val="16"/>
                <w:u w:val="none"/>
              </w:rPr>
              <w:tab/>
              <w:t>374</w:t>
              <w:tab/>
            </w:r>
          </w:p>
        </w:tc>
      </w:tr>
      <w:tr>
        <w:tblPrEx>
          <w:tblW w:w="10245" w:type="dxa"/>
          <w:tblInd w:w="0" w:type="dxa"/>
          <w:tblLayout w:type="fixed"/>
        </w:tblPrEx>
        <w:trPr>
          <w:trHeight w:hRule="exact" w:val="255"/>
        </w:trPr>
        <w:tc>
          <w:tcPr>
            <w:tcW w:w="757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88" w:lineRule="auto"/>
              <w:ind w:left="375"/>
              <w:jc w:val="left"/>
            </w:pPr>
            <w:r>
              <w:rPr>
                <w:rFonts w:ascii="Times New Roman" w:eastAsia="Times New Roman" w:hAnsi="Times New Roman" w:cs="Times New Roman"/>
                <w:b w:val="0"/>
                <w:i w:val="0"/>
                <w:color w:val="000000"/>
                <w:sz w:val="16"/>
                <w:u w:val="none"/>
              </w:rPr>
              <w:t>Amortization of debt financing costs and discount</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46"/>
                <w:tab w:val="left" w:pos="1237"/>
              </w:tabs>
              <w:spacing w:before="53" w:after="30" w:line="288" w:lineRule="auto"/>
              <w:jc w:val="right"/>
            </w:pPr>
            <w:r>
              <w:rPr>
                <w:rFonts w:ascii="Times New Roman" w:eastAsia="Times New Roman" w:hAnsi="Times New Roman" w:cs="Times New Roman"/>
                <w:b w:val="0"/>
                <w:i w:val="0"/>
                <w:color w:val="000000"/>
                <w:sz w:val="16"/>
                <w:u w:val="none"/>
              </w:rPr>
              <w:tab/>
              <w:t>327</w:t>
              <w:tab/>
            </w:r>
          </w:p>
        </w:tc>
        <w:tc>
          <w:tcPr>
            <w:tcW w:w="6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46"/>
                <w:tab w:val="left" w:pos="1237"/>
              </w:tabs>
              <w:spacing w:before="53" w:after="30" w:line="288" w:lineRule="auto"/>
              <w:jc w:val="right"/>
            </w:pPr>
            <w:r>
              <w:rPr>
                <w:rFonts w:ascii="Times New Roman" w:eastAsia="Times New Roman" w:hAnsi="Times New Roman" w:cs="Times New Roman"/>
                <w:b w:val="0"/>
                <w:i w:val="0"/>
                <w:color w:val="000000"/>
                <w:sz w:val="16"/>
                <w:u w:val="none"/>
              </w:rPr>
              <w:tab/>
              <w:t>253</w:t>
              <w:tab/>
            </w:r>
          </w:p>
        </w:tc>
      </w:tr>
      <w:tr>
        <w:tblPrEx>
          <w:tblW w:w="10245" w:type="dxa"/>
          <w:tblInd w:w="0" w:type="dxa"/>
          <w:tblLayout w:type="fixed"/>
        </w:tblPrEx>
        <w:trPr>
          <w:trHeight w:hRule="exact" w:val="255"/>
        </w:trPr>
        <w:tc>
          <w:tcPr>
            <w:tcW w:w="757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88" w:lineRule="auto"/>
              <w:ind w:left="375"/>
              <w:jc w:val="left"/>
            </w:pPr>
            <w:r>
              <w:rPr>
                <w:rFonts w:ascii="Times New Roman" w:eastAsia="Times New Roman" w:hAnsi="Times New Roman" w:cs="Times New Roman"/>
                <w:b w:val="0"/>
                <w:i w:val="0"/>
                <w:color w:val="000000"/>
                <w:sz w:val="16"/>
                <w:u w:val="none"/>
              </w:rPr>
              <w:t>Non-cash interest expense</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826"/>
                <w:tab w:val="left" w:pos="1237"/>
              </w:tabs>
              <w:spacing w:before="53" w:after="30" w:line="288" w:lineRule="auto"/>
              <w:jc w:val="right"/>
            </w:pPr>
            <w:r>
              <w:rPr>
                <w:rFonts w:ascii="Times New Roman" w:eastAsia="Times New Roman" w:hAnsi="Times New Roman" w:cs="Times New Roman"/>
                <w:b w:val="0"/>
                <w:i w:val="0"/>
                <w:color w:val="000000"/>
                <w:sz w:val="16"/>
                <w:u w:val="none"/>
              </w:rPr>
              <w:tab/>
              <w:t>1,421</w:t>
              <w:tab/>
            </w:r>
          </w:p>
        </w:tc>
        <w:tc>
          <w:tcPr>
            <w:tcW w:w="60"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946"/>
                <w:tab w:val="left" w:pos="1237"/>
              </w:tabs>
              <w:spacing w:before="53" w:after="30" w:line="288" w:lineRule="auto"/>
              <w:jc w:val="right"/>
            </w:pPr>
            <w:r>
              <w:rPr>
                <w:rFonts w:ascii="Times New Roman" w:eastAsia="Times New Roman" w:hAnsi="Times New Roman" w:cs="Times New Roman"/>
                <w:b w:val="0"/>
                <w:i w:val="0"/>
                <w:color w:val="000000"/>
                <w:sz w:val="16"/>
                <w:u w:val="none"/>
              </w:rPr>
              <w:tab/>
              <w:t>197</w:t>
              <w:tab/>
            </w:r>
          </w:p>
        </w:tc>
      </w:tr>
      <w:tr>
        <w:tblPrEx>
          <w:tblW w:w="10245" w:type="dxa"/>
          <w:tblInd w:w="0" w:type="dxa"/>
          <w:tblLayout w:type="fixed"/>
        </w:tblPrEx>
        <w:trPr>
          <w:trHeight w:hRule="exact" w:val="255"/>
        </w:trPr>
        <w:tc>
          <w:tcPr>
            <w:tcW w:w="757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88" w:lineRule="auto"/>
              <w:ind w:left="375"/>
              <w:jc w:val="left"/>
            </w:pPr>
            <w:r>
              <w:rPr>
                <w:rFonts w:ascii="Times New Roman" w:eastAsia="Times New Roman" w:hAnsi="Times New Roman" w:cs="Times New Roman"/>
                <w:b w:val="0"/>
                <w:i w:val="0"/>
                <w:color w:val="000000"/>
                <w:sz w:val="16"/>
                <w:u w:val="none"/>
              </w:rPr>
              <w:t>Net accretion of discounts on available-for-sale securities</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52"/>
              </w:tabs>
              <w:spacing w:before="53" w:after="30" w:line="288" w:lineRule="auto"/>
              <w:jc w:val="right"/>
            </w:pPr>
            <w:r>
              <w:rPr>
                <w:rFonts w:ascii="Times New Roman" w:eastAsia="Times New Roman" w:hAnsi="Times New Roman" w:cs="Times New Roman"/>
                <w:b w:val="0"/>
                <w:i w:val="0"/>
                <w:color w:val="000000"/>
                <w:sz w:val="16"/>
                <w:u w:val="none"/>
              </w:rPr>
              <w:tab/>
              <w:t>(60)</w:t>
            </w:r>
          </w:p>
        </w:tc>
        <w:tc>
          <w:tcPr>
            <w:tcW w:w="6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872"/>
              </w:tabs>
              <w:spacing w:before="53" w:after="30" w:line="288" w:lineRule="auto"/>
              <w:jc w:val="right"/>
            </w:pPr>
            <w:r>
              <w:rPr>
                <w:rFonts w:ascii="Times New Roman" w:eastAsia="Times New Roman" w:hAnsi="Times New Roman" w:cs="Times New Roman"/>
                <w:b w:val="0"/>
                <w:i w:val="0"/>
                <w:color w:val="000000"/>
                <w:sz w:val="16"/>
                <w:u w:val="none"/>
              </w:rPr>
              <w:tab/>
              <w:t>(110)</w:t>
            </w:r>
          </w:p>
        </w:tc>
      </w:tr>
      <w:tr>
        <w:tblPrEx>
          <w:tblW w:w="10245" w:type="dxa"/>
          <w:tblInd w:w="0" w:type="dxa"/>
          <w:tblLayout w:type="fixed"/>
        </w:tblPrEx>
        <w:trPr>
          <w:trHeight w:hRule="exact" w:val="255"/>
        </w:trPr>
        <w:tc>
          <w:tcPr>
            <w:tcW w:w="757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88" w:lineRule="auto"/>
              <w:ind w:left="375"/>
              <w:jc w:val="left"/>
            </w:pPr>
            <w:r>
              <w:rPr>
                <w:rFonts w:ascii="Times New Roman" w:eastAsia="Times New Roman" w:hAnsi="Times New Roman" w:cs="Times New Roman"/>
                <w:b w:val="0"/>
                <w:i w:val="0"/>
                <w:color w:val="000000"/>
                <w:sz w:val="16"/>
                <w:u w:val="none"/>
              </w:rPr>
              <w:t>Provision for expected losses</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106"/>
                <w:tab w:val="left" w:pos="1237"/>
              </w:tabs>
              <w:spacing w:before="53" w:after="30" w:line="288" w:lineRule="auto"/>
              <w:jc w:val="right"/>
            </w:pPr>
            <w:r>
              <w:rPr>
                <w:rFonts w:ascii="Times New Roman" w:eastAsia="Times New Roman" w:hAnsi="Times New Roman" w:cs="Times New Roman"/>
                <w:b w:val="0"/>
                <w:i w:val="0"/>
                <w:color w:val="000000"/>
                <w:sz w:val="16"/>
                <w:u w:val="none"/>
              </w:rPr>
              <w:tab/>
              <w:t>9</w:t>
              <w:tab/>
            </w:r>
          </w:p>
        </w:tc>
        <w:tc>
          <w:tcPr>
            <w:tcW w:w="60"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026"/>
                <w:tab w:val="left" w:pos="1237"/>
              </w:tabs>
              <w:spacing w:before="53" w:after="30" w:line="288" w:lineRule="auto"/>
              <w:jc w:val="right"/>
            </w:pPr>
            <w:r>
              <w:rPr>
                <w:rFonts w:ascii="Times New Roman" w:eastAsia="Times New Roman" w:hAnsi="Times New Roman" w:cs="Times New Roman"/>
                <w:b w:val="0"/>
                <w:i w:val="0"/>
                <w:color w:val="000000"/>
                <w:sz w:val="16"/>
                <w:u w:val="none"/>
              </w:rPr>
              <w:tab/>
              <w:t>93</w:t>
              <w:tab/>
            </w:r>
          </w:p>
        </w:tc>
      </w:tr>
      <w:tr>
        <w:tblPrEx>
          <w:tblW w:w="10245" w:type="dxa"/>
          <w:tblInd w:w="0" w:type="dxa"/>
          <w:tblLayout w:type="fixed"/>
        </w:tblPrEx>
        <w:trPr>
          <w:trHeight w:hRule="exact" w:val="255"/>
        </w:trPr>
        <w:tc>
          <w:tcPr>
            <w:tcW w:w="757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88" w:lineRule="auto"/>
              <w:ind w:left="375"/>
              <w:jc w:val="left"/>
            </w:pPr>
            <w:r>
              <w:rPr>
                <w:rFonts w:ascii="Times New Roman" w:eastAsia="Times New Roman" w:hAnsi="Times New Roman" w:cs="Times New Roman"/>
                <w:b w:val="0"/>
                <w:i w:val="0"/>
                <w:color w:val="000000"/>
                <w:sz w:val="16"/>
                <w:u w:val="none"/>
              </w:rPr>
              <w:t>Provision for deferred income taxes</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46"/>
                <w:tab w:val="left" w:pos="1237"/>
              </w:tabs>
              <w:spacing w:before="53" w:after="30" w:line="288" w:lineRule="auto"/>
              <w:jc w:val="right"/>
            </w:pPr>
            <w:r>
              <w:rPr>
                <w:rFonts w:ascii="Times New Roman" w:eastAsia="Times New Roman" w:hAnsi="Times New Roman" w:cs="Times New Roman"/>
                <w:b w:val="0"/>
                <w:i w:val="0"/>
                <w:color w:val="000000"/>
                <w:sz w:val="16"/>
                <w:u w:val="none"/>
              </w:rPr>
              <w:tab/>
              <w:t>143</w:t>
              <w:tab/>
            </w:r>
          </w:p>
        </w:tc>
        <w:tc>
          <w:tcPr>
            <w:tcW w:w="6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46"/>
                <w:tab w:val="left" w:pos="1237"/>
              </w:tabs>
              <w:spacing w:before="53" w:after="30" w:line="288" w:lineRule="auto"/>
              <w:jc w:val="right"/>
            </w:pPr>
            <w:r>
              <w:rPr>
                <w:rFonts w:ascii="Times New Roman" w:eastAsia="Times New Roman" w:hAnsi="Times New Roman" w:cs="Times New Roman"/>
                <w:b w:val="0"/>
                <w:i w:val="0"/>
                <w:color w:val="000000"/>
                <w:sz w:val="16"/>
                <w:u w:val="none"/>
              </w:rPr>
              <w:tab/>
              <w:t>291</w:t>
              <w:tab/>
            </w:r>
          </w:p>
        </w:tc>
      </w:tr>
      <w:tr>
        <w:tblPrEx>
          <w:tblW w:w="10245" w:type="dxa"/>
          <w:tblInd w:w="0" w:type="dxa"/>
          <w:tblLayout w:type="fixed"/>
        </w:tblPrEx>
        <w:trPr>
          <w:trHeight w:hRule="exact" w:val="255"/>
        </w:trPr>
        <w:tc>
          <w:tcPr>
            <w:tcW w:w="757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88" w:lineRule="auto"/>
              <w:ind w:left="375"/>
              <w:jc w:val="left"/>
            </w:pPr>
            <w:r>
              <w:rPr>
                <w:rFonts w:ascii="Times New Roman" w:eastAsia="Times New Roman" w:hAnsi="Times New Roman" w:cs="Times New Roman"/>
                <w:b w:val="0"/>
                <w:i w:val="0"/>
                <w:color w:val="000000"/>
                <w:sz w:val="16"/>
                <w:u w:val="none"/>
              </w:rPr>
              <w:t>Net realized gains on sales of available-for-sale securities</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872"/>
              </w:tabs>
              <w:spacing w:before="53" w:after="30" w:line="288" w:lineRule="auto"/>
              <w:jc w:val="right"/>
            </w:pPr>
            <w:r>
              <w:rPr>
                <w:rFonts w:ascii="Times New Roman" w:eastAsia="Times New Roman" w:hAnsi="Times New Roman" w:cs="Times New Roman"/>
                <w:b w:val="0"/>
                <w:i w:val="0"/>
                <w:color w:val="000000"/>
                <w:sz w:val="16"/>
                <w:u w:val="none"/>
              </w:rPr>
              <w:tab/>
              <w:t>(902)</w:t>
            </w:r>
          </w:p>
        </w:tc>
        <w:tc>
          <w:tcPr>
            <w:tcW w:w="60"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872"/>
              </w:tabs>
              <w:spacing w:before="53" w:after="30" w:line="288" w:lineRule="auto"/>
              <w:jc w:val="right"/>
            </w:pPr>
            <w:r>
              <w:rPr>
                <w:rFonts w:ascii="Times New Roman" w:eastAsia="Times New Roman" w:hAnsi="Times New Roman" w:cs="Times New Roman"/>
                <w:b w:val="0"/>
                <w:i w:val="0"/>
                <w:color w:val="000000"/>
                <w:sz w:val="16"/>
                <w:u w:val="none"/>
              </w:rPr>
              <w:tab/>
              <w:t>(656)</w:t>
            </w:r>
          </w:p>
        </w:tc>
      </w:tr>
      <w:tr>
        <w:tblPrEx>
          <w:tblW w:w="10245" w:type="dxa"/>
          <w:tblInd w:w="0" w:type="dxa"/>
          <w:tblLayout w:type="fixed"/>
        </w:tblPrEx>
        <w:trPr>
          <w:trHeight w:hRule="exact" w:val="255"/>
        </w:trPr>
        <w:tc>
          <w:tcPr>
            <w:tcW w:w="757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88" w:lineRule="auto"/>
              <w:ind w:left="375"/>
              <w:jc w:val="left"/>
            </w:pPr>
            <w:r>
              <w:rPr>
                <w:rFonts w:ascii="Times New Roman" w:eastAsia="Times New Roman" w:hAnsi="Times New Roman" w:cs="Times New Roman"/>
                <w:b w:val="0"/>
                <w:i w:val="0"/>
                <w:color w:val="000000"/>
                <w:sz w:val="16"/>
                <w:u w:val="none"/>
              </w:rPr>
              <w:t>Share-based compensation</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826"/>
                <w:tab w:val="left" w:pos="1237"/>
              </w:tabs>
              <w:spacing w:before="53" w:after="30" w:line="288" w:lineRule="auto"/>
              <w:jc w:val="right"/>
            </w:pPr>
            <w:r>
              <w:rPr>
                <w:rFonts w:ascii="Times New Roman" w:eastAsia="Times New Roman" w:hAnsi="Times New Roman" w:cs="Times New Roman"/>
                <w:b w:val="0"/>
                <w:i w:val="0"/>
                <w:color w:val="000000"/>
                <w:sz w:val="16"/>
                <w:u w:val="none"/>
              </w:rPr>
              <w:tab/>
              <w:t>2,150</w:t>
              <w:tab/>
            </w:r>
          </w:p>
        </w:tc>
        <w:tc>
          <w:tcPr>
            <w:tcW w:w="6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826"/>
                <w:tab w:val="left" w:pos="1237"/>
              </w:tabs>
              <w:spacing w:before="53" w:after="30" w:line="288" w:lineRule="auto"/>
              <w:jc w:val="right"/>
            </w:pPr>
            <w:r>
              <w:rPr>
                <w:rFonts w:ascii="Times New Roman" w:eastAsia="Times New Roman" w:hAnsi="Times New Roman" w:cs="Times New Roman"/>
                <w:b w:val="0"/>
                <w:i w:val="0"/>
                <w:color w:val="000000"/>
                <w:sz w:val="16"/>
                <w:u w:val="none"/>
              </w:rPr>
              <w:tab/>
              <w:t>1,863</w:t>
              <w:tab/>
            </w:r>
          </w:p>
        </w:tc>
      </w:tr>
      <w:tr>
        <w:tblPrEx>
          <w:tblW w:w="10245" w:type="dxa"/>
          <w:tblInd w:w="0" w:type="dxa"/>
          <w:tblLayout w:type="fixed"/>
        </w:tblPrEx>
        <w:trPr>
          <w:trHeight w:hRule="exact" w:val="255"/>
        </w:trPr>
        <w:tc>
          <w:tcPr>
            <w:tcW w:w="757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88" w:lineRule="auto"/>
              <w:ind w:left="375"/>
              <w:jc w:val="left"/>
            </w:pPr>
            <w:r>
              <w:rPr>
                <w:rFonts w:ascii="Times New Roman" w:eastAsia="Times New Roman" w:hAnsi="Times New Roman" w:cs="Times New Roman"/>
                <w:b w:val="0"/>
                <w:i w:val="0"/>
                <w:color w:val="000000"/>
                <w:sz w:val="16"/>
                <w:u w:val="none"/>
              </w:rPr>
              <w:t>Changes in operating assets and liabilities:</w:t>
            </w:r>
          </w:p>
        </w:tc>
        <w:tc>
          <w:tcPr>
            <w:tcW w:w="130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60"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r>
      <w:tr>
        <w:tblPrEx>
          <w:tblW w:w="10245" w:type="dxa"/>
          <w:tblInd w:w="0" w:type="dxa"/>
          <w:tblLayout w:type="fixed"/>
        </w:tblPrEx>
        <w:trPr>
          <w:trHeight w:hRule="exact" w:val="255"/>
        </w:trPr>
        <w:tc>
          <w:tcPr>
            <w:tcW w:w="757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88" w:lineRule="auto"/>
              <w:ind w:left="600"/>
              <w:jc w:val="left"/>
            </w:pPr>
            <w:r>
              <w:rPr>
                <w:rFonts w:ascii="Times New Roman" w:eastAsia="Times New Roman" w:hAnsi="Times New Roman" w:cs="Times New Roman"/>
                <w:b w:val="0"/>
                <w:i w:val="0"/>
                <w:color w:val="000000"/>
                <w:sz w:val="16"/>
                <w:u w:val="none"/>
              </w:rPr>
              <w:t>Accounts receivable</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826"/>
                <w:tab w:val="left" w:pos="1237"/>
              </w:tabs>
              <w:spacing w:before="53" w:after="30" w:line="288" w:lineRule="auto"/>
              <w:jc w:val="right"/>
            </w:pPr>
            <w:r>
              <w:rPr>
                <w:rFonts w:ascii="Times New Roman" w:eastAsia="Times New Roman" w:hAnsi="Times New Roman" w:cs="Times New Roman"/>
                <w:b w:val="0"/>
                <w:i w:val="0"/>
                <w:color w:val="000000"/>
                <w:sz w:val="16"/>
                <w:u w:val="none"/>
              </w:rPr>
              <w:tab/>
              <w:t>2,384</w:t>
              <w:tab/>
            </w:r>
          </w:p>
        </w:tc>
        <w:tc>
          <w:tcPr>
            <w:tcW w:w="6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826"/>
                <w:tab w:val="left" w:pos="1237"/>
              </w:tabs>
              <w:spacing w:before="53" w:after="30" w:line="288" w:lineRule="auto"/>
              <w:jc w:val="right"/>
            </w:pPr>
            <w:r>
              <w:rPr>
                <w:rFonts w:ascii="Times New Roman" w:eastAsia="Times New Roman" w:hAnsi="Times New Roman" w:cs="Times New Roman"/>
                <w:b w:val="0"/>
                <w:i w:val="0"/>
                <w:color w:val="000000"/>
                <w:sz w:val="16"/>
                <w:u w:val="none"/>
              </w:rPr>
              <w:tab/>
              <w:t>2,261</w:t>
              <w:tab/>
            </w:r>
          </w:p>
        </w:tc>
      </w:tr>
      <w:tr>
        <w:tblPrEx>
          <w:tblW w:w="10245" w:type="dxa"/>
          <w:tblInd w:w="0" w:type="dxa"/>
          <w:tblLayout w:type="fixed"/>
        </w:tblPrEx>
        <w:trPr>
          <w:trHeight w:hRule="exact" w:val="255"/>
        </w:trPr>
        <w:tc>
          <w:tcPr>
            <w:tcW w:w="757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88" w:lineRule="auto"/>
              <w:ind w:left="600"/>
              <w:jc w:val="left"/>
            </w:pPr>
            <w:r>
              <w:rPr>
                <w:rFonts w:ascii="Times New Roman" w:eastAsia="Times New Roman" w:hAnsi="Times New Roman" w:cs="Times New Roman"/>
                <w:b w:val="0"/>
                <w:i w:val="0"/>
                <w:color w:val="000000"/>
                <w:sz w:val="16"/>
                <w:u w:val="none"/>
              </w:rPr>
              <w:t>Inventory</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946"/>
                <w:tab w:val="left" w:pos="1237"/>
              </w:tabs>
              <w:spacing w:before="53" w:after="30" w:line="288" w:lineRule="auto"/>
              <w:jc w:val="right"/>
            </w:pPr>
            <w:r>
              <w:rPr>
                <w:rFonts w:ascii="Times New Roman" w:eastAsia="Times New Roman" w:hAnsi="Times New Roman" w:cs="Times New Roman"/>
                <w:b w:val="0"/>
                <w:i w:val="0"/>
                <w:color w:val="000000"/>
                <w:sz w:val="16"/>
                <w:u w:val="none"/>
              </w:rPr>
              <w:tab/>
              <w:t>179</w:t>
              <w:tab/>
            </w:r>
          </w:p>
        </w:tc>
        <w:tc>
          <w:tcPr>
            <w:tcW w:w="60"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952"/>
              </w:tabs>
              <w:spacing w:before="53" w:after="30" w:line="288" w:lineRule="auto"/>
              <w:jc w:val="right"/>
            </w:pPr>
            <w:r>
              <w:rPr>
                <w:rFonts w:ascii="Times New Roman" w:eastAsia="Times New Roman" w:hAnsi="Times New Roman" w:cs="Times New Roman"/>
                <w:b w:val="0"/>
                <w:i w:val="0"/>
                <w:color w:val="000000"/>
                <w:sz w:val="16"/>
                <w:u w:val="none"/>
              </w:rPr>
              <w:tab/>
              <w:t>(24)</w:t>
            </w:r>
          </w:p>
        </w:tc>
      </w:tr>
      <w:tr>
        <w:tblPrEx>
          <w:tblW w:w="10245" w:type="dxa"/>
          <w:tblInd w:w="0" w:type="dxa"/>
          <w:tblLayout w:type="fixed"/>
        </w:tblPrEx>
        <w:trPr>
          <w:trHeight w:hRule="exact" w:val="255"/>
        </w:trPr>
        <w:tc>
          <w:tcPr>
            <w:tcW w:w="757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88" w:lineRule="auto"/>
              <w:ind w:left="600"/>
              <w:jc w:val="left"/>
            </w:pPr>
            <w:r>
              <w:rPr>
                <w:rFonts w:ascii="Times New Roman" w:eastAsia="Times New Roman" w:hAnsi="Times New Roman" w:cs="Times New Roman"/>
                <w:b w:val="0"/>
                <w:i w:val="0"/>
                <w:color w:val="000000"/>
                <w:sz w:val="16"/>
                <w:u w:val="none"/>
              </w:rPr>
              <w:t>Prepaid expenses and other assets</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52"/>
              </w:tabs>
              <w:spacing w:before="53" w:after="30" w:line="288" w:lineRule="auto"/>
              <w:jc w:val="right"/>
            </w:pPr>
            <w:r>
              <w:rPr>
                <w:rFonts w:ascii="Times New Roman" w:eastAsia="Times New Roman" w:hAnsi="Times New Roman" w:cs="Times New Roman"/>
                <w:b w:val="0"/>
                <w:i w:val="0"/>
                <w:color w:val="000000"/>
                <w:sz w:val="16"/>
                <w:u w:val="none"/>
              </w:rPr>
              <w:tab/>
              <w:t>(4,189)</w:t>
            </w:r>
          </w:p>
        </w:tc>
        <w:tc>
          <w:tcPr>
            <w:tcW w:w="6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52"/>
              </w:tabs>
              <w:spacing w:before="53" w:after="30" w:line="288" w:lineRule="auto"/>
              <w:jc w:val="right"/>
            </w:pPr>
            <w:r>
              <w:rPr>
                <w:rFonts w:ascii="Times New Roman" w:eastAsia="Times New Roman" w:hAnsi="Times New Roman" w:cs="Times New Roman"/>
                <w:b w:val="0"/>
                <w:i w:val="0"/>
                <w:color w:val="000000"/>
                <w:sz w:val="16"/>
                <w:u w:val="none"/>
              </w:rPr>
              <w:tab/>
              <w:t>(1,049)</w:t>
            </w:r>
          </w:p>
        </w:tc>
      </w:tr>
      <w:tr>
        <w:tblPrEx>
          <w:tblW w:w="10245" w:type="dxa"/>
          <w:tblInd w:w="0" w:type="dxa"/>
          <w:tblLayout w:type="fixed"/>
        </w:tblPrEx>
        <w:trPr>
          <w:trHeight w:hRule="exact" w:val="255"/>
        </w:trPr>
        <w:tc>
          <w:tcPr>
            <w:tcW w:w="757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88" w:lineRule="auto"/>
              <w:ind w:left="600"/>
              <w:jc w:val="left"/>
            </w:pPr>
            <w:r>
              <w:rPr>
                <w:rFonts w:ascii="Times New Roman" w:eastAsia="Times New Roman" w:hAnsi="Times New Roman" w:cs="Times New Roman"/>
                <w:b w:val="0"/>
                <w:i w:val="0"/>
                <w:color w:val="000000"/>
                <w:sz w:val="16"/>
                <w:u w:val="none"/>
              </w:rPr>
              <w:t>Accounts payable</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872"/>
              </w:tabs>
              <w:spacing w:before="53" w:after="30" w:line="288" w:lineRule="auto"/>
              <w:jc w:val="right"/>
            </w:pPr>
            <w:r>
              <w:rPr>
                <w:rFonts w:ascii="Times New Roman" w:eastAsia="Times New Roman" w:hAnsi="Times New Roman" w:cs="Times New Roman"/>
                <w:b w:val="0"/>
                <w:i w:val="0"/>
                <w:color w:val="000000"/>
                <w:sz w:val="16"/>
                <w:u w:val="none"/>
              </w:rPr>
              <w:tab/>
              <w:t>(172)</w:t>
            </w:r>
          </w:p>
        </w:tc>
        <w:tc>
          <w:tcPr>
            <w:tcW w:w="60"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946"/>
                <w:tab w:val="left" w:pos="1237"/>
              </w:tabs>
              <w:spacing w:before="53" w:after="30" w:line="288" w:lineRule="auto"/>
              <w:jc w:val="right"/>
            </w:pPr>
            <w:r>
              <w:rPr>
                <w:rFonts w:ascii="Times New Roman" w:eastAsia="Times New Roman" w:hAnsi="Times New Roman" w:cs="Times New Roman"/>
                <w:b w:val="0"/>
                <w:i w:val="0"/>
                <w:color w:val="000000"/>
                <w:sz w:val="16"/>
                <w:u w:val="none"/>
              </w:rPr>
              <w:tab/>
              <w:t>903</w:t>
              <w:tab/>
            </w:r>
          </w:p>
        </w:tc>
      </w:tr>
      <w:tr>
        <w:tblPrEx>
          <w:tblW w:w="10245" w:type="dxa"/>
          <w:tblInd w:w="0" w:type="dxa"/>
          <w:tblLayout w:type="fixed"/>
        </w:tblPrEx>
        <w:trPr>
          <w:trHeight w:hRule="exact" w:val="255"/>
        </w:trPr>
        <w:tc>
          <w:tcPr>
            <w:tcW w:w="757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88" w:lineRule="auto"/>
              <w:ind w:left="600"/>
              <w:jc w:val="left"/>
            </w:pPr>
            <w:r>
              <w:rPr>
                <w:rFonts w:ascii="Times New Roman" w:eastAsia="Times New Roman" w:hAnsi="Times New Roman" w:cs="Times New Roman"/>
                <w:b w:val="0"/>
                <w:i w:val="0"/>
                <w:color w:val="000000"/>
                <w:sz w:val="16"/>
                <w:u w:val="none"/>
              </w:rPr>
              <w:t>Accrued expenses and other long-term obligations</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52"/>
              </w:tabs>
              <w:spacing w:before="53" w:after="30" w:line="288" w:lineRule="auto"/>
              <w:jc w:val="right"/>
            </w:pPr>
            <w:r>
              <w:rPr>
                <w:rFonts w:ascii="Times New Roman" w:eastAsia="Times New Roman" w:hAnsi="Times New Roman" w:cs="Times New Roman"/>
                <w:b w:val="0"/>
                <w:i w:val="0"/>
                <w:color w:val="000000"/>
                <w:sz w:val="16"/>
                <w:u w:val="none"/>
              </w:rPr>
              <w:tab/>
              <w:t>(1,327)</w:t>
            </w:r>
          </w:p>
        </w:tc>
        <w:tc>
          <w:tcPr>
            <w:tcW w:w="6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52"/>
              </w:tabs>
              <w:spacing w:before="53" w:after="30" w:line="288" w:lineRule="auto"/>
              <w:jc w:val="right"/>
            </w:pPr>
            <w:r>
              <w:rPr>
                <w:rFonts w:ascii="Times New Roman" w:eastAsia="Times New Roman" w:hAnsi="Times New Roman" w:cs="Times New Roman"/>
                <w:b w:val="0"/>
                <w:i w:val="0"/>
                <w:color w:val="000000"/>
                <w:sz w:val="16"/>
                <w:u w:val="none"/>
              </w:rPr>
              <w:tab/>
              <w:t>(1,737)</w:t>
            </w:r>
          </w:p>
        </w:tc>
      </w:tr>
      <w:tr>
        <w:tblPrEx>
          <w:tblW w:w="10245" w:type="dxa"/>
          <w:tblInd w:w="0" w:type="dxa"/>
          <w:tblLayout w:type="fixed"/>
        </w:tblPrEx>
        <w:trPr>
          <w:trHeight w:hRule="exact" w:val="255"/>
        </w:trPr>
        <w:tc>
          <w:tcPr>
            <w:tcW w:w="757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88" w:lineRule="auto"/>
              <w:ind w:left="600"/>
              <w:jc w:val="left"/>
            </w:pPr>
            <w:r>
              <w:rPr>
                <w:rFonts w:ascii="Times New Roman" w:eastAsia="Times New Roman" w:hAnsi="Times New Roman" w:cs="Times New Roman"/>
                <w:b w:val="0"/>
                <w:i w:val="0"/>
                <w:color w:val="000000"/>
                <w:sz w:val="16"/>
                <w:u w:val="none"/>
              </w:rPr>
              <w:t>Lease liabilities</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872"/>
              </w:tabs>
              <w:spacing w:before="53" w:after="30" w:line="288" w:lineRule="auto"/>
              <w:jc w:val="right"/>
            </w:pPr>
            <w:r>
              <w:rPr>
                <w:rFonts w:ascii="Times New Roman" w:eastAsia="Times New Roman" w:hAnsi="Times New Roman" w:cs="Times New Roman"/>
                <w:b w:val="0"/>
                <w:i w:val="0"/>
                <w:color w:val="000000"/>
                <w:sz w:val="16"/>
                <w:u w:val="none"/>
              </w:rPr>
              <w:tab/>
              <w:t>(483)</w:t>
            </w:r>
          </w:p>
        </w:tc>
        <w:tc>
          <w:tcPr>
            <w:tcW w:w="60"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872"/>
              </w:tabs>
              <w:spacing w:before="53" w:after="30" w:line="288" w:lineRule="auto"/>
              <w:jc w:val="right"/>
            </w:pPr>
            <w:r>
              <w:rPr>
                <w:rFonts w:ascii="Times New Roman" w:eastAsia="Times New Roman" w:hAnsi="Times New Roman" w:cs="Times New Roman"/>
                <w:b w:val="0"/>
                <w:i w:val="0"/>
                <w:color w:val="000000"/>
                <w:sz w:val="16"/>
                <w:u w:val="none"/>
              </w:rPr>
              <w:tab/>
              <w:t>(427)</w:t>
            </w:r>
          </w:p>
        </w:tc>
      </w:tr>
      <w:tr>
        <w:tblPrEx>
          <w:tblW w:w="10245" w:type="dxa"/>
          <w:tblInd w:w="0" w:type="dxa"/>
          <w:tblLayout w:type="fixed"/>
        </w:tblPrEx>
        <w:trPr>
          <w:trHeight w:hRule="exact" w:val="255"/>
        </w:trPr>
        <w:tc>
          <w:tcPr>
            <w:tcW w:w="757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88" w:lineRule="auto"/>
              <w:ind w:left="600"/>
              <w:jc w:val="left"/>
            </w:pPr>
            <w:r>
              <w:rPr>
                <w:rFonts w:ascii="Times New Roman" w:eastAsia="Times New Roman" w:hAnsi="Times New Roman" w:cs="Times New Roman"/>
                <w:b w:val="0"/>
                <w:i w:val="0"/>
                <w:color w:val="000000"/>
                <w:sz w:val="16"/>
                <w:u w:val="none"/>
              </w:rPr>
              <w:t>Deferred revenue</w:t>
            </w:r>
          </w:p>
        </w:tc>
        <w:tc>
          <w:tcPr>
            <w:tcW w:w="130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752"/>
              </w:tabs>
              <w:spacing w:before="53" w:after="30" w:line="288" w:lineRule="auto"/>
              <w:jc w:val="right"/>
            </w:pPr>
            <w:r>
              <w:rPr>
                <w:rFonts w:ascii="Times New Roman" w:eastAsia="Times New Roman" w:hAnsi="Times New Roman" w:cs="Times New Roman"/>
                <w:b w:val="0"/>
                <w:i w:val="0"/>
                <w:color w:val="000000"/>
                <w:sz w:val="16"/>
                <w:u w:val="none"/>
              </w:rPr>
              <w:tab/>
              <w:t>(4,913)</w:t>
            </w:r>
          </w:p>
        </w:tc>
        <w:tc>
          <w:tcPr>
            <w:tcW w:w="6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752"/>
              </w:tabs>
              <w:spacing w:before="53" w:after="30" w:line="288" w:lineRule="auto"/>
              <w:jc w:val="right"/>
            </w:pPr>
            <w:r>
              <w:rPr>
                <w:rFonts w:ascii="Times New Roman" w:eastAsia="Times New Roman" w:hAnsi="Times New Roman" w:cs="Times New Roman"/>
                <w:b w:val="0"/>
                <w:i w:val="0"/>
                <w:color w:val="000000"/>
                <w:sz w:val="16"/>
                <w:u w:val="none"/>
              </w:rPr>
              <w:tab/>
              <w:t>(3,810)</w:t>
            </w:r>
          </w:p>
        </w:tc>
      </w:tr>
      <w:tr>
        <w:tblPrEx>
          <w:tblW w:w="10245" w:type="dxa"/>
          <w:tblInd w:w="0" w:type="dxa"/>
          <w:tblLayout w:type="fixed"/>
        </w:tblPrEx>
        <w:trPr>
          <w:trHeight w:hRule="exact" w:val="255"/>
        </w:trPr>
        <w:tc>
          <w:tcPr>
            <w:tcW w:w="757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33" w:after="30" w:line="288" w:lineRule="auto"/>
              <w:ind w:firstLine="180"/>
              <w:jc w:val="left"/>
            </w:pPr>
            <w:r>
              <w:rPr>
                <w:rFonts w:ascii="Times New Roman" w:eastAsia="Times New Roman" w:hAnsi="Times New Roman" w:cs="Times New Roman"/>
                <w:b w:val="0"/>
                <w:i w:val="0"/>
                <w:color w:val="000000"/>
                <w:sz w:val="16"/>
                <w:u w:val="none"/>
              </w:rPr>
              <w:t>Net cash provided by operating activities</w:t>
            </w:r>
          </w:p>
        </w:tc>
        <w:tc>
          <w:tcPr>
            <w:tcW w:w="130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826"/>
                <w:tab w:val="left" w:pos="1237"/>
              </w:tabs>
              <w:spacing w:before="33" w:after="30" w:line="288" w:lineRule="auto"/>
              <w:jc w:val="right"/>
            </w:pPr>
            <w:r>
              <w:rPr>
                <w:rFonts w:ascii="Times New Roman" w:eastAsia="Times New Roman" w:hAnsi="Times New Roman" w:cs="Times New Roman"/>
                <w:b w:val="0"/>
                <w:i w:val="0"/>
                <w:color w:val="000000"/>
                <w:sz w:val="16"/>
                <w:u w:val="none"/>
              </w:rPr>
              <w:tab/>
              <w:t>2,709</w:t>
              <w:tab/>
            </w:r>
          </w:p>
        </w:tc>
        <w:tc>
          <w:tcPr>
            <w:tcW w:w="60"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826"/>
                <w:tab w:val="left" w:pos="1237"/>
              </w:tabs>
              <w:spacing w:before="33" w:after="30" w:line="288" w:lineRule="auto"/>
              <w:jc w:val="right"/>
            </w:pPr>
            <w:r>
              <w:rPr>
                <w:rFonts w:ascii="Times New Roman" w:eastAsia="Times New Roman" w:hAnsi="Times New Roman" w:cs="Times New Roman"/>
                <w:b w:val="0"/>
                <w:i w:val="0"/>
                <w:color w:val="000000"/>
                <w:sz w:val="16"/>
                <w:u w:val="none"/>
              </w:rPr>
              <w:tab/>
              <w:t>1,996</w:t>
              <w:tab/>
            </w:r>
          </w:p>
        </w:tc>
      </w:tr>
      <w:tr>
        <w:tblPrEx>
          <w:tblW w:w="10245" w:type="dxa"/>
          <w:tblInd w:w="0" w:type="dxa"/>
          <w:tblLayout w:type="fixed"/>
        </w:tblPrEx>
        <w:trPr>
          <w:trHeight w:hRule="exact" w:val="255"/>
        </w:trPr>
        <w:tc>
          <w:tcPr>
            <w:tcW w:w="757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88" w:lineRule="auto"/>
              <w:jc w:val="left"/>
            </w:pPr>
            <w:r>
              <w:rPr>
                <w:rFonts w:ascii="Times New Roman" w:eastAsia="Times New Roman" w:hAnsi="Times New Roman" w:cs="Times New Roman"/>
                <w:b w:val="0"/>
                <w:i w:val="0"/>
                <w:color w:val="000000"/>
                <w:sz w:val="16"/>
                <w:u w:val="none"/>
              </w:rPr>
              <w:t>Cash flows from investing activities:</w:t>
            </w:r>
          </w:p>
        </w:tc>
        <w:tc>
          <w:tcPr>
            <w:tcW w:w="130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6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r>
      <w:tr>
        <w:tblPrEx>
          <w:tblW w:w="10245" w:type="dxa"/>
          <w:tblInd w:w="0" w:type="dxa"/>
          <w:tblLayout w:type="fixed"/>
        </w:tblPrEx>
        <w:trPr>
          <w:trHeight w:hRule="exact" w:val="255"/>
        </w:trPr>
        <w:tc>
          <w:tcPr>
            <w:tcW w:w="757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88" w:lineRule="auto"/>
              <w:ind w:left="375"/>
              <w:jc w:val="left"/>
            </w:pPr>
            <w:r>
              <w:rPr>
                <w:rFonts w:ascii="Times New Roman" w:eastAsia="Times New Roman" w:hAnsi="Times New Roman" w:cs="Times New Roman"/>
                <w:b w:val="0"/>
                <w:i w:val="0"/>
                <w:color w:val="000000"/>
                <w:sz w:val="16"/>
                <w:u w:val="none"/>
              </w:rPr>
              <w:t>Acquisition of intangible asset</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752"/>
              </w:tabs>
              <w:spacing w:before="53" w:after="30" w:line="288" w:lineRule="auto"/>
              <w:jc w:val="right"/>
            </w:pPr>
            <w:r>
              <w:rPr>
                <w:rFonts w:ascii="Times New Roman" w:eastAsia="Times New Roman" w:hAnsi="Times New Roman" w:cs="Times New Roman"/>
                <w:b w:val="0"/>
                <w:i w:val="0"/>
                <w:color w:val="000000"/>
                <w:sz w:val="16"/>
                <w:u w:val="none"/>
              </w:rPr>
              <w:tab/>
              <w:t>(4,721)</w:t>
            </w:r>
          </w:p>
        </w:tc>
        <w:tc>
          <w:tcPr>
            <w:tcW w:w="60"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752"/>
              </w:tabs>
              <w:spacing w:before="53" w:after="30" w:line="288" w:lineRule="auto"/>
              <w:jc w:val="right"/>
            </w:pPr>
            <w:r>
              <w:rPr>
                <w:rFonts w:ascii="Times New Roman" w:eastAsia="Times New Roman" w:hAnsi="Times New Roman" w:cs="Times New Roman"/>
                <w:b w:val="0"/>
                <w:i w:val="0"/>
                <w:color w:val="000000"/>
                <w:sz w:val="16"/>
                <w:u w:val="none"/>
              </w:rPr>
              <w:tab/>
              <w:t>(6,346)</w:t>
            </w:r>
          </w:p>
        </w:tc>
      </w:tr>
      <w:tr>
        <w:tblPrEx>
          <w:tblW w:w="10245" w:type="dxa"/>
          <w:tblInd w:w="0" w:type="dxa"/>
          <w:tblLayout w:type="fixed"/>
        </w:tblPrEx>
        <w:trPr>
          <w:trHeight w:hRule="exact" w:val="255"/>
        </w:trPr>
        <w:tc>
          <w:tcPr>
            <w:tcW w:w="757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88" w:lineRule="auto"/>
              <w:ind w:left="375"/>
              <w:jc w:val="left"/>
            </w:pPr>
            <w:r>
              <w:rPr>
                <w:rFonts w:ascii="Times New Roman" w:eastAsia="Times New Roman" w:hAnsi="Times New Roman" w:cs="Times New Roman"/>
                <w:b w:val="0"/>
                <w:i w:val="0"/>
                <w:color w:val="000000"/>
                <w:sz w:val="16"/>
                <w:u w:val="none"/>
              </w:rPr>
              <w:t>Purchases of property and equipment</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872"/>
              </w:tabs>
              <w:spacing w:before="53" w:after="30" w:line="288" w:lineRule="auto"/>
              <w:jc w:val="right"/>
            </w:pPr>
            <w:r>
              <w:rPr>
                <w:rFonts w:ascii="Times New Roman" w:eastAsia="Times New Roman" w:hAnsi="Times New Roman" w:cs="Times New Roman"/>
                <w:b w:val="0"/>
                <w:i w:val="0"/>
                <w:color w:val="000000"/>
                <w:sz w:val="16"/>
                <w:u w:val="none"/>
              </w:rPr>
              <w:tab/>
              <w:t>(218)</w:t>
            </w:r>
          </w:p>
        </w:tc>
        <w:tc>
          <w:tcPr>
            <w:tcW w:w="6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872"/>
              </w:tabs>
              <w:spacing w:before="53" w:after="30" w:line="288" w:lineRule="auto"/>
              <w:jc w:val="right"/>
            </w:pPr>
            <w:r>
              <w:rPr>
                <w:rFonts w:ascii="Times New Roman" w:eastAsia="Times New Roman" w:hAnsi="Times New Roman" w:cs="Times New Roman"/>
                <w:b w:val="0"/>
                <w:i w:val="0"/>
                <w:color w:val="000000"/>
                <w:sz w:val="16"/>
                <w:u w:val="none"/>
              </w:rPr>
              <w:tab/>
              <w:t>(192)</w:t>
            </w:r>
          </w:p>
        </w:tc>
      </w:tr>
      <w:tr>
        <w:tblPrEx>
          <w:tblW w:w="10245" w:type="dxa"/>
          <w:tblInd w:w="0" w:type="dxa"/>
          <w:tblLayout w:type="fixed"/>
        </w:tblPrEx>
        <w:trPr>
          <w:trHeight w:hRule="exact" w:val="255"/>
        </w:trPr>
        <w:tc>
          <w:tcPr>
            <w:tcW w:w="757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88" w:lineRule="auto"/>
              <w:ind w:left="375"/>
              <w:jc w:val="left"/>
            </w:pPr>
            <w:r>
              <w:rPr>
                <w:rFonts w:ascii="Times New Roman" w:eastAsia="Times New Roman" w:hAnsi="Times New Roman" w:cs="Times New Roman"/>
                <w:b w:val="0"/>
                <w:i w:val="0"/>
                <w:color w:val="000000"/>
                <w:sz w:val="16"/>
                <w:u w:val="none"/>
              </w:rPr>
              <w:t>Software capitalization costs</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752"/>
              </w:tabs>
              <w:spacing w:before="53" w:after="30" w:line="288" w:lineRule="auto"/>
              <w:jc w:val="right"/>
            </w:pPr>
            <w:r>
              <w:rPr>
                <w:rFonts w:ascii="Times New Roman" w:eastAsia="Times New Roman" w:hAnsi="Times New Roman" w:cs="Times New Roman"/>
                <w:b w:val="0"/>
                <w:i w:val="0"/>
                <w:color w:val="000000"/>
                <w:sz w:val="16"/>
                <w:u w:val="none"/>
              </w:rPr>
              <w:tab/>
              <w:t>(3,236)</w:t>
            </w:r>
          </w:p>
        </w:tc>
        <w:tc>
          <w:tcPr>
            <w:tcW w:w="60"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752"/>
              </w:tabs>
              <w:spacing w:before="53" w:after="30" w:line="288" w:lineRule="auto"/>
              <w:jc w:val="right"/>
            </w:pPr>
            <w:r>
              <w:rPr>
                <w:rFonts w:ascii="Times New Roman" w:eastAsia="Times New Roman" w:hAnsi="Times New Roman" w:cs="Times New Roman"/>
                <w:b w:val="0"/>
                <w:i w:val="0"/>
                <w:color w:val="000000"/>
                <w:sz w:val="16"/>
                <w:u w:val="none"/>
              </w:rPr>
              <w:tab/>
              <w:t>(2,769)</w:t>
            </w:r>
          </w:p>
        </w:tc>
      </w:tr>
      <w:tr>
        <w:tblPrEx>
          <w:tblW w:w="10245" w:type="dxa"/>
          <w:tblInd w:w="0" w:type="dxa"/>
          <w:tblLayout w:type="fixed"/>
        </w:tblPrEx>
        <w:trPr>
          <w:trHeight w:hRule="exact" w:val="255"/>
        </w:trPr>
        <w:tc>
          <w:tcPr>
            <w:tcW w:w="757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88" w:lineRule="auto"/>
              <w:ind w:left="375"/>
              <w:jc w:val="left"/>
            </w:pPr>
            <w:r>
              <w:rPr>
                <w:rFonts w:ascii="Times New Roman" w:eastAsia="Times New Roman" w:hAnsi="Times New Roman" w:cs="Times New Roman"/>
                <w:b w:val="0"/>
                <w:i w:val="0"/>
                <w:color w:val="000000"/>
                <w:sz w:val="16"/>
                <w:u w:val="none"/>
              </w:rPr>
              <w:t>Purchases of available-for-sale securities</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52"/>
              </w:tabs>
              <w:spacing w:before="53" w:after="30" w:line="288" w:lineRule="auto"/>
              <w:jc w:val="right"/>
            </w:pPr>
            <w:r>
              <w:rPr>
                <w:rFonts w:ascii="Times New Roman" w:eastAsia="Times New Roman" w:hAnsi="Times New Roman" w:cs="Times New Roman"/>
                <w:b w:val="0"/>
                <w:i w:val="0"/>
                <w:color w:val="000000"/>
                <w:sz w:val="16"/>
                <w:u w:val="none"/>
              </w:rPr>
              <w:tab/>
              <w:t>(4,051)</w:t>
            </w:r>
          </w:p>
        </w:tc>
        <w:tc>
          <w:tcPr>
            <w:tcW w:w="6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52"/>
              </w:tabs>
              <w:spacing w:before="53" w:after="30" w:line="288" w:lineRule="auto"/>
              <w:jc w:val="right"/>
            </w:pPr>
            <w:r>
              <w:rPr>
                <w:rFonts w:ascii="Times New Roman" w:eastAsia="Times New Roman" w:hAnsi="Times New Roman" w:cs="Times New Roman"/>
                <w:b w:val="0"/>
                <w:i w:val="0"/>
                <w:color w:val="000000"/>
                <w:sz w:val="16"/>
                <w:u w:val="none"/>
              </w:rPr>
              <w:tab/>
              <w:t>(6,589)</w:t>
            </w:r>
          </w:p>
        </w:tc>
      </w:tr>
      <w:tr>
        <w:tblPrEx>
          <w:tblW w:w="10245" w:type="dxa"/>
          <w:tblInd w:w="0" w:type="dxa"/>
          <w:tblLayout w:type="fixed"/>
        </w:tblPrEx>
        <w:trPr>
          <w:trHeight w:hRule="exact" w:val="255"/>
        </w:trPr>
        <w:tc>
          <w:tcPr>
            <w:tcW w:w="757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88" w:lineRule="auto"/>
              <w:ind w:left="375"/>
              <w:jc w:val="left"/>
            </w:pPr>
            <w:r>
              <w:rPr>
                <w:rFonts w:ascii="Times New Roman" w:eastAsia="Times New Roman" w:hAnsi="Times New Roman" w:cs="Times New Roman"/>
                <w:b w:val="0"/>
                <w:i w:val="0"/>
                <w:color w:val="000000"/>
                <w:sz w:val="16"/>
                <w:u w:val="none"/>
              </w:rPr>
              <w:t>Proceeds from sales and maturities of available-for-sale securities</w:t>
            </w:r>
          </w:p>
        </w:tc>
        <w:tc>
          <w:tcPr>
            <w:tcW w:w="130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826"/>
                <w:tab w:val="left" w:pos="1237"/>
              </w:tabs>
              <w:spacing w:before="53" w:after="30" w:line="288" w:lineRule="auto"/>
              <w:jc w:val="right"/>
            </w:pPr>
            <w:r>
              <w:rPr>
                <w:rFonts w:ascii="Times New Roman" w:eastAsia="Times New Roman" w:hAnsi="Times New Roman" w:cs="Times New Roman"/>
                <w:b w:val="0"/>
                <w:i w:val="0"/>
                <w:color w:val="000000"/>
                <w:sz w:val="16"/>
                <w:u w:val="none"/>
              </w:rPr>
              <w:tab/>
              <w:t>6,847</w:t>
              <w:tab/>
            </w:r>
          </w:p>
        </w:tc>
        <w:tc>
          <w:tcPr>
            <w:tcW w:w="60"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826"/>
                <w:tab w:val="left" w:pos="1237"/>
              </w:tabs>
              <w:spacing w:before="53" w:after="30" w:line="288" w:lineRule="auto"/>
              <w:jc w:val="right"/>
            </w:pPr>
            <w:r>
              <w:rPr>
                <w:rFonts w:ascii="Times New Roman" w:eastAsia="Times New Roman" w:hAnsi="Times New Roman" w:cs="Times New Roman"/>
                <w:b w:val="0"/>
                <w:i w:val="0"/>
                <w:color w:val="000000"/>
                <w:sz w:val="16"/>
                <w:u w:val="none"/>
              </w:rPr>
              <w:tab/>
              <w:t>3,266</w:t>
              <w:tab/>
            </w:r>
          </w:p>
        </w:tc>
      </w:tr>
      <w:tr>
        <w:tblPrEx>
          <w:tblW w:w="10245" w:type="dxa"/>
          <w:tblInd w:w="0" w:type="dxa"/>
          <w:tblLayout w:type="fixed"/>
        </w:tblPrEx>
        <w:trPr>
          <w:trHeight w:hRule="exact" w:val="255"/>
        </w:trPr>
        <w:tc>
          <w:tcPr>
            <w:tcW w:w="757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33" w:after="30" w:line="288" w:lineRule="auto"/>
              <w:ind w:firstLine="180"/>
              <w:jc w:val="left"/>
            </w:pPr>
            <w:r>
              <w:rPr>
                <w:rFonts w:ascii="Times New Roman" w:eastAsia="Times New Roman" w:hAnsi="Times New Roman" w:cs="Times New Roman"/>
                <w:b w:val="0"/>
                <w:i w:val="0"/>
                <w:color w:val="000000"/>
                <w:sz w:val="16"/>
                <w:u w:val="none"/>
              </w:rPr>
              <w:t>Net cash used in investing activities</w:t>
            </w:r>
          </w:p>
        </w:tc>
        <w:tc>
          <w:tcPr>
            <w:tcW w:w="1305" w:type="dxa"/>
            <w:tcBorders>
              <w:top w:val="single" w:sz="8" w:space="0" w:color="000000"/>
              <w:left w:val="nil"/>
              <w:bottom w:val="nil"/>
              <w:right w:val="nil"/>
            </w:tcBorders>
            <w:shd w:val="clear" w:color="auto" w:fill="FFFFFF"/>
            <w:tcMar>
              <w:top w:w="0" w:type="dxa"/>
              <w:left w:w="0" w:type="dxa"/>
              <w:bottom w:w="0" w:type="dxa"/>
              <w:right w:w="15" w:type="dxa"/>
            </w:tcMar>
            <w:vAlign w:val="bottom"/>
          </w:tcPr>
          <w:p>
            <w:pPr>
              <w:keepNext/>
              <w:pageBreakBefore w:val="0"/>
              <w:tabs>
                <w:tab w:val="left" w:pos="752"/>
              </w:tabs>
              <w:spacing w:before="33" w:after="30" w:line="288" w:lineRule="auto"/>
              <w:jc w:val="right"/>
            </w:pPr>
            <w:r>
              <w:rPr>
                <w:rFonts w:ascii="Times New Roman" w:eastAsia="Times New Roman" w:hAnsi="Times New Roman" w:cs="Times New Roman"/>
                <w:b w:val="0"/>
                <w:i w:val="0"/>
                <w:color w:val="000000"/>
                <w:sz w:val="16"/>
                <w:u w:val="none"/>
              </w:rPr>
              <w:tab/>
              <w:t>(5,379)</w:t>
            </w:r>
          </w:p>
        </w:tc>
        <w:tc>
          <w:tcPr>
            <w:tcW w:w="6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single" w:sz="8" w:space="0" w:color="000000"/>
              <w:left w:val="nil"/>
              <w:bottom w:val="nil"/>
              <w:right w:val="nil"/>
            </w:tcBorders>
            <w:shd w:val="clear" w:color="auto" w:fill="FFFFFF"/>
            <w:tcMar>
              <w:top w:w="0" w:type="dxa"/>
              <w:left w:w="0" w:type="dxa"/>
              <w:bottom w:w="0" w:type="dxa"/>
              <w:right w:w="15" w:type="dxa"/>
            </w:tcMar>
            <w:vAlign w:val="bottom"/>
          </w:tcPr>
          <w:p>
            <w:pPr>
              <w:keepNext/>
              <w:pageBreakBefore w:val="0"/>
              <w:tabs>
                <w:tab w:val="left" w:pos="672"/>
              </w:tabs>
              <w:spacing w:before="33" w:after="30" w:line="288" w:lineRule="auto"/>
              <w:jc w:val="right"/>
            </w:pPr>
            <w:r>
              <w:rPr>
                <w:rFonts w:ascii="Times New Roman" w:eastAsia="Times New Roman" w:hAnsi="Times New Roman" w:cs="Times New Roman"/>
                <w:b w:val="0"/>
                <w:i w:val="0"/>
                <w:color w:val="000000"/>
                <w:sz w:val="16"/>
                <w:u w:val="none"/>
              </w:rPr>
              <w:tab/>
              <w:t>(12,630)</w:t>
            </w:r>
          </w:p>
        </w:tc>
      </w:tr>
      <w:tr>
        <w:tblPrEx>
          <w:tblW w:w="10245" w:type="dxa"/>
          <w:tblInd w:w="0" w:type="dxa"/>
          <w:tblLayout w:type="fixed"/>
        </w:tblPrEx>
        <w:trPr>
          <w:trHeight w:hRule="exact" w:val="255"/>
        </w:trPr>
        <w:tc>
          <w:tcPr>
            <w:tcW w:w="757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88" w:lineRule="auto"/>
              <w:jc w:val="left"/>
            </w:pPr>
            <w:r>
              <w:rPr>
                <w:rFonts w:ascii="Times New Roman" w:eastAsia="Times New Roman" w:hAnsi="Times New Roman" w:cs="Times New Roman"/>
                <w:b w:val="0"/>
                <w:i w:val="0"/>
                <w:color w:val="000000"/>
                <w:sz w:val="16"/>
                <w:u w:val="none"/>
              </w:rPr>
              <w:t>Cash flows from financing activities:</w:t>
            </w:r>
          </w:p>
        </w:tc>
        <w:tc>
          <w:tcPr>
            <w:tcW w:w="130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60"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r>
      <w:tr>
        <w:tblPrEx>
          <w:tblW w:w="10245" w:type="dxa"/>
          <w:tblInd w:w="0" w:type="dxa"/>
          <w:tblLayout w:type="fixed"/>
        </w:tblPrEx>
        <w:trPr>
          <w:trHeight w:hRule="exact" w:val="255"/>
        </w:trPr>
        <w:tc>
          <w:tcPr>
            <w:tcW w:w="757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88" w:lineRule="auto"/>
              <w:ind w:left="375"/>
              <w:jc w:val="left"/>
            </w:pPr>
            <w:r>
              <w:rPr>
                <w:rFonts w:ascii="Times New Roman" w:eastAsia="Times New Roman" w:hAnsi="Times New Roman" w:cs="Times New Roman"/>
                <w:b w:val="0"/>
                <w:i w:val="0"/>
                <w:color w:val="000000"/>
                <w:sz w:val="16"/>
                <w:u w:val="none"/>
              </w:rPr>
              <w:t>Payments of finance lease principal</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52"/>
              </w:tabs>
              <w:spacing w:before="53" w:after="30" w:line="288" w:lineRule="auto"/>
              <w:jc w:val="right"/>
            </w:pPr>
            <w:r>
              <w:rPr>
                <w:rFonts w:ascii="Times New Roman" w:eastAsia="Times New Roman" w:hAnsi="Times New Roman" w:cs="Times New Roman"/>
                <w:b w:val="0"/>
                <w:i w:val="0"/>
                <w:color w:val="000000"/>
                <w:sz w:val="16"/>
                <w:u w:val="none"/>
              </w:rPr>
              <w:tab/>
              <w:t>(15)</w:t>
            </w:r>
          </w:p>
        </w:tc>
        <w:tc>
          <w:tcPr>
            <w:tcW w:w="6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026"/>
                <w:tab w:val="left" w:pos="1237"/>
              </w:tabs>
              <w:spacing w:before="53" w:after="30" w:line="288" w:lineRule="auto"/>
              <w:jc w:val="right"/>
            </w:pPr>
            <w:r>
              <w:rPr>
                <w:rFonts w:ascii="Times New Roman" w:eastAsia="Times New Roman" w:hAnsi="Times New Roman" w:cs="Times New Roman"/>
                <w:b w:val="0"/>
                <w:i w:val="0"/>
                <w:color w:val="000000"/>
                <w:sz w:val="16"/>
                <w:u w:val="none"/>
              </w:rPr>
              <w:tab/>
              <w:t>—</w:t>
              <w:tab/>
            </w:r>
          </w:p>
        </w:tc>
      </w:tr>
      <w:tr>
        <w:tblPrEx>
          <w:tblW w:w="10245" w:type="dxa"/>
          <w:tblInd w:w="0" w:type="dxa"/>
          <w:tblLayout w:type="fixed"/>
        </w:tblPrEx>
        <w:trPr>
          <w:trHeight w:hRule="exact" w:val="255"/>
        </w:trPr>
        <w:tc>
          <w:tcPr>
            <w:tcW w:w="757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88" w:lineRule="auto"/>
              <w:ind w:left="375"/>
              <w:jc w:val="left"/>
            </w:pPr>
            <w:r>
              <w:rPr>
                <w:rFonts w:ascii="Times New Roman" w:eastAsia="Times New Roman" w:hAnsi="Times New Roman" w:cs="Times New Roman"/>
                <w:b w:val="0"/>
                <w:i w:val="0"/>
                <w:color w:val="000000"/>
                <w:sz w:val="16"/>
                <w:u w:val="none"/>
              </w:rPr>
              <w:t>Payments made on amounts due for the acquisition of intangible assets</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952"/>
              </w:tabs>
              <w:spacing w:before="53" w:after="30" w:line="288" w:lineRule="auto"/>
              <w:jc w:val="right"/>
            </w:pPr>
            <w:r>
              <w:rPr>
                <w:rFonts w:ascii="Times New Roman" w:eastAsia="Times New Roman" w:hAnsi="Times New Roman" w:cs="Times New Roman"/>
                <w:b w:val="0"/>
                <w:i w:val="0"/>
                <w:color w:val="000000"/>
                <w:sz w:val="16"/>
                <w:u w:val="none"/>
              </w:rPr>
              <w:tab/>
              <w:t>(31)</w:t>
            </w:r>
          </w:p>
        </w:tc>
        <w:tc>
          <w:tcPr>
            <w:tcW w:w="60"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872"/>
              </w:tabs>
              <w:spacing w:before="53" w:after="30" w:line="288" w:lineRule="auto"/>
              <w:jc w:val="right"/>
            </w:pPr>
            <w:r>
              <w:rPr>
                <w:rFonts w:ascii="Times New Roman" w:eastAsia="Times New Roman" w:hAnsi="Times New Roman" w:cs="Times New Roman"/>
                <w:b w:val="0"/>
                <w:i w:val="0"/>
                <w:color w:val="000000"/>
                <w:sz w:val="16"/>
                <w:u w:val="none"/>
              </w:rPr>
              <w:tab/>
              <w:t>(723)</w:t>
            </w:r>
          </w:p>
        </w:tc>
      </w:tr>
      <w:tr>
        <w:tblPrEx>
          <w:tblW w:w="10245" w:type="dxa"/>
          <w:tblInd w:w="0" w:type="dxa"/>
          <w:tblLayout w:type="fixed"/>
        </w:tblPrEx>
        <w:trPr>
          <w:trHeight w:hRule="exact" w:val="255"/>
        </w:trPr>
        <w:tc>
          <w:tcPr>
            <w:tcW w:w="757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88" w:lineRule="auto"/>
              <w:ind w:left="375"/>
              <w:jc w:val="left"/>
            </w:pPr>
            <w:r>
              <w:rPr>
                <w:rFonts w:ascii="Times New Roman" w:eastAsia="Times New Roman" w:hAnsi="Times New Roman" w:cs="Times New Roman"/>
                <w:b w:val="0"/>
                <w:i w:val="0"/>
                <w:color w:val="000000"/>
                <w:sz w:val="16"/>
                <w:u w:val="none"/>
              </w:rPr>
              <w:t>Net proceeds from (settlements for) common stock transactions</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872"/>
              </w:tabs>
              <w:spacing w:before="53" w:after="30" w:line="288" w:lineRule="auto"/>
              <w:jc w:val="right"/>
            </w:pPr>
            <w:r>
              <w:rPr>
                <w:rFonts w:ascii="Times New Roman" w:eastAsia="Times New Roman" w:hAnsi="Times New Roman" w:cs="Times New Roman"/>
                <w:b w:val="0"/>
                <w:i w:val="0"/>
                <w:color w:val="000000"/>
                <w:sz w:val="16"/>
                <w:u w:val="none"/>
              </w:rPr>
              <w:tab/>
              <w:t>(305)</w:t>
            </w:r>
          </w:p>
        </w:tc>
        <w:tc>
          <w:tcPr>
            <w:tcW w:w="6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46"/>
                <w:tab w:val="left" w:pos="1237"/>
              </w:tabs>
              <w:spacing w:before="53" w:after="30" w:line="288" w:lineRule="auto"/>
              <w:jc w:val="right"/>
            </w:pPr>
            <w:r>
              <w:rPr>
                <w:rFonts w:ascii="Times New Roman" w:eastAsia="Times New Roman" w:hAnsi="Times New Roman" w:cs="Times New Roman"/>
                <w:b w:val="0"/>
                <w:i w:val="0"/>
                <w:color w:val="000000"/>
                <w:sz w:val="16"/>
                <w:u w:val="none"/>
              </w:rPr>
              <w:tab/>
              <w:t>441</w:t>
              <w:tab/>
            </w:r>
          </w:p>
        </w:tc>
      </w:tr>
      <w:tr>
        <w:tblPrEx>
          <w:tblW w:w="10245" w:type="dxa"/>
          <w:tblInd w:w="0" w:type="dxa"/>
          <w:tblLayout w:type="fixed"/>
        </w:tblPrEx>
        <w:trPr>
          <w:trHeight w:hRule="exact" w:val="255"/>
        </w:trPr>
        <w:tc>
          <w:tcPr>
            <w:tcW w:w="757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88" w:lineRule="auto"/>
              <w:ind w:left="375"/>
              <w:jc w:val="left"/>
            </w:pPr>
            <w:r>
              <w:rPr>
                <w:rFonts w:ascii="Times New Roman" w:eastAsia="Times New Roman" w:hAnsi="Times New Roman" w:cs="Times New Roman"/>
                <w:b w:val="0"/>
                <w:i w:val="0"/>
                <w:color w:val="000000"/>
                <w:sz w:val="16"/>
                <w:u w:val="none"/>
              </w:rPr>
              <w:t>Net change in client fund obligations</w:t>
            </w:r>
          </w:p>
        </w:tc>
        <w:tc>
          <w:tcPr>
            <w:tcW w:w="130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672"/>
              </w:tabs>
              <w:spacing w:before="53" w:after="30" w:line="288" w:lineRule="auto"/>
              <w:jc w:val="right"/>
            </w:pPr>
            <w:r>
              <w:rPr>
                <w:rFonts w:ascii="Times New Roman" w:eastAsia="Times New Roman" w:hAnsi="Times New Roman" w:cs="Times New Roman"/>
                <w:b w:val="0"/>
                <w:i w:val="0"/>
                <w:color w:val="000000"/>
                <w:sz w:val="16"/>
                <w:u w:val="none"/>
              </w:rPr>
              <w:tab/>
              <w:t>(11,177)</w:t>
            </w:r>
          </w:p>
        </w:tc>
        <w:tc>
          <w:tcPr>
            <w:tcW w:w="60"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746"/>
                <w:tab w:val="left" w:pos="1237"/>
              </w:tabs>
              <w:spacing w:before="53" w:after="30" w:line="288" w:lineRule="auto"/>
              <w:jc w:val="right"/>
            </w:pPr>
            <w:r>
              <w:rPr>
                <w:rFonts w:ascii="Times New Roman" w:eastAsia="Times New Roman" w:hAnsi="Times New Roman" w:cs="Times New Roman"/>
                <w:b w:val="0"/>
                <w:i w:val="0"/>
                <w:color w:val="000000"/>
                <w:sz w:val="16"/>
                <w:u w:val="none"/>
              </w:rPr>
              <w:tab/>
              <w:t>64,207</w:t>
              <w:tab/>
            </w:r>
          </w:p>
        </w:tc>
      </w:tr>
      <w:tr>
        <w:tblPrEx>
          <w:tblW w:w="10245" w:type="dxa"/>
          <w:tblInd w:w="0" w:type="dxa"/>
          <w:tblLayout w:type="fixed"/>
        </w:tblPrEx>
        <w:trPr>
          <w:trHeight w:hRule="exact" w:val="255"/>
        </w:trPr>
        <w:tc>
          <w:tcPr>
            <w:tcW w:w="757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33" w:after="30" w:line="288" w:lineRule="auto"/>
              <w:ind w:firstLine="180"/>
              <w:jc w:val="left"/>
            </w:pPr>
            <w:r>
              <w:rPr>
                <w:rFonts w:ascii="Times New Roman" w:eastAsia="Times New Roman" w:hAnsi="Times New Roman" w:cs="Times New Roman"/>
                <w:b w:val="0"/>
                <w:i w:val="0"/>
                <w:color w:val="000000"/>
                <w:sz w:val="16"/>
                <w:u w:val="none"/>
              </w:rPr>
              <w:t>Net cash provided by (used in) financing activities</w:t>
            </w:r>
          </w:p>
        </w:tc>
        <w:tc>
          <w:tcPr>
            <w:tcW w:w="1305" w:type="dxa"/>
            <w:tcBorders>
              <w:top w:val="single" w:sz="8" w:space="0" w:color="000000"/>
              <w:left w:val="nil"/>
              <w:bottom w:val="nil"/>
              <w:right w:val="nil"/>
            </w:tcBorders>
            <w:shd w:val="clear" w:color="auto" w:fill="FFFFFF"/>
            <w:tcMar>
              <w:top w:w="0" w:type="dxa"/>
              <w:left w:w="0" w:type="dxa"/>
              <w:bottom w:w="0" w:type="dxa"/>
              <w:right w:w="15" w:type="dxa"/>
            </w:tcMar>
            <w:vAlign w:val="bottom"/>
          </w:tcPr>
          <w:p>
            <w:pPr>
              <w:keepNext/>
              <w:pageBreakBefore w:val="0"/>
              <w:tabs>
                <w:tab w:val="left" w:pos="672"/>
              </w:tabs>
              <w:spacing w:before="33" w:after="30" w:line="288" w:lineRule="auto"/>
              <w:jc w:val="right"/>
            </w:pPr>
            <w:r>
              <w:rPr>
                <w:rFonts w:ascii="Times New Roman" w:eastAsia="Times New Roman" w:hAnsi="Times New Roman" w:cs="Times New Roman"/>
                <w:b w:val="0"/>
                <w:i w:val="0"/>
                <w:color w:val="000000"/>
                <w:sz w:val="16"/>
                <w:u w:val="none"/>
              </w:rPr>
              <w:tab/>
              <w:t>(11,528)</w:t>
            </w:r>
          </w:p>
        </w:tc>
        <w:tc>
          <w:tcPr>
            <w:tcW w:w="6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single" w:sz="8" w:space="0" w:color="000000"/>
              <w:left w:val="nil"/>
              <w:bottom w:val="nil"/>
              <w:right w:val="nil"/>
            </w:tcBorders>
            <w:shd w:val="clear" w:color="auto" w:fill="FFFFFF"/>
            <w:tcMar>
              <w:top w:w="0" w:type="dxa"/>
              <w:left w:w="0" w:type="dxa"/>
              <w:bottom w:w="0" w:type="dxa"/>
              <w:right w:w="15" w:type="dxa"/>
            </w:tcMar>
            <w:vAlign w:val="bottom"/>
          </w:tcPr>
          <w:p>
            <w:pPr>
              <w:keepNext/>
              <w:pageBreakBefore w:val="0"/>
              <w:tabs>
                <w:tab w:val="left" w:pos="746"/>
                <w:tab w:val="left" w:pos="1237"/>
              </w:tabs>
              <w:spacing w:before="33" w:after="30" w:line="288" w:lineRule="auto"/>
              <w:jc w:val="right"/>
            </w:pPr>
            <w:r>
              <w:rPr>
                <w:rFonts w:ascii="Times New Roman" w:eastAsia="Times New Roman" w:hAnsi="Times New Roman" w:cs="Times New Roman"/>
                <w:b w:val="0"/>
                <w:i w:val="0"/>
                <w:color w:val="000000"/>
                <w:sz w:val="16"/>
                <w:u w:val="none"/>
              </w:rPr>
              <w:tab/>
              <w:t>63,925</w:t>
              <w:tab/>
            </w:r>
          </w:p>
        </w:tc>
      </w:tr>
      <w:tr>
        <w:tblPrEx>
          <w:tblW w:w="10245" w:type="dxa"/>
          <w:tblInd w:w="0" w:type="dxa"/>
          <w:tblLayout w:type="fixed"/>
        </w:tblPrEx>
        <w:trPr>
          <w:trHeight w:hRule="exact" w:val="255"/>
        </w:trPr>
        <w:tc>
          <w:tcPr>
            <w:tcW w:w="757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88" w:lineRule="auto"/>
              <w:jc w:val="left"/>
            </w:pPr>
            <w:r>
              <w:rPr>
                <w:rFonts w:ascii="Times New Roman" w:eastAsia="Times New Roman" w:hAnsi="Times New Roman" w:cs="Times New Roman"/>
                <w:b w:val="0"/>
                <w:i w:val="0"/>
                <w:color w:val="000000"/>
                <w:sz w:val="16"/>
                <w:u w:val="none"/>
              </w:rPr>
              <w:t>Net increase (decrease) in cash, cash equivalents, restricted cash, and restricted cash equivalents</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672"/>
              </w:tabs>
              <w:spacing w:before="53" w:after="30" w:line="288" w:lineRule="auto"/>
              <w:jc w:val="right"/>
            </w:pPr>
            <w:r>
              <w:rPr>
                <w:rFonts w:ascii="Times New Roman" w:eastAsia="Times New Roman" w:hAnsi="Times New Roman" w:cs="Times New Roman"/>
                <w:b w:val="0"/>
                <w:i w:val="0"/>
                <w:color w:val="000000"/>
                <w:sz w:val="16"/>
                <w:u w:val="none"/>
              </w:rPr>
              <w:tab/>
              <w:t>(14,198)</w:t>
            </w:r>
          </w:p>
        </w:tc>
        <w:tc>
          <w:tcPr>
            <w:tcW w:w="60"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746"/>
                <w:tab w:val="left" w:pos="1237"/>
              </w:tabs>
              <w:spacing w:before="53" w:after="30" w:line="288" w:lineRule="auto"/>
              <w:jc w:val="right"/>
            </w:pPr>
            <w:r>
              <w:rPr>
                <w:rFonts w:ascii="Times New Roman" w:eastAsia="Times New Roman" w:hAnsi="Times New Roman" w:cs="Times New Roman"/>
                <w:b w:val="0"/>
                <w:i w:val="0"/>
                <w:color w:val="000000"/>
                <w:sz w:val="16"/>
                <w:u w:val="none"/>
              </w:rPr>
              <w:tab/>
              <w:t>53,291</w:t>
              <w:tab/>
            </w:r>
          </w:p>
        </w:tc>
      </w:tr>
      <w:tr>
        <w:tblPrEx>
          <w:tblW w:w="10245" w:type="dxa"/>
          <w:tblInd w:w="0" w:type="dxa"/>
          <w:tblLayout w:type="fixed"/>
        </w:tblPrEx>
        <w:trPr>
          <w:trHeight w:hRule="exact" w:val="255"/>
        </w:trPr>
        <w:tc>
          <w:tcPr>
            <w:tcW w:w="757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88" w:lineRule="auto"/>
              <w:jc w:val="left"/>
            </w:pPr>
            <w:r>
              <w:rPr>
                <w:rFonts w:ascii="Times New Roman" w:eastAsia="Times New Roman" w:hAnsi="Times New Roman" w:cs="Times New Roman"/>
                <w:b w:val="0"/>
                <w:i w:val="0"/>
                <w:color w:val="000000"/>
                <w:sz w:val="16"/>
                <w:u w:val="none"/>
              </w:rPr>
              <w:t>Cash, cash equivalents, restricted cash, and restricted cash equivalents, beginning of period</w:t>
            </w:r>
          </w:p>
        </w:tc>
        <w:tc>
          <w:tcPr>
            <w:tcW w:w="130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666"/>
                <w:tab w:val="left" w:pos="1237"/>
              </w:tabs>
              <w:spacing w:before="53" w:after="30" w:line="288" w:lineRule="auto"/>
              <w:jc w:val="right"/>
            </w:pPr>
            <w:r>
              <w:rPr>
                <w:rFonts w:ascii="Times New Roman" w:eastAsia="Times New Roman" w:hAnsi="Times New Roman" w:cs="Times New Roman"/>
                <w:b w:val="0"/>
                <w:i w:val="0"/>
                <w:color w:val="000000"/>
                <w:sz w:val="16"/>
                <w:u w:val="none"/>
              </w:rPr>
              <w:tab/>
              <w:t>164,703</w:t>
              <w:tab/>
            </w:r>
          </w:p>
        </w:tc>
        <w:tc>
          <w:tcPr>
            <w:tcW w:w="6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666"/>
                <w:tab w:val="left" w:pos="1237"/>
              </w:tabs>
              <w:spacing w:before="53" w:after="30" w:line="288" w:lineRule="auto"/>
              <w:jc w:val="right"/>
            </w:pPr>
            <w:r>
              <w:rPr>
                <w:rFonts w:ascii="Times New Roman" w:eastAsia="Times New Roman" w:hAnsi="Times New Roman" w:cs="Times New Roman"/>
                <w:b w:val="0"/>
                <w:i w:val="0"/>
                <w:color w:val="000000"/>
                <w:sz w:val="16"/>
                <w:u w:val="none"/>
              </w:rPr>
              <w:tab/>
              <w:t>145,712</w:t>
              <w:tab/>
            </w:r>
          </w:p>
        </w:tc>
      </w:tr>
      <w:tr>
        <w:tblPrEx>
          <w:tblW w:w="10245" w:type="dxa"/>
          <w:tblInd w:w="0" w:type="dxa"/>
          <w:tblLayout w:type="fixed"/>
        </w:tblPrEx>
        <w:trPr>
          <w:trHeight w:hRule="exact" w:val="255"/>
        </w:trPr>
        <w:tc>
          <w:tcPr>
            <w:tcW w:w="7575" w:type="dxa"/>
            <w:tcBorders>
              <w:top w:val="nil"/>
              <w:left w:val="nil"/>
              <w:bottom w:val="nil"/>
              <w:right w:val="nil"/>
            </w:tcBorders>
            <w:shd w:val="clear" w:color="auto" w:fill="CCEEFF"/>
            <w:tcMar>
              <w:top w:w="0" w:type="dxa"/>
              <w:left w:w="53" w:type="dxa"/>
              <w:bottom w:w="0" w:type="dxa"/>
              <w:right w:w="53" w:type="dxa"/>
            </w:tcMar>
            <w:vAlign w:val="bottom"/>
          </w:tcPr>
          <w:p>
            <w:pPr>
              <w:pageBreakBefore w:val="0"/>
              <w:spacing w:before="33" w:after="30" w:line="288" w:lineRule="auto"/>
              <w:jc w:val="left"/>
            </w:pPr>
            <w:r>
              <w:rPr>
                <w:rFonts w:ascii="Times New Roman" w:eastAsia="Times New Roman" w:hAnsi="Times New Roman" w:cs="Times New Roman"/>
                <w:b w:val="0"/>
                <w:i w:val="0"/>
                <w:color w:val="000000"/>
                <w:sz w:val="16"/>
                <w:u w:val="none"/>
              </w:rPr>
              <w:t>Cash, cash equivalents, restricted cash, and restricted cash equivalents, end of period</w:t>
            </w:r>
          </w:p>
        </w:tc>
        <w:tc>
          <w:tcPr>
            <w:tcW w:w="130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666"/>
                <w:tab w:val="left" w:pos="1237"/>
              </w:tabs>
              <w:spacing w:before="33" w:after="30" w:line="288" w:lineRule="auto"/>
              <w:jc w:val="right"/>
            </w:pPr>
            <w:r>
              <w:rPr>
                <w:rFonts w:ascii="Times New Roman" w:eastAsia="Times New Roman" w:hAnsi="Times New Roman" w:cs="Times New Roman"/>
                <w:b w:val="0"/>
                <w:i w:val="0"/>
                <w:color w:val="000000"/>
                <w:sz w:val="16"/>
                <w:u w:val="none"/>
              </w:rPr>
              <w:t>$</w:t>
              <w:tab/>
              <w:t>150,505</w:t>
              <w:tab/>
            </w:r>
          </w:p>
        </w:tc>
        <w:tc>
          <w:tcPr>
            <w:tcW w:w="60"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pPr>
          </w:p>
        </w:tc>
        <w:tc>
          <w:tcPr>
            <w:tcW w:w="130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666"/>
                <w:tab w:val="left" w:pos="1237"/>
              </w:tabs>
              <w:spacing w:before="33" w:after="30" w:line="288" w:lineRule="auto"/>
              <w:jc w:val="right"/>
            </w:pPr>
            <w:r>
              <w:rPr>
                <w:rFonts w:ascii="Times New Roman" w:eastAsia="Times New Roman" w:hAnsi="Times New Roman" w:cs="Times New Roman"/>
                <w:b w:val="0"/>
                <w:i w:val="0"/>
                <w:color w:val="000000"/>
                <w:sz w:val="16"/>
                <w:u w:val="none"/>
              </w:rPr>
              <w:t>$</w:t>
              <w:tab/>
              <w:t>199,003</w:t>
              <w:tab/>
            </w:r>
          </w:p>
        </w:tc>
      </w:tr>
    </w:tbl>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The accompanying notes are an integral part of these Condensed Consolidated Financial Statements.</w:t>
      </w:r>
    </w:p>
    <w:p>
      <w:pPr>
        <w:keepNext w:val="0"/>
        <w:keepLines/>
        <w:pageBreakBefore/>
        <w:widowControl w:val="0"/>
        <w:numPr>
          <w:ilvl w:val="0"/>
          <w:numId w:val="0"/>
        </w:numPr>
        <w:spacing w:before="0" w:after="0" w:line="288" w:lineRule="auto"/>
        <w:ind w:left="0" w:right="0" w:firstLine="0"/>
        <w:jc w:val="center"/>
        <w:outlineLvl w:val="9"/>
        <w:rPr>
          <w:rFonts w:ascii="Times New Roman" w:eastAsia="Times New Roman" w:hAnsi="Times New Roman" w:cs="Times New Roman"/>
          <w:b/>
          <w:i w:val="0"/>
          <w:sz w:val="20"/>
        </w:rPr>
      </w:pPr>
      <w:r>
        <w:rPr>
          <w:rFonts w:ascii="Times New Roman" w:eastAsia="Times New Roman" w:hAnsi="Times New Roman" w:cs="Times New Roman"/>
          <w:b/>
          <w:i w:val="0"/>
          <w:sz w:val="20"/>
        </w:rPr>
        <w:t>ASURE SOFTWARE, INC.</w:t>
      </w:r>
    </w:p>
    <w:p>
      <w:pPr>
        <w:keepNext/>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i w:val="0"/>
          <w:sz w:val="20"/>
        </w:rPr>
      </w:pPr>
      <w:r>
        <w:rPr>
          <w:rFonts w:ascii="Times New Roman" w:eastAsia="Times New Roman" w:hAnsi="Times New Roman" w:cs="Times New Roman"/>
          <w:b/>
          <w:i w:val="0"/>
          <w:sz w:val="20"/>
        </w:rPr>
        <w:t>CONDENSED CONSOLIDATED STATEMENTS OF CASH FLOWS (continued)</w:t>
      </w:r>
    </w:p>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16"/>
        </w:rPr>
      </w:pPr>
      <w:r>
        <w:rPr>
          <w:rFonts w:ascii="Times New Roman" w:eastAsia="Times New Roman" w:hAnsi="Times New Roman" w:cs="Times New Roman"/>
          <w:b w:val="0"/>
          <w:i w:val="0"/>
          <w:sz w:val="16"/>
        </w:rPr>
        <w:t>(in thousands)</w:t>
      </w:r>
    </w:p>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16"/>
        </w:rPr>
      </w:pPr>
      <w:r>
        <w:rPr>
          <w:rFonts w:ascii="Times New Roman" w:eastAsia="Times New Roman" w:hAnsi="Times New Roman" w:cs="Times New Roman"/>
          <w:b w:val="0"/>
          <w:i w:val="0"/>
          <w:sz w:val="16"/>
        </w:rPr>
        <w:t>(Unaudited)</w:t>
      </w:r>
    </w:p>
    <w:tbl>
      <w:tblPr>
        <w:tblStyle w:val="TableNormal0"/>
        <w:tblW w:w="10245" w:type="dxa"/>
        <w:jc w:val="center"/>
        <w:tblLayout w:type="fixed"/>
      </w:tblPr>
      <w:tblGrid>
        <w:gridCol w:w="7575"/>
        <w:gridCol w:w="1305"/>
        <w:gridCol w:w="60"/>
        <w:gridCol w:w="1305"/>
      </w:tblGrid>
      <w:tr>
        <w:tblPrEx>
          <w:tblW w:w="10245" w:type="dxa"/>
          <w:tblLayout w:type="fixed"/>
        </w:tblPrEx>
        <w:trPr>
          <w:trHeight w:hRule="exact" w:val="255"/>
        </w:trPr>
        <w:tc>
          <w:tcPr>
            <w:tcW w:w="75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2670" w:type="dxa"/>
            <w:gridSpan w:val="3"/>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i w:val="0"/>
                <w:color w:val="000000"/>
                <w:sz w:val="16"/>
                <w:u w:val="none"/>
              </w:rPr>
              <w:t>Three Months Ended March 31,</w:t>
            </w:r>
          </w:p>
        </w:tc>
      </w:tr>
      <w:tr>
        <w:tblPrEx>
          <w:tblW w:w="10245" w:type="dxa"/>
          <w:tblLayout w:type="fixed"/>
        </w:tblPrEx>
        <w:trPr>
          <w:trHeight w:hRule="exact" w:val="255"/>
        </w:trPr>
        <w:tc>
          <w:tcPr>
            <w:tcW w:w="75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30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33" w:after="30" w:line="240" w:lineRule="auto"/>
              <w:jc w:val="center"/>
            </w:pPr>
            <w:r>
              <w:rPr>
                <w:rFonts w:ascii="Times New Roman" w:eastAsia="Times New Roman" w:hAnsi="Times New Roman" w:cs="Times New Roman"/>
                <w:b/>
                <w:i w:val="0"/>
                <w:color w:val="000000"/>
                <w:sz w:val="16"/>
                <w:u w:val="none"/>
              </w:rPr>
              <w:t>2026</w:t>
            </w:r>
          </w:p>
        </w:tc>
        <w:tc>
          <w:tcPr>
            <w:tcW w:w="60" w:type="dxa"/>
            <w:tcBorders>
              <w:top w:val="single" w:sz="8" w:space="0" w:color="000000"/>
              <w:left w:val="nil"/>
              <w:bottom w:val="nil"/>
              <w:right w:val="nil"/>
            </w:tcBorders>
            <w:tcMar>
              <w:top w:w="0" w:type="dxa"/>
              <w:left w:w="0" w:type="dxa"/>
              <w:bottom w:w="0" w:type="dxa"/>
              <w:right w:w="0" w:type="dxa"/>
            </w:tcMar>
            <w:vAlign w:val="bottom"/>
          </w:tcPr>
          <w:p>
            <w:pPr>
              <w:keepNext/>
              <w:pageBreakBefore w:val="0"/>
              <w:spacing w:before="0" w:after="0"/>
            </w:pPr>
          </w:p>
        </w:tc>
        <w:tc>
          <w:tcPr>
            <w:tcW w:w="1305" w:type="dxa"/>
            <w:tcBorders>
              <w:top w:val="single" w:sz="8" w:space="0" w:color="000000"/>
              <w:left w:val="nil"/>
              <w:bottom w:val="single" w:sz="8" w:space="0" w:color="000000"/>
              <w:right w:val="nil"/>
            </w:tcBorders>
            <w:tcMar>
              <w:top w:w="0" w:type="dxa"/>
              <w:left w:w="53" w:type="dxa"/>
              <w:bottom w:w="0" w:type="dxa"/>
              <w:right w:w="53" w:type="dxa"/>
            </w:tcMar>
            <w:vAlign w:val="bottom"/>
          </w:tcPr>
          <w:p>
            <w:pPr>
              <w:keepNext/>
              <w:pageBreakBefore w:val="0"/>
              <w:spacing w:before="33" w:after="30" w:line="240" w:lineRule="auto"/>
              <w:jc w:val="center"/>
            </w:pPr>
            <w:r>
              <w:rPr>
                <w:rFonts w:ascii="Times New Roman" w:eastAsia="Times New Roman" w:hAnsi="Times New Roman" w:cs="Times New Roman"/>
                <w:b/>
                <w:i w:val="0"/>
                <w:color w:val="000000"/>
                <w:sz w:val="16"/>
                <w:u w:val="none"/>
              </w:rPr>
              <w:t>2025</w:t>
            </w:r>
          </w:p>
        </w:tc>
      </w:tr>
      <w:tr>
        <w:tblPrEx>
          <w:tblW w:w="10245" w:type="dxa"/>
          <w:tblLayout w:type="fixed"/>
        </w:tblPrEx>
        <w:trPr>
          <w:trHeight w:hRule="exact" w:val="255"/>
        </w:trPr>
        <w:tc>
          <w:tcPr>
            <w:tcW w:w="10245" w:type="dxa"/>
            <w:gridSpan w:val="4"/>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33" w:after="30" w:line="288" w:lineRule="auto"/>
              <w:jc w:val="left"/>
            </w:pPr>
            <w:r>
              <w:rPr>
                <w:rFonts w:ascii="Times New Roman" w:eastAsia="Times New Roman" w:hAnsi="Times New Roman" w:cs="Times New Roman"/>
                <w:b w:val="0"/>
                <w:i w:val="0"/>
                <w:color w:val="000000"/>
                <w:sz w:val="16"/>
                <w:u w:val="none"/>
              </w:rPr>
              <w:t>Reconciliation of cash, cash equivalents, restricted cash, and restricted cash equivalents to the Condensed Consolidated Balance Sheets</w:t>
            </w:r>
          </w:p>
        </w:tc>
      </w:tr>
      <w:tr>
        <w:tblPrEx>
          <w:tblW w:w="10245" w:type="dxa"/>
          <w:tblLayout w:type="fixed"/>
        </w:tblPrEx>
        <w:trPr>
          <w:trHeight w:hRule="exact" w:val="255"/>
        </w:trPr>
        <w:tc>
          <w:tcPr>
            <w:tcW w:w="757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88" w:lineRule="auto"/>
              <w:ind w:left="240"/>
              <w:jc w:val="left"/>
            </w:pPr>
            <w:r>
              <w:rPr>
                <w:rFonts w:ascii="Times New Roman" w:eastAsia="Times New Roman" w:hAnsi="Times New Roman" w:cs="Times New Roman"/>
                <w:b w:val="0"/>
                <w:i w:val="0"/>
                <w:color w:val="000000"/>
                <w:sz w:val="16"/>
                <w:u w:val="none"/>
              </w:rPr>
              <w:t>Cash and cash equivalents</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46"/>
                <w:tab w:val="left" w:pos="1237"/>
              </w:tabs>
              <w:spacing w:before="53" w:after="30" w:line="240" w:lineRule="auto"/>
              <w:jc w:val="right"/>
            </w:pPr>
            <w:r>
              <w:rPr>
                <w:rFonts w:ascii="Times New Roman" w:eastAsia="Times New Roman" w:hAnsi="Times New Roman" w:cs="Times New Roman"/>
                <w:b w:val="0"/>
                <w:i w:val="0"/>
                <w:color w:val="000000"/>
                <w:sz w:val="16"/>
                <w:u w:val="none"/>
              </w:rPr>
              <w:t>$</w:t>
              <w:tab/>
              <w:t>19,221</w:t>
              <w:tab/>
            </w:r>
          </w:p>
        </w:tc>
        <w:tc>
          <w:tcPr>
            <w:tcW w:w="6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46"/>
                <w:tab w:val="left" w:pos="1237"/>
              </w:tabs>
              <w:spacing w:before="53" w:after="30" w:line="240" w:lineRule="auto"/>
              <w:jc w:val="right"/>
            </w:pPr>
            <w:r>
              <w:rPr>
                <w:rFonts w:ascii="Times New Roman" w:eastAsia="Times New Roman" w:hAnsi="Times New Roman" w:cs="Times New Roman"/>
                <w:b w:val="0"/>
                <w:i w:val="0"/>
                <w:color w:val="000000"/>
                <w:sz w:val="16"/>
                <w:u w:val="none"/>
              </w:rPr>
              <w:t>$</w:t>
              <w:tab/>
              <w:t>14,076</w:t>
              <w:tab/>
            </w:r>
          </w:p>
        </w:tc>
      </w:tr>
      <w:tr>
        <w:tblPrEx>
          <w:tblW w:w="10245" w:type="dxa"/>
          <w:tblLayout w:type="fixed"/>
        </w:tblPrEx>
        <w:trPr>
          <w:trHeight w:hRule="exact" w:val="255"/>
        </w:trPr>
        <w:tc>
          <w:tcPr>
            <w:tcW w:w="757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88" w:lineRule="auto"/>
              <w:ind w:left="240"/>
              <w:jc w:val="left"/>
            </w:pPr>
            <w:r>
              <w:rPr>
                <w:rFonts w:ascii="Times New Roman" w:eastAsia="Times New Roman" w:hAnsi="Times New Roman" w:cs="Times New Roman"/>
                <w:b w:val="0"/>
                <w:i w:val="0"/>
                <w:color w:val="000000"/>
                <w:sz w:val="16"/>
                <w:u w:val="none"/>
              </w:rPr>
              <w:t>Restricted cash and restricted cash equivalents included in funds held for clients</w:t>
            </w:r>
          </w:p>
        </w:tc>
        <w:tc>
          <w:tcPr>
            <w:tcW w:w="130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666"/>
                <w:tab w:val="left" w:pos="1237"/>
              </w:tabs>
              <w:spacing w:before="53" w:after="30" w:line="240" w:lineRule="auto"/>
              <w:jc w:val="right"/>
            </w:pPr>
            <w:r>
              <w:rPr>
                <w:rFonts w:ascii="Times New Roman" w:eastAsia="Times New Roman" w:hAnsi="Times New Roman" w:cs="Times New Roman"/>
                <w:b w:val="0"/>
                <w:i w:val="0"/>
                <w:color w:val="000000"/>
                <w:sz w:val="16"/>
                <w:u w:val="none"/>
              </w:rPr>
              <w:tab/>
              <w:t>131,284</w:t>
              <w:tab/>
            </w:r>
          </w:p>
        </w:tc>
        <w:tc>
          <w:tcPr>
            <w:tcW w:w="60"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666"/>
                <w:tab w:val="left" w:pos="1237"/>
              </w:tabs>
              <w:spacing w:before="53" w:after="30" w:line="240" w:lineRule="auto"/>
              <w:jc w:val="right"/>
            </w:pPr>
            <w:r>
              <w:rPr>
                <w:rFonts w:ascii="Times New Roman" w:eastAsia="Times New Roman" w:hAnsi="Times New Roman" w:cs="Times New Roman"/>
                <w:b w:val="0"/>
                <w:i w:val="0"/>
                <w:color w:val="000000"/>
                <w:sz w:val="16"/>
                <w:u w:val="none"/>
              </w:rPr>
              <w:tab/>
              <w:t>184,927</w:t>
              <w:tab/>
            </w:r>
          </w:p>
        </w:tc>
      </w:tr>
      <w:tr>
        <w:tblPrEx>
          <w:tblW w:w="10245" w:type="dxa"/>
          <w:tblLayout w:type="fixed"/>
        </w:tblPrEx>
        <w:trPr>
          <w:trHeight w:hRule="exact" w:val="255"/>
        </w:trPr>
        <w:tc>
          <w:tcPr>
            <w:tcW w:w="757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33" w:after="30" w:line="288" w:lineRule="auto"/>
              <w:jc w:val="left"/>
            </w:pPr>
            <w:r>
              <w:rPr>
                <w:rFonts w:ascii="Times New Roman" w:eastAsia="Times New Roman" w:hAnsi="Times New Roman" w:cs="Times New Roman"/>
                <w:b w:val="0"/>
                <w:i w:val="0"/>
                <w:color w:val="000000"/>
                <w:sz w:val="16"/>
                <w:u w:val="none"/>
              </w:rPr>
              <w:t>Total cash, cash equivalents, restricted cash, and restricted cash equivalents</w:t>
            </w:r>
          </w:p>
        </w:tc>
        <w:tc>
          <w:tcPr>
            <w:tcW w:w="130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keepNext/>
              <w:pageBreakBefore w:val="0"/>
              <w:tabs>
                <w:tab w:val="left" w:pos="666"/>
                <w:tab w:val="left" w:pos="1237"/>
              </w:tabs>
              <w:spacing w:before="33" w:after="30" w:line="240" w:lineRule="auto"/>
              <w:jc w:val="right"/>
            </w:pPr>
            <w:r>
              <w:rPr>
                <w:rFonts w:ascii="Times New Roman" w:eastAsia="Times New Roman" w:hAnsi="Times New Roman" w:cs="Times New Roman"/>
                <w:b w:val="0"/>
                <w:i w:val="0"/>
                <w:color w:val="000000"/>
                <w:sz w:val="16"/>
                <w:u w:val="none"/>
              </w:rPr>
              <w:t>$</w:t>
              <w:tab/>
              <w:t>150,505</w:t>
              <w:tab/>
            </w:r>
          </w:p>
        </w:tc>
        <w:tc>
          <w:tcPr>
            <w:tcW w:w="6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keepNext/>
              <w:pageBreakBefore w:val="0"/>
              <w:tabs>
                <w:tab w:val="left" w:pos="666"/>
                <w:tab w:val="left" w:pos="1237"/>
              </w:tabs>
              <w:spacing w:before="33" w:after="30" w:line="240" w:lineRule="auto"/>
              <w:jc w:val="right"/>
            </w:pPr>
            <w:r>
              <w:rPr>
                <w:rFonts w:ascii="Times New Roman" w:eastAsia="Times New Roman" w:hAnsi="Times New Roman" w:cs="Times New Roman"/>
                <w:b w:val="0"/>
                <w:i w:val="0"/>
                <w:color w:val="000000"/>
                <w:sz w:val="16"/>
                <w:u w:val="none"/>
              </w:rPr>
              <w:t>$</w:t>
              <w:tab/>
              <w:t>199,003</w:t>
              <w:tab/>
            </w:r>
          </w:p>
        </w:tc>
      </w:tr>
      <w:tr>
        <w:tblPrEx>
          <w:tblW w:w="10245" w:type="dxa"/>
          <w:tblLayout w:type="fixed"/>
        </w:tblPrEx>
        <w:trPr>
          <w:trHeight w:hRule="exact" w:val="255"/>
        </w:trPr>
        <w:tc>
          <w:tcPr>
            <w:tcW w:w="75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doub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60"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doub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r>
      <w:tr>
        <w:tblPrEx>
          <w:tblW w:w="10245" w:type="dxa"/>
          <w:tblLayout w:type="fixed"/>
        </w:tblPrEx>
        <w:trPr>
          <w:trHeight w:hRule="exact" w:val="255"/>
        </w:trPr>
        <w:tc>
          <w:tcPr>
            <w:tcW w:w="757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88" w:lineRule="auto"/>
              <w:jc w:val="left"/>
            </w:pPr>
            <w:r>
              <w:rPr>
                <w:rFonts w:ascii="Times New Roman" w:eastAsia="Times New Roman" w:hAnsi="Times New Roman" w:cs="Times New Roman"/>
                <w:b w:val="0"/>
                <w:i w:val="0"/>
                <w:color w:val="000000"/>
                <w:sz w:val="16"/>
                <w:u w:val="none"/>
              </w:rPr>
              <w:t>Supplemental information:</w:t>
            </w:r>
          </w:p>
        </w:tc>
        <w:tc>
          <w:tcPr>
            <w:tcW w:w="130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6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r>
      <w:tr>
        <w:tblPrEx>
          <w:tblW w:w="10245" w:type="dxa"/>
          <w:tblLayout w:type="fixed"/>
        </w:tblPrEx>
        <w:trPr>
          <w:trHeight w:hRule="exact" w:val="255"/>
        </w:trPr>
        <w:tc>
          <w:tcPr>
            <w:tcW w:w="757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88" w:lineRule="auto"/>
              <w:ind w:left="225"/>
              <w:jc w:val="left"/>
            </w:pPr>
            <w:r>
              <w:rPr>
                <w:rFonts w:ascii="Times New Roman" w:eastAsia="Times New Roman" w:hAnsi="Times New Roman" w:cs="Times New Roman"/>
                <w:b w:val="0"/>
                <w:i w:val="0"/>
                <w:color w:val="000000"/>
                <w:sz w:val="16"/>
                <w:u w:val="none"/>
              </w:rPr>
              <w:t>Cash paid for interest</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826"/>
                <w:tab w:val="left" w:pos="1237"/>
              </w:tabs>
              <w:spacing w:before="53" w:after="30" w:line="288" w:lineRule="auto"/>
              <w:jc w:val="right"/>
            </w:pPr>
            <w:r>
              <w:rPr>
                <w:rFonts w:ascii="Times New Roman" w:eastAsia="Times New Roman" w:hAnsi="Times New Roman" w:cs="Times New Roman"/>
                <w:b w:val="0"/>
                <w:i w:val="0"/>
                <w:color w:val="000000"/>
                <w:sz w:val="16"/>
                <w:u w:val="none"/>
              </w:rPr>
              <w:t>$</w:t>
              <w:tab/>
              <w:t>1,350</w:t>
              <w:tab/>
            </w:r>
          </w:p>
        </w:tc>
        <w:tc>
          <w:tcPr>
            <w:tcW w:w="60"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946"/>
                <w:tab w:val="left" w:pos="1237"/>
              </w:tabs>
              <w:spacing w:before="53" w:after="30" w:line="288" w:lineRule="auto"/>
              <w:jc w:val="right"/>
            </w:pPr>
            <w:r>
              <w:rPr>
                <w:rFonts w:ascii="Times New Roman" w:eastAsia="Times New Roman" w:hAnsi="Times New Roman" w:cs="Times New Roman"/>
                <w:b w:val="0"/>
                <w:i w:val="0"/>
                <w:color w:val="000000"/>
                <w:sz w:val="16"/>
                <w:u w:val="none"/>
              </w:rPr>
              <w:t>$</w:t>
              <w:tab/>
              <w:t>125</w:t>
              <w:tab/>
            </w:r>
          </w:p>
        </w:tc>
      </w:tr>
      <w:tr>
        <w:tblPrEx>
          <w:tblW w:w="10245" w:type="dxa"/>
          <w:tblLayout w:type="fixed"/>
        </w:tblPrEx>
        <w:trPr>
          <w:trHeight w:hRule="exact" w:val="285"/>
        </w:trPr>
        <w:tc>
          <w:tcPr>
            <w:tcW w:w="75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6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r>
      <w:tr>
        <w:tblPrEx>
          <w:tblW w:w="10245" w:type="dxa"/>
          <w:tblLayout w:type="fixed"/>
        </w:tblPrEx>
        <w:trPr>
          <w:trHeight w:hRule="exact" w:val="255"/>
        </w:trPr>
        <w:tc>
          <w:tcPr>
            <w:tcW w:w="757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88" w:lineRule="auto"/>
              <w:jc w:val="left"/>
            </w:pPr>
            <w:r>
              <w:rPr>
                <w:rFonts w:ascii="Times New Roman" w:eastAsia="Times New Roman" w:hAnsi="Times New Roman" w:cs="Times New Roman"/>
                <w:b w:val="0"/>
                <w:i w:val="0"/>
                <w:color w:val="000000"/>
                <w:sz w:val="16"/>
                <w:u w:val="none"/>
              </w:rPr>
              <w:t>Non-cash investing and financing activities:</w:t>
            </w:r>
          </w:p>
        </w:tc>
        <w:tc>
          <w:tcPr>
            <w:tcW w:w="130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60"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r>
      <w:tr>
        <w:tblPrEx>
          <w:tblW w:w="10245" w:type="dxa"/>
          <w:tblLayout w:type="fixed"/>
        </w:tblPrEx>
        <w:trPr>
          <w:trHeight w:hRule="exact" w:val="255"/>
        </w:trPr>
        <w:tc>
          <w:tcPr>
            <w:tcW w:w="757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88" w:lineRule="auto"/>
              <w:ind w:left="225"/>
              <w:jc w:val="left"/>
            </w:pPr>
            <w:r>
              <w:rPr>
                <w:rFonts w:ascii="Times New Roman" w:eastAsia="Times New Roman" w:hAnsi="Times New Roman" w:cs="Times New Roman"/>
                <w:b w:val="0"/>
                <w:i w:val="0"/>
                <w:color w:val="000000"/>
                <w:sz w:val="16"/>
                <w:u w:val="none"/>
              </w:rPr>
              <w:t>Acquisition of intangible assets</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46"/>
                <w:tab w:val="left" w:pos="1237"/>
              </w:tabs>
              <w:spacing w:before="53" w:after="30" w:line="288" w:lineRule="auto"/>
              <w:jc w:val="right"/>
            </w:pPr>
            <w:r>
              <w:rPr>
                <w:rFonts w:ascii="Times New Roman" w:eastAsia="Times New Roman" w:hAnsi="Times New Roman" w:cs="Times New Roman"/>
                <w:b w:val="0"/>
                <w:i w:val="0"/>
                <w:color w:val="000000"/>
                <w:sz w:val="16"/>
                <w:u w:val="none"/>
              </w:rPr>
              <w:t>$</w:t>
              <w:tab/>
              <w:t>167</w:t>
              <w:tab/>
            </w:r>
          </w:p>
        </w:tc>
        <w:tc>
          <w:tcPr>
            <w:tcW w:w="6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46"/>
                <w:tab w:val="left" w:pos="1237"/>
              </w:tabs>
              <w:spacing w:before="53" w:after="30" w:line="288" w:lineRule="auto"/>
              <w:jc w:val="right"/>
            </w:pPr>
            <w:r>
              <w:rPr>
                <w:rFonts w:ascii="Times New Roman" w:eastAsia="Times New Roman" w:hAnsi="Times New Roman" w:cs="Times New Roman"/>
                <w:b w:val="0"/>
                <w:i w:val="0"/>
                <w:color w:val="000000"/>
                <w:sz w:val="16"/>
                <w:u w:val="none"/>
              </w:rPr>
              <w:t>$</w:t>
              <w:tab/>
              <w:t>750</w:t>
              <w:tab/>
            </w:r>
          </w:p>
        </w:tc>
      </w:tr>
      <w:tr>
        <w:tblPrEx>
          <w:tblW w:w="10245" w:type="dxa"/>
          <w:tblLayout w:type="fixed"/>
        </w:tblPrEx>
        <w:trPr>
          <w:trHeight w:hRule="exact" w:val="255"/>
        </w:trPr>
        <w:tc>
          <w:tcPr>
            <w:tcW w:w="757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88" w:lineRule="auto"/>
              <w:ind w:left="225"/>
              <w:jc w:val="left"/>
            </w:pPr>
            <w:r>
              <w:rPr>
                <w:rFonts w:ascii="Times New Roman" w:eastAsia="Times New Roman" w:hAnsi="Times New Roman" w:cs="Times New Roman"/>
                <w:b w:val="0"/>
                <w:i w:val="0"/>
                <w:color w:val="000000"/>
                <w:sz w:val="16"/>
                <w:u w:val="none"/>
              </w:rPr>
              <w:t>Notes payable issued for acquisitions</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946"/>
                <w:tab w:val="left" w:pos="1237"/>
              </w:tabs>
              <w:spacing w:before="53" w:after="30" w:line="288" w:lineRule="auto"/>
              <w:jc w:val="right"/>
            </w:pPr>
            <w:r>
              <w:rPr>
                <w:rFonts w:ascii="Times New Roman" w:eastAsia="Times New Roman" w:hAnsi="Times New Roman" w:cs="Times New Roman"/>
                <w:b w:val="0"/>
                <w:i w:val="0"/>
                <w:color w:val="000000"/>
                <w:sz w:val="16"/>
                <w:u w:val="none"/>
              </w:rPr>
              <w:t>$</w:t>
              <w:tab/>
              <w:t>879</w:t>
              <w:tab/>
            </w:r>
          </w:p>
        </w:tc>
        <w:tc>
          <w:tcPr>
            <w:tcW w:w="60"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826"/>
                <w:tab w:val="left" w:pos="1237"/>
              </w:tabs>
              <w:spacing w:before="53" w:after="30" w:line="288" w:lineRule="auto"/>
              <w:jc w:val="right"/>
            </w:pPr>
            <w:r>
              <w:rPr>
                <w:rFonts w:ascii="Times New Roman" w:eastAsia="Times New Roman" w:hAnsi="Times New Roman" w:cs="Times New Roman"/>
                <w:b w:val="0"/>
                <w:i w:val="0"/>
                <w:color w:val="000000"/>
                <w:sz w:val="16"/>
                <w:u w:val="none"/>
              </w:rPr>
              <w:t>$</w:t>
              <w:tab/>
              <w:t>1,150</w:t>
              <w:tab/>
            </w:r>
          </w:p>
        </w:tc>
      </w:tr>
      <w:tr>
        <w:tblPrEx>
          <w:tblW w:w="10245" w:type="dxa"/>
          <w:tblLayout w:type="fixed"/>
        </w:tblPrEx>
        <w:trPr>
          <w:trHeight w:hRule="exact" w:val="255"/>
        </w:trPr>
        <w:tc>
          <w:tcPr>
            <w:tcW w:w="7575" w:type="dxa"/>
            <w:tcBorders>
              <w:top w:val="nil"/>
              <w:left w:val="nil"/>
              <w:bottom w:val="nil"/>
              <w:right w:val="nil"/>
            </w:tcBorders>
            <w:shd w:val="clear" w:color="auto" w:fill="FFFFFF"/>
            <w:tcMar>
              <w:top w:w="0" w:type="dxa"/>
              <w:left w:w="53" w:type="dxa"/>
              <w:bottom w:w="0" w:type="dxa"/>
              <w:right w:w="53" w:type="dxa"/>
            </w:tcMar>
            <w:vAlign w:val="bottom"/>
          </w:tcPr>
          <w:p>
            <w:pPr>
              <w:pageBreakBefore w:val="0"/>
              <w:spacing w:before="53" w:after="30" w:line="288" w:lineRule="auto"/>
              <w:ind w:left="225"/>
              <w:jc w:val="left"/>
            </w:pPr>
            <w:r>
              <w:rPr>
                <w:rFonts w:ascii="Times New Roman" w:eastAsia="Times New Roman" w:hAnsi="Times New Roman" w:cs="Times New Roman"/>
                <w:b w:val="0"/>
                <w:i w:val="0"/>
                <w:color w:val="000000"/>
                <w:sz w:val="16"/>
                <w:u w:val="none"/>
              </w:rPr>
              <w:t>Stock issued for acquisitions</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pageBreakBefore w:val="0"/>
              <w:tabs>
                <w:tab w:val="left" w:pos="946"/>
                <w:tab w:val="left" w:pos="1237"/>
              </w:tabs>
              <w:spacing w:before="53" w:after="30" w:line="288" w:lineRule="auto"/>
              <w:jc w:val="right"/>
            </w:pPr>
            <w:r>
              <w:rPr>
                <w:rFonts w:ascii="Times New Roman" w:eastAsia="Times New Roman" w:hAnsi="Times New Roman" w:cs="Times New Roman"/>
                <w:b w:val="0"/>
                <w:i w:val="0"/>
                <w:color w:val="000000"/>
                <w:sz w:val="16"/>
                <w:u w:val="none"/>
              </w:rPr>
              <w:t>$</w:t>
              <w:tab/>
              <w:t>445</w:t>
              <w:tab/>
            </w:r>
          </w:p>
        </w:tc>
        <w:tc>
          <w:tcPr>
            <w:tcW w:w="60"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pageBreakBefore w:val="0"/>
              <w:tabs>
                <w:tab w:val="left" w:pos="1026"/>
                <w:tab w:val="left" w:pos="1237"/>
              </w:tabs>
              <w:spacing w:before="53" w:after="30" w:line="288" w:lineRule="auto"/>
              <w:jc w:val="right"/>
            </w:pPr>
            <w:r>
              <w:rPr>
                <w:rFonts w:ascii="Times New Roman" w:eastAsia="Times New Roman" w:hAnsi="Times New Roman" w:cs="Times New Roman"/>
                <w:b w:val="0"/>
                <w:i w:val="0"/>
                <w:color w:val="000000"/>
                <w:sz w:val="16"/>
                <w:u w:val="none"/>
              </w:rPr>
              <w:t>$</w:t>
              <w:tab/>
              <w:t>—</w:t>
              <w:tab/>
            </w:r>
          </w:p>
        </w:tc>
      </w:tr>
    </w:tbl>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The accompanying notes are an integral part of these Condensed Consolidated Financial Statements.</w:t>
      </w:r>
    </w:p>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20"/>
        </w:rPr>
        <w:sectPr>
          <w:pgSz w:w="12240" w:h="15840"/>
          <w:pgMar w:top="855" w:right="990" w:bottom="855" w:left="990" w:header="270" w:footer="270"/>
          <w:cols w:space="708"/>
        </w:sectPr>
      </w:pPr>
    </w:p>
    <w:p>
      <w:pPr>
        <w:keepNext w:val="0"/>
        <w:keepLines/>
        <w:pageBreakBefore w:val="0"/>
        <w:widowControl w:val="0"/>
        <w:numPr>
          <w:ilvl w:val="0"/>
          <w:numId w:val="0"/>
        </w:numPr>
        <w:spacing w:before="0" w:after="0" w:line="288" w:lineRule="auto"/>
        <w:ind w:left="0" w:right="0" w:firstLine="0"/>
        <w:jc w:val="center"/>
        <w:outlineLvl w:val="2"/>
        <w:rPr>
          <w:rFonts w:ascii="Times New Roman" w:eastAsia="Times New Roman" w:hAnsi="Times New Roman" w:cs="Times New Roman"/>
          <w:b/>
          <w:i w:val="0"/>
          <w:sz w:val="20"/>
        </w:rPr>
      </w:pPr>
      <w:bookmarkStart w:id="8" w:name="Section9"/>
      <w:bookmarkEnd w:id="8"/>
      <w:r>
        <w:rPr>
          <w:rFonts w:ascii="Times New Roman" w:eastAsia="Times New Roman" w:hAnsi="Times New Roman" w:cs="Times New Roman"/>
          <w:b/>
          <w:i w:val="0"/>
          <w:sz w:val="20"/>
        </w:rPr>
        <w:t>ASURE SOFTWARE, INC.</w:t>
      </w:r>
    </w:p>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i w:val="0"/>
          <w:sz w:val="20"/>
        </w:rPr>
      </w:pPr>
      <w:r>
        <w:rPr>
          <w:rFonts w:ascii="Times New Roman" w:eastAsia="Times New Roman" w:hAnsi="Times New Roman" w:cs="Times New Roman"/>
          <w:b/>
          <w:i w:val="0"/>
          <w:sz w:val="20"/>
        </w:rPr>
        <w:t>NOTES TO THE CONDENSED CONSOLIDATED FINANCIAL STATEMENTS</w:t>
      </w:r>
    </w:p>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(Unaudited)</w:t>
      </w:r>
    </w:p>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(Amounts in thousands, except per share data unless otherwise noted)</w:t>
      </w:r>
    </w:p>
    <w:p>
      <w:pPr>
        <w:keepNext w:val="0"/>
        <w:keepLines/>
        <w:pageBreakBefore w:val="0"/>
        <w:widowControl w:val="0"/>
        <w:numPr>
          <w:ilvl w:val="0"/>
          <w:numId w:val="0"/>
        </w:numPr>
        <w:spacing w:before="0" w:after="0" w:line="288" w:lineRule="auto"/>
        <w:ind w:left="0" w:right="0" w:firstLine="0"/>
        <w:jc w:val="center"/>
        <w:outlineLvl w:val="9"/>
        <w:sectPr>
          <w:headerReference w:type="default" r:id="rId15"/>
          <w:pgSz w:w="12240" w:h="15840"/>
          <w:pgMar w:top="855" w:right="990" w:bottom="855" w:left="990" w:header="270" w:footer="270"/>
          <w:cols w:space="708"/>
        </w:sect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sz w:val="20"/>
        </w:rPr>
      </w:pPr>
      <w:bookmarkStart w:id="9" w:name="Section10"/>
      <w:bookmarkEnd w:id="9"/>
    </w:p>
    <w:p>
      <w:pPr>
        <w:keepNext/>
        <w:keepLines/>
        <w:pageBreakBefore w:val="0"/>
        <w:widowControl w:val="0"/>
        <w:numPr>
          <w:ilvl w:val="0"/>
          <w:numId w:val="0"/>
        </w:numPr>
        <w:spacing w:before="0" w:after="0" w:line="288" w:lineRule="auto"/>
        <w:ind w:left="1080" w:right="0" w:hanging="1080"/>
        <w:jc w:val="both"/>
        <w:outlineLvl w:val="3"/>
        <w:rPr>
          <w:rFonts w:ascii="Times New Roman" w:eastAsia="Times New Roman" w:hAnsi="Times New Roman" w:cs="Times New Roman"/>
          <w:b/>
          <w:i w:val="0"/>
          <w:sz w:val="20"/>
        </w:rPr>
      </w:pPr>
      <w:r>
        <w:rPr>
          <w:rFonts w:ascii="Times New Roman" w:eastAsia="Times New Roman" w:hAnsi="Times New Roman" w:cs="Times New Roman"/>
          <w:b/>
          <w:i w:val="0"/>
          <w:color w:val="000000"/>
          <w:sz w:val="20"/>
          <w:u w:val="none"/>
        </w:rPr>
        <w:t xml:space="preserve">NOTE 1 - </w:t>
      </w:r>
      <w:r>
        <w:rPr>
          <w:rFonts w:ascii="Times New Roman" w:eastAsia="Times New Roman" w:hAnsi="Times New Roman" w:cs="Times New Roman"/>
          <w:b/>
          <w:i w:val="0"/>
          <w:color w:val="000000"/>
          <w:sz w:val="20"/>
          <w:u w:val="none"/>
        </w:rPr>
        <w:t>THE COMPANY AND BASIS OF PRESENTATION</w:t>
      </w:r>
    </w:p>
    <w:p>
      <w:pPr>
        <w:keepNext/>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 xml:space="preserve">Asure Software, Inc. (“Asure”, the “Company”, “we” and “our”), a Delaware corporation, is a </w:t>
      </w:r>
      <w:r>
        <w:rPr>
          <w:rFonts w:ascii="Times New Roman" w:eastAsia="Times New Roman" w:hAnsi="Times New Roman" w:cs="Times New Roman"/>
          <w:b w:val="0"/>
          <w:i w:val="0"/>
          <w:color w:val="000000"/>
          <w:sz w:val="20"/>
          <w:u w:val="none"/>
        </w:rPr>
        <w:t>provider of cloud-based Human Capital Management (“HCM”) software solutions delivered as Software-as-a-Service (“SaaS”) to businesses of all sizes. We offer human resources (“HR”) tools necessary to build a thriving workforce, provide the resources to stay compliant with dynamic federal, state, and local tax jurisdictions and their respective labor laws, freeing cash flows so these businesses can spend their financial capital on growing their businesses rather than administrative overhead that can impede growth. Our solutions also provide new ways for employers to connect with their employees and strengthen relationships with their talent. At the core of our offering is the Asure HCM platform—a SaaS-based system that includes Payroll &amp; Tax filing, HR management tools, Time &amp; Attendance software,  Recruiting, and Benefits Administration. This platform serves as the foundation for delivering both our core software and a range of complementary, technology-enabled services. These include AsureMarketplace™, which automates data exchange between our HCM system and third-party providers to increase efficiency, accuracy, and breadth of services. Our HR Compliance services combine expert guidance with scalable digital delivery. AsurePay™, our payroll card, which we provide in association with our partners, offers employees fast, secure access to earned wages. Additionally, through our licensed brokerage, we offer Insurance Services that help employers manage benefits and reduce administrative costs. We deliver our solutions directly and through a national network of Reseller Partners.</w:t>
      </w:r>
    </w:p>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We strive to be the most trusted HCM resource.</w:t>
      </w:r>
      <w:r>
        <w:rPr>
          <w:rFonts w:ascii="Times New Roman" w:eastAsia="Times New Roman" w:hAnsi="Times New Roman" w:cs="Times New Roman"/>
          <w:b w:val="0"/>
          <w:i w:val="0"/>
          <w:color w:val="000000"/>
          <w:sz w:val="20"/>
          <w:u w:val="none"/>
        </w:rPr>
        <w:t xml:space="preserve"> </w:t>
      </w:r>
      <w:r>
        <w:rPr>
          <w:rFonts w:ascii="Times New Roman" w:eastAsia="Times New Roman" w:hAnsi="Times New Roman" w:cs="Times New Roman"/>
          <w:b w:val="0"/>
          <w:i w:val="0"/>
          <w:color w:val="000000"/>
          <w:sz w:val="20"/>
          <w:u w:val="none"/>
        </w:rPr>
        <w:t>Our solutions solve three primary challenges that prevent businesses from growing: HR complexity, allocation of human and financial capital, and the ability to build great teams. We sell our solutions through both direct and partner channels. We supplement our direct sales efforts with partner programs that afford us access to opportunities in various geographic and industry niches. Asure has two types of partners: Reseller Partners that white label our products while providing value-added services to their clients (our indirect clients) and Referral Partners that provide us with client leads but do not resell our solutions. We have and will continue to invest in research and development to expand our solutions. Our solutions reduce the administrative burden on employers and increase employee productivity while managing the employment lifecycle. The Asure HCM suite includes eight product lines: Asure Payroll &amp; Tax, Asure HR Compliance, Asure Time &amp; Attendance, AsureRecruiting™, Asure Insurance and Benefits Administration, AsurePay™, Asure Tax Management Solutions,  and AsureMarketplace™ .</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 xml:space="preserve">We develop, market, sell and support our offerings nationwide through our principal office in </w:t>
      </w:r>
      <w:r>
        <w:rPr>
          <w:rFonts w:ascii="Times New Roman" w:eastAsia="Times New Roman" w:hAnsi="Times New Roman" w:cs="Times New Roman"/>
          <w:b w:val="0"/>
          <w:i w:val="0"/>
          <w:color w:val="000000"/>
          <w:sz w:val="20"/>
          <w:u w:val="none"/>
        </w:rPr>
        <w:t>Austin, Texas,</w:t>
      </w:r>
      <w:r>
        <w:rPr>
          <w:rFonts w:ascii="Times New Roman" w:eastAsia="Times New Roman" w:hAnsi="Times New Roman" w:cs="Times New Roman"/>
          <w:b w:val="0"/>
          <w:i w:val="0"/>
          <w:color w:val="000000"/>
          <w:sz w:val="20"/>
          <w:u w:val="none"/>
        </w:rPr>
        <w:t xml:space="preserve"> and from our processing hubs in</w:t>
      </w:r>
      <w:r>
        <w:rPr>
          <w:rFonts w:ascii="Times New Roman" w:eastAsia="Times New Roman" w:hAnsi="Times New Roman" w:cs="Times New Roman"/>
          <w:b w:val="0"/>
          <w:i w:val="0"/>
          <w:color w:val="000000"/>
          <w:sz w:val="20"/>
          <w:highlight w:val="white"/>
          <w:u w:val="none"/>
        </w:rPr>
        <w:t xml:space="preserve"> </w:t>
      </w:r>
      <w:r>
        <w:rPr>
          <w:rFonts w:ascii="Times New Roman" w:eastAsia="Times New Roman" w:hAnsi="Times New Roman" w:cs="Times New Roman"/>
          <w:b w:val="0"/>
          <w:i w:val="0"/>
          <w:color w:val="000000"/>
          <w:sz w:val="20"/>
          <w:u w:val="none"/>
        </w:rPr>
        <w:t>Alabama, California, Florida, Georgia, New Jersey, New York, North Carolina, Ohio, South Dakota, Tennessee, Texas, Virginia, and Vermont</w:t>
      </w:r>
      <w:r>
        <w:rPr>
          <w:rFonts w:ascii="Times New Roman" w:eastAsia="Times New Roman" w:hAnsi="Times New Roman" w:cs="Times New Roman"/>
          <w:b w:val="0"/>
          <w:i w:val="0"/>
          <w:color w:val="000000"/>
          <w:sz w:val="20"/>
          <w:highlight w:val="white"/>
          <w:u w:val="none"/>
        </w:rPr>
        <w:t>.</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We have prepared the accompanying unaudited Condensed Consolidated Financial Statements in accordance with the rules and regulations of the Securities and Exchange Commission (the “SEC”) and accordingly, they do not include all information and footnotes required under U.S. generally accepted accounting principles (“U.S. GAAP”) for complete financial statements.</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 xml:space="preserve">In the opinion of management, these interim financial statements contain all adjustments, consisting of normal, recurring adjustments, necessary for a fair presentation of our financial position as of </w:t>
      </w:r>
      <w:r>
        <w:rPr>
          <w:rFonts w:ascii="Times New Roman" w:eastAsia="Times New Roman" w:hAnsi="Times New Roman" w:cs="Times New Roman"/>
          <w:b w:val="0"/>
          <w:i w:val="0"/>
          <w:color w:val="000000"/>
          <w:sz w:val="20"/>
          <w:u w:val="none"/>
        </w:rPr>
        <w:t>March 31, 2026</w:t>
      </w:r>
      <w:r>
        <w:rPr>
          <w:rFonts w:ascii="Times New Roman" w:eastAsia="Times New Roman" w:hAnsi="Times New Roman" w:cs="Times New Roman"/>
          <w:b w:val="0"/>
          <w:i w:val="0"/>
          <w:color w:val="000000"/>
          <w:sz w:val="20"/>
          <w:u w:val="none"/>
        </w:rPr>
        <w:t xml:space="preserve">, comprehensive </w:t>
      </w:r>
      <w:r>
        <w:rPr>
          <w:rFonts w:ascii="Times New Roman" w:eastAsia="Times New Roman" w:hAnsi="Times New Roman" w:cs="Times New Roman"/>
          <w:b w:val="0"/>
          <w:i w:val="0"/>
          <w:color w:val="000000"/>
          <w:sz w:val="20"/>
          <w:u w:val="none"/>
        </w:rPr>
        <w:t>income and loss</w:t>
      </w:r>
      <w:r>
        <w:rPr>
          <w:rFonts w:ascii="Times New Roman" w:eastAsia="Times New Roman" w:hAnsi="Times New Roman" w:cs="Times New Roman"/>
          <w:b w:val="0"/>
          <w:i w:val="0"/>
          <w:color w:val="000000"/>
          <w:sz w:val="20"/>
          <w:u w:val="none"/>
        </w:rPr>
        <w:t xml:space="preserve"> and</w:t>
      </w:r>
      <w:r>
        <w:rPr>
          <w:rFonts w:ascii="Times New Roman" w:eastAsia="Times New Roman" w:hAnsi="Times New Roman" w:cs="Times New Roman"/>
          <w:b w:val="0"/>
          <w:i w:val="0"/>
          <w:color w:val="000000"/>
          <w:sz w:val="20"/>
          <w:highlight w:val="white"/>
          <w:u w:val="none"/>
        </w:rPr>
        <w:t xml:space="preserve"> changes in stockholders’ equity for the </w:t>
      </w:r>
      <w:r>
        <w:rPr>
          <w:rFonts w:ascii="Times New Roman" w:eastAsia="Times New Roman" w:hAnsi="Times New Roman" w:cs="Times New Roman"/>
          <w:b w:val="0"/>
          <w:i w:val="0"/>
          <w:color w:val="000000"/>
          <w:sz w:val="20"/>
          <w:highlight w:val="white"/>
          <w:u w:val="none"/>
        </w:rPr>
        <w:t>three months ended March 31, 2026</w:t>
      </w:r>
      <w:r>
        <w:rPr>
          <w:rFonts w:ascii="Times New Roman" w:eastAsia="Times New Roman" w:hAnsi="Times New Roman" w:cs="Times New Roman"/>
          <w:b w:val="0"/>
          <w:i w:val="0"/>
          <w:color w:val="000000"/>
          <w:sz w:val="20"/>
          <w:highlight w:val="white"/>
          <w:u w:val="none"/>
        </w:rPr>
        <w:t xml:space="preserve"> and </w:t>
      </w:r>
      <w:r>
        <w:rPr>
          <w:rFonts w:ascii="Times New Roman" w:eastAsia="Times New Roman" w:hAnsi="Times New Roman" w:cs="Times New Roman"/>
          <w:b w:val="0"/>
          <w:i w:val="0"/>
          <w:color w:val="000000"/>
          <w:sz w:val="20"/>
          <w:highlight w:val="white"/>
          <w:u w:val="none"/>
        </w:rPr>
        <w:t>March 31, 2025</w:t>
      </w:r>
      <w:r>
        <w:rPr>
          <w:rFonts w:ascii="Times New Roman" w:eastAsia="Times New Roman" w:hAnsi="Times New Roman" w:cs="Times New Roman"/>
          <w:b w:val="0"/>
          <w:i w:val="0"/>
          <w:color w:val="000000"/>
          <w:sz w:val="20"/>
          <w:highlight w:val="white"/>
          <w:u w:val="none"/>
        </w:rPr>
        <w:t xml:space="preserve">, and cash flows for the </w:t>
      </w:r>
      <w:r>
        <w:rPr>
          <w:rFonts w:ascii="Times New Roman" w:eastAsia="Times New Roman" w:hAnsi="Times New Roman" w:cs="Times New Roman"/>
          <w:b w:val="0"/>
          <w:i w:val="0"/>
          <w:color w:val="000000"/>
          <w:sz w:val="20"/>
          <w:highlight w:val="white"/>
          <w:u w:val="none"/>
        </w:rPr>
        <w:t>three months ended March 31, 2026</w:t>
      </w:r>
      <w:r>
        <w:rPr>
          <w:rFonts w:ascii="Times New Roman" w:eastAsia="Times New Roman" w:hAnsi="Times New Roman" w:cs="Times New Roman"/>
          <w:b w:val="0"/>
          <w:i w:val="0"/>
          <w:color w:val="000000"/>
          <w:sz w:val="20"/>
          <w:highlight w:val="white"/>
          <w:u w:val="none"/>
        </w:rPr>
        <w:t xml:space="preserve"> and </w:t>
      </w:r>
      <w:r>
        <w:rPr>
          <w:rFonts w:ascii="Times New Roman" w:eastAsia="Times New Roman" w:hAnsi="Times New Roman" w:cs="Times New Roman"/>
          <w:b w:val="0"/>
          <w:i w:val="0"/>
          <w:color w:val="000000"/>
          <w:sz w:val="20"/>
          <w:highlight w:val="white"/>
          <w:u w:val="none"/>
        </w:rPr>
        <w:t>March 31, 2025</w:t>
      </w:r>
      <w:r>
        <w:rPr>
          <w:rFonts w:ascii="Times New Roman" w:eastAsia="Times New Roman" w:hAnsi="Times New Roman" w:cs="Times New Roman"/>
          <w:b w:val="0"/>
          <w:i w:val="0"/>
          <w:color w:val="000000"/>
          <w:sz w:val="20"/>
          <w:highlight w:val="white"/>
          <w:u w:val="none"/>
        </w:rPr>
        <w:t>.</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 xml:space="preserve">These unaudited Condensed Consolidated Financial Statements should be read in conjunction with our audited Consolidated Financial Statements and notes thereto filed with the SEC in our annual report on Form 10-K for the fiscal year ended </w:t>
      </w:r>
      <w:r>
        <w:rPr>
          <w:rFonts w:ascii="Times New Roman" w:eastAsia="Times New Roman" w:hAnsi="Times New Roman" w:cs="Times New Roman"/>
          <w:b w:val="0"/>
          <w:i w:val="0"/>
          <w:color w:val="000000"/>
          <w:sz w:val="20"/>
          <w:u w:val="none"/>
        </w:rPr>
        <w:t>December 31, 2025</w:t>
      </w:r>
      <w:r>
        <w:rPr>
          <w:rFonts w:ascii="Times New Roman" w:eastAsia="Times New Roman" w:hAnsi="Times New Roman" w:cs="Times New Roman"/>
          <w:b w:val="0"/>
          <w:i w:val="0"/>
          <w:color w:val="000000"/>
          <w:sz w:val="20"/>
          <w:u w:val="none"/>
        </w:rPr>
        <w:t xml:space="preserve"> (our “</w:t>
      </w:r>
      <w:r>
        <w:rPr>
          <w:rFonts w:ascii="Times New Roman" w:eastAsia="Times New Roman" w:hAnsi="Times New Roman" w:cs="Times New Roman"/>
          <w:b w:val="0"/>
          <w:i w:val="0"/>
          <w:color w:val="000000"/>
          <w:sz w:val="20"/>
          <w:u w:val="none"/>
        </w:rPr>
        <w:t>2025</w:t>
      </w:r>
      <w:r>
        <w:rPr>
          <w:rFonts w:ascii="Times New Roman" w:eastAsia="Times New Roman" w:hAnsi="Times New Roman" w:cs="Times New Roman"/>
          <w:b w:val="0"/>
          <w:i w:val="0"/>
          <w:color w:val="000000"/>
          <w:sz w:val="20"/>
          <w:u w:val="none"/>
        </w:rPr>
        <w:t xml:space="preserve"> Annual Report on Form 10-K”). Our results for any interim period are not necessarily indicative of results for a full fiscal year.</w:t>
      </w:r>
      <w:r>
        <w:rPr>
          <w:rFonts w:ascii="Times New Roman" w:eastAsia="Times New Roman" w:hAnsi="Times New Roman" w:cs="Times New Roman"/>
          <w:b w:val="0"/>
          <w:i w:val="0"/>
          <w:sz w:val="20"/>
        </w:rPr>
        <w:t xml:space="preserve"> </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sectPr>
          <w:type w:val="continuous"/>
          <w:pgSz w:w="12240" w:h="15840"/>
          <w:pgMar w:top="855" w:right="990" w:bottom="855" w:left="990" w:header="270" w:footer="270"/>
          <w:cols w:space="708"/>
        </w:sectPr>
      </w:pPr>
    </w:p>
    <w:p>
      <w:pPr>
        <w:keepNext/>
        <w:keepLines/>
        <w:pageBreakBefore w:val="0"/>
        <w:widowControl w:val="0"/>
        <w:numPr>
          <w:ilvl w:val="0"/>
          <w:numId w:val="0"/>
        </w:numPr>
        <w:spacing w:before="0" w:after="0" w:line="288" w:lineRule="auto"/>
        <w:ind w:left="0" w:right="0" w:firstLine="0"/>
        <w:jc w:val="both"/>
        <w:outlineLvl w:val="3"/>
        <w:rPr>
          <w:rFonts w:ascii="Times New Roman" w:eastAsia="Times New Roman" w:hAnsi="Times New Roman" w:cs="Times New Roman"/>
          <w:b/>
          <w:i w:val="0"/>
          <w:sz w:val="20"/>
        </w:rPr>
      </w:pPr>
      <w:bookmarkStart w:id="10" w:name="Section11"/>
      <w:bookmarkEnd w:id="10"/>
      <w:r>
        <w:rPr>
          <w:rFonts w:ascii="Times New Roman" w:eastAsia="Times New Roman" w:hAnsi="Times New Roman" w:cs="Times New Roman"/>
          <w:b/>
          <w:i w:val="0"/>
          <w:sz w:val="20"/>
        </w:rPr>
        <w:t xml:space="preserve">NOTE 2 - </w:t>
      </w:r>
      <w:r>
        <w:rPr>
          <w:rFonts w:ascii="Times New Roman" w:eastAsia="Times New Roman" w:hAnsi="Times New Roman" w:cs="Times New Roman"/>
          <w:b/>
          <w:i w:val="0"/>
          <w:color w:val="000000"/>
          <w:sz w:val="20"/>
          <w:u w:val="none"/>
        </w:rPr>
        <w:t>SIGNIFICANT ACCOUNTING POLICIES</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u w:val="none"/>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u w:val="none"/>
        </w:rPr>
      </w:pPr>
      <w:r>
        <w:rPr>
          <w:rFonts w:ascii="Times New Roman" w:eastAsia="Times New Roman" w:hAnsi="Times New Roman" w:cs="Times New Roman"/>
          <w:b/>
          <w:i w:val="0"/>
          <w:color w:val="000000"/>
          <w:sz w:val="20"/>
          <w:u w:val="none"/>
        </w:rPr>
        <w:t>REPORTABLE SEGMENTS</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color w:val="000000"/>
          <w:sz w:val="20"/>
          <w:u w:val="none"/>
        </w:rPr>
      </w:pP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Our chief operating decision maker is our Chairman and Chief Executive Officer, Patrick Goepel, who reviews financial information presented on a company-wide basis. Thus, in accordance with Financial Accounting Standards Board (“FASB”) Accounting Standards Codification (“ASC”) 280, we determined that we have a single reportable segment that primarily derives our revenue in the United States by providing payroll services to customers.</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u w:val="none"/>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u w:val="none"/>
        </w:rPr>
      </w:pPr>
      <w:r>
        <w:rPr>
          <w:rFonts w:ascii="Times New Roman" w:eastAsia="Times New Roman" w:hAnsi="Times New Roman" w:cs="Times New Roman"/>
          <w:b/>
          <w:i w:val="0"/>
          <w:color w:val="000000"/>
          <w:sz w:val="20"/>
          <w:u w:val="none"/>
        </w:rPr>
        <w:t>USE OF ESTIMATES</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u w:val="singl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Preparation of the Condensed Consolidated Financial Statements in conformity with U.S. GAAP requires management to make estimates and assumptions that affect the reported amounts of the assets and liabilities, the disclosure of contingent assets and liabilities at the date of the Condensed Consolidated Financial Statements and the reported amounts of revenues and expenses during the reporting period. These estimates are subjective in nature and involve judgments. The more significant estimates made by management include the valuation allowance for the gross deferred tax assets, the determination of the fair value of our long-lived assets, and the fair value of assets acquired, and liabilities assumed during acquisitions. We base our estimates on historical experience and on various other assumptions management believes reasonable under the given circumstances. These estimates could be materially different under different conditions and assumptions.</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u w:val="none"/>
        </w:rPr>
      </w:pPr>
      <w:r>
        <w:rPr>
          <w:rFonts w:ascii="Times New Roman" w:eastAsia="Times New Roman" w:hAnsi="Times New Roman" w:cs="Times New Roman"/>
          <w:b/>
          <w:i w:val="0"/>
          <w:color w:val="000000"/>
          <w:sz w:val="20"/>
          <w:u w:val="none"/>
        </w:rPr>
        <w:t>CASH AND CASH EQUIVALENTS</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u w:val="singl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i w:val="0"/>
          <w:color w:val="000000"/>
          <w:sz w:val="20"/>
          <w:u w:val="none"/>
        </w:rPr>
      </w:pPr>
      <w:r>
        <w:rPr>
          <w:rFonts w:ascii="Times New Roman" w:eastAsia="Times New Roman" w:hAnsi="Times New Roman" w:cs="Times New Roman"/>
          <w:b w:val="0"/>
          <w:i w:val="0"/>
          <w:color w:val="000000"/>
          <w:sz w:val="20"/>
          <w:u w:val="none"/>
        </w:rPr>
        <w:t xml:space="preserve">We consider all highly liquid investments with maturity of 90 days or less to be cash equivalents. Cash equivalents include investments in an institutional money market fund, which invests in U.S. Treasury bills, notes and bonds, and/or repurchase agreements, backed by such obligations. Carrying value approximates fair value. </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u w:val="none"/>
        </w:rPr>
      </w:pPr>
      <w:r>
        <w:rPr>
          <w:rFonts w:ascii="Times New Roman" w:eastAsia="Times New Roman" w:hAnsi="Times New Roman" w:cs="Times New Roman"/>
          <w:b/>
          <w:i w:val="0"/>
          <w:color w:val="000000"/>
          <w:sz w:val="20"/>
          <w:u w:val="none"/>
        </w:rPr>
        <w:t>INVENTORIES</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u w:val="none"/>
        </w:rPr>
      </w:pP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i w:val="0"/>
          <w:color w:val="000000"/>
          <w:sz w:val="20"/>
          <w:u w:val="none"/>
        </w:rPr>
      </w:pPr>
      <w:r>
        <w:rPr>
          <w:rFonts w:ascii="Times New Roman" w:eastAsia="Times New Roman" w:hAnsi="Times New Roman" w:cs="Times New Roman"/>
          <w:b w:val="0"/>
          <w:i w:val="0"/>
          <w:color w:val="000000"/>
          <w:sz w:val="20"/>
          <w:u w:val="none"/>
        </w:rPr>
        <w:t>Our inventories consist primarily of finished goods and are stated at the lower of cost or net realizable value with cost determined on an average cost basis. Items included in costs of inventory consist of labor, material, overhead costs, freight in, and additional transactions costs such as taxes and tariffs.</w:t>
      </w: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 xml:space="preserve">Provisions are made if the cost of inventories exceeds their net realizable value and is charged to cost of sales. We did not recognize any provision for the </w:t>
      </w:r>
      <w:r>
        <w:rPr>
          <w:rFonts w:ascii="Times New Roman" w:eastAsia="Times New Roman" w:hAnsi="Times New Roman" w:cs="Times New Roman"/>
          <w:b w:val="0"/>
          <w:i w:val="0"/>
          <w:color w:val="000000"/>
          <w:sz w:val="20"/>
          <w:u w:val="none"/>
        </w:rPr>
        <w:t>three months ended March 31, 2026</w:t>
      </w:r>
      <w:r>
        <w:rPr>
          <w:rFonts w:ascii="Times New Roman" w:eastAsia="Times New Roman" w:hAnsi="Times New Roman" w:cs="Times New Roman"/>
          <w:b w:val="0"/>
          <w:i w:val="0"/>
          <w:color w:val="000000"/>
          <w:sz w:val="20"/>
          <w:u w:val="none"/>
        </w:rPr>
        <w:t xml:space="preserve"> and </w:t>
      </w:r>
      <w:r>
        <w:rPr>
          <w:rFonts w:ascii="Times New Roman" w:eastAsia="Times New Roman" w:hAnsi="Times New Roman" w:cs="Times New Roman"/>
          <w:b w:val="0"/>
          <w:i w:val="0"/>
          <w:color w:val="000000"/>
          <w:sz w:val="20"/>
          <w:u w:val="none"/>
        </w:rPr>
        <w:t>2025</w:t>
      </w:r>
      <w:r>
        <w:rPr>
          <w:rFonts w:ascii="Times New Roman" w:eastAsia="Times New Roman" w:hAnsi="Times New Roman" w:cs="Times New Roman"/>
          <w:b w:val="0"/>
          <w:i w:val="0"/>
          <w:color w:val="000000"/>
          <w:sz w:val="20"/>
          <w:u w:val="none"/>
        </w:rPr>
        <w:t>.</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i w:val="0"/>
          <w:color w:val="000000"/>
          <w:sz w:val="20"/>
          <w:u w:val="none"/>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u w:val="none"/>
        </w:rPr>
      </w:pPr>
      <w:r>
        <w:rPr>
          <w:rFonts w:ascii="Times New Roman" w:eastAsia="Times New Roman" w:hAnsi="Times New Roman" w:cs="Times New Roman"/>
          <w:b/>
          <w:i w:val="0"/>
          <w:color w:val="000000"/>
          <w:sz w:val="20"/>
          <w:u w:val="none"/>
        </w:rPr>
        <w:t>RECENT ACCOUNTING PRONOUNCEMENTS</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u w:val="single"/>
        </w:rPr>
      </w:pP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i w:val="0"/>
          <w:color w:val="000000"/>
          <w:sz w:val="20"/>
          <w:u w:val="single"/>
        </w:rPr>
      </w:pPr>
      <w:r>
        <w:rPr>
          <w:rFonts w:ascii="Times New Roman" w:eastAsia="Times New Roman" w:hAnsi="Times New Roman" w:cs="Times New Roman"/>
          <w:b w:val="0"/>
          <w:i w:val="0"/>
          <w:color w:val="000000"/>
          <w:sz w:val="20"/>
          <w:u w:val="none"/>
        </w:rPr>
        <w:t>In July 2025, the FASB issued ASU No. 2025-05, Measurement of Credit Losses for Accounts Receivable and Contract Assets, which provides a practical expedient to assume that, for estimating expected credit losses, current conditions as of the balance sheet date will remain constant through the remaining life of the assets. The practical expedient is available to all entities. The standard becomes effective for all entities for annual periods beginning after December 15, 2025. We adopted this standard prospectively for the annual period ended December 31, 2026. This guidance did not have an impact on our financial position, results of operations, or cash flows.</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i w:val="0"/>
          <w:color w:val="000000"/>
          <w:sz w:val="20"/>
          <w:highlight w:val="white"/>
          <w:u w:val="single"/>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u w:val="none"/>
        </w:rPr>
      </w:pPr>
      <w:r>
        <w:rPr>
          <w:rFonts w:ascii="Times New Roman" w:eastAsia="Times New Roman" w:hAnsi="Times New Roman" w:cs="Times New Roman"/>
          <w:b/>
          <w:i w:val="0"/>
          <w:color w:val="000000"/>
          <w:sz w:val="20"/>
          <w:u w:val="none"/>
        </w:rPr>
        <w:t xml:space="preserve">ACCUMULATED OTHER COMPREHENSIVE </w:t>
      </w:r>
      <w:r>
        <w:rPr>
          <w:rFonts w:ascii="Times New Roman" w:eastAsia="Times New Roman" w:hAnsi="Times New Roman" w:cs="Times New Roman"/>
          <w:b/>
          <w:i w:val="0"/>
          <w:color w:val="000000"/>
          <w:sz w:val="20"/>
          <w:u w:val="none"/>
        </w:rPr>
        <w:t>INCOME (LOSS)</w:t>
      </w:r>
    </w:p>
    <w:p>
      <w:pPr>
        <w:keepNext/>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i w:val="0"/>
          <w:color w:val="000000"/>
          <w:sz w:val="20"/>
          <w:u w:val="singl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i w:val="0"/>
          <w:color w:val="000000"/>
          <w:sz w:val="20"/>
          <w:u w:val="single"/>
        </w:rPr>
      </w:pPr>
      <w:r>
        <w:rPr>
          <w:rFonts w:ascii="Times New Roman" w:eastAsia="Times New Roman" w:hAnsi="Times New Roman" w:cs="Times New Roman"/>
          <w:b w:val="0"/>
          <w:i w:val="0"/>
          <w:color w:val="000000"/>
          <w:sz w:val="20"/>
          <w:u w:val="none"/>
        </w:rPr>
        <w:t xml:space="preserve">As of </w:t>
      </w:r>
      <w:r>
        <w:rPr>
          <w:rFonts w:ascii="Times New Roman" w:eastAsia="Times New Roman" w:hAnsi="Times New Roman" w:cs="Times New Roman"/>
          <w:b w:val="0"/>
          <w:i w:val="0"/>
          <w:color w:val="000000"/>
          <w:sz w:val="20"/>
          <w:u w:val="none"/>
        </w:rPr>
        <w:t>March 31, 2026</w:t>
      </w:r>
      <w:r>
        <w:rPr>
          <w:rFonts w:ascii="Times New Roman" w:eastAsia="Times New Roman" w:hAnsi="Times New Roman" w:cs="Times New Roman"/>
          <w:b w:val="0"/>
          <w:i w:val="0"/>
          <w:color w:val="000000"/>
          <w:sz w:val="20"/>
          <w:u w:val="none"/>
        </w:rPr>
        <w:t xml:space="preserve"> and </w:t>
      </w:r>
      <w:r>
        <w:rPr>
          <w:rFonts w:ascii="Times New Roman" w:eastAsia="Times New Roman" w:hAnsi="Times New Roman" w:cs="Times New Roman"/>
          <w:b w:val="0"/>
          <w:i w:val="0"/>
          <w:color w:val="000000"/>
          <w:sz w:val="20"/>
          <w:u w:val="none"/>
        </w:rPr>
        <w:t>December 31, 2025</w:t>
      </w:r>
      <w:r>
        <w:rPr>
          <w:rFonts w:ascii="Times New Roman" w:eastAsia="Times New Roman" w:hAnsi="Times New Roman" w:cs="Times New Roman"/>
          <w:b w:val="0"/>
          <w:i w:val="0"/>
          <w:color w:val="000000"/>
          <w:sz w:val="20"/>
          <w:u w:val="none"/>
        </w:rPr>
        <w:t xml:space="preserve">, accumulated other comprehensive </w:t>
      </w:r>
      <w:r>
        <w:rPr>
          <w:rFonts w:ascii="Times New Roman" w:eastAsia="Times New Roman" w:hAnsi="Times New Roman" w:cs="Times New Roman"/>
          <w:b w:val="0"/>
          <w:i w:val="0"/>
          <w:color w:val="000000"/>
          <w:sz w:val="20"/>
          <w:u w:val="none"/>
        </w:rPr>
        <w:t>income (loss)</w:t>
      </w:r>
      <w:r>
        <w:rPr>
          <w:rFonts w:ascii="Times New Roman" w:eastAsia="Times New Roman" w:hAnsi="Times New Roman" w:cs="Times New Roman"/>
          <w:b w:val="0"/>
          <w:i w:val="0"/>
          <w:color w:val="000000"/>
          <w:sz w:val="20"/>
          <w:u w:val="none"/>
        </w:rPr>
        <w:t xml:space="preserve"> consisted of net unrealized gains and losses on available-for-sale securities.</w:t>
      </w:r>
    </w:p>
    <w:p>
      <w:pPr>
        <w:keepNext w:val="0"/>
        <w:keepLines/>
        <w:pageBreakBefore w:val="0"/>
        <w:widowControl w:val="0"/>
        <w:numPr>
          <w:ilvl w:val="0"/>
          <w:numId w:val="0"/>
        </w:numPr>
        <w:spacing w:before="0" w:after="0" w:line="288" w:lineRule="auto"/>
        <w:ind w:left="0" w:right="0" w:firstLine="720"/>
        <w:jc w:val="both"/>
        <w:outlineLvl w:val="9"/>
        <w:sectPr>
          <w:type w:val="continuous"/>
          <w:pgSz w:w="12240" w:h="15840"/>
          <w:pgMar w:top="855" w:right="990" w:bottom="855" w:left="990" w:header="270" w:footer="270"/>
          <w:cols w:space="708"/>
        </w:sectPr>
      </w:pPr>
    </w:p>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bookmarkStart w:id="11" w:name="Section12"/>
      <w:bookmarkEnd w:id="11"/>
    </w:p>
    <w:p>
      <w:pPr>
        <w:keepNext/>
        <w:keepLines/>
        <w:pageBreakBefore w:val="0"/>
        <w:widowControl w:val="0"/>
        <w:numPr>
          <w:ilvl w:val="0"/>
          <w:numId w:val="0"/>
        </w:numPr>
        <w:spacing w:before="0" w:after="0" w:line="288" w:lineRule="auto"/>
        <w:ind w:left="0" w:right="0" w:firstLine="0"/>
        <w:jc w:val="both"/>
        <w:outlineLvl w:val="3"/>
        <w:rPr>
          <w:rFonts w:ascii="Times New Roman" w:eastAsia="Times New Roman" w:hAnsi="Times New Roman" w:cs="Times New Roman"/>
          <w:b/>
          <w:i w:val="0"/>
          <w:color w:val="000000"/>
          <w:sz w:val="20"/>
          <w:highlight w:val="white"/>
          <w:u w:val="none"/>
        </w:rPr>
      </w:pPr>
      <w:r>
        <w:rPr>
          <w:rFonts w:ascii="Times New Roman" w:eastAsia="Times New Roman" w:hAnsi="Times New Roman" w:cs="Times New Roman"/>
          <w:b/>
          <w:i w:val="0"/>
          <w:color w:val="000000"/>
          <w:sz w:val="20"/>
          <w:highlight w:val="white"/>
          <w:u w:val="none"/>
        </w:rPr>
        <w:t xml:space="preserve">NOTE 3 - </w:t>
      </w:r>
      <w:r>
        <w:rPr>
          <w:rFonts w:ascii="Times New Roman" w:eastAsia="Times New Roman" w:hAnsi="Times New Roman" w:cs="Times New Roman"/>
          <w:b/>
          <w:i w:val="0"/>
          <w:color w:val="000000"/>
          <w:sz w:val="20"/>
          <w:highlight w:val="white"/>
          <w:u w:val="none"/>
        </w:rPr>
        <w:t>BUSINESS COMBINATIONS AND ASSET ACQUISITIONS</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u w:val="none"/>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u w:val="none"/>
        </w:rPr>
      </w:pPr>
      <w:r>
        <w:rPr>
          <w:rFonts w:ascii="Times New Roman" w:eastAsia="Times New Roman" w:hAnsi="Times New Roman" w:cs="Times New Roman"/>
          <w:b/>
          <w:i w:val="0"/>
          <w:color w:val="000000"/>
          <w:sz w:val="20"/>
          <w:u w:val="none"/>
        </w:rPr>
        <w:t>2026</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u w:val="none"/>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color w:val="000000"/>
          <w:sz w:val="20"/>
          <w:u w:val="none"/>
        </w:rPr>
      </w:pPr>
      <w:r>
        <w:rPr>
          <w:rFonts w:ascii="Times New Roman" w:eastAsia="Times New Roman" w:hAnsi="Times New Roman" w:cs="Times New Roman"/>
          <w:b w:val="0"/>
          <w:i/>
          <w:color w:val="000000"/>
          <w:sz w:val="20"/>
          <w:u w:val="none"/>
        </w:rPr>
        <w:t>Asset Acquisitions</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During the</w:t>
      </w:r>
      <w:r>
        <w:rPr>
          <w:rFonts w:ascii="Times New Roman" w:eastAsia="Times New Roman" w:hAnsi="Times New Roman" w:cs="Times New Roman"/>
          <w:b w:val="0"/>
          <w:i w:val="0"/>
          <w:color w:val="000000"/>
          <w:sz w:val="20"/>
          <w:highlight w:val="white"/>
          <w:u w:val="none"/>
        </w:rPr>
        <w:t xml:space="preserve"> </w:t>
      </w:r>
      <w:r>
        <w:rPr>
          <w:rFonts w:ascii="Times New Roman" w:eastAsia="Times New Roman" w:hAnsi="Times New Roman" w:cs="Times New Roman"/>
          <w:b w:val="0"/>
          <w:i w:val="0"/>
          <w:color w:val="000000"/>
          <w:sz w:val="20"/>
          <w:u w:val="none"/>
        </w:rPr>
        <w:t>three months ended March 31, 2026</w:t>
      </w:r>
      <w:r>
        <w:rPr>
          <w:rFonts w:ascii="Times New Roman" w:eastAsia="Times New Roman" w:hAnsi="Times New Roman" w:cs="Times New Roman"/>
          <w:b w:val="0"/>
          <w:i w:val="0"/>
          <w:color w:val="000000"/>
          <w:sz w:val="20"/>
          <w:u w:val="none"/>
        </w:rPr>
        <w:t xml:space="preserve">, we completed </w:t>
      </w:r>
      <w:r>
        <w:rPr>
          <w:rFonts w:ascii="Times New Roman" w:eastAsia="Times New Roman" w:hAnsi="Times New Roman" w:cs="Times New Roman"/>
          <w:b w:val="0"/>
          <w:i w:val="0"/>
          <w:color w:val="000000"/>
          <w:sz w:val="20"/>
          <w:u w:val="none"/>
        </w:rPr>
        <w:t>one</w:t>
      </w:r>
      <w:r>
        <w:rPr>
          <w:rFonts w:ascii="Times New Roman" w:eastAsia="Times New Roman" w:hAnsi="Times New Roman" w:cs="Times New Roman"/>
          <w:b w:val="0"/>
          <w:i w:val="0"/>
          <w:color w:val="000000"/>
          <w:sz w:val="20"/>
          <w:u w:val="none"/>
        </w:rPr>
        <w:t xml:space="preserve"> customer relationship asset acquisition. The total purchase price of this acquisition was </w:t>
      </w:r>
      <w:r>
        <w:rPr>
          <w:rFonts w:ascii="Times New Roman" w:eastAsia="Times New Roman" w:hAnsi="Times New Roman" w:cs="Times New Roman"/>
          <w:b w:val="0"/>
          <w:i w:val="0"/>
          <w:color w:val="000000"/>
          <w:sz w:val="20"/>
          <w:u w:val="none"/>
        </w:rPr>
        <w:t>$6,172</w:t>
      </w:r>
      <w:r>
        <w:rPr>
          <w:rFonts w:ascii="Times New Roman" w:eastAsia="Times New Roman" w:hAnsi="Times New Roman" w:cs="Times New Roman"/>
          <w:b w:val="0"/>
          <w:i w:val="0"/>
          <w:color w:val="000000"/>
          <w:sz w:val="20"/>
          <w:u w:val="none"/>
        </w:rPr>
        <w:t xml:space="preserve">, which consisted of </w:t>
      </w:r>
      <w:r>
        <w:rPr>
          <w:rFonts w:ascii="Times New Roman" w:eastAsia="Times New Roman" w:hAnsi="Times New Roman" w:cs="Times New Roman"/>
          <w:b w:val="0"/>
          <w:i w:val="0"/>
          <w:color w:val="000000"/>
          <w:sz w:val="20"/>
          <w:u w:val="none"/>
        </w:rPr>
        <w:t>$4,721</w:t>
      </w:r>
      <w:r>
        <w:rPr>
          <w:rFonts w:ascii="Times New Roman" w:eastAsia="Times New Roman" w:hAnsi="Times New Roman" w:cs="Times New Roman"/>
          <w:b w:val="0"/>
          <w:i w:val="0"/>
          <w:color w:val="000000"/>
          <w:sz w:val="20"/>
          <w:u w:val="none"/>
        </w:rPr>
        <w:t xml:space="preserve"> of cash paid during the </w:t>
      </w:r>
      <w:r>
        <w:rPr>
          <w:rFonts w:ascii="Times New Roman" w:eastAsia="Times New Roman" w:hAnsi="Times New Roman" w:cs="Times New Roman"/>
          <w:b w:val="0"/>
          <w:i w:val="0"/>
          <w:color w:val="000000"/>
          <w:sz w:val="20"/>
          <w:u w:val="none"/>
        </w:rPr>
        <w:t>three months ended March 31, 2026</w:t>
      </w:r>
      <w:r>
        <w:rPr>
          <w:rFonts w:ascii="Times New Roman" w:eastAsia="Times New Roman" w:hAnsi="Times New Roman" w:cs="Times New Roman"/>
          <w:b w:val="0"/>
          <w:i w:val="0"/>
          <w:color w:val="000000"/>
          <w:sz w:val="20"/>
          <w:highlight w:val="white"/>
          <w:u w:val="none"/>
        </w:rPr>
        <w:t xml:space="preserve">, </w:t>
      </w:r>
      <w:r>
        <w:rPr>
          <w:rFonts w:ascii="Times New Roman" w:eastAsia="Times New Roman" w:hAnsi="Times New Roman" w:cs="Times New Roman"/>
          <w:b w:val="0"/>
          <w:i w:val="0"/>
          <w:color w:val="000000"/>
          <w:sz w:val="20"/>
          <w:u w:val="none"/>
        </w:rPr>
        <w:t>$127</w:t>
      </w:r>
      <w:r>
        <w:rPr>
          <w:rFonts w:ascii="Times New Roman" w:eastAsia="Times New Roman" w:hAnsi="Times New Roman" w:cs="Times New Roman"/>
          <w:b w:val="0"/>
          <w:i w:val="0"/>
          <w:color w:val="000000"/>
          <w:sz w:val="20"/>
          <w:u w:val="none"/>
        </w:rPr>
        <w:t xml:space="preserve"> of cash to be paid over the next 12 months, the delivery of promissory notes in the amount of </w:t>
      </w:r>
      <w:r>
        <w:rPr>
          <w:rFonts w:ascii="Times New Roman" w:eastAsia="Times New Roman" w:hAnsi="Times New Roman" w:cs="Times New Roman"/>
          <w:b w:val="0"/>
          <w:i w:val="0"/>
          <w:color w:val="000000"/>
          <w:sz w:val="20"/>
          <w:u w:val="none"/>
        </w:rPr>
        <w:t>$879</w:t>
      </w:r>
      <w:r>
        <w:rPr>
          <w:rFonts w:ascii="Times New Roman" w:eastAsia="Times New Roman" w:hAnsi="Times New Roman" w:cs="Times New Roman"/>
          <w:b w:val="0"/>
          <w:i w:val="0"/>
          <w:color w:val="000000"/>
          <w:sz w:val="20"/>
          <w:u w:val="none"/>
        </w:rPr>
        <w:t xml:space="preserve">, net of discounts, and the delivery of </w:t>
      </w:r>
      <w:r>
        <w:rPr>
          <w:rFonts w:ascii="Times New Roman" w:eastAsia="Times New Roman" w:hAnsi="Times New Roman" w:cs="Times New Roman"/>
          <w:b w:val="0"/>
          <w:i w:val="0"/>
          <w:color w:val="000000"/>
          <w:sz w:val="20"/>
          <w:u w:val="none"/>
        </w:rPr>
        <w:t>49</w:t>
      </w:r>
      <w:r>
        <w:rPr>
          <w:rFonts w:ascii="Times New Roman" w:eastAsia="Times New Roman" w:hAnsi="Times New Roman" w:cs="Times New Roman"/>
          <w:b w:val="0"/>
          <w:i w:val="0"/>
          <w:color w:val="000000"/>
          <w:sz w:val="20"/>
          <w:u w:val="none"/>
        </w:rPr>
        <w:t xml:space="preserve"> shares of Asure common stock, which had an aggregate fair value of </w:t>
      </w:r>
      <w:r>
        <w:rPr>
          <w:rFonts w:ascii="Times New Roman" w:eastAsia="Times New Roman" w:hAnsi="Times New Roman" w:cs="Times New Roman"/>
          <w:b w:val="0"/>
          <w:i w:val="0"/>
          <w:color w:val="000000"/>
          <w:sz w:val="20"/>
          <w:u w:val="none"/>
        </w:rPr>
        <w:t>$445</w:t>
      </w:r>
      <w:r>
        <w:rPr>
          <w:rFonts w:ascii="Times New Roman" w:eastAsia="Times New Roman" w:hAnsi="Times New Roman" w:cs="Times New Roman"/>
          <w:b w:val="0"/>
          <w:i w:val="0"/>
          <w:color w:val="000000"/>
          <w:sz w:val="20"/>
          <w:u w:val="none"/>
        </w:rPr>
        <w:t xml:space="preserve"> at the acquisition date. The acquired customer relationships are recorded as intangible assets and are being amortized on a straight-line basis over </w:t>
      </w:r>
      <w:r>
        <w:rPr>
          <w:rFonts w:ascii="Times New Roman" w:eastAsia="Times New Roman" w:hAnsi="Times New Roman" w:cs="Times New Roman"/>
          <w:b w:val="0"/>
          <w:i w:val="0"/>
          <w:color w:val="000000"/>
          <w:sz w:val="20"/>
          <w:u w:val="none"/>
        </w:rPr>
        <w:t>eight years</w:t>
      </w:r>
      <w:r>
        <w:rPr>
          <w:rFonts w:ascii="Times New Roman" w:eastAsia="Times New Roman" w:hAnsi="Times New Roman" w:cs="Times New Roman"/>
          <w:b w:val="0"/>
          <w:i w:val="0"/>
          <w:color w:val="000000"/>
          <w:sz w:val="20"/>
          <w:u w:val="none"/>
        </w:rPr>
        <w:t>.</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u w:val="none"/>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u w:val="none"/>
        </w:rPr>
      </w:pPr>
      <w:r>
        <w:rPr>
          <w:rFonts w:ascii="Times New Roman" w:eastAsia="Times New Roman" w:hAnsi="Times New Roman" w:cs="Times New Roman"/>
          <w:b/>
          <w:i w:val="0"/>
          <w:color w:val="000000"/>
          <w:sz w:val="20"/>
          <w:u w:val="none"/>
        </w:rPr>
        <w:t>2025</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u w:val="none"/>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u w:val="single"/>
        </w:rPr>
      </w:pPr>
      <w:r>
        <w:rPr>
          <w:rFonts w:ascii="Times New Roman" w:eastAsia="Times New Roman" w:hAnsi="Times New Roman" w:cs="Times New Roman"/>
          <w:b w:val="0"/>
          <w:i/>
          <w:color w:val="000000"/>
          <w:sz w:val="20"/>
          <w:u w:val="none"/>
        </w:rPr>
        <w:t>Business Combinations</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color w:val="000000"/>
          <w:sz w:val="20"/>
          <w:u w:val="none"/>
        </w:rPr>
      </w:pP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 xml:space="preserve">Effective July 1, 2025, we acquired </w:t>
      </w:r>
      <w:r>
        <w:rPr>
          <w:rFonts w:ascii="Times New Roman" w:eastAsia="Times New Roman" w:hAnsi="Times New Roman" w:cs="Times New Roman"/>
          <w:b w:val="0"/>
          <w:i w:val="0"/>
          <w:color w:val="000000"/>
          <w:sz w:val="20"/>
          <w:u w:val="none"/>
        </w:rPr>
        <w:t>100%</w:t>
      </w:r>
      <w:r>
        <w:rPr>
          <w:rFonts w:ascii="Times New Roman" w:eastAsia="Times New Roman" w:hAnsi="Times New Roman" w:cs="Times New Roman"/>
          <w:b w:val="0"/>
          <w:i w:val="0"/>
          <w:color w:val="000000"/>
          <w:sz w:val="20"/>
          <w:u w:val="none"/>
        </w:rPr>
        <w:t xml:space="preserve"> of the membership interests of Lathem Time 2025 LLC (f/k/a Lathem Time Corporation, “Lathem”), whose technology will be used to expand the capabilities of our broader suite of HR solutions, specifically in timekeeping systems. The aggregate purchase price that we paid for the membership interests was </w:t>
      </w:r>
      <w:r>
        <w:rPr>
          <w:rFonts w:ascii="Times New Roman" w:eastAsia="Times New Roman" w:hAnsi="Times New Roman" w:cs="Times New Roman"/>
          <w:b w:val="0"/>
          <w:i w:val="0"/>
          <w:color w:val="000000"/>
          <w:sz w:val="20"/>
          <w:u w:val="none"/>
        </w:rPr>
        <w:t>$39,497</w:t>
      </w:r>
      <w:r>
        <w:rPr>
          <w:rFonts w:ascii="Times New Roman" w:eastAsia="Times New Roman" w:hAnsi="Times New Roman" w:cs="Times New Roman"/>
          <w:b w:val="0"/>
          <w:i w:val="0"/>
          <w:color w:val="000000"/>
          <w:sz w:val="20"/>
          <w:u w:val="none"/>
        </w:rPr>
        <w:t xml:space="preserve">, consisting of </w:t>
      </w:r>
      <w:r>
        <w:rPr>
          <w:rFonts w:ascii="Times New Roman" w:eastAsia="Times New Roman" w:hAnsi="Times New Roman" w:cs="Times New Roman"/>
          <w:b w:val="0"/>
          <w:i w:val="0"/>
          <w:color w:val="000000"/>
          <w:sz w:val="20"/>
          <w:u w:val="none"/>
        </w:rPr>
        <w:t>$37,500</w:t>
      </w:r>
      <w:r>
        <w:rPr>
          <w:rFonts w:ascii="Times New Roman" w:eastAsia="Times New Roman" w:hAnsi="Times New Roman" w:cs="Times New Roman"/>
          <w:b w:val="0"/>
          <w:i w:val="0"/>
          <w:color w:val="000000"/>
          <w:sz w:val="20"/>
          <w:u w:val="none"/>
        </w:rPr>
        <w:t xml:space="preserve"> paid in cash on hand and the remaining </w:t>
      </w:r>
      <w:r>
        <w:rPr>
          <w:rFonts w:ascii="Times New Roman" w:eastAsia="Times New Roman" w:hAnsi="Times New Roman" w:cs="Times New Roman"/>
          <w:b w:val="0"/>
          <w:i w:val="0"/>
          <w:color w:val="000000"/>
          <w:sz w:val="20"/>
          <w:u w:val="none"/>
        </w:rPr>
        <w:t>$2,221</w:t>
      </w:r>
      <w:r>
        <w:rPr>
          <w:rFonts w:ascii="Times New Roman" w:eastAsia="Times New Roman" w:hAnsi="Times New Roman" w:cs="Times New Roman"/>
          <w:b w:val="0"/>
          <w:i w:val="0"/>
          <w:color w:val="000000"/>
          <w:sz w:val="20"/>
          <w:u w:val="none"/>
        </w:rPr>
        <w:t xml:space="preserve"> in the form of a promissory note (</w:t>
      </w:r>
      <w:r>
        <w:rPr>
          <w:rFonts w:ascii="Times New Roman" w:eastAsia="Times New Roman" w:hAnsi="Times New Roman" w:cs="Times New Roman"/>
          <w:b w:val="0"/>
          <w:i w:val="0"/>
          <w:color w:val="000000"/>
          <w:sz w:val="20"/>
          <w:u w:val="none"/>
        </w:rPr>
        <w:t>$1,997</w:t>
      </w:r>
      <w:r>
        <w:rPr>
          <w:rFonts w:ascii="Times New Roman" w:eastAsia="Times New Roman" w:hAnsi="Times New Roman" w:cs="Times New Roman"/>
          <w:b w:val="0"/>
          <w:i w:val="0"/>
          <w:color w:val="000000"/>
          <w:sz w:val="20"/>
          <w:u w:val="none"/>
        </w:rPr>
        <w:t xml:space="preserve"> net of discount).</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The following table summarizes the amounts of assets acquired and liabilities assumed at the acquisition date, valued at their estimated acquisition-date fair value:</w:t>
      </w:r>
    </w:p>
    <w:tbl>
      <w:tblPr>
        <w:tblStyle w:val="TableNormal0"/>
        <w:tblW w:w="6540" w:type="dxa"/>
        <w:jc w:val="center"/>
        <w:tblLayout w:type="fixed"/>
      </w:tblPr>
      <w:tblGrid>
        <w:gridCol w:w="4800"/>
        <w:gridCol w:w="1740"/>
      </w:tblGrid>
      <w:tr>
        <w:tblPrEx>
          <w:tblW w:w="6540" w:type="dxa"/>
          <w:tblLayout w:type="fixed"/>
        </w:tblPrEx>
        <w:trPr>
          <w:trHeight w:hRule="exact" w:val="465"/>
        </w:trPr>
        <w:tc>
          <w:tcPr>
            <w:tcW w:w="480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740"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Acquisition Date Fair Value</w:t>
            </w:r>
          </w:p>
        </w:tc>
      </w:tr>
      <w:tr>
        <w:tblPrEx>
          <w:tblW w:w="6540" w:type="dxa"/>
          <w:tblLayout w:type="fixed"/>
        </w:tblPrEx>
        <w:trPr>
          <w:trHeight w:hRule="exact" w:val="315"/>
        </w:trPr>
        <w:tc>
          <w:tcPr>
            <w:tcW w:w="480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33" w:after="30" w:line="240" w:lineRule="auto"/>
              <w:ind w:left="120"/>
              <w:jc w:val="left"/>
            </w:pPr>
            <w:r>
              <w:rPr>
                <w:rFonts w:ascii="Times New Roman" w:eastAsia="Times New Roman" w:hAnsi="Times New Roman" w:cs="Times New Roman"/>
                <w:b w:val="0"/>
                <w:i w:val="0"/>
                <w:color w:val="000000"/>
                <w:sz w:val="20"/>
                <w:u w:val="none"/>
              </w:rPr>
              <w:t>Accounts receivable</w:t>
            </w:r>
          </w:p>
        </w:tc>
        <w:tc>
          <w:tcPr>
            <w:tcW w:w="174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1157"/>
                <w:tab w:val="left" w:pos="1672"/>
              </w:tabs>
              <w:spacing w:before="33" w:after="30" w:line="240" w:lineRule="auto"/>
              <w:jc w:val="right"/>
            </w:pPr>
            <w:r>
              <w:rPr>
                <w:rFonts w:ascii="Times New Roman" w:eastAsia="Times New Roman" w:hAnsi="Times New Roman" w:cs="Times New Roman"/>
                <w:b w:val="0"/>
                <w:i w:val="0"/>
                <w:color w:val="000000"/>
                <w:sz w:val="20"/>
                <w:u w:val="none"/>
              </w:rPr>
              <w:t>$</w:t>
              <w:tab/>
              <w:t>2,020</w:t>
              <w:tab/>
            </w:r>
          </w:p>
        </w:tc>
      </w:tr>
      <w:tr>
        <w:tblPrEx>
          <w:tblW w:w="6540" w:type="dxa"/>
          <w:tblLayout w:type="fixed"/>
        </w:tblPrEx>
        <w:trPr>
          <w:trHeight w:hRule="exact" w:val="315"/>
        </w:trPr>
        <w:tc>
          <w:tcPr>
            <w:tcW w:w="480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ind w:left="120"/>
              <w:jc w:val="left"/>
            </w:pPr>
            <w:r>
              <w:rPr>
                <w:rFonts w:ascii="Times New Roman" w:eastAsia="Times New Roman" w:hAnsi="Times New Roman" w:cs="Times New Roman"/>
                <w:b w:val="0"/>
                <w:i w:val="0"/>
                <w:color w:val="000000"/>
                <w:sz w:val="20"/>
                <w:u w:val="none"/>
              </w:rPr>
              <w:t>Inventory</w:t>
            </w:r>
          </w:p>
        </w:tc>
        <w:tc>
          <w:tcPr>
            <w:tcW w:w="174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157"/>
                <w:tab w:val="left" w:pos="1672"/>
              </w:tabs>
              <w:spacing w:before="53" w:after="30" w:line="240" w:lineRule="auto"/>
              <w:jc w:val="right"/>
            </w:pPr>
            <w:r>
              <w:rPr>
                <w:rFonts w:ascii="Times New Roman" w:eastAsia="Times New Roman" w:hAnsi="Times New Roman" w:cs="Times New Roman"/>
                <w:b w:val="0"/>
                <w:i w:val="0"/>
                <w:color w:val="000000"/>
                <w:sz w:val="20"/>
                <w:u w:val="none"/>
              </w:rPr>
              <w:tab/>
              <w:t>3,380</w:t>
              <w:tab/>
            </w:r>
          </w:p>
        </w:tc>
      </w:tr>
      <w:tr>
        <w:tblPrEx>
          <w:tblW w:w="6540" w:type="dxa"/>
          <w:tblLayout w:type="fixed"/>
        </w:tblPrEx>
        <w:trPr>
          <w:trHeight w:hRule="exact" w:val="315"/>
        </w:trPr>
        <w:tc>
          <w:tcPr>
            <w:tcW w:w="480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ind w:left="120"/>
              <w:jc w:val="left"/>
            </w:pPr>
            <w:r>
              <w:rPr>
                <w:rFonts w:ascii="Times New Roman" w:eastAsia="Times New Roman" w:hAnsi="Times New Roman" w:cs="Times New Roman"/>
                <w:b w:val="0"/>
                <w:i w:val="0"/>
                <w:color w:val="000000"/>
                <w:sz w:val="20"/>
                <w:u w:val="none"/>
              </w:rPr>
              <w:t>Prepaid expenses and other current assets</w:t>
            </w:r>
          </w:p>
        </w:tc>
        <w:tc>
          <w:tcPr>
            <w:tcW w:w="174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307"/>
                <w:tab w:val="left" w:pos="1672"/>
              </w:tabs>
              <w:spacing w:before="53" w:after="30" w:line="240" w:lineRule="auto"/>
              <w:jc w:val="right"/>
            </w:pPr>
            <w:r>
              <w:rPr>
                <w:rFonts w:ascii="Times New Roman" w:eastAsia="Times New Roman" w:hAnsi="Times New Roman" w:cs="Times New Roman"/>
                <w:b w:val="0"/>
                <w:i w:val="0"/>
                <w:color w:val="000000"/>
                <w:sz w:val="20"/>
                <w:u w:val="none"/>
              </w:rPr>
              <w:tab/>
              <w:t>177</w:t>
              <w:tab/>
            </w:r>
          </w:p>
        </w:tc>
      </w:tr>
      <w:tr>
        <w:tblPrEx>
          <w:tblW w:w="6540" w:type="dxa"/>
          <w:tblLayout w:type="fixed"/>
        </w:tblPrEx>
        <w:trPr>
          <w:trHeight w:hRule="exact" w:val="315"/>
        </w:trPr>
        <w:tc>
          <w:tcPr>
            <w:tcW w:w="480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ind w:left="120"/>
              <w:jc w:val="left"/>
            </w:pPr>
            <w:r>
              <w:rPr>
                <w:rFonts w:ascii="Times New Roman" w:eastAsia="Times New Roman" w:hAnsi="Times New Roman" w:cs="Times New Roman"/>
                <w:b w:val="0"/>
                <w:i w:val="0"/>
                <w:color w:val="000000"/>
                <w:sz w:val="20"/>
                <w:u w:val="none"/>
              </w:rPr>
              <w:t>Property and equipment, net</w:t>
            </w:r>
          </w:p>
        </w:tc>
        <w:tc>
          <w:tcPr>
            <w:tcW w:w="174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307"/>
                <w:tab w:val="left" w:pos="1672"/>
              </w:tabs>
              <w:spacing w:before="53" w:after="30" w:line="240" w:lineRule="auto"/>
              <w:jc w:val="right"/>
            </w:pPr>
            <w:r>
              <w:rPr>
                <w:rFonts w:ascii="Times New Roman" w:eastAsia="Times New Roman" w:hAnsi="Times New Roman" w:cs="Times New Roman"/>
                <w:b w:val="0"/>
                <w:i w:val="0"/>
                <w:color w:val="000000"/>
                <w:sz w:val="20"/>
                <w:u w:val="none"/>
              </w:rPr>
              <w:tab/>
              <w:t>185</w:t>
              <w:tab/>
            </w:r>
          </w:p>
        </w:tc>
      </w:tr>
      <w:tr>
        <w:tblPrEx>
          <w:tblW w:w="6540" w:type="dxa"/>
          <w:tblLayout w:type="fixed"/>
        </w:tblPrEx>
        <w:trPr>
          <w:trHeight w:hRule="exact" w:val="315"/>
        </w:trPr>
        <w:tc>
          <w:tcPr>
            <w:tcW w:w="480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ind w:left="120"/>
              <w:jc w:val="left"/>
            </w:pPr>
            <w:r>
              <w:rPr>
                <w:rFonts w:ascii="Times New Roman" w:eastAsia="Times New Roman" w:hAnsi="Times New Roman" w:cs="Times New Roman"/>
                <w:b w:val="0"/>
                <w:i w:val="0"/>
                <w:color w:val="000000"/>
                <w:sz w:val="20"/>
                <w:u w:val="none"/>
              </w:rPr>
              <w:t>Intangible assets, net</w:t>
            </w:r>
          </w:p>
        </w:tc>
        <w:tc>
          <w:tcPr>
            <w:tcW w:w="174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057"/>
                <w:tab w:val="left" w:pos="1672"/>
              </w:tabs>
              <w:spacing w:before="53" w:after="30" w:line="240" w:lineRule="auto"/>
              <w:jc w:val="right"/>
            </w:pPr>
            <w:r>
              <w:rPr>
                <w:rFonts w:ascii="Times New Roman" w:eastAsia="Times New Roman" w:hAnsi="Times New Roman" w:cs="Times New Roman"/>
                <w:b w:val="0"/>
                <w:i w:val="0"/>
                <w:color w:val="000000"/>
                <w:sz w:val="20"/>
                <w:u w:val="none"/>
              </w:rPr>
              <w:tab/>
              <w:t>16,500</w:t>
              <w:tab/>
            </w:r>
          </w:p>
        </w:tc>
      </w:tr>
      <w:tr>
        <w:tblPrEx>
          <w:tblW w:w="6540" w:type="dxa"/>
          <w:tblLayout w:type="fixed"/>
        </w:tblPrEx>
        <w:trPr>
          <w:trHeight w:hRule="exact" w:val="315"/>
        </w:trPr>
        <w:tc>
          <w:tcPr>
            <w:tcW w:w="480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ind w:left="120"/>
              <w:jc w:val="left"/>
            </w:pPr>
            <w:r>
              <w:rPr>
                <w:rFonts w:ascii="Times New Roman" w:eastAsia="Times New Roman" w:hAnsi="Times New Roman" w:cs="Times New Roman"/>
                <w:b w:val="0"/>
                <w:i w:val="0"/>
                <w:color w:val="000000"/>
                <w:sz w:val="20"/>
                <w:u w:val="none"/>
              </w:rPr>
              <w:t>Operating lease assets, net</w:t>
            </w:r>
          </w:p>
        </w:tc>
        <w:tc>
          <w:tcPr>
            <w:tcW w:w="174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307"/>
                <w:tab w:val="left" w:pos="1672"/>
              </w:tabs>
              <w:spacing w:before="53" w:after="30" w:line="240" w:lineRule="auto"/>
              <w:jc w:val="right"/>
            </w:pPr>
            <w:r>
              <w:rPr>
                <w:rFonts w:ascii="Times New Roman" w:eastAsia="Times New Roman" w:hAnsi="Times New Roman" w:cs="Times New Roman"/>
                <w:b w:val="0"/>
                <w:i w:val="0"/>
                <w:color w:val="000000"/>
                <w:sz w:val="20"/>
                <w:u w:val="none"/>
              </w:rPr>
              <w:tab/>
              <w:t>826</w:t>
              <w:tab/>
            </w:r>
          </w:p>
        </w:tc>
      </w:tr>
      <w:tr>
        <w:tblPrEx>
          <w:tblW w:w="6540" w:type="dxa"/>
          <w:tblLayout w:type="fixed"/>
        </w:tblPrEx>
        <w:trPr>
          <w:trHeight w:hRule="exact" w:val="315"/>
        </w:trPr>
        <w:tc>
          <w:tcPr>
            <w:tcW w:w="480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ind w:left="120"/>
              <w:jc w:val="left"/>
            </w:pPr>
            <w:r>
              <w:rPr>
                <w:rFonts w:ascii="Times New Roman" w:eastAsia="Times New Roman" w:hAnsi="Times New Roman" w:cs="Times New Roman"/>
                <w:b w:val="0"/>
                <w:i w:val="0"/>
                <w:color w:val="000000"/>
                <w:sz w:val="20"/>
                <w:u w:val="none"/>
              </w:rPr>
              <w:t>Other assets, net</w:t>
            </w:r>
          </w:p>
        </w:tc>
        <w:tc>
          <w:tcPr>
            <w:tcW w:w="174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1307"/>
                <w:tab w:val="left" w:pos="1672"/>
              </w:tabs>
              <w:spacing w:before="53" w:after="30" w:line="240" w:lineRule="auto"/>
              <w:jc w:val="right"/>
            </w:pPr>
            <w:r>
              <w:rPr>
                <w:rFonts w:ascii="Times New Roman" w:eastAsia="Times New Roman" w:hAnsi="Times New Roman" w:cs="Times New Roman"/>
                <w:b w:val="0"/>
                <w:i w:val="0"/>
                <w:color w:val="000000"/>
                <w:sz w:val="20"/>
                <w:u w:val="none"/>
              </w:rPr>
              <w:tab/>
              <w:t>777</w:t>
              <w:tab/>
            </w:r>
          </w:p>
        </w:tc>
      </w:tr>
      <w:tr>
        <w:tblPrEx>
          <w:tblW w:w="6540" w:type="dxa"/>
          <w:tblLayout w:type="fixed"/>
        </w:tblPrEx>
        <w:trPr>
          <w:trHeight w:hRule="exact" w:val="315"/>
        </w:trPr>
        <w:tc>
          <w:tcPr>
            <w:tcW w:w="480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Total assets acquired</w:t>
            </w:r>
          </w:p>
        </w:tc>
        <w:tc>
          <w:tcPr>
            <w:tcW w:w="174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pPr>
              <w:keepNext/>
              <w:pageBreakBefore w:val="0"/>
              <w:tabs>
                <w:tab w:val="left" w:pos="1057"/>
                <w:tab w:val="left" w:pos="1672"/>
              </w:tabs>
              <w:spacing w:before="33" w:after="30" w:line="240" w:lineRule="auto"/>
              <w:jc w:val="right"/>
            </w:pPr>
            <w:r>
              <w:rPr>
                <w:rFonts w:ascii="Times New Roman" w:eastAsia="Times New Roman" w:hAnsi="Times New Roman" w:cs="Times New Roman"/>
                <w:b w:val="0"/>
                <w:i w:val="0"/>
                <w:color w:val="000000"/>
                <w:sz w:val="20"/>
                <w:u w:val="none"/>
              </w:rPr>
              <w:tab/>
              <w:t>23,865</w:t>
              <w:tab/>
            </w:r>
          </w:p>
        </w:tc>
      </w:tr>
      <w:tr>
        <w:tblPrEx>
          <w:tblW w:w="6540" w:type="dxa"/>
          <w:tblLayout w:type="fixed"/>
        </w:tblPrEx>
        <w:trPr>
          <w:trHeight w:hRule="exact" w:val="315"/>
        </w:trPr>
        <w:tc>
          <w:tcPr>
            <w:tcW w:w="480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ind w:left="120"/>
              <w:jc w:val="left"/>
            </w:pPr>
            <w:r>
              <w:rPr>
                <w:rFonts w:ascii="Times New Roman" w:eastAsia="Times New Roman" w:hAnsi="Times New Roman" w:cs="Times New Roman"/>
                <w:b w:val="0"/>
                <w:i w:val="0"/>
                <w:color w:val="000000"/>
                <w:sz w:val="20"/>
                <w:u w:val="none"/>
              </w:rPr>
              <w:t>Accounts payable</w:t>
            </w:r>
          </w:p>
        </w:tc>
        <w:tc>
          <w:tcPr>
            <w:tcW w:w="174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307"/>
                <w:tab w:val="left" w:pos="1672"/>
              </w:tabs>
              <w:spacing w:before="53" w:after="30" w:line="240" w:lineRule="auto"/>
              <w:jc w:val="right"/>
            </w:pPr>
            <w:r>
              <w:rPr>
                <w:rFonts w:ascii="Times New Roman" w:eastAsia="Times New Roman" w:hAnsi="Times New Roman" w:cs="Times New Roman"/>
                <w:b w:val="0"/>
                <w:i w:val="0"/>
                <w:color w:val="000000"/>
                <w:sz w:val="20"/>
                <w:u w:val="none"/>
              </w:rPr>
              <w:tab/>
              <w:t>474</w:t>
              <w:tab/>
            </w:r>
          </w:p>
        </w:tc>
      </w:tr>
      <w:tr>
        <w:tblPrEx>
          <w:tblW w:w="6540" w:type="dxa"/>
          <w:tblLayout w:type="fixed"/>
        </w:tblPrEx>
        <w:trPr>
          <w:trHeight w:hRule="exact" w:val="315"/>
        </w:trPr>
        <w:tc>
          <w:tcPr>
            <w:tcW w:w="480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ind w:left="120"/>
              <w:jc w:val="left"/>
            </w:pPr>
            <w:r>
              <w:rPr>
                <w:rFonts w:ascii="Times New Roman" w:eastAsia="Times New Roman" w:hAnsi="Times New Roman" w:cs="Times New Roman"/>
                <w:b w:val="0"/>
                <w:i w:val="0"/>
                <w:color w:val="000000"/>
                <w:sz w:val="20"/>
                <w:u w:val="none"/>
              </w:rPr>
              <w:t>Operating lease liabilities, current</w:t>
            </w:r>
          </w:p>
        </w:tc>
        <w:tc>
          <w:tcPr>
            <w:tcW w:w="174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307"/>
                <w:tab w:val="left" w:pos="1672"/>
              </w:tabs>
              <w:spacing w:before="53" w:after="30" w:line="240" w:lineRule="auto"/>
              <w:jc w:val="right"/>
            </w:pPr>
            <w:r>
              <w:rPr>
                <w:rFonts w:ascii="Times New Roman" w:eastAsia="Times New Roman" w:hAnsi="Times New Roman" w:cs="Times New Roman"/>
                <w:b w:val="0"/>
                <w:i w:val="0"/>
                <w:color w:val="000000"/>
                <w:sz w:val="20"/>
                <w:u w:val="none"/>
              </w:rPr>
              <w:tab/>
              <w:t>826</w:t>
              <w:tab/>
            </w:r>
          </w:p>
        </w:tc>
      </w:tr>
      <w:tr>
        <w:tblPrEx>
          <w:tblW w:w="6540" w:type="dxa"/>
          <w:tblLayout w:type="fixed"/>
        </w:tblPrEx>
        <w:trPr>
          <w:trHeight w:hRule="exact" w:val="315"/>
        </w:trPr>
        <w:tc>
          <w:tcPr>
            <w:tcW w:w="480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ind w:left="120"/>
              <w:jc w:val="left"/>
            </w:pPr>
            <w:r>
              <w:rPr>
                <w:rFonts w:ascii="Times New Roman" w:eastAsia="Times New Roman" w:hAnsi="Times New Roman" w:cs="Times New Roman"/>
                <w:b w:val="0"/>
                <w:i w:val="0"/>
                <w:color w:val="000000"/>
                <w:sz w:val="20"/>
                <w:u w:val="none"/>
              </w:rPr>
              <w:t>Other accrued liabilities</w:t>
            </w:r>
          </w:p>
        </w:tc>
        <w:tc>
          <w:tcPr>
            <w:tcW w:w="174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307"/>
                <w:tab w:val="left" w:pos="1672"/>
              </w:tabs>
              <w:spacing w:before="53" w:after="30" w:line="240" w:lineRule="auto"/>
              <w:jc w:val="right"/>
            </w:pPr>
            <w:r>
              <w:rPr>
                <w:rFonts w:ascii="Times New Roman" w:eastAsia="Times New Roman" w:hAnsi="Times New Roman" w:cs="Times New Roman"/>
                <w:b w:val="0"/>
                <w:i w:val="0"/>
                <w:color w:val="000000"/>
                <w:sz w:val="20"/>
                <w:u w:val="none"/>
              </w:rPr>
              <w:tab/>
              <w:t>615</w:t>
              <w:tab/>
            </w:r>
          </w:p>
        </w:tc>
      </w:tr>
      <w:tr>
        <w:tblPrEx>
          <w:tblW w:w="6540" w:type="dxa"/>
          <w:tblLayout w:type="fixed"/>
        </w:tblPrEx>
        <w:trPr>
          <w:trHeight w:hRule="exact" w:val="315"/>
        </w:trPr>
        <w:tc>
          <w:tcPr>
            <w:tcW w:w="480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ind w:left="120"/>
              <w:jc w:val="left"/>
            </w:pPr>
            <w:r>
              <w:rPr>
                <w:rFonts w:ascii="Times New Roman" w:eastAsia="Times New Roman" w:hAnsi="Times New Roman" w:cs="Times New Roman"/>
                <w:b w:val="0"/>
                <w:i w:val="0"/>
                <w:color w:val="000000"/>
                <w:sz w:val="20"/>
                <w:u w:val="none"/>
              </w:rPr>
              <w:t>Deferred revenue</w:t>
            </w:r>
          </w:p>
        </w:tc>
        <w:tc>
          <w:tcPr>
            <w:tcW w:w="174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1157"/>
                <w:tab w:val="left" w:pos="1672"/>
              </w:tabs>
              <w:spacing w:before="53" w:after="30" w:line="240" w:lineRule="auto"/>
              <w:jc w:val="right"/>
            </w:pPr>
            <w:r>
              <w:rPr>
                <w:rFonts w:ascii="Times New Roman" w:eastAsia="Times New Roman" w:hAnsi="Times New Roman" w:cs="Times New Roman"/>
                <w:b w:val="0"/>
                <w:i w:val="0"/>
                <w:color w:val="000000"/>
                <w:sz w:val="20"/>
                <w:u w:val="none"/>
              </w:rPr>
              <w:tab/>
              <w:t>3,488</w:t>
              <w:tab/>
            </w:r>
          </w:p>
        </w:tc>
      </w:tr>
      <w:tr>
        <w:tblPrEx>
          <w:tblW w:w="6540" w:type="dxa"/>
          <w:tblLayout w:type="fixed"/>
        </w:tblPrEx>
        <w:trPr>
          <w:trHeight w:hRule="exact" w:val="315"/>
        </w:trPr>
        <w:tc>
          <w:tcPr>
            <w:tcW w:w="480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Total liabilities assumed</w:t>
            </w:r>
          </w:p>
        </w:tc>
        <w:tc>
          <w:tcPr>
            <w:tcW w:w="1740" w:type="dxa"/>
            <w:tcBorders>
              <w:top w:val="single" w:sz="8" w:space="0" w:color="000000"/>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1157"/>
                <w:tab w:val="left" w:pos="1672"/>
              </w:tabs>
              <w:spacing w:before="33" w:after="30" w:line="240" w:lineRule="auto"/>
              <w:jc w:val="right"/>
            </w:pPr>
            <w:r>
              <w:rPr>
                <w:rFonts w:ascii="Times New Roman" w:eastAsia="Times New Roman" w:hAnsi="Times New Roman" w:cs="Times New Roman"/>
                <w:b w:val="0"/>
                <w:i w:val="0"/>
                <w:color w:val="000000"/>
                <w:sz w:val="20"/>
                <w:u w:val="none"/>
              </w:rPr>
              <w:tab/>
              <w:t>5,403</w:t>
              <w:tab/>
            </w:r>
          </w:p>
        </w:tc>
      </w:tr>
      <w:tr>
        <w:tblPrEx>
          <w:tblW w:w="6540" w:type="dxa"/>
          <w:tblLayout w:type="fixed"/>
        </w:tblPrEx>
        <w:trPr>
          <w:trHeight w:hRule="exact" w:val="315"/>
        </w:trPr>
        <w:tc>
          <w:tcPr>
            <w:tcW w:w="480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Total net assets acquired</w:t>
            </w:r>
          </w:p>
        </w:tc>
        <w:tc>
          <w:tcPr>
            <w:tcW w:w="174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pPr>
              <w:keepNext/>
              <w:pageBreakBefore w:val="0"/>
              <w:tabs>
                <w:tab w:val="left" w:pos="1057"/>
                <w:tab w:val="left" w:pos="1672"/>
              </w:tabs>
              <w:spacing w:before="33" w:after="30" w:line="240" w:lineRule="auto"/>
              <w:jc w:val="right"/>
            </w:pPr>
            <w:r>
              <w:rPr>
                <w:rFonts w:ascii="Times New Roman" w:eastAsia="Times New Roman" w:hAnsi="Times New Roman" w:cs="Times New Roman"/>
                <w:b w:val="0"/>
                <w:i w:val="0"/>
                <w:color w:val="000000"/>
                <w:sz w:val="20"/>
                <w:u w:val="none"/>
              </w:rPr>
              <w:tab/>
              <w:t>18,462</w:t>
              <w:tab/>
            </w:r>
          </w:p>
        </w:tc>
      </w:tr>
      <w:tr>
        <w:tblPrEx>
          <w:tblW w:w="6540" w:type="dxa"/>
          <w:tblLayout w:type="fixed"/>
        </w:tblPrEx>
        <w:trPr>
          <w:trHeight w:hRule="exact" w:val="315"/>
        </w:trPr>
        <w:tc>
          <w:tcPr>
            <w:tcW w:w="480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ind w:left="120"/>
              <w:jc w:val="left"/>
            </w:pPr>
            <w:r>
              <w:rPr>
                <w:rFonts w:ascii="Times New Roman" w:eastAsia="Times New Roman" w:hAnsi="Times New Roman" w:cs="Times New Roman"/>
                <w:b w:val="0"/>
                <w:i w:val="0"/>
                <w:color w:val="000000"/>
                <w:sz w:val="20"/>
                <w:u w:val="none"/>
              </w:rPr>
              <w:t>Goodwill</w:t>
            </w:r>
          </w:p>
        </w:tc>
        <w:tc>
          <w:tcPr>
            <w:tcW w:w="174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1057"/>
                <w:tab w:val="left" w:pos="1672"/>
              </w:tabs>
              <w:spacing w:before="53" w:after="30" w:line="240" w:lineRule="auto"/>
              <w:jc w:val="right"/>
            </w:pPr>
            <w:r>
              <w:rPr>
                <w:rFonts w:ascii="Times New Roman" w:eastAsia="Times New Roman" w:hAnsi="Times New Roman" w:cs="Times New Roman"/>
                <w:b w:val="0"/>
                <w:i w:val="0"/>
                <w:color w:val="000000"/>
                <w:sz w:val="20"/>
                <w:u w:val="none"/>
              </w:rPr>
              <w:tab/>
              <w:t>21,035</w:t>
              <w:tab/>
            </w:r>
          </w:p>
        </w:tc>
      </w:tr>
      <w:tr>
        <w:tblPrEx>
          <w:tblW w:w="6540" w:type="dxa"/>
          <w:tblLayout w:type="fixed"/>
        </w:tblPrEx>
        <w:trPr>
          <w:trHeight w:hRule="exact" w:val="315"/>
        </w:trPr>
        <w:tc>
          <w:tcPr>
            <w:tcW w:w="4800" w:type="dxa"/>
            <w:tcBorders>
              <w:top w:val="nil"/>
              <w:left w:val="nil"/>
              <w:bottom w:val="nil"/>
              <w:right w:val="nil"/>
            </w:tcBorders>
            <w:shd w:val="clear" w:color="auto" w:fill="FFFFFF"/>
            <w:tcMar>
              <w:top w:w="0" w:type="dxa"/>
              <w:left w:w="53" w:type="dxa"/>
              <w:bottom w:w="0" w:type="dxa"/>
              <w:right w:w="53" w:type="dxa"/>
            </w:tcMar>
            <w:vAlign w:val="bottom"/>
          </w:tcPr>
          <w:p>
            <w:pPr>
              <w:pageBreakBefore w:val="0"/>
              <w:spacing w:before="33" w:after="30" w:line="240" w:lineRule="auto"/>
              <w:jc w:val="left"/>
            </w:pPr>
            <w:r>
              <w:rPr>
                <w:rFonts w:ascii="Times New Roman" w:eastAsia="Times New Roman" w:hAnsi="Times New Roman" w:cs="Times New Roman"/>
                <w:b w:val="0"/>
                <w:i w:val="0"/>
                <w:color w:val="000000"/>
                <w:sz w:val="20"/>
                <w:u w:val="none"/>
              </w:rPr>
              <w:t>Total purchase price</w:t>
            </w:r>
          </w:p>
        </w:tc>
        <w:tc>
          <w:tcPr>
            <w:tcW w:w="174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pageBreakBefore w:val="0"/>
              <w:tabs>
                <w:tab w:val="left" w:pos="1057"/>
                <w:tab w:val="left" w:pos="1672"/>
              </w:tabs>
              <w:spacing w:before="33" w:after="30" w:line="240" w:lineRule="auto"/>
              <w:jc w:val="right"/>
            </w:pPr>
            <w:r>
              <w:rPr>
                <w:rFonts w:ascii="Times New Roman" w:eastAsia="Times New Roman" w:hAnsi="Times New Roman" w:cs="Times New Roman"/>
                <w:b w:val="0"/>
                <w:i w:val="0"/>
                <w:color w:val="000000"/>
                <w:sz w:val="20"/>
                <w:u w:val="none"/>
              </w:rPr>
              <w:t>$</w:t>
              <w:tab/>
              <w:t>39,497</w:t>
              <w:tab/>
            </w:r>
          </w:p>
        </w:tc>
      </w:tr>
    </w:tbl>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 xml:space="preserve">The goodwill of </w:t>
      </w:r>
      <w:r>
        <w:rPr>
          <w:rFonts w:ascii="Times New Roman" w:eastAsia="Times New Roman" w:hAnsi="Times New Roman" w:cs="Times New Roman"/>
          <w:b w:val="0"/>
          <w:i w:val="0"/>
          <w:color w:val="000000"/>
          <w:sz w:val="20"/>
          <w:u w:val="none"/>
        </w:rPr>
        <w:t>$21,035</w:t>
      </w:r>
      <w:r>
        <w:rPr>
          <w:rFonts w:ascii="Times New Roman" w:eastAsia="Times New Roman" w:hAnsi="Times New Roman" w:cs="Times New Roman"/>
          <w:b w:val="0"/>
          <w:i w:val="0"/>
          <w:color w:val="000000"/>
          <w:sz w:val="20"/>
          <w:u w:val="none"/>
        </w:rPr>
        <w:t xml:space="preserve"> arising from the acquisition consists largely of the synergies and economies of scale expected from combining our operations with Lathem and is expected to be deductible for tax purposes.</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color w:val="000000"/>
          <w:sz w:val="20"/>
          <w:u w:val="none"/>
        </w:rPr>
      </w:pPr>
    </w:p>
    <w:p>
      <w:pPr>
        <w:keepNext/>
        <w:keepLines/>
        <w:pageBreakBefore/>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color w:val="000000"/>
          <w:sz w:val="20"/>
          <w:u w:val="none"/>
        </w:rPr>
        <w:t>Asset Acquisitions</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During the</w:t>
      </w:r>
      <w:r>
        <w:rPr>
          <w:rFonts w:ascii="Times New Roman" w:eastAsia="Times New Roman" w:hAnsi="Times New Roman" w:cs="Times New Roman"/>
          <w:b w:val="0"/>
          <w:i w:val="0"/>
          <w:color w:val="000000"/>
          <w:sz w:val="20"/>
          <w:highlight w:val="white"/>
          <w:u w:val="none"/>
        </w:rPr>
        <w:t xml:space="preserve"> year ended </w:t>
      </w:r>
      <w:r>
        <w:rPr>
          <w:rFonts w:ascii="Times New Roman" w:eastAsia="Times New Roman" w:hAnsi="Times New Roman" w:cs="Times New Roman"/>
          <w:b w:val="0"/>
          <w:i w:val="0"/>
          <w:color w:val="000000"/>
          <w:sz w:val="20"/>
          <w:u w:val="none"/>
        </w:rPr>
        <w:t>December 31, 2025</w:t>
      </w:r>
      <w:r>
        <w:rPr>
          <w:rFonts w:ascii="Times New Roman" w:eastAsia="Times New Roman" w:hAnsi="Times New Roman" w:cs="Times New Roman"/>
          <w:b w:val="0"/>
          <w:i w:val="0"/>
          <w:color w:val="000000"/>
          <w:sz w:val="20"/>
          <w:u w:val="none"/>
        </w:rPr>
        <w:t xml:space="preserve">, we completed </w:t>
      </w:r>
      <w:r>
        <w:rPr>
          <w:rFonts w:ascii="Times New Roman" w:eastAsia="Times New Roman" w:hAnsi="Times New Roman" w:cs="Times New Roman"/>
          <w:b w:val="0"/>
          <w:i w:val="0"/>
          <w:color w:val="000000"/>
          <w:sz w:val="20"/>
          <w:u w:val="none"/>
        </w:rPr>
        <w:t>seven</w:t>
      </w:r>
      <w:r>
        <w:rPr>
          <w:rFonts w:ascii="Times New Roman" w:eastAsia="Times New Roman" w:hAnsi="Times New Roman" w:cs="Times New Roman"/>
          <w:b w:val="0"/>
          <w:i w:val="0"/>
          <w:color w:val="000000"/>
          <w:sz w:val="20"/>
          <w:u w:val="none"/>
        </w:rPr>
        <w:t xml:space="preserve"> customer relationship asset acquisitions. The total purchase price of these acquisitions was </w:t>
      </w:r>
      <w:r>
        <w:rPr>
          <w:rFonts w:ascii="Times New Roman" w:eastAsia="Times New Roman" w:hAnsi="Times New Roman" w:cs="Times New Roman"/>
          <w:b w:val="0"/>
          <w:i w:val="0"/>
          <w:color w:val="000000"/>
          <w:sz w:val="20"/>
          <w:u w:val="none"/>
        </w:rPr>
        <w:t>$20,523</w:t>
      </w:r>
      <w:r>
        <w:rPr>
          <w:rFonts w:ascii="Times New Roman" w:eastAsia="Times New Roman" w:hAnsi="Times New Roman" w:cs="Times New Roman"/>
          <w:b w:val="0"/>
          <w:i w:val="0"/>
          <w:color w:val="000000"/>
          <w:sz w:val="20"/>
          <w:u w:val="none"/>
        </w:rPr>
        <w:t xml:space="preserve">, which consisted of </w:t>
      </w:r>
      <w:r>
        <w:rPr>
          <w:rFonts w:ascii="Times New Roman" w:eastAsia="Times New Roman" w:hAnsi="Times New Roman" w:cs="Times New Roman"/>
          <w:b w:val="0"/>
          <w:i w:val="0"/>
          <w:color w:val="000000"/>
          <w:sz w:val="20"/>
          <w:u w:val="none"/>
        </w:rPr>
        <w:t>$16,019</w:t>
      </w:r>
      <w:r>
        <w:rPr>
          <w:rFonts w:ascii="Times New Roman" w:eastAsia="Times New Roman" w:hAnsi="Times New Roman" w:cs="Times New Roman"/>
          <w:b w:val="0"/>
          <w:i w:val="0"/>
          <w:color w:val="000000"/>
          <w:sz w:val="20"/>
          <w:u w:val="none"/>
        </w:rPr>
        <w:t xml:space="preserve"> of cash paid during the year ended </w:t>
      </w:r>
      <w:r>
        <w:rPr>
          <w:rFonts w:ascii="Times New Roman" w:eastAsia="Times New Roman" w:hAnsi="Times New Roman" w:cs="Times New Roman"/>
          <w:b w:val="0"/>
          <w:i w:val="0"/>
          <w:color w:val="000000"/>
          <w:sz w:val="20"/>
          <w:u w:val="none"/>
        </w:rPr>
        <w:t>December 31, 2025</w:t>
      </w:r>
      <w:r>
        <w:rPr>
          <w:rFonts w:ascii="Times New Roman" w:eastAsia="Times New Roman" w:hAnsi="Times New Roman" w:cs="Times New Roman"/>
          <w:b w:val="0"/>
          <w:i w:val="0"/>
          <w:color w:val="000000"/>
          <w:sz w:val="20"/>
          <w:highlight w:val="white"/>
          <w:u w:val="none"/>
        </w:rPr>
        <w:t xml:space="preserve">, </w:t>
      </w:r>
      <w:r>
        <w:rPr>
          <w:rFonts w:ascii="Times New Roman" w:eastAsia="Times New Roman" w:hAnsi="Times New Roman" w:cs="Times New Roman"/>
          <w:b w:val="0"/>
          <w:i w:val="0"/>
          <w:color w:val="000000"/>
          <w:sz w:val="20"/>
          <w:u w:val="none"/>
        </w:rPr>
        <w:t>$31</w:t>
      </w:r>
      <w:r>
        <w:rPr>
          <w:rFonts w:ascii="Times New Roman" w:eastAsia="Times New Roman" w:hAnsi="Times New Roman" w:cs="Times New Roman"/>
          <w:b w:val="0"/>
          <w:i w:val="0"/>
          <w:color w:val="000000"/>
          <w:sz w:val="20"/>
          <w:u w:val="none"/>
        </w:rPr>
        <w:t xml:space="preserve"> of cash paid during the </w:t>
      </w:r>
      <w:r>
        <w:rPr>
          <w:rFonts w:ascii="Times New Roman" w:eastAsia="Times New Roman" w:hAnsi="Times New Roman" w:cs="Times New Roman"/>
          <w:b w:val="0"/>
          <w:i w:val="0"/>
          <w:color w:val="000000"/>
          <w:sz w:val="20"/>
          <w:u w:val="none"/>
        </w:rPr>
        <w:t>three months ended March 31, 2026</w:t>
      </w:r>
      <w:r>
        <w:rPr>
          <w:rFonts w:ascii="Times New Roman" w:eastAsia="Times New Roman" w:hAnsi="Times New Roman" w:cs="Times New Roman"/>
          <w:b w:val="0"/>
          <w:i w:val="0"/>
          <w:color w:val="000000"/>
          <w:sz w:val="20"/>
          <w:u w:val="none"/>
        </w:rPr>
        <w:t xml:space="preserve">, </w:t>
      </w:r>
      <w:r>
        <w:rPr>
          <w:rFonts w:ascii="Times New Roman" w:eastAsia="Times New Roman" w:hAnsi="Times New Roman" w:cs="Times New Roman"/>
          <w:b w:val="0"/>
          <w:i w:val="0"/>
          <w:color w:val="000000"/>
          <w:sz w:val="20"/>
          <w:u w:val="none"/>
        </w:rPr>
        <w:t>$25</w:t>
      </w:r>
      <w:r>
        <w:rPr>
          <w:rFonts w:ascii="Times New Roman" w:eastAsia="Times New Roman" w:hAnsi="Times New Roman" w:cs="Times New Roman"/>
          <w:b w:val="0"/>
          <w:i w:val="0"/>
          <w:color w:val="000000"/>
          <w:sz w:val="20"/>
          <w:u w:val="none"/>
        </w:rPr>
        <w:t xml:space="preserve"> of cash to be paid over the next 12 months, the delivery of promissory notes in the amount of </w:t>
      </w:r>
      <w:r>
        <w:rPr>
          <w:rFonts w:ascii="Times New Roman" w:eastAsia="Times New Roman" w:hAnsi="Times New Roman" w:cs="Times New Roman"/>
          <w:b w:val="0"/>
          <w:i w:val="0"/>
          <w:color w:val="000000"/>
          <w:sz w:val="20"/>
          <w:u w:val="none"/>
        </w:rPr>
        <w:t>$3,492</w:t>
      </w:r>
      <w:r>
        <w:rPr>
          <w:rFonts w:ascii="Times New Roman" w:eastAsia="Times New Roman" w:hAnsi="Times New Roman" w:cs="Times New Roman"/>
          <w:b w:val="0"/>
          <w:i w:val="0"/>
          <w:color w:val="000000"/>
          <w:sz w:val="20"/>
          <w:u w:val="none"/>
        </w:rPr>
        <w:t xml:space="preserve">, net of discounts, and the delivery of </w:t>
      </w:r>
      <w:r>
        <w:rPr>
          <w:rFonts w:ascii="Times New Roman" w:eastAsia="Times New Roman" w:hAnsi="Times New Roman" w:cs="Times New Roman"/>
          <w:b w:val="0"/>
          <w:i w:val="0"/>
          <w:color w:val="000000"/>
          <w:sz w:val="20"/>
          <w:u w:val="none"/>
        </w:rPr>
        <w:t>124</w:t>
      </w:r>
      <w:r>
        <w:rPr>
          <w:rFonts w:ascii="Times New Roman" w:eastAsia="Times New Roman" w:hAnsi="Times New Roman" w:cs="Times New Roman"/>
          <w:b w:val="0"/>
          <w:i w:val="0"/>
          <w:color w:val="000000"/>
          <w:sz w:val="20"/>
          <w:u w:val="none"/>
        </w:rPr>
        <w:t xml:space="preserve"> shares of Asure common stock, which had an aggregate fair value of </w:t>
      </w:r>
      <w:r>
        <w:rPr>
          <w:rFonts w:ascii="Times New Roman" w:eastAsia="Times New Roman" w:hAnsi="Times New Roman" w:cs="Times New Roman"/>
          <w:b w:val="0"/>
          <w:i w:val="0"/>
          <w:color w:val="000000"/>
          <w:sz w:val="20"/>
          <w:u w:val="none"/>
        </w:rPr>
        <w:t>$956</w:t>
      </w:r>
      <w:r>
        <w:rPr>
          <w:rFonts w:ascii="Times New Roman" w:eastAsia="Times New Roman" w:hAnsi="Times New Roman" w:cs="Times New Roman"/>
          <w:b w:val="0"/>
          <w:i w:val="0"/>
          <w:color w:val="000000"/>
          <w:sz w:val="20"/>
          <w:u w:val="none"/>
        </w:rPr>
        <w:t xml:space="preserve"> at the respective acquisition dates. The purchase prices for certain of these acquisitions are subject to adjustments for contingent events which are generally expected to occur over the next </w:t>
      </w:r>
      <w:r>
        <w:rPr>
          <w:rFonts w:ascii="Times New Roman" w:eastAsia="Times New Roman" w:hAnsi="Times New Roman" w:cs="Times New Roman"/>
          <w:b w:val="0"/>
          <w:i w:val="0"/>
          <w:color w:val="000000"/>
          <w:sz w:val="20"/>
          <w:u w:val="none"/>
        </w:rPr>
        <w:t>twelve months</w:t>
      </w:r>
      <w:r>
        <w:rPr>
          <w:rFonts w:ascii="Times New Roman" w:eastAsia="Times New Roman" w:hAnsi="Times New Roman" w:cs="Times New Roman"/>
          <w:b w:val="0"/>
          <w:i w:val="0"/>
          <w:color w:val="000000"/>
          <w:sz w:val="20"/>
          <w:u w:val="none"/>
        </w:rPr>
        <w:t xml:space="preserve"> following </w:t>
      </w:r>
      <w:r>
        <w:rPr>
          <w:rFonts w:ascii="Times New Roman" w:eastAsia="Times New Roman" w:hAnsi="Times New Roman" w:cs="Times New Roman"/>
          <w:b w:val="0"/>
          <w:i w:val="0"/>
          <w:color w:val="000000"/>
          <w:sz w:val="20"/>
          <w:u w:val="none"/>
        </w:rPr>
        <w:t>March 31, 2026</w:t>
      </w:r>
      <w:r>
        <w:rPr>
          <w:rFonts w:ascii="Times New Roman" w:eastAsia="Times New Roman" w:hAnsi="Times New Roman" w:cs="Times New Roman"/>
          <w:b w:val="0"/>
          <w:i w:val="0"/>
          <w:color w:val="000000"/>
          <w:sz w:val="20"/>
          <w:u w:val="none"/>
        </w:rPr>
        <w:t xml:space="preserve">, including revenue generated from the acquired assets. The acquired customer relationships are recorded as intangible assets and are being amortized on a straight-line basis over </w:t>
      </w:r>
      <w:r>
        <w:rPr>
          <w:rFonts w:ascii="Times New Roman" w:eastAsia="Times New Roman" w:hAnsi="Times New Roman" w:cs="Times New Roman"/>
          <w:b w:val="0"/>
          <w:i w:val="0"/>
          <w:color w:val="000000"/>
          <w:sz w:val="20"/>
          <w:u w:val="none"/>
        </w:rPr>
        <w:t>eight years</w:t>
      </w:r>
      <w:r>
        <w:rPr>
          <w:rFonts w:ascii="Times New Roman" w:eastAsia="Times New Roman" w:hAnsi="Times New Roman" w:cs="Times New Roman"/>
          <w:b w:val="0"/>
          <w:i w:val="0"/>
          <w:color w:val="000000"/>
          <w:sz w:val="20"/>
          <w:u w:val="none"/>
        </w:rPr>
        <w:t>.</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u w:val="none"/>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color w:val="000000"/>
          <w:sz w:val="20"/>
          <w:u w:val="none"/>
        </w:rPr>
        <w:sectPr>
          <w:pgSz w:w="12240" w:h="15840"/>
          <w:pgMar w:top="855" w:right="990" w:bottom="855" w:left="990" w:header="270" w:footer="270"/>
          <w:cols w:space="708"/>
        </w:sectPr>
      </w:pPr>
    </w:p>
    <w:p>
      <w:pPr>
        <w:keepNext/>
        <w:keepLines/>
        <w:pageBreakBefore w:val="0"/>
        <w:widowControl w:val="0"/>
        <w:numPr>
          <w:ilvl w:val="0"/>
          <w:numId w:val="0"/>
        </w:numPr>
        <w:spacing w:before="0" w:after="0" w:line="288" w:lineRule="auto"/>
        <w:ind w:left="0" w:right="0" w:firstLine="0"/>
        <w:jc w:val="left"/>
        <w:outlineLvl w:val="3"/>
        <w:rPr>
          <w:rFonts w:ascii="Times New Roman" w:eastAsia="Times New Roman" w:hAnsi="Times New Roman" w:cs="Times New Roman"/>
          <w:b/>
          <w:i w:val="0"/>
          <w:sz w:val="20"/>
        </w:rPr>
      </w:pPr>
      <w:bookmarkStart w:id="12" w:name="Section13"/>
      <w:bookmarkEnd w:id="12"/>
      <w:r>
        <w:rPr>
          <w:rFonts w:ascii="Times New Roman" w:eastAsia="Times New Roman" w:hAnsi="Times New Roman" w:cs="Times New Roman"/>
          <w:b/>
          <w:i w:val="0"/>
          <w:sz w:val="20"/>
        </w:rPr>
        <w:t xml:space="preserve">NOTE 4 - </w:t>
      </w:r>
      <w:r>
        <w:rPr>
          <w:rFonts w:ascii="Times New Roman" w:eastAsia="Times New Roman" w:hAnsi="Times New Roman" w:cs="Times New Roman"/>
          <w:b/>
          <w:i w:val="0"/>
          <w:color w:val="000000"/>
          <w:sz w:val="20"/>
          <w:u w:val="none"/>
        </w:rPr>
        <w:t>INVESTMENTS AND FAIR VALUE MEASUREMENTS</w:t>
      </w:r>
    </w:p>
    <w:p>
      <w:pPr>
        <w:keepNext/>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i w:val="0"/>
          <w:color w:val="000000"/>
          <w:sz w:val="20"/>
          <w:u w:val="none"/>
        </w:rPr>
      </w:pP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i w:val="0"/>
          <w:color w:val="000000"/>
          <w:sz w:val="20"/>
          <w:u w:val="none"/>
        </w:rPr>
      </w:pPr>
      <w:r>
        <w:rPr>
          <w:rFonts w:ascii="Times New Roman" w:eastAsia="Times New Roman" w:hAnsi="Times New Roman" w:cs="Times New Roman"/>
          <w:b w:val="0"/>
          <w:i w:val="0"/>
          <w:color w:val="000000"/>
          <w:sz w:val="20"/>
          <w:u w:val="none"/>
        </w:rPr>
        <w:t>Accounting Standards Codification (ASC) 820 “Fair Value Measurement” (ASC 820) defines fair value, establishes a framework for measuring fair value under U.S. GAAP and enhances disclosures about fair value measurements. Fair value is defined as the exchange price that would be received for an asset or paid to transfer a liability (an exit price) in the principal or most advantageous market for the asset or liability in an orderly transaction between market participants on the measurement date. Valuation techniques used to measure fair value must maximize the use of observable inputs and minimize the use of unobservable inputs. ASC 820 describes a fair value hierarchy based on the following three levels of inputs that may be used to measure fair value, of which the first two are considered observable and the last unobservable:</w:t>
      </w: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tbl>
      <w:tblPr>
        <w:tblStyle w:val="TableNormal0"/>
        <w:tblW w:w="9570" w:type="dxa"/>
        <w:tblInd w:w="720" w:type="dxa"/>
        <w:tblLayout w:type="fixed"/>
      </w:tblPr>
      <w:tblGrid>
        <w:gridCol w:w="780"/>
        <w:gridCol w:w="195"/>
        <w:gridCol w:w="8595"/>
      </w:tblGrid>
      <w:tr>
        <w:tblPrEx>
          <w:tblW w:w="9570" w:type="dxa"/>
          <w:tblInd w:w="720" w:type="dxa"/>
          <w:tblLayout w:type="fixed"/>
        </w:tblPrEx>
        <w:trPr>
          <w:trHeight w:hRule="exact" w:val="315"/>
        </w:trPr>
        <w:tc>
          <w:tcPr>
            <w:tcW w:w="780" w:type="dxa"/>
            <w:tcBorders>
              <w:top w:val="nil"/>
              <w:left w:val="nil"/>
              <w:bottom w:val="nil"/>
              <w:right w:val="nil"/>
            </w:tcBorders>
            <w:tcMar>
              <w:top w:w="0" w:type="dxa"/>
              <w:left w:w="53" w:type="dxa"/>
              <w:bottom w:w="0" w:type="dxa"/>
              <w:right w:w="53" w:type="dxa"/>
            </w:tcMar>
            <w:vAlign w:val="top"/>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Level 1:</w:t>
            </w:r>
          </w:p>
        </w:tc>
        <w:tc>
          <w:tcPr>
            <w:tcW w:w="19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8595" w:type="dxa"/>
            <w:tcBorders>
              <w:top w:val="nil"/>
              <w:left w:val="nil"/>
              <w:bottom w:val="nil"/>
              <w:right w:val="nil"/>
            </w:tcBorders>
            <w:tcMar>
              <w:top w:w="0" w:type="dxa"/>
              <w:left w:w="53" w:type="dxa"/>
              <w:bottom w:w="0" w:type="dxa"/>
              <w:right w:w="53" w:type="dxa"/>
            </w:tcMar>
            <w:vAlign w:val="top"/>
          </w:tcPr>
          <w:p>
            <w:pPr>
              <w:keepNext/>
              <w:pageBreakBefore w:val="0"/>
              <w:numPr>
                <w:ilvl w:val="0"/>
                <w:numId w:val="0"/>
              </w:numPr>
              <w:spacing w:before="53" w:after="30" w:line="240" w:lineRule="auto"/>
              <w:ind w:left="0" w:right="0" w:firstLine="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 xml:space="preserve">Quoted prices in active markets for </w:t>
            </w:r>
            <w:r>
              <w:rPr>
                <w:rFonts w:ascii="Times New Roman" w:eastAsia="Times New Roman" w:hAnsi="Times New Roman" w:cs="Times New Roman"/>
                <w:b w:val="0"/>
                <w:i/>
                <w:sz w:val="20"/>
              </w:rPr>
              <w:t>identical</w:t>
            </w:r>
            <w:r>
              <w:rPr>
                <w:rFonts w:ascii="Times New Roman" w:eastAsia="Times New Roman" w:hAnsi="Times New Roman" w:cs="Times New Roman"/>
                <w:b w:val="0"/>
                <w:i w:val="0"/>
                <w:sz w:val="20"/>
              </w:rPr>
              <w:t xml:space="preserve"> assets or liabilities;</w:t>
            </w:r>
          </w:p>
        </w:tc>
      </w:tr>
      <w:tr>
        <w:tblPrEx>
          <w:tblW w:w="9570" w:type="dxa"/>
          <w:tblInd w:w="720" w:type="dxa"/>
          <w:tblLayout w:type="fixed"/>
        </w:tblPrEx>
        <w:trPr>
          <w:trHeight w:hRule="exact" w:val="315"/>
        </w:trPr>
        <w:tc>
          <w:tcPr>
            <w:tcW w:w="78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9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859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r>
      <w:tr>
        <w:tblPrEx>
          <w:tblW w:w="9570" w:type="dxa"/>
          <w:tblInd w:w="720" w:type="dxa"/>
          <w:tblLayout w:type="fixed"/>
        </w:tblPrEx>
        <w:trPr>
          <w:trHeight w:hRule="exact" w:val="675"/>
        </w:trPr>
        <w:tc>
          <w:tcPr>
            <w:tcW w:w="780" w:type="dxa"/>
            <w:tcBorders>
              <w:top w:val="nil"/>
              <w:left w:val="nil"/>
              <w:bottom w:val="nil"/>
              <w:right w:val="nil"/>
            </w:tcBorders>
            <w:tcMar>
              <w:top w:w="0" w:type="dxa"/>
              <w:left w:w="53" w:type="dxa"/>
              <w:bottom w:w="0" w:type="dxa"/>
              <w:right w:w="53" w:type="dxa"/>
            </w:tcMar>
            <w:vAlign w:val="top"/>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Level 2:</w:t>
            </w:r>
          </w:p>
        </w:tc>
        <w:tc>
          <w:tcPr>
            <w:tcW w:w="19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8595" w:type="dxa"/>
            <w:tcBorders>
              <w:top w:val="nil"/>
              <w:left w:val="nil"/>
              <w:bottom w:val="nil"/>
              <w:right w:val="nil"/>
            </w:tcBorders>
            <w:tcMar>
              <w:top w:w="0" w:type="dxa"/>
              <w:left w:w="53" w:type="dxa"/>
              <w:bottom w:w="0" w:type="dxa"/>
              <w:right w:w="53" w:type="dxa"/>
            </w:tcMar>
            <w:vAlign w:val="top"/>
          </w:tcPr>
          <w:p>
            <w:pPr>
              <w:keepNext/>
              <w:pageBreakBefore w:val="0"/>
              <w:numPr>
                <w:ilvl w:val="0"/>
                <w:numId w:val="0"/>
              </w:numPr>
              <w:spacing w:before="53" w:after="30" w:line="240" w:lineRule="auto"/>
              <w:ind w:left="0" w:right="0" w:firstLine="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 xml:space="preserve">Quoted prices in active markets for </w:t>
            </w:r>
            <w:r>
              <w:rPr>
                <w:rFonts w:ascii="Times New Roman" w:eastAsia="Times New Roman" w:hAnsi="Times New Roman" w:cs="Times New Roman"/>
                <w:b w:val="0"/>
                <w:i/>
                <w:sz w:val="20"/>
              </w:rPr>
              <w:t>similar</w:t>
            </w:r>
            <w:r>
              <w:rPr>
                <w:rFonts w:ascii="Times New Roman" w:eastAsia="Times New Roman" w:hAnsi="Times New Roman" w:cs="Times New Roman"/>
                <w:b w:val="0"/>
                <w:i w:val="0"/>
                <w:sz w:val="20"/>
              </w:rPr>
              <w:t xml:space="preserve"> assets or liabilities; quoted prices in markets that are not active for identical or similar assets or liabilities; and model-driven valuations whose significant inputs are observable; and</w:t>
            </w:r>
          </w:p>
        </w:tc>
      </w:tr>
      <w:tr>
        <w:tblPrEx>
          <w:tblW w:w="9570" w:type="dxa"/>
          <w:tblInd w:w="720" w:type="dxa"/>
          <w:tblLayout w:type="fixed"/>
        </w:tblPrEx>
        <w:trPr>
          <w:trHeight w:hRule="exact" w:val="315"/>
        </w:trPr>
        <w:tc>
          <w:tcPr>
            <w:tcW w:w="78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9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859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r>
      <w:tr>
        <w:tblPrEx>
          <w:tblW w:w="9570" w:type="dxa"/>
          <w:tblInd w:w="720" w:type="dxa"/>
          <w:tblLayout w:type="fixed"/>
        </w:tblPrEx>
        <w:trPr>
          <w:trHeight w:hRule="exact" w:val="465"/>
        </w:trPr>
        <w:tc>
          <w:tcPr>
            <w:tcW w:w="780" w:type="dxa"/>
            <w:tcBorders>
              <w:top w:val="nil"/>
              <w:left w:val="nil"/>
              <w:bottom w:val="nil"/>
              <w:right w:val="nil"/>
            </w:tcBorders>
            <w:tcMar>
              <w:top w:w="0" w:type="dxa"/>
              <w:left w:w="53" w:type="dxa"/>
              <w:bottom w:w="0" w:type="dxa"/>
              <w:right w:w="53" w:type="dxa"/>
            </w:tcMar>
            <w:vAlign w:val="top"/>
          </w:tcPr>
          <w:p>
            <w:pPr>
              <w:pageBreakBefore w:val="0"/>
              <w:spacing w:before="53" w:after="30" w:line="240" w:lineRule="auto"/>
              <w:jc w:val="left"/>
            </w:pPr>
            <w:r>
              <w:rPr>
                <w:rFonts w:ascii="Times New Roman" w:eastAsia="Times New Roman" w:hAnsi="Times New Roman" w:cs="Times New Roman"/>
                <w:b w:val="0"/>
                <w:i w:val="0"/>
                <w:color w:val="000000"/>
                <w:sz w:val="20"/>
                <w:u w:val="none"/>
              </w:rPr>
              <w:t>Level 3:</w:t>
            </w:r>
          </w:p>
        </w:tc>
        <w:tc>
          <w:tcPr>
            <w:tcW w:w="195" w:type="dxa"/>
            <w:tcBorders>
              <w:top w:val="nil"/>
              <w:left w:val="nil"/>
              <w:bottom w:val="nil"/>
              <w:right w:val="nil"/>
            </w:tcBorders>
            <w:tcMar>
              <w:top w:w="0" w:type="dxa"/>
              <w:left w:w="0" w:type="dxa"/>
              <w:bottom w:w="0" w:type="dxa"/>
              <w:right w:w="0" w:type="dxa"/>
            </w:tcMar>
            <w:vAlign w:val="bottom"/>
          </w:tcPr>
          <w:p>
            <w:pPr>
              <w:pageBreakBefore w:val="0"/>
              <w:spacing w:before="0" w:after="0"/>
            </w:pPr>
          </w:p>
        </w:tc>
        <w:tc>
          <w:tcPr>
            <w:tcW w:w="8595" w:type="dxa"/>
            <w:tcBorders>
              <w:top w:val="nil"/>
              <w:left w:val="nil"/>
              <w:bottom w:val="nil"/>
              <w:right w:val="nil"/>
            </w:tcBorders>
            <w:tcMar>
              <w:top w:w="0" w:type="dxa"/>
              <w:left w:w="53" w:type="dxa"/>
              <w:bottom w:w="0" w:type="dxa"/>
              <w:right w:w="53" w:type="dxa"/>
            </w:tcMar>
            <w:vAlign w:val="top"/>
          </w:tcPr>
          <w:p>
            <w:pPr>
              <w:pageBreakBefore w:val="0"/>
              <w:spacing w:before="53" w:after="30" w:line="240" w:lineRule="auto"/>
              <w:jc w:val="both"/>
            </w:pPr>
            <w:r>
              <w:rPr>
                <w:rFonts w:ascii="Times New Roman" w:eastAsia="Times New Roman" w:hAnsi="Times New Roman" w:cs="Times New Roman"/>
                <w:b w:val="0"/>
                <w:i w:val="0"/>
                <w:color w:val="000000"/>
                <w:sz w:val="20"/>
                <w:u w:val="none"/>
              </w:rPr>
              <w:t>Unobservable inputs that are supported by little or no market activity and that are significant to the fair value of the assets or liabilities.</w:t>
            </w:r>
          </w:p>
        </w:tc>
      </w:tr>
    </w:tbl>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color w:val="000000"/>
          <w:sz w:val="20"/>
          <w:u w:val="none"/>
        </w:rPr>
      </w:pP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The following table presents the fair value hierarchy for our financial assets and liabilities measured at fair value on a recurring basis for the periods presented below (in thousands):</w:t>
      </w:r>
    </w:p>
    <w:tbl>
      <w:tblPr>
        <w:tblStyle w:val="TableNormal0"/>
        <w:tblW w:w="10260" w:type="dxa"/>
        <w:jc w:val="left"/>
        <w:tblInd w:w="0" w:type="dxa"/>
        <w:tblLayout w:type="fixed"/>
      </w:tblPr>
      <w:tblGrid>
        <w:gridCol w:w="4095"/>
        <w:gridCol w:w="1485"/>
        <w:gridCol w:w="75"/>
        <w:gridCol w:w="1485"/>
        <w:gridCol w:w="75"/>
        <w:gridCol w:w="1485"/>
        <w:gridCol w:w="75"/>
        <w:gridCol w:w="1485"/>
      </w:tblGrid>
      <w:tr>
        <w:tblPrEx>
          <w:tblW w:w="10260" w:type="dxa"/>
          <w:tblInd w:w="0" w:type="dxa"/>
          <w:tblLayout w:type="fixed"/>
        </w:tblPrEx>
        <w:trPr>
          <w:trHeight w:hRule="exact" w:val="465"/>
        </w:trPr>
        <w:tc>
          <w:tcPr>
            <w:tcW w:w="409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Total Carrying Value</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Level 1</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Level 2</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Level 3</w:t>
            </w:r>
          </w:p>
        </w:tc>
      </w:tr>
      <w:tr>
        <w:tblPrEx>
          <w:tblW w:w="10260" w:type="dxa"/>
          <w:tblInd w:w="0" w:type="dxa"/>
          <w:tblLayout w:type="fixed"/>
        </w:tblPrEx>
        <w:trPr>
          <w:trHeight w:hRule="exact" w:val="285"/>
        </w:trPr>
        <w:tc>
          <w:tcPr>
            <w:tcW w:w="409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33" w:after="30" w:line="240" w:lineRule="auto"/>
              <w:jc w:val="left"/>
            </w:pPr>
            <w:r>
              <w:rPr>
                <w:rFonts w:ascii="Times New Roman" w:eastAsia="Times New Roman" w:hAnsi="Times New Roman" w:cs="Times New Roman"/>
                <w:b/>
                <w:i w:val="0"/>
                <w:color w:val="000000"/>
                <w:sz w:val="20"/>
                <w:u w:val="none"/>
              </w:rPr>
              <w:t>March 31, 2026</w:t>
            </w:r>
          </w:p>
        </w:tc>
        <w:tc>
          <w:tcPr>
            <w:tcW w:w="1485" w:type="dxa"/>
            <w:tcBorders>
              <w:top w:val="sing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sing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sing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sing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r>
      <w:tr>
        <w:tblPrEx>
          <w:tblW w:w="10260" w:type="dxa"/>
          <w:tblInd w:w="0" w:type="dxa"/>
          <w:tblLayout w:type="fixed"/>
        </w:tblPrEx>
        <w:trPr>
          <w:trHeight w:hRule="exact" w:val="285"/>
        </w:trPr>
        <w:tc>
          <w:tcPr>
            <w:tcW w:w="409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i w:val="0"/>
                <w:color w:val="000000"/>
                <w:sz w:val="20"/>
                <w:u w:val="none"/>
              </w:rPr>
              <w:t>Assets:</w:t>
            </w:r>
          </w:p>
        </w:tc>
        <w:tc>
          <w:tcPr>
            <w:tcW w:w="148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i w:val="0"/>
                <w:color w:val="000000"/>
                <w:sz w:val="20"/>
                <w:u w:val="none"/>
              </w:rPr>
              <w:t> </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i w:val="0"/>
                <w:color w:val="000000"/>
                <w:sz w:val="20"/>
                <w:u w:val="none"/>
              </w:rPr>
              <w:t> </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i w:val="0"/>
                <w:color w:val="000000"/>
                <w:sz w:val="20"/>
                <w:u w:val="none"/>
              </w:rPr>
              <w:t> </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i w:val="0"/>
                <w:color w:val="000000"/>
                <w:sz w:val="20"/>
                <w:u w:val="none"/>
              </w:rPr>
              <w:t> </w:t>
            </w:r>
          </w:p>
        </w:tc>
      </w:tr>
      <w:tr>
        <w:tblPrEx>
          <w:tblW w:w="10260" w:type="dxa"/>
          <w:tblInd w:w="0" w:type="dxa"/>
          <w:tblLayout w:type="fixed"/>
        </w:tblPrEx>
        <w:trPr>
          <w:trHeight w:hRule="exact" w:val="285"/>
        </w:trPr>
        <w:tc>
          <w:tcPr>
            <w:tcW w:w="409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Funds held for clients</w:t>
            </w:r>
          </w:p>
        </w:tc>
        <w:tc>
          <w:tcPr>
            <w:tcW w:w="148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r>
      <w:tr>
        <w:tblPrEx>
          <w:tblW w:w="10260" w:type="dxa"/>
          <w:tblInd w:w="0" w:type="dxa"/>
          <w:tblLayout w:type="fixed"/>
        </w:tblPrEx>
        <w:trPr>
          <w:trHeight w:hRule="exact" w:val="285"/>
        </w:trPr>
        <w:tc>
          <w:tcPr>
            <w:tcW w:w="409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ind w:left="135"/>
              <w:jc w:val="left"/>
            </w:pPr>
            <w:r>
              <w:rPr>
                <w:rFonts w:ascii="Times New Roman" w:eastAsia="Times New Roman" w:hAnsi="Times New Roman" w:cs="Times New Roman"/>
                <w:b w:val="0"/>
                <w:i w:val="0"/>
                <w:color w:val="000000"/>
                <w:sz w:val="20"/>
                <w:u w:val="none"/>
              </w:rPr>
              <w:t>Money market funds</w:t>
            </w:r>
          </w:p>
        </w:tc>
        <w:tc>
          <w:tcPr>
            <w:tcW w:w="148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02"/>
                <w:tab w:val="left" w:pos="1417"/>
              </w:tabs>
              <w:spacing w:before="53" w:after="30" w:line="240" w:lineRule="auto"/>
              <w:jc w:val="right"/>
            </w:pPr>
            <w:r>
              <w:rPr>
                <w:rFonts w:ascii="Times New Roman" w:eastAsia="Times New Roman" w:hAnsi="Times New Roman" w:cs="Times New Roman"/>
                <w:b w:val="0"/>
                <w:i w:val="0"/>
                <w:color w:val="000000"/>
                <w:sz w:val="20"/>
                <w:u w:val="none"/>
              </w:rPr>
              <w:t>$</w:t>
              <w:tab/>
              <w:t>4,651</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02"/>
                <w:tab w:val="left" w:pos="1417"/>
              </w:tabs>
              <w:spacing w:before="53" w:after="30" w:line="240" w:lineRule="auto"/>
              <w:jc w:val="right"/>
            </w:pPr>
            <w:r>
              <w:rPr>
                <w:rFonts w:ascii="Times New Roman" w:eastAsia="Times New Roman" w:hAnsi="Times New Roman" w:cs="Times New Roman"/>
                <w:b w:val="0"/>
                <w:i w:val="0"/>
                <w:color w:val="000000"/>
                <w:sz w:val="20"/>
                <w:u w:val="none"/>
              </w:rPr>
              <w:t>$</w:t>
              <w:tab/>
              <w:t>4,651</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152"/>
                <w:tab w:val="left" w:pos="1417"/>
              </w:tabs>
              <w:spacing w:before="53" w:after="30" w:line="240" w:lineRule="auto"/>
              <w:jc w:val="right"/>
            </w:pPr>
            <w:r>
              <w:rPr>
                <w:rFonts w:ascii="Times New Roman" w:eastAsia="Times New Roman" w:hAnsi="Times New Roman" w:cs="Times New Roman"/>
                <w:b w:val="0"/>
                <w:i w:val="0"/>
                <w:color w:val="000000"/>
                <w:sz w:val="20"/>
                <w:u w:val="none"/>
              </w:rPr>
              <w:t>$</w:t>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152"/>
                <w:tab w:val="left" w:pos="1417"/>
              </w:tabs>
              <w:spacing w:before="53" w:after="30" w:line="240" w:lineRule="auto"/>
              <w:jc w:val="right"/>
            </w:pPr>
            <w:r>
              <w:rPr>
                <w:rFonts w:ascii="Times New Roman" w:eastAsia="Times New Roman" w:hAnsi="Times New Roman" w:cs="Times New Roman"/>
                <w:b w:val="0"/>
                <w:i w:val="0"/>
                <w:color w:val="000000"/>
                <w:sz w:val="20"/>
                <w:u w:val="none"/>
              </w:rPr>
              <w:t>$</w:t>
              <w:tab/>
              <w:t>—</w:t>
              <w:tab/>
            </w:r>
          </w:p>
        </w:tc>
      </w:tr>
      <w:tr>
        <w:tblPrEx>
          <w:tblW w:w="10260" w:type="dxa"/>
          <w:tblInd w:w="0" w:type="dxa"/>
          <w:tblLayout w:type="fixed"/>
        </w:tblPrEx>
        <w:trPr>
          <w:trHeight w:hRule="exact" w:val="285"/>
        </w:trPr>
        <w:tc>
          <w:tcPr>
            <w:tcW w:w="409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ind w:left="135"/>
              <w:jc w:val="left"/>
            </w:pPr>
            <w:r>
              <w:rPr>
                <w:rFonts w:ascii="Times New Roman" w:eastAsia="Times New Roman" w:hAnsi="Times New Roman" w:cs="Times New Roman"/>
                <w:b w:val="0"/>
                <w:i w:val="0"/>
                <w:color w:val="000000"/>
                <w:sz w:val="20"/>
                <w:u w:val="none"/>
              </w:rPr>
              <w:t>Available-for-sale securities</w:t>
            </w:r>
          </w:p>
        </w:tc>
        <w:tc>
          <w:tcPr>
            <w:tcW w:w="148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802"/>
                <w:tab w:val="left" w:pos="1417"/>
              </w:tabs>
              <w:spacing w:before="53" w:after="30" w:line="240" w:lineRule="auto"/>
              <w:jc w:val="right"/>
            </w:pPr>
            <w:r>
              <w:rPr>
                <w:rFonts w:ascii="Times New Roman" w:eastAsia="Times New Roman" w:hAnsi="Times New Roman" w:cs="Times New Roman"/>
                <w:b w:val="0"/>
                <w:i w:val="0"/>
                <w:color w:val="000000"/>
                <w:sz w:val="20"/>
                <w:u w:val="none"/>
              </w:rPr>
              <w:tab/>
              <w:t>85,230</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1152"/>
                <w:tab w:val="left" w:pos="1417"/>
              </w:tabs>
              <w:spacing w:before="53" w:after="3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802"/>
                <w:tab w:val="left" w:pos="1417"/>
              </w:tabs>
              <w:spacing w:before="53" w:after="30" w:line="240" w:lineRule="auto"/>
              <w:jc w:val="right"/>
            </w:pPr>
            <w:r>
              <w:rPr>
                <w:rFonts w:ascii="Times New Roman" w:eastAsia="Times New Roman" w:hAnsi="Times New Roman" w:cs="Times New Roman"/>
                <w:b w:val="0"/>
                <w:i w:val="0"/>
                <w:color w:val="000000"/>
                <w:sz w:val="20"/>
                <w:u w:val="none"/>
              </w:rPr>
              <w:tab/>
              <w:t>85,230</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1152"/>
                <w:tab w:val="left" w:pos="1417"/>
              </w:tabs>
              <w:spacing w:before="53" w:after="30" w:line="240" w:lineRule="auto"/>
              <w:jc w:val="right"/>
            </w:pPr>
            <w:r>
              <w:rPr>
                <w:rFonts w:ascii="Times New Roman" w:eastAsia="Times New Roman" w:hAnsi="Times New Roman" w:cs="Times New Roman"/>
                <w:b w:val="0"/>
                <w:i w:val="0"/>
                <w:color w:val="000000"/>
                <w:sz w:val="20"/>
                <w:u w:val="none"/>
              </w:rPr>
              <w:tab/>
              <w:t>—</w:t>
              <w:tab/>
            </w:r>
          </w:p>
        </w:tc>
      </w:tr>
      <w:tr>
        <w:tblPrEx>
          <w:tblW w:w="10260" w:type="dxa"/>
          <w:tblInd w:w="0" w:type="dxa"/>
          <w:tblLayout w:type="fixed"/>
        </w:tblPrEx>
        <w:trPr>
          <w:trHeight w:hRule="exact" w:val="285"/>
        </w:trPr>
        <w:tc>
          <w:tcPr>
            <w:tcW w:w="409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Total</w:t>
            </w:r>
          </w:p>
        </w:tc>
        <w:tc>
          <w:tcPr>
            <w:tcW w:w="148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keepNext/>
              <w:pageBreakBefore w:val="0"/>
              <w:tabs>
                <w:tab w:val="left" w:pos="802"/>
                <w:tab w:val="left" w:pos="1417"/>
              </w:tabs>
              <w:spacing w:before="33" w:after="30" w:line="240" w:lineRule="auto"/>
              <w:jc w:val="right"/>
            </w:pPr>
            <w:r>
              <w:rPr>
                <w:rFonts w:ascii="Times New Roman" w:eastAsia="Times New Roman" w:hAnsi="Times New Roman" w:cs="Times New Roman"/>
                <w:b w:val="0"/>
                <w:i w:val="0"/>
                <w:color w:val="000000"/>
                <w:sz w:val="20"/>
                <w:u w:val="none"/>
              </w:rPr>
              <w:t>$</w:t>
              <w:tab/>
              <w:t>89,881</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keepNext/>
              <w:pageBreakBefore w:val="0"/>
              <w:tabs>
                <w:tab w:val="left" w:pos="902"/>
                <w:tab w:val="left" w:pos="1417"/>
              </w:tabs>
              <w:spacing w:before="33" w:after="30" w:line="240" w:lineRule="auto"/>
              <w:jc w:val="right"/>
            </w:pPr>
            <w:r>
              <w:rPr>
                <w:rFonts w:ascii="Times New Roman" w:eastAsia="Times New Roman" w:hAnsi="Times New Roman" w:cs="Times New Roman"/>
                <w:b w:val="0"/>
                <w:i w:val="0"/>
                <w:color w:val="000000"/>
                <w:sz w:val="20"/>
                <w:u w:val="none"/>
              </w:rPr>
              <w:t>$</w:t>
              <w:tab/>
              <w:t>4,651</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keepNext/>
              <w:pageBreakBefore w:val="0"/>
              <w:tabs>
                <w:tab w:val="left" w:pos="802"/>
                <w:tab w:val="left" w:pos="1417"/>
              </w:tabs>
              <w:spacing w:before="33" w:after="30" w:line="240" w:lineRule="auto"/>
              <w:jc w:val="right"/>
            </w:pPr>
            <w:r>
              <w:rPr>
                <w:rFonts w:ascii="Times New Roman" w:eastAsia="Times New Roman" w:hAnsi="Times New Roman" w:cs="Times New Roman"/>
                <w:b w:val="0"/>
                <w:i w:val="0"/>
                <w:color w:val="000000"/>
                <w:sz w:val="20"/>
                <w:u w:val="none"/>
              </w:rPr>
              <w:t>$</w:t>
              <w:tab/>
              <w:t>85,230</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keepNext/>
              <w:pageBreakBefore w:val="0"/>
              <w:tabs>
                <w:tab w:val="left" w:pos="1152"/>
                <w:tab w:val="left" w:pos="1417"/>
              </w:tabs>
              <w:spacing w:before="33" w:after="30" w:line="240" w:lineRule="auto"/>
              <w:jc w:val="right"/>
            </w:pPr>
            <w:r>
              <w:rPr>
                <w:rFonts w:ascii="Times New Roman" w:eastAsia="Times New Roman" w:hAnsi="Times New Roman" w:cs="Times New Roman"/>
                <w:b w:val="0"/>
                <w:i w:val="0"/>
                <w:color w:val="000000"/>
                <w:sz w:val="20"/>
                <w:u w:val="none"/>
              </w:rPr>
              <w:t>$</w:t>
              <w:tab/>
              <w:t>—</w:t>
              <w:tab/>
            </w:r>
          </w:p>
        </w:tc>
      </w:tr>
      <w:tr>
        <w:tblPrEx>
          <w:tblW w:w="10260" w:type="dxa"/>
          <w:tblInd w:w="0" w:type="dxa"/>
          <w:tblLayout w:type="fixed"/>
        </w:tblPrEx>
        <w:trPr>
          <w:trHeight w:hRule="exact" w:val="255"/>
        </w:trPr>
        <w:tc>
          <w:tcPr>
            <w:tcW w:w="409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doub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doub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doub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doub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r>
      <w:tr>
        <w:tblPrEx>
          <w:tblW w:w="10260" w:type="dxa"/>
          <w:tblInd w:w="0" w:type="dxa"/>
          <w:tblLayout w:type="fixed"/>
        </w:tblPrEx>
        <w:trPr>
          <w:trHeight w:hRule="exact" w:val="285"/>
        </w:trPr>
        <w:tc>
          <w:tcPr>
            <w:tcW w:w="409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i w:val="0"/>
                <w:color w:val="000000"/>
                <w:sz w:val="20"/>
                <w:u w:val="none"/>
              </w:rPr>
              <w:t>December 31, 2025</w:t>
            </w:r>
          </w:p>
        </w:tc>
        <w:tc>
          <w:tcPr>
            <w:tcW w:w="148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r>
      <w:tr>
        <w:tblPrEx>
          <w:tblW w:w="10260" w:type="dxa"/>
          <w:tblInd w:w="0" w:type="dxa"/>
          <w:tblLayout w:type="fixed"/>
        </w:tblPrEx>
        <w:trPr>
          <w:trHeight w:hRule="exact" w:val="285"/>
        </w:trPr>
        <w:tc>
          <w:tcPr>
            <w:tcW w:w="409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i w:val="0"/>
                <w:color w:val="000000"/>
                <w:sz w:val="20"/>
                <w:u w:val="none"/>
              </w:rPr>
              <w:t>Assets:</w:t>
            </w:r>
          </w:p>
        </w:tc>
        <w:tc>
          <w:tcPr>
            <w:tcW w:w="148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r>
      <w:tr>
        <w:tblPrEx>
          <w:tblW w:w="10260" w:type="dxa"/>
          <w:tblInd w:w="0" w:type="dxa"/>
          <w:tblLayout w:type="fixed"/>
        </w:tblPrEx>
        <w:trPr>
          <w:trHeight w:hRule="exact" w:val="285"/>
        </w:trPr>
        <w:tc>
          <w:tcPr>
            <w:tcW w:w="409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Funds held for clients</w:t>
            </w:r>
          </w:p>
        </w:tc>
        <w:tc>
          <w:tcPr>
            <w:tcW w:w="148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r>
      <w:tr>
        <w:tblPrEx>
          <w:tblW w:w="10260" w:type="dxa"/>
          <w:tblInd w:w="0" w:type="dxa"/>
          <w:tblLayout w:type="fixed"/>
        </w:tblPrEx>
        <w:trPr>
          <w:trHeight w:hRule="exact" w:val="285"/>
        </w:trPr>
        <w:tc>
          <w:tcPr>
            <w:tcW w:w="409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ind w:left="135"/>
              <w:jc w:val="left"/>
            </w:pPr>
            <w:r>
              <w:rPr>
                <w:rFonts w:ascii="Times New Roman" w:eastAsia="Times New Roman" w:hAnsi="Times New Roman" w:cs="Times New Roman"/>
                <w:b w:val="0"/>
                <w:i w:val="0"/>
                <w:color w:val="000000"/>
                <w:sz w:val="20"/>
                <w:u w:val="none"/>
              </w:rPr>
              <w:t>Money market funds</w:t>
            </w:r>
          </w:p>
        </w:tc>
        <w:tc>
          <w:tcPr>
            <w:tcW w:w="148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902"/>
                <w:tab w:val="left" w:pos="1417"/>
              </w:tabs>
              <w:spacing w:before="53" w:after="30" w:line="240" w:lineRule="auto"/>
              <w:jc w:val="right"/>
            </w:pPr>
            <w:r>
              <w:rPr>
                <w:rFonts w:ascii="Times New Roman" w:eastAsia="Times New Roman" w:hAnsi="Times New Roman" w:cs="Times New Roman"/>
                <w:b w:val="0"/>
                <w:i w:val="0"/>
                <w:color w:val="000000"/>
                <w:sz w:val="20"/>
                <w:u w:val="none"/>
              </w:rPr>
              <w:t>$</w:t>
              <w:tab/>
              <w:t>1,784</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902"/>
                <w:tab w:val="left" w:pos="1417"/>
              </w:tabs>
              <w:spacing w:before="53" w:after="30" w:line="240" w:lineRule="auto"/>
              <w:jc w:val="right"/>
            </w:pPr>
            <w:r>
              <w:rPr>
                <w:rFonts w:ascii="Times New Roman" w:eastAsia="Times New Roman" w:hAnsi="Times New Roman" w:cs="Times New Roman"/>
                <w:b w:val="0"/>
                <w:i w:val="0"/>
                <w:color w:val="000000"/>
                <w:sz w:val="20"/>
                <w:u w:val="none"/>
              </w:rPr>
              <w:t>$</w:t>
              <w:tab/>
              <w:t>1,784</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152"/>
                <w:tab w:val="left" w:pos="1417"/>
              </w:tabs>
              <w:spacing w:before="53" w:after="30" w:line="240" w:lineRule="auto"/>
              <w:jc w:val="right"/>
            </w:pPr>
            <w:r>
              <w:rPr>
                <w:rFonts w:ascii="Times New Roman" w:eastAsia="Times New Roman" w:hAnsi="Times New Roman" w:cs="Times New Roman"/>
                <w:b w:val="0"/>
                <w:i w:val="0"/>
                <w:color w:val="000000"/>
                <w:sz w:val="20"/>
                <w:u w:val="none"/>
              </w:rPr>
              <w:t>$</w:t>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152"/>
                <w:tab w:val="left" w:pos="1417"/>
              </w:tabs>
              <w:spacing w:before="53" w:after="30" w:line="240" w:lineRule="auto"/>
              <w:jc w:val="right"/>
            </w:pPr>
            <w:r>
              <w:rPr>
                <w:rFonts w:ascii="Times New Roman" w:eastAsia="Times New Roman" w:hAnsi="Times New Roman" w:cs="Times New Roman"/>
                <w:b w:val="0"/>
                <w:i w:val="0"/>
                <w:color w:val="000000"/>
                <w:sz w:val="20"/>
                <w:u w:val="none"/>
              </w:rPr>
              <w:t>$</w:t>
              <w:tab/>
              <w:t>—</w:t>
              <w:tab/>
            </w:r>
          </w:p>
        </w:tc>
      </w:tr>
      <w:tr>
        <w:tblPrEx>
          <w:tblW w:w="10260" w:type="dxa"/>
          <w:tblInd w:w="0" w:type="dxa"/>
          <w:tblLayout w:type="fixed"/>
        </w:tblPrEx>
        <w:trPr>
          <w:trHeight w:hRule="exact" w:val="285"/>
        </w:trPr>
        <w:tc>
          <w:tcPr>
            <w:tcW w:w="409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ind w:left="135"/>
              <w:jc w:val="left"/>
            </w:pPr>
            <w:r>
              <w:rPr>
                <w:rFonts w:ascii="Times New Roman" w:eastAsia="Times New Roman" w:hAnsi="Times New Roman" w:cs="Times New Roman"/>
                <w:b w:val="0"/>
                <w:i w:val="0"/>
                <w:color w:val="000000"/>
                <w:sz w:val="20"/>
                <w:u w:val="none"/>
              </w:rPr>
              <w:t>Available-for-sale securities</w:t>
            </w:r>
          </w:p>
        </w:tc>
        <w:tc>
          <w:tcPr>
            <w:tcW w:w="148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802"/>
                <w:tab w:val="left" w:pos="1417"/>
              </w:tabs>
              <w:spacing w:before="53" w:after="30" w:line="240" w:lineRule="auto"/>
              <w:jc w:val="right"/>
            </w:pPr>
            <w:r>
              <w:rPr>
                <w:rFonts w:ascii="Times New Roman" w:eastAsia="Times New Roman" w:hAnsi="Times New Roman" w:cs="Times New Roman"/>
                <w:b w:val="0"/>
                <w:i w:val="0"/>
                <w:color w:val="000000"/>
                <w:sz w:val="20"/>
                <w:u w:val="none"/>
              </w:rPr>
              <w:tab/>
              <w:t>88,652</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1152"/>
                <w:tab w:val="left" w:pos="1417"/>
              </w:tabs>
              <w:spacing w:before="53" w:after="3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802"/>
                <w:tab w:val="left" w:pos="1417"/>
              </w:tabs>
              <w:spacing w:before="53" w:after="30" w:line="240" w:lineRule="auto"/>
              <w:jc w:val="right"/>
            </w:pPr>
            <w:r>
              <w:rPr>
                <w:rFonts w:ascii="Times New Roman" w:eastAsia="Times New Roman" w:hAnsi="Times New Roman" w:cs="Times New Roman"/>
                <w:b w:val="0"/>
                <w:i w:val="0"/>
                <w:color w:val="000000"/>
                <w:sz w:val="20"/>
                <w:u w:val="none"/>
              </w:rPr>
              <w:tab/>
              <w:t>88,652</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1152"/>
                <w:tab w:val="left" w:pos="1417"/>
              </w:tabs>
              <w:spacing w:before="53" w:after="30" w:line="240" w:lineRule="auto"/>
              <w:jc w:val="right"/>
            </w:pPr>
            <w:r>
              <w:rPr>
                <w:rFonts w:ascii="Times New Roman" w:eastAsia="Times New Roman" w:hAnsi="Times New Roman" w:cs="Times New Roman"/>
                <w:b w:val="0"/>
                <w:i w:val="0"/>
                <w:color w:val="000000"/>
                <w:sz w:val="20"/>
                <w:u w:val="none"/>
              </w:rPr>
              <w:tab/>
              <w:t>—</w:t>
              <w:tab/>
            </w:r>
          </w:p>
        </w:tc>
      </w:tr>
      <w:tr>
        <w:tblPrEx>
          <w:tblW w:w="10260" w:type="dxa"/>
          <w:tblInd w:w="0" w:type="dxa"/>
          <w:tblLayout w:type="fixed"/>
        </w:tblPrEx>
        <w:trPr>
          <w:trHeight w:hRule="exact" w:val="285"/>
        </w:trPr>
        <w:tc>
          <w:tcPr>
            <w:tcW w:w="4095" w:type="dxa"/>
            <w:tcBorders>
              <w:top w:val="nil"/>
              <w:left w:val="nil"/>
              <w:bottom w:val="nil"/>
              <w:right w:val="nil"/>
            </w:tcBorders>
            <w:shd w:val="clear" w:color="auto" w:fill="CCEEFF"/>
            <w:tcMar>
              <w:top w:w="0" w:type="dxa"/>
              <w:left w:w="53" w:type="dxa"/>
              <w:bottom w:w="0" w:type="dxa"/>
              <w:right w:w="53" w:type="dxa"/>
            </w:tcMar>
            <w:vAlign w:val="bottom"/>
          </w:tcPr>
          <w:p>
            <w:pPr>
              <w:pageBreakBefore w:val="0"/>
              <w:spacing w:before="33" w:after="30" w:line="240" w:lineRule="auto"/>
              <w:jc w:val="left"/>
            </w:pPr>
            <w:r>
              <w:rPr>
                <w:rFonts w:ascii="Times New Roman" w:eastAsia="Times New Roman" w:hAnsi="Times New Roman" w:cs="Times New Roman"/>
                <w:b w:val="0"/>
                <w:i w:val="0"/>
                <w:color w:val="000000"/>
                <w:sz w:val="20"/>
                <w:u w:val="none"/>
              </w:rPr>
              <w:t>Total</w:t>
            </w:r>
          </w:p>
        </w:tc>
        <w:tc>
          <w:tcPr>
            <w:tcW w:w="148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802"/>
                <w:tab w:val="left" w:pos="1417"/>
              </w:tabs>
              <w:spacing w:before="33" w:after="30" w:line="240" w:lineRule="auto"/>
              <w:jc w:val="right"/>
            </w:pPr>
            <w:r>
              <w:rPr>
                <w:rFonts w:ascii="Times New Roman" w:eastAsia="Times New Roman" w:hAnsi="Times New Roman" w:cs="Times New Roman"/>
                <w:b w:val="0"/>
                <w:i w:val="0"/>
                <w:color w:val="000000"/>
                <w:sz w:val="20"/>
                <w:u w:val="none"/>
              </w:rPr>
              <w:t>$</w:t>
              <w:tab/>
              <w:t>90,436</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pPr>
          </w:p>
        </w:tc>
        <w:tc>
          <w:tcPr>
            <w:tcW w:w="148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902"/>
                <w:tab w:val="left" w:pos="1417"/>
              </w:tabs>
              <w:spacing w:before="33" w:after="30" w:line="240" w:lineRule="auto"/>
              <w:jc w:val="right"/>
            </w:pPr>
            <w:r>
              <w:rPr>
                <w:rFonts w:ascii="Times New Roman" w:eastAsia="Times New Roman" w:hAnsi="Times New Roman" w:cs="Times New Roman"/>
                <w:b w:val="0"/>
                <w:i w:val="0"/>
                <w:color w:val="000000"/>
                <w:sz w:val="20"/>
                <w:u w:val="none"/>
              </w:rPr>
              <w:t>$</w:t>
              <w:tab/>
              <w:t>1,784</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pPr>
          </w:p>
        </w:tc>
        <w:tc>
          <w:tcPr>
            <w:tcW w:w="148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802"/>
                <w:tab w:val="left" w:pos="1417"/>
              </w:tabs>
              <w:spacing w:before="33" w:after="30" w:line="240" w:lineRule="auto"/>
              <w:jc w:val="right"/>
            </w:pPr>
            <w:r>
              <w:rPr>
                <w:rFonts w:ascii="Times New Roman" w:eastAsia="Times New Roman" w:hAnsi="Times New Roman" w:cs="Times New Roman"/>
                <w:b w:val="0"/>
                <w:i w:val="0"/>
                <w:color w:val="000000"/>
                <w:sz w:val="20"/>
                <w:u w:val="none"/>
              </w:rPr>
              <w:t>$</w:t>
              <w:tab/>
              <w:t>88,652</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pPr>
          </w:p>
        </w:tc>
        <w:tc>
          <w:tcPr>
            <w:tcW w:w="148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1152"/>
                <w:tab w:val="left" w:pos="1417"/>
              </w:tabs>
              <w:spacing w:before="33" w:after="30" w:line="240" w:lineRule="auto"/>
              <w:jc w:val="right"/>
            </w:pPr>
            <w:r>
              <w:rPr>
                <w:rFonts w:ascii="Times New Roman" w:eastAsia="Times New Roman" w:hAnsi="Times New Roman" w:cs="Times New Roman"/>
                <w:b w:val="0"/>
                <w:i w:val="0"/>
                <w:color w:val="000000"/>
                <w:sz w:val="20"/>
                <w:u w:val="none"/>
              </w:rPr>
              <w:t>$</w:t>
              <w:tab/>
              <w:t>—</w:t>
              <w:tab/>
            </w:r>
          </w:p>
        </w:tc>
      </w:tr>
    </w:tbl>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p>
      <w:pPr>
        <w:keepNext w:val="0"/>
        <w:keepLines/>
        <w:pageBreakBefore/>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Cash equivalents and investments classified as available-for-sale within funds held for clients consisted of the following for the periods presented below (in thousands):</w:t>
      </w:r>
    </w:p>
    <w:tbl>
      <w:tblPr>
        <w:tblStyle w:val="TableNormal0"/>
        <w:tblW w:w="10260" w:type="dxa"/>
        <w:jc w:val="left"/>
        <w:tblInd w:w="0" w:type="dxa"/>
        <w:tblLayout w:type="fixed"/>
      </w:tblPr>
      <w:tblGrid>
        <w:gridCol w:w="4095"/>
        <w:gridCol w:w="1485"/>
        <w:gridCol w:w="75"/>
        <w:gridCol w:w="1485"/>
        <w:gridCol w:w="75"/>
        <w:gridCol w:w="1485"/>
        <w:gridCol w:w="75"/>
        <w:gridCol w:w="1485"/>
      </w:tblGrid>
      <w:tr>
        <w:tblPrEx>
          <w:tblW w:w="10260" w:type="dxa"/>
          <w:tblInd w:w="0" w:type="dxa"/>
          <w:tblLayout w:type="fixed"/>
        </w:tblPrEx>
        <w:trPr>
          <w:trHeight w:hRule="exact" w:val="705"/>
        </w:trPr>
        <w:tc>
          <w:tcPr>
            <w:tcW w:w="409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line="240" w:lineRule="auto"/>
              <w:jc w:val="center"/>
            </w:pPr>
            <w:r>
              <w:rPr>
                <w:rFonts w:ascii="Times New Roman" w:eastAsia="Times New Roman" w:hAnsi="Times New Roman" w:cs="Times New Roman"/>
                <w:b/>
                <w:i w:val="0"/>
                <w:color w:val="000000"/>
                <w:sz w:val="20"/>
                <w:u w:val="none"/>
              </w:rPr>
              <w:t>Amortized</w:t>
            </w:r>
          </w:p>
          <w:p>
            <w:pPr>
              <w:spacing w:after="30" w:line="240" w:lineRule="auto"/>
              <w:jc w:val="center"/>
            </w:pPr>
            <w:r>
              <w:rPr>
                <w:rFonts w:ascii="Times New Roman" w:eastAsia="Times New Roman" w:hAnsi="Times New Roman" w:cs="Times New Roman"/>
                <w:b/>
                <w:i w:val="0"/>
                <w:color w:val="000000"/>
                <w:sz w:val="20"/>
                <w:u w:val="none"/>
              </w:rPr>
              <w:t>Cost</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numPr>
                <w:ilvl w:val="0"/>
                <w:numId w:val="0"/>
              </w:numPr>
              <w:spacing w:before="53" w:after="0" w:line="240" w:lineRule="auto"/>
              <w:ind w:left="0" w:right="0" w:firstLine="0"/>
              <w:jc w:val="center"/>
              <w:outlineLvl w:val="9"/>
              <w:rPr>
                <w:rFonts w:ascii="Times New Roman" w:eastAsia="Times New Roman" w:hAnsi="Times New Roman" w:cs="Times New Roman"/>
                <w:b/>
                <w:i w:val="0"/>
                <w:sz w:val="20"/>
              </w:rPr>
            </w:pPr>
            <w:r>
              <w:rPr>
                <w:rFonts w:ascii="Times New Roman" w:eastAsia="Times New Roman" w:hAnsi="Times New Roman" w:cs="Times New Roman"/>
                <w:b/>
                <w:i w:val="0"/>
                <w:sz w:val="20"/>
              </w:rPr>
              <w:t>Gross</w:t>
            </w:r>
          </w:p>
          <w:p>
            <w:pPr>
              <w:pageBreakBefore w:val="0"/>
              <w:numPr>
                <w:ilvl w:val="0"/>
                <w:numId w:val="0"/>
              </w:numPr>
              <w:spacing w:before="0" w:after="0" w:line="240" w:lineRule="auto"/>
              <w:ind w:left="0" w:right="0" w:firstLine="0"/>
              <w:jc w:val="center"/>
              <w:outlineLvl w:val="9"/>
              <w:rPr>
                <w:rFonts w:ascii="Times New Roman" w:eastAsia="Times New Roman" w:hAnsi="Times New Roman" w:cs="Times New Roman"/>
                <w:b/>
                <w:i w:val="0"/>
                <w:sz w:val="20"/>
              </w:rPr>
            </w:pPr>
            <w:r>
              <w:rPr>
                <w:rFonts w:ascii="Times New Roman" w:eastAsia="Times New Roman" w:hAnsi="Times New Roman" w:cs="Times New Roman"/>
                <w:b/>
                <w:i w:val="0"/>
                <w:sz w:val="20"/>
              </w:rPr>
              <w:t>Unrealized</w:t>
            </w:r>
          </w:p>
          <w:p>
            <w:pPr>
              <w:pageBreakBefore w:val="0"/>
              <w:numPr>
                <w:ilvl w:val="0"/>
                <w:numId w:val="0"/>
              </w:numPr>
              <w:spacing w:before="0" w:after="30" w:line="240" w:lineRule="auto"/>
              <w:ind w:left="0" w:right="0" w:firstLine="0"/>
              <w:jc w:val="center"/>
              <w:outlineLvl w:val="9"/>
              <w:rPr>
                <w:rFonts w:ascii="Times New Roman" w:eastAsia="Times New Roman" w:hAnsi="Times New Roman" w:cs="Times New Roman"/>
                <w:b/>
                <w:i w:val="0"/>
                <w:sz w:val="20"/>
              </w:rPr>
            </w:pPr>
            <w:r>
              <w:rPr>
                <w:rFonts w:ascii="Times New Roman" w:eastAsia="Times New Roman" w:hAnsi="Times New Roman" w:cs="Times New Roman"/>
                <w:b/>
                <w:i w:val="0"/>
                <w:sz w:val="20"/>
              </w:rPr>
              <w:t>Gains </w:t>
            </w:r>
            <w:r>
              <w:rPr>
                <w:rFonts w:ascii="Times New Roman" w:eastAsia="Times New Roman" w:hAnsi="Times New Roman" w:cs="Times New Roman"/>
                <w:b/>
                <w:i w:val="0"/>
                <w:sz w:val="20"/>
                <w:vertAlign w:val="superscript"/>
              </w:rPr>
              <w:t>(1)</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numPr>
                <w:ilvl w:val="0"/>
                <w:numId w:val="0"/>
              </w:numPr>
              <w:spacing w:before="53" w:after="0" w:line="240" w:lineRule="auto"/>
              <w:ind w:left="0" w:right="0" w:firstLine="0"/>
              <w:jc w:val="center"/>
              <w:outlineLvl w:val="9"/>
              <w:rPr>
                <w:rFonts w:ascii="Times New Roman" w:eastAsia="Times New Roman" w:hAnsi="Times New Roman" w:cs="Times New Roman"/>
                <w:b/>
                <w:i w:val="0"/>
                <w:sz w:val="20"/>
              </w:rPr>
            </w:pPr>
            <w:r>
              <w:rPr>
                <w:rFonts w:ascii="Times New Roman" w:eastAsia="Times New Roman" w:hAnsi="Times New Roman" w:cs="Times New Roman"/>
                <w:b/>
                <w:i w:val="0"/>
                <w:sz w:val="20"/>
              </w:rPr>
              <w:t>Gross</w:t>
            </w:r>
          </w:p>
          <w:p>
            <w:pPr>
              <w:pageBreakBefore w:val="0"/>
              <w:numPr>
                <w:ilvl w:val="0"/>
                <w:numId w:val="0"/>
              </w:numPr>
              <w:spacing w:before="0" w:after="0" w:line="240" w:lineRule="auto"/>
              <w:ind w:left="0" w:right="0" w:firstLine="0"/>
              <w:jc w:val="center"/>
              <w:outlineLvl w:val="9"/>
              <w:rPr>
                <w:rFonts w:ascii="Times New Roman" w:eastAsia="Times New Roman" w:hAnsi="Times New Roman" w:cs="Times New Roman"/>
                <w:b/>
                <w:i w:val="0"/>
                <w:sz w:val="20"/>
              </w:rPr>
            </w:pPr>
            <w:r>
              <w:rPr>
                <w:rFonts w:ascii="Times New Roman" w:eastAsia="Times New Roman" w:hAnsi="Times New Roman" w:cs="Times New Roman"/>
                <w:b/>
                <w:i w:val="0"/>
                <w:sz w:val="20"/>
              </w:rPr>
              <w:t>Unrealized</w:t>
            </w:r>
          </w:p>
          <w:p>
            <w:pPr>
              <w:pageBreakBefore w:val="0"/>
              <w:numPr>
                <w:ilvl w:val="0"/>
                <w:numId w:val="0"/>
              </w:numPr>
              <w:spacing w:before="0" w:after="30" w:line="240" w:lineRule="auto"/>
              <w:ind w:left="0" w:right="0" w:firstLine="0"/>
              <w:jc w:val="center"/>
              <w:outlineLvl w:val="9"/>
              <w:rPr>
                <w:rFonts w:ascii="Times New Roman" w:eastAsia="Times New Roman" w:hAnsi="Times New Roman" w:cs="Times New Roman"/>
                <w:b/>
                <w:i w:val="0"/>
                <w:sz w:val="20"/>
              </w:rPr>
            </w:pPr>
            <w:r>
              <w:rPr>
                <w:rFonts w:ascii="Times New Roman" w:eastAsia="Times New Roman" w:hAnsi="Times New Roman" w:cs="Times New Roman"/>
                <w:b/>
                <w:i w:val="0"/>
                <w:sz w:val="20"/>
              </w:rPr>
              <w:t>Losses </w:t>
            </w:r>
            <w:r>
              <w:rPr>
                <w:rFonts w:ascii="Times New Roman" w:eastAsia="Times New Roman" w:hAnsi="Times New Roman" w:cs="Times New Roman"/>
                <w:b/>
                <w:i w:val="0"/>
                <w:sz w:val="20"/>
                <w:vertAlign w:val="superscript"/>
              </w:rPr>
              <w:t>(1)</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line="240" w:lineRule="auto"/>
              <w:jc w:val="center"/>
            </w:pPr>
            <w:r>
              <w:rPr>
                <w:rFonts w:ascii="Times New Roman" w:eastAsia="Times New Roman" w:hAnsi="Times New Roman" w:cs="Times New Roman"/>
                <w:b/>
                <w:i w:val="0"/>
                <w:color w:val="000000"/>
                <w:sz w:val="20"/>
                <w:u w:val="none"/>
              </w:rPr>
              <w:t>Aggregate</w:t>
            </w:r>
          </w:p>
          <w:p>
            <w:pPr>
              <w:spacing w:line="240" w:lineRule="auto"/>
              <w:jc w:val="center"/>
            </w:pPr>
            <w:r>
              <w:rPr>
                <w:rFonts w:ascii="Times New Roman" w:eastAsia="Times New Roman" w:hAnsi="Times New Roman" w:cs="Times New Roman"/>
                <w:b/>
                <w:i w:val="0"/>
                <w:color w:val="000000"/>
                <w:sz w:val="20"/>
                <w:u w:val="none"/>
              </w:rPr>
              <w:t>Estimated</w:t>
            </w:r>
          </w:p>
          <w:p>
            <w:pPr>
              <w:spacing w:after="30" w:line="240" w:lineRule="auto"/>
              <w:jc w:val="center"/>
            </w:pPr>
            <w:r>
              <w:rPr>
                <w:rFonts w:ascii="Times New Roman" w:eastAsia="Times New Roman" w:hAnsi="Times New Roman" w:cs="Times New Roman"/>
                <w:b/>
                <w:i w:val="0"/>
                <w:color w:val="000000"/>
                <w:sz w:val="20"/>
                <w:u w:val="none"/>
              </w:rPr>
              <w:t>Fair Value</w:t>
            </w:r>
          </w:p>
        </w:tc>
      </w:tr>
      <w:tr>
        <w:tblPrEx>
          <w:tblW w:w="10260" w:type="dxa"/>
          <w:tblInd w:w="0" w:type="dxa"/>
          <w:tblLayout w:type="fixed"/>
        </w:tblPrEx>
        <w:trPr>
          <w:trHeight w:hRule="exact" w:val="300"/>
        </w:trPr>
        <w:tc>
          <w:tcPr>
            <w:tcW w:w="409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33" w:after="30" w:line="240" w:lineRule="auto"/>
              <w:jc w:val="left"/>
            </w:pPr>
            <w:r>
              <w:rPr>
                <w:rFonts w:ascii="Times New Roman" w:eastAsia="Times New Roman" w:hAnsi="Times New Roman" w:cs="Times New Roman"/>
                <w:b/>
                <w:i w:val="0"/>
                <w:color w:val="000000"/>
                <w:sz w:val="20"/>
                <w:u w:val="none"/>
              </w:rPr>
              <w:t>March 31, 2026</w:t>
            </w:r>
          </w:p>
        </w:tc>
        <w:tc>
          <w:tcPr>
            <w:tcW w:w="1485" w:type="dxa"/>
            <w:tcBorders>
              <w:top w:val="sing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sing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sing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sing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r>
      <w:tr>
        <w:tblPrEx>
          <w:tblW w:w="10260" w:type="dxa"/>
          <w:tblInd w:w="0" w:type="dxa"/>
          <w:tblLayout w:type="fixed"/>
        </w:tblPrEx>
        <w:trPr>
          <w:trHeight w:hRule="exact" w:val="285"/>
        </w:trPr>
        <w:tc>
          <w:tcPr>
            <w:tcW w:w="409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Cash equivalents</w:t>
            </w:r>
          </w:p>
        </w:tc>
        <w:tc>
          <w:tcPr>
            <w:tcW w:w="148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02"/>
                <w:tab w:val="left" w:pos="1417"/>
              </w:tabs>
              <w:spacing w:before="53" w:after="30" w:line="240" w:lineRule="auto"/>
              <w:jc w:val="right"/>
            </w:pPr>
            <w:r>
              <w:rPr>
                <w:rFonts w:ascii="Times New Roman" w:eastAsia="Times New Roman" w:hAnsi="Times New Roman" w:cs="Times New Roman"/>
                <w:b w:val="0"/>
                <w:i w:val="0"/>
                <w:color w:val="000000"/>
                <w:sz w:val="20"/>
                <w:u w:val="none"/>
              </w:rPr>
              <w:t>$</w:t>
              <w:tab/>
              <w:t>4,652</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252"/>
                <w:tab w:val="left" w:pos="1417"/>
              </w:tabs>
              <w:spacing w:before="53" w:after="30" w:line="240" w:lineRule="auto"/>
              <w:jc w:val="right"/>
            </w:pPr>
            <w:r>
              <w:rPr>
                <w:rFonts w:ascii="Times New Roman" w:eastAsia="Times New Roman" w:hAnsi="Times New Roman" w:cs="Times New Roman"/>
                <w:b w:val="0"/>
                <w:i w:val="0"/>
                <w:color w:val="000000"/>
                <w:sz w:val="20"/>
                <w:u w:val="none"/>
              </w:rPr>
              <w:t>$</w:t>
              <w:tab/>
              <w:t>3</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166"/>
              </w:tabs>
              <w:spacing w:before="53" w:after="30" w:line="240" w:lineRule="auto"/>
              <w:jc w:val="right"/>
            </w:pPr>
            <w:r>
              <w:rPr>
                <w:rFonts w:ascii="Times New Roman" w:eastAsia="Times New Roman" w:hAnsi="Times New Roman" w:cs="Times New Roman"/>
                <w:b w:val="0"/>
                <w:i w:val="0"/>
                <w:color w:val="000000"/>
                <w:sz w:val="20"/>
                <w:u w:val="none"/>
              </w:rPr>
              <w:t>$</w:t>
              <w:tab/>
              <w:t>(4)</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02"/>
                <w:tab w:val="left" w:pos="1417"/>
              </w:tabs>
              <w:spacing w:before="53" w:after="30" w:line="240" w:lineRule="auto"/>
              <w:jc w:val="right"/>
            </w:pPr>
            <w:r>
              <w:rPr>
                <w:rFonts w:ascii="Times New Roman" w:eastAsia="Times New Roman" w:hAnsi="Times New Roman" w:cs="Times New Roman"/>
                <w:b w:val="0"/>
                <w:i w:val="0"/>
                <w:color w:val="000000"/>
                <w:sz w:val="20"/>
                <w:u w:val="none"/>
              </w:rPr>
              <w:t>$</w:t>
              <w:tab/>
              <w:t>4,651</w:t>
              <w:tab/>
            </w:r>
          </w:p>
        </w:tc>
      </w:tr>
      <w:tr>
        <w:tblPrEx>
          <w:tblW w:w="10260" w:type="dxa"/>
          <w:tblInd w:w="0" w:type="dxa"/>
          <w:tblLayout w:type="fixed"/>
        </w:tblPrEx>
        <w:trPr>
          <w:trHeight w:hRule="exact" w:val="285"/>
        </w:trPr>
        <w:tc>
          <w:tcPr>
            <w:tcW w:w="409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Available-for-sale securities:</w:t>
            </w:r>
          </w:p>
        </w:tc>
        <w:tc>
          <w:tcPr>
            <w:tcW w:w="148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r>
      <w:tr>
        <w:tblPrEx>
          <w:tblW w:w="10260" w:type="dxa"/>
          <w:tblInd w:w="0" w:type="dxa"/>
          <w:tblLayout w:type="fixed"/>
        </w:tblPrEx>
        <w:trPr>
          <w:trHeight w:hRule="exact" w:val="285"/>
        </w:trPr>
        <w:tc>
          <w:tcPr>
            <w:tcW w:w="409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ind w:left="135"/>
              <w:jc w:val="left"/>
            </w:pPr>
            <w:r>
              <w:rPr>
                <w:rFonts w:ascii="Times New Roman" w:eastAsia="Times New Roman" w:hAnsi="Times New Roman" w:cs="Times New Roman"/>
                <w:b w:val="0"/>
                <w:i w:val="0"/>
                <w:color w:val="000000"/>
                <w:sz w:val="20"/>
                <w:u w:val="none"/>
              </w:rPr>
              <w:t>Corporate debt securities</w:t>
            </w:r>
          </w:p>
        </w:tc>
        <w:tc>
          <w:tcPr>
            <w:tcW w:w="148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802"/>
                <w:tab w:val="left" w:pos="1417"/>
              </w:tabs>
              <w:spacing w:before="53" w:after="30" w:line="240" w:lineRule="auto"/>
              <w:jc w:val="right"/>
            </w:pPr>
            <w:r>
              <w:rPr>
                <w:rFonts w:ascii="Times New Roman" w:eastAsia="Times New Roman" w:hAnsi="Times New Roman" w:cs="Times New Roman"/>
                <w:b w:val="0"/>
                <w:i w:val="0"/>
                <w:color w:val="000000"/>
                <w:sz w:val="20"/>
                <w:u w:val="none"/>
              </w:rPr>
              <w:tab/>
              <w:t>81,006</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052"/>
                <w:tab w:val="left" w:pos="1417"/>
              </w:tabs>
              <w:spacing w:before="53" w:after="30" w:line="240" w:lineRule="auto"/>
              <w:jc w:val="right"/>
            </w:pPr>
            <w:r>
              <w:rPr>
                <w:rFonts w:ascii="Times New Roman" w:eastAsia="Times New Roman" w:hAnsi="Times New Roman" w:cs="Times New Roman"/>
                <w:b w:val="0"/>
                <w:i w:val="0"/>
                <w:color w:val="000000"/>
                <w:sz w:val="20"/>
                <w:u w:val="none"/>
              </w:rPr>
              <w:tab/>
              <w:t>160</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66"/>
              </w:tabs>
              <w:spacing w:before="53" w:after="30" w:line="240" w:lineRule="auto"/>
              <w:jc w:val="right"/>
            </w:pPr>
            <w:r>
              <w:rPr>
                <w:rFonts w:ascii="Times New Roman" w:eastAsia="Times New Roman" w:hAnsi="Times New Roman" w:cs="Times New Roman"/>
                <w:b w:val="0"/>
                <w:i w:val="0"/>
                <w:color w:val="000000"/>
                <w:sz w:val="20"/>
                <w:u w:val="none"/>
              </w:rPr>
              <w:tab/>
              <w:t>(309)</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802"/>
                <w:tab w:val="left" w:pos="1417"/>
              </w:tabs>
              <w:spacing w:before="53" w:after="30" w:line="240" w:lineRule="auto"/>
              <w:jc w:val="right"/>
            </w:pPr>
            <w:r>
              <w:rPr>
                <w:rFonts w:ascii="Times New Roman" w:eastAsia="Times New Roman" w:hAnsi="Times New Roman" w:cs="Times New Roman"/>
                <w:b w:val="0"/>
                <w:i w:val="0"/>
                <w:color w:val="000000"/>
                <w:sz w:val="20"/>
                <w:u w:val="none"/>
              </w:rPr>
              <w:tab/>
              <w:t>80,857</w:t>
              <w:tab/>
            </w:r>
          </w:p>
        </w:tc>
      </w:tr>
      <w:tr>
        <w:tblPrEx>
          <w:tblW w:w="10260" w:type="dxa"/>
          <w:tblInd w:w="0" w:type="dxa"/>
          <w:tblLayout w:type="fixed"/>
        </w:tblPrEx>
        <w:trPr>
          <w:trHeight w:hRule="exact" w:val="285"/>
        </w:trPr>
        <w:tc>
          <w:tcPr>
            <w:tcW w:w="409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ind w:left="135"/>
              <w:jc w:val="left"/>
            </w:pPr>
            <w:r>
              <w:rPr>
                <w:rFonts w:ascii="Times New Roman" w:eastAsia="Times New Roman" w:hAnsi="Times New Roman" w:cs="Times New Roman"/>
                <w:b w:val="0"/>
                <w:i w:val="0"/>
                <w:color w:val="000000"/>
                <w:sz w:val="20"/>
                <w:u w:val="none"/>
              </w:rPr>
              <w:t>Municipal bonds</w:t>
            </w:r>
          </w:p>
        </w:tc>
        <w:tc>
          <w:tcPr>
            <w:tcW w:w="148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052"/>
                <w:tab w:val="left" w:pos="1417"/>
              </w:tabs>
              <w:spacing w:before="53" w:after="30" w:line="240" w:lineRule="auto"/>
              <w:jc w:val="right"/>
            </w:pPr>
            <w:r>
              <w:rPr>
                <w:rFonts w:ascii="Times New Roman" w:eastAsia="Times New Roman" w:hAnsi="Times New Roman" w:cs="Times New Roman"/>
                <w:b w:val="0"/>
                <w:i w:val="0"/>
                <w:color w:val="000000"/>
                <w:sz w:val="20"/>
                <w:u w:val="none"/>
              </w:rPr>
              <w:tab/>
              <w:t>842</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152"/>
                <w:tab w:val="left" w:pos="1417"/>
              </w:tabs>
              <w:spacing w:before="53" w:after="3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166"/>
              </w:tabs>
              <w:spacing w:before="53" w:after="30" w:line="240" w:lineRule="auto"/>
              <w:jc w:val="right"/>
            </w:pPr>
            <w:r>
              <w:rPr>
                <w:rFonts w:ascii="Times New Roman" w:eastAsia="Times New Roman" w:hAnsi="Times New Roman" w:cs="Times New Roman"/>
                <w:b w:val="0"/>
                <w:i w:val="0"/>
                <w:color w:val="000000"/>
                <w:sz w:val="20"/>
                <w:u w:val="none"/>
              </w:rPr>
              <w:tab/>
              <w:t>(7)</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052"/>
                <w:tab w:val="left" w:pos="1417"/>
              </w:tabs>
              <w:spacing w:before="53" w:after="30" w:line="240" w:lineRule="auto"/>
              <w:jc w:val="right"/>
            </w:pPr>
            <w:r>
              <w:rPr>
                <w:rFonts w:ascii="Times New Roman" w:eastAsia="Times New Roman" w:hAnsi="Times New Roman" w:cs="Times New Roman"/>
                <w:b w:val="0"/>
                <w:i w:val="0"/>
                <w:color w:val="000000"/>
                <w:sz w:val="20"/>
                <w:u w:val="none"/>
              </w:rPr>
              <w:tab/>
              <w:t>835</w:t>
              <w:tab/>
            </w:r>
          </w:p>
        </w:tc>
      </w:tr>
      <w:tr>
        <w:tblPrEx>
          <w:tblW w:w="10260" w:type="dxa"/>
          <w:tblInd w:w="0" w:type="dxa"/>
          <w:tblLayout w:type="fixed"/>
        </w:tblPrEx>
        <w:trPr>
          <w:trHeight w:hRule="exact" w:val="285"/>
        </w:trPr>
        <w:tc>
          <w:tcPr>
            <w:tcW w:w="409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ind w:left="135"/>
              <w:jc w:val="left"/>
            </w:pPr>
            <w:r>
              <w:rPr>
                <w:rFonts w:ascii="Times New Roman" w:eastAsia="Times New Roman" w:hAnsi="Times New Roman" w:cs="Times New Roman"/>
                <w:b w:val="0"/>
                <w:i w:val="0"/>
                <w:color w:val="000000"/>
                <w:sz w:val="20"/>
                <w:u w:val="none"/>
              </w:rPr>
              <w:t>U.S. Government agency securities</w:t>
            </w:r>
          </w:p>
        </w:tc>
        <w:tc>
          <w:tcPr>
            <w:tcW w:w="148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902"/>
                <w:tab w:val="left" w:pos="1417"/>
              </w:tabs>
              <w:spacing w:before="53" w:after="30" w:line="240" w:lineRule="auto"/>
              <w:jc w:val="right"/>
            </w:pPr>
            <w:r>
              <w:rPr>
                <w:rFonts w:ascii="Times New Roman" w:eastAsia="Times New Roman" w:hAnsi="Times New Roman" w:cs="Times New Roman"/>
                <w:b w:val="0"/>
                <w:i w:val="0"/>
                <w:color w:val="000000"/>
                <w:sz w:val="20"/>
                <w:u w:val="none"/>
              </w:rPr>
              <w:tab/>
              <w:t>3,534</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1252"/>
                <w:tab w:val="left" w:pos="1417"/>
              </w:tabs>
              <w:spacing w:before="53" w:after="30" w:line="240" w:lineRule="auto"/>
              <w:jc w:val="right"/>
            </w:pPr>
            <w:r>
              <w:rPr>
                <w:rFonts w:ascii="Times New Roman" w:eastAsia="Times New Roman" w:hAnsi="Times New Roman" w:cs="Times New Roman"/>
                <w:b w:val="0"/>
                <w:i w:val="0"/>
                <w:color w:val="000000"/>
                <w:sz w:val="20"/>
                <w:u w:val="none"/>
              </w:rPr>
              <w:tab/>
              <w:t>4</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1152"/>
                <w:tab w:val="left" w:pos="1417"/>
              </w:tabs>
              <w:spacing w:before="53" w:after="3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902"/>
                <w:tab w:val="left" w:pos="1417"/>
              </w:tabs>
              <w:spacing w:before="53" w:after="30" w:line="240" w:lineRule="auto"/>
              <w:jc w:val="right"/>
            </w:pPr>
            <w:r>
              <w:rPr>
                <w:rFonts w:ascii="Times New Roman" w:eastAsia="Times New Roman" w:hAnsi="Times New Roman" w:cs="Times New Roman"/>
                <w:b w:val="0"/>
                <w:i w:val="0"/>
                <w:color w:val="000000"/>
                <w:sz w:val="20"/>
                <w:u w:val="none"/>
              </w:rPr>
              <w:tab/>
              <w:t>3,538</w:t>
              <w:tab/>
            </w:r>
          </w:p>
        </w:tc>
      </w:tr>
      <w:tr>
        <w:tblPrEx>
          <w:tblW w:w="10260" w:type="dxa"/>
          <w:tblInd w:w="0" w:type="dxa"/>
          <w:tblLayout w:type="fixed"/>
        </w:tblPrEx>
        <w:trPr>
          <w:trHeight w:hRule="exact" w:val="285"/>
        </w:trPr>
        <w:tc>
          <w:tcPr>
            <w:tcW w:w="409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Total available-for-sale securities</w:t>
            </w:r>
          </w:p>
        </w:tc>
        <w:tc>
          <w:tcPr>
            <w:tcW w:w="148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802"/>
                <w:tab w:val="left" w:pos="1417"/>
              </w:tabs>
              <w:spacing w:before="33" w:after="30" w:line="240" w:lineRule="auto"/>
              <w:jc w:val="right"/>
            </w:pPr>
            <w:r>
              <w:rPr>
                <w:rFonts w:ascii="Times New Roman" w:eastAsia="Times New Roman" w:hAnsi="Times New Roman" w:cs="Times New Roman"/>
                <w:b w:val="0"/>
                <w:i w:val="0"/>
                <w:color w:val="000000"/>
                <w:sz w:val="20"/>
                <w:u w:val="none"/>
              </w:rPr>
              <w:tab/>
              <w:t>85,382</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1052"/>
                <w:tab w:val="left" w:pos="1417"/>
              </w:tabs>
              <w:spacing w:before="33" w:after="30" w:line="240" w:lineRule="auto"/>
              <w:jc w:val="right"/>
            </w:pPr>
            <w:r>
              <w:rPr>
                <w:rFonts w:ascii="Times New Roman" w:eastAsia="Times New Roman" w:hAnsi="Times New Roman" w:cs="Times New Roman"/>
                <w:b w:val="0"/>
                <w:i w:val="0"/>
                <w:color w:val="000000"/>
                <w:sz w:val="20"/>
                <w:u w:val="none"/>
              </w:rPr>
              <w:tab/>
              <w:t>164</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966"/>
              </w:tabs>
              <w:spacing w:before="33" w:after="30" w:line="240" w:lineRule="auto"/>
              <w:jc w:val="right"/>
            </w:pPr>
            <w:r>
              <w:rPr>
                <w:rFonts w:ascii="Times New Roman" w:eastAsia="Times New Roman" w:hAnsi="Times New Roman" w:cs="Times New Roman"/>
                <w:b w:val="0"/>
                <w:i w:val="0"/>
                <w:color w:val="000000"/>
                <w:sz w:val="20"/>
                <w:u w:val="none"/>
              </w:rPr>
              <w:tab/>
              <w:t>(316)</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802"/>
                <w:tab w:val="left" w:pos="1417"/>
              </w:tabs>
              <w:spacing w:before="33" w:after="30" w:line="240" w:lineRule="auto"/>
              <w:jc w:val="right"/>
            </w:pPr>
            <w:r>
              <w:rPr>
                <w:rFonts w:ascii="Times New Roman" w:eastAsia="Times New Roman" w:hAnsi="Times New Roman" w:cs="Times New Roman"/>
                <w:b w:val="0"/>
                <w:i w:val="0"/>
                <w:color w:val="000000"/>
                <w:sz w:val="20"/>
                <w:u w:val="none"/>
              </w:rPr>
              <w:tab/>
              <w:t>85,230</w:t>
              <w:tab/>
            </w:r>
          </w:p>
        </w:tc>
      </w:tr>
      <w:tr>
        <w:tblPrEx>
          <w:tblW w:w="10260" w:type="dxa"/>
          <w:tblInd w:w="0" w:type="dxa"/>
          <w:tblLayout w:type="fixed"/>
        </w:tblPrEx>
        <w:trPr>
          <w:trHeight w:hRule="exact" w:val="285"/>
        </w:trPr>
        <w:tc>
          <w:tcPr>
            <w:tcW w:w="409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shd w:val="clear" w:color="auto" w:fill="FFFF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shd w:val="clear" w:color="auto" w:fill="FFFF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shd w:val="clear" w:color="auto" w:fill="FFFF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shd w:val="clear" w:color="auto" w:fill="FFFFFF"/>
            <w:tcMar>
              <w:top w:w="0" w:type="dxa"/>
              <w:left w:w="0" w:type="dxa"/>
              <w:bottom w:w="0" w:type="dxa"/>
              <w:right w:w="0" w:type="dxa"/>
            </w:tcMar>
            <w:vAlign w:val="bottom"/>
          </w:tcPr>
          <w:p>
            <w:pPr>
              <w:keepNext/>
              <w:pageBreakBefore w:val="0"/>
              <w:spacing w:before="0" w:after="0"/>
            </w:pPr>
          </w:p>
        </w:tc>
      </w:tr>
      <w:tr>
        <w:tblPrEx>
          <w:tblW w:w="10260" w:type="dxa"/>
          <w:tblInd w:w="0" w:type="dxa"/>
          <w:tblLayout w:type="fixed"/>
        </w:tblPrEx>
        <w:trPr>
          <w:trHeight w:hRule="exact" w:val="285"/>
        </w:trPr>
        <w:tc>
          <w:tcPr>
            <w:tcW w:w="409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numPr>
                <w:ilvl w:val="0"/>
                <w:numId w:val="0"/>
              </w:numPr>
              <w:spacing w:before="33" w:after="30" w:line="240" w:lineRule="auto"/>
              <w:ind w:left="0" w:right="0" w:firstLine="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Total</w:t>
            </w:r>
            <w:r>
              <w:rPr>
                <w:rFonts w:ascii="Times New Roman" w:eastAsia="Times New Roman" w:hAnsi="Times New Roman" w:cs="Times New Roman"/>
                <w:b w:val="0"/>
                <w:i w:val="0"/>
                <w:sz w:val="20"/>
                <w:vertAlign w:val="superscript"/>
              </w:rPr>
              <w:t>(2)</w:t>
            </w:r>
          </w:p>
        </w:tc>
        <w:tc>
          <w:tcPr>
            <w:tcW w:w="148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keepNext/>
              <w:pageBreakBefore w:val="0"/>
              <w:tabs>
                <w:tab w:val="left" w:pos="802"/>
                <w:tab w:val="left" w:pos="1417"/>
              </w:tabs>
              <w:spacing w:before="33" w:after="30" w:line="240" w:lineRule="auto"/>
              <w:jc w:val="right"/>
            </w:pPr>
            <w:r>
              <w:rPr>
                <w:rFonts w:ascii="Times New Roman" w:eastAsia="Times New Roman" w:hAnsi="Times New Roman" w:cs="Times New Roman"/>
                <w:b w:val="0"/>
                <w:i w:val="0"/>
                <w:color w:val="000000"/>
                <w:sz w:val="20"/>
                <w:u w:val="none"/>
              </w:rPr>
              <w:t>$</w:t>
              <w:tab/>
              <w:t>90,034</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keepNext/>
              <w:pageBreakBefore w:val="0"/>
              <w:tabs>
                <w:tab w:val="left" w:pos="1052"/>
                <w:tab w:val="left" w:pos="1417"/>
              </w:tabs>
              <w:spacing w:before="33" w:after="30" w:line="240" w:lineRule="auto"/>
              <w:jc w:val="right"/>
            </w:pPr>
            <w:r>
              <w:rPr>
                <w:rFonts w:ascii="Times New Roman" w:eastAsia="Times New Roman" w:hAnsi="Times New Roman" w:cs="Times New Roman"/>
                <w:b w:val="0"/>
                <w:i w:val="0"/>
                <w:color w:val="000000"/>
                <w:sz w:val="20"/>
                <w:u w:val="none"/>
              </w:rPr>
              <w:t>$</w:t>
              <w:tab/>
              <w:t>167</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keepNext/>
              <w:pageBreakBefore w:val="0"/>
              <w:tabs>
                <w:tab w:val="left" w:pos="966"/>
              </w:tabs>
              <w:spacing w:before="33" w:after="30" w:line="240" w:lineRule="auto"/>
              <w:jc w:val="right"/>
            </w:pPr>
            <w:r>
              <w:rPr>
                <w:rFonts w:ascii="Times New Roman" w:eastAsia="Times New Roman" w:hAnsi="Times New Roman" w:cs="Times New Roman"/>
                <w:b w:val="0"/>
                <w:i w:val="0"/>
                <w:color w:val="000000"/>
                <w:sz w:val="20"/>
                <w:u w:val="none"/>
              </w:rPr>
              <w:t>$</w:t>
              <w:tab/>
              <w:t>(320)</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keepNext/>
              <w:pageBreakBefore w:val="0"/>
              <w:tabs>
                <w:tab w:val="left" w:pos="802"/>
                <w:tab w:val="left" w:pos="1417"/>
              </w:tabs>
              <w:spacing w:before="33" w:after="30" w:line="240" w:lineRule="auto"/>
              <w:jc w:val="right"/>
            </w:pPr>
            <w:r>
              <w:rPr>
                <w:rFonts w:ascii="Times New Roman" w:eastAsia="Times New Roman" w:hAnsi="Times New Roman" w:cs="Times New Roman"/>
                <w:b w:val="0"/>
                <w:i w:val="0"/>
                <w:color w:val="000000"/>
                <w:sz w:val="20"/>
                <w:u w:val="none"/>
              </w:rPr>
              <w:t>$</w:t>
              <w:tab/>
              <w:t>89,881</w:t>
              <w:tab/>
            </w:r>
          </w:p>
        </w:tc>
      </w:tr>
      <w:tr>
        <w:tblPrEx>
          <w:tblW w:w="10260" w:type="dxa"/>
          <w:tblInd w:w="0" w:type="dxa"/>
          <w:tblLayout w:type="fixed"/>
        </w:tblPrEx>
        <w:trPr>
          <w:trHeight w:hRule="exact" w:val="285"/>
        </w:trPr>
        <w:tc>
          <w:tcPr>
            <w:tcW w:w="409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double" w:sz="8" w:space="0" w:color="000000"/>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double" w:sz="8" w:space="0" w:color="000000"/>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double" w:sz="8" w:space="0" w:color="000000"/>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double" w:sz="8" w:space="0" w:color="000000"/>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r>
      <w:tr>
        <w:tblPrEx>
          <w:tblW w:w="10260" w:type="dxa"/>
          <w:tblInd w:w="0" w:type="dxa"/>
          <w:tblLayout w:type="fixed"/>
        </w:tblPrEx>
        <w:trPr>
          <w:trHeight w:hRule="exact" w:val="285"/>
        </w:trPr>
        <w:tc>
          <w:tcPr>
            <w:tcW w:w="409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i w:val="0"/>
                <w:color w:val="000000"/>
                <w:sz w:val="20"/>
                <w:u w:val="none"/>
              </w:rPr>
              <w:t>December 31, 2025</w:t>
            </w:r>
          </w:p>
        </w:tc>
        <w:tc>
          <w:tcPr>
            <w:tcW w:w="148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r>
      <w:tr>
        <w:tblPrEx>
          <w:tblW w:w="10260" w:type="dxa"/>
          <w:tblInd w:w="0" w:type="dxa"/>
          <w:tblLayout w:type="fixed"/>
        </w:tblPrEx>
        <w:trPr>
          <w:trHeight w:hRule="exact" w:val="285"/>
        </w:trPr>
        <w:tc>
          <w:tcPr>
            <w:tcW w:w="409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Cash equivalents</w:t>
            </w:r>
          </w:p>
        </w:tc>
        <w:tc>
          <w:tcPr>
            <w:tcW w:w="148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02"/>
                <w:tab w:val="left" w:pos="1417"/>
              </w:tabs>
              <w:spacing w:before="53" w:after="30" w:line="240" w:lineRule="auto"/>
              <w:jc w:val="right"/>
            </w:pPr>
            <w:r>
              <w:rPr>
                <w:rFonts w:ascii="Times New Roman" w:eastAsia="Times New Roman" w:hAnsi="Times New Roman" w:cs="Times New Roman"/>
                <w:b w:val="0"/>
                <w:i w:val="0"/>
                <w:color w:val="000000"/>
                <w:sz w:val="20"/>
                <w:u w:val="none"/>
              </w:rPr>
              <w:t>$</w:t>
              <w:tab/>
              <w:t>1,787</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152"/>
                <w:tab w:val="left" w:pos="1417"/>
              </w:tabs>
              <w:spacing w:before="53" w:after="30" w:line="240" w:lineRule="auto"/>
              <w:jc w:val="right"/>
            </w:pPr>
            <w:r>
              <w:rPr>
                <w:rFonts w:ascii="Times New Roman" w:eastAsia="Times New Roman" w:hAnsi="Times New Roman" w:cs="Times New Roman"/>
                <w:b w:val="0"/>
                <w:i w:val="0"/>
                <w:color w:val="000000"/>
                <w:sz w:val="20"/>
                <w:u w:val="none"/>
              </w:rPr>
              <w:t>$</w:t>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166"/>
              </w:tabs>
              <w:spacing w:before="53" w:after="30" w:line="240" w:lineRule="auto"/>
              <w:jc w:val="right"/>
            </w:pPr>
            <w:r>
              <w:rPr>
                <w:rFonts w:ascii="Times New Roman" w:eastAsia="Times New Roman" w:hAnsi="Times New Roman" w:cs="Times New Roman"/>
                <w:b w:val="0"/>
                <w:i w:val="0"/>
                <w:color w:val="000000"/>
                <w:sz w:val="20"/>
                <w:u w:val="none"/>
              </w:rPr>
              <w:t>$</w:t>
              <w:tab/>
              <w:t>(3)</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02"/>
                <w:tab w:val="left" w:pos="1417"/>
              </w:tabs>
              <w:spacing w:before="53" w:after="30" w:line="240" w:lineRule="auto"/>
              <w:jc w:val="right"/>
            </w:pPr>
            <w:r>
              <w:rPr>
                <w:rFonts w:ascii="Times New Roman" w:eastAsia="Times New Roman" w:hAnsi="Times New Roman" w:cs="Times New Roman"/>
                <w:b w:val="0"/>
                <w:i w:val="0"/>
                <w:color w:val="000000"/>
                <w:sz w:val="20"/>
                <w:u w:val="none"/>
              </w:rPr>
              <w:t>$</w:t>
              <w:tab/>
              <w:t>1,784</w:t>
              <w:tab/>
            </w:r>
          </w:p>
        </w:tc>
      </w:tr>
      <w:tr>
        <w:tblPrEx>
          <w:tblW w:w="10260" w:type="dxa"/>
          <w:tblInd w:w="0" w:type="dxa"/>
          <w:tblLayout w:type="fixed"/>
        </w:tblPrEx>
        <w:trPr>
          <w:trHeight w:hRule="exact" w:val="285"/>
        </w:trPr>
        <w:tc>
          <w:tcPr>
            <w:tcW w:w="409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Available-for-sale securities:</w:t>
            </w:r>
          </w:p>
        </w:tc>
        <w:tc>
          <w:tcPr>
            <w:tcW w:w="148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r>
      <w:tr>
        <w:tblPrEx>
          <w:tblW w:w="10260" w:type="dxa"/>
          <w:tblInd w:w="0" w:type="dxa"/>
          <w:tblLayout w:type="fixed"/>
        </w:tblPrEx>
        <w:trPr>
          <w:trHeight w:hRule="exact" w:val="285"/>
        </w:trPr>
        <w:tc>
          <w:tcPr>
            <w:tcW w:w="409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ind w:left="135"/>
              <w:jc w:val="left"/>
            </w:pPr>
            <w:r>
              <w:rPr>
                <w:rFonts w:ascii="Times New Roman" w:eastAsia="Times New Roman" w:hAnsi="Times New Roman" w:cs="Times New Roman"/>
                <w:b w:val="0"/>
                <w:i w:val="0"/>
                <w:color w:val="000000"/>
                <w:sz w:val="20"/>
                <w:u w:val="none"/>
              </w:rPr>
              <w:t>Corporate debt securities</w:t>
            </w:r>
          </w:p>
        </w:tc>
        <w:tc>
          <w:tcPr>
            <w:tcW w:w="148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802"/>
                <w:tab w:val="left" w:pos="1417"/>
              </w:tabs>
              <w:spacing w:before="53" w:after="30" w:line="240" w:lineRule="auto"/>
              <w:jc w:val="right"/>
            </w:pPr>
            <w:r>
              <w:rPr>
                <w:rFonts w:ascii="Times New Roman" w:eastAsia="Times New Roman" w:hAnsi="Times New Roman" w:cs="Times New Roman"/>
                <w:b w:val="0"/>
                <w:i w:val="0"/>
                <w:color w:val="000000"/>
                <w:sz w:val="20"/>
                <w:u w:val="none"/>
              </w:rPr>
              <w:tab/>
              <w:t>83,160</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052"/>
                <w:tab w:val="left" w:pos="1417"/>
              </w:tabs>
              <w:spacing w:before="53" w:after="30" w:line="240" w:lineRule="auto"/>
              <w:jc w:val="right"/>
            </w:pPr>
            <w:r>
              <w:rPr>
                <w:rFonts w:ascii="Times New Roman" w:eastAsia="Times New Roman" w:hAnsi="Times New Roman" w:cs="Times New Roman"/>
                <w:b w:val="0"/>
                <w:i w:val="0"/>
                <w:color w:val="000000"/>
                <w:sz w:val="20"/>
                <w:u w:val="none"/>
              </w:rPr>
              <w:tab/>
              <w:t>501</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066"/>
              </w:tabs>
              <w:spacing w:before="53" w:after="30" w:line="240" w:lineRule="auto"/>
              <w:jc w:val="right"/>
            </w:pPr>
            <w:r>
              <w:rPr>
                <w:rFonts w:ascii="Times New Roman" w:eastAsia="Times New Roman" w:hAnsi="Times New Roman" w:cs="Times New Roman"/>
                <w:b w:val="0"/>
                <w:i w:val="0"/>
                <w:color w:val="000000"/>
                <w:sz w:val="20"/>
                <w:u w:val="none"/>
              </w:rPr>
              <w:tab/>
              <w:t>(77)</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802"/>
                <w:tab w:val="left" w:pos="1417"/>
              </w:tabs>
              <w:spacing w:before="53" w:after="30" w:line="240" w:lineRule="auto"/>
              <w:jc w:val="right"/>
            </w:pPr>
            <w:r>
              <w:rPr>
                <w:rFonts w:ascii="Times New Roman" w:eastAsia="Times New Roman" w:hAnsi="Times New Roman" w:cs="Times New Roman"/>
                <w:b w:val="0"/>
                <w:i w:val="0"/>
                <w:color w:val="000000"/>
                <w:sz w:val="20"/>
                <w:u w:val="none"/>
              </w:rPr>
              <w:tab/>
              <w:t>83,584</w:t>
              <w:tab/>
            </w:r>
          </w:p>
        </w:tc>
      </w:tr>
      <w:tr>
        <w:tblPrEx>
          <w:tblW w:w="10260" w:type="dxa"/>
          <w:tblInd w:w="0" w:type="dxa"/>
          <w:tblLayout w:type="fixed"/>
        </w:tblPrEx>
        <w:trPr>
          <w:trHeight w:hRule="exact" w:val="285"/>
        </w:trPr>
        <w:tc>
          <w:tcPr>
            <w:tcW w:w="409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ind w:left="135"/>
              <w:jc w:val="left"/>
            </w:pPr>
            <w:r>
              <w:rPr>
                <w:rFonts w:ascii="Times New Roman" w:eastAsia="Times New Roman" w:hAnsi="Times New Roman" w:cs="Times New Roman"/>
                <w:b w:val="0"/>
                <w:i w:val="0"/>
                <w:color w:val="000000"/>
                <w:sz w:val="20"/>
                <w:u w:val="none"/>
              </w:rPr>
              <w:t>Municipal bonds</w:t>
            </w:r>
          </w:p>
        </w:tc>
        <w:tc>
          <w:tcPr>
            <w:tcW w:w="148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902"/>
                <w:tab w:val="left" w:pos="1417"/>
              </w:tabs>
              <w:spacing w:before="53" w:after="30" w:line="240" w:lineRule="auto"/>
              <w:jc w:val="right"/>
            </w:pPr>
            <w:r>
              <w:rPr>
                <w:rFonts w:ascii="Times New Roman" w:eastAsia="Times New Roman" w:hAnsi="Times New Roman" w:cs="Times New Roman"/>
                <w:b w:val="0"/>
                <w:i w:val="0"/>
                <w:color w:val="000000"/>
                <w:sz w:val="20"/>
                <w:u w:val="none"/>
              </w:rPr>
              <w:tab/>
              <w:t>1,542</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152"/>
                <w:tab w:val="left" w:pos="1417"/>
              </w:tabs>
              <w:spacing w:before="53" w:after="3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066"/>
              </w:tabs>
              <w:spacing w:before="53" w:after="30" w:line="240" w:lineRule="auto"/>
              <w:jc w:val="right"/>
            </w:pPr>
            <w:r>
              <w:rPr>
                <w:rFonts w:ascii="Times New Roman" w:eastAsia="Times New Roman" w:hAnsi="Times New Roman" w:cs="Times New Roman"/>
                <w:b w:val="0"/>
                <w:i w:val="0"/>
                <w:color w:val="000000"/>
                <w:sz w:val="20"/>
                <w:u w:val="none"/>
              </w:rPr>
              <w:tab/>
              <w:t>(17)</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902"/>
                <w:tab w:val="left" w:pos="1417"/>
              </w:tabs>
              <w:spacing w:before="53" w:after="30" w:line="240" w:lineRule="auto"/>
              <w:jc w:val="right"/>
            </w:pPr>
            <w:r>
              <w:rPr>
                <w:rFonts w:ascii="Times New Roman" w:eastAsia="Times New Roman" w:hAnsi="Times New Roman" w:cs="Times New Roman"/>
                <w:b w:val="0"/>
                <w:i w:val="0"/>
                <w:color w:val="000000"/>
                <w:sz w:val="20"/>
                <w:u w:val="none"/>
              </w:rPr>
              <w:tab/>
              <w:t>1,525</w:t>
              <w:tab/>
            </w:r>
          </w:p>
        </w:tc>
      </w:tr>
      <w:tr>
        <w:tblPrEx>
          <w:tblW w:w="10260" w:type="dxa"/>
          <w:tblInd w:w="0" w:type="dxa"/>
          <w:tblLayout w:type="fixed"/>
        </w:tblPrEx>
        <w:trPr>
          <w:trHeight w:hRule="exact" w:val="285"/>
        </w:trPr>
        <w:tc>
          <w:tcPr>
            <w:tcW w:w="409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ind w:left="135"/>
              <w:jc w:val="left"/>
            </w:pPr>
            <w:r>
              <w:rPr>
                <w:rFonts w:ascii="Times New Roman" w:eastAsia="Times New Roman" w:hAnsi="Times New Roman" w:cs="Times New Roman"/>
                <w:b w:val="0"/>
                <w:i w:val="0"/>
                <w:color w:val="000000"/>
                <w:sz w:val="20"/>
                <w:u w:val="none"/>
              </w:rPr>
              <w:t>U.S. Government agency securities</w:t>
            </w:r>
          </w:p>
        </w:tc>
        <w:tc>
          <w:tcPr>
            <w:tcW w:w="148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902"/>
                <w:tab w:val="left" w:pos="1417"/>
              </w:tabs>
              <w:spacing w:before="53" w:after="30" w:line="240" w:lineRule="auto"/>
              <w:jc w:val="right"/>
            </w:pPr>
            <w:r>
              <w:rPr>
                <w:rFonts w:ascii="Times New Roman" w:eastAsia="Times New Roman" w:hAnsi="Times New Roman" w:cs="Times New Roman"/>
                <w:b w:val="0"/>
                <w:i w:val="0"/>
                <w:color w:val="000000"/>
                <w:sz w:val="20"/>
                <w:u w:val="none"/>
              </w:rPr>
              <w:tab/>
              <w:t>3,515</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1152"/>
                <w:tab w:val="left" w:pos="1417"/>
              </w:tabs>
              <w:spacing w:before="53" w:after="30" w:line="240" w:lineRule="auto"/>
              <w:jc w:val="right"/>
            </w:pPr>
            <w:r>
              <w:rPr>
                <w:rFonts w:ascii="Times New Roman" w:eastAsia="Times New Roman" w:hAnsi="Times New Roman" w:cs="Times New Roman"/>
                <w:b w:val="0"/>
                <w:i w:val="0"/>
                <w:color w:val="000000"/>
                <w:sz w:val="20"/>
                <w:u w:val="none"/>
              </w:rPr>
              <w:tab/>
              <w:t>28</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1152"/>
                <w:tab w:val="left" w:pos="1417"/>
              </w:tabs>
              <w:spacing w:before="53" w:after="3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902"/>
                <w:tab w:val="left" w:pos="1417"/>
              </w:tabs>
              <w:spacing w:before="53" w:after="30" w:line="240" w:lineRule="auto"/>
              <w:jc w:val="right"/>
            </w:pPr>
            <w:r>
              <w:rPr>
                <w:rFonts w:ascii="Times New Roman" w:eastAsia="Times New Roman" w:hAnsi="Times New Roman" w:cs="Times New Roman"/>
                <w:b w:val="0"/>
                <w:i w:val="0"/>
                <w:color w:val="000000"/>
                <w:sz w:val="20"/>
                <w:u w:val="none"/>
              </w:rPr>
              <w:tab/>
              <w:t>3,543</w:t>
              <w:tab/>
            </w:r>
          </w:p>
        </w:tc>
      </w:tr>
      <w:tr>
        <w:tblPrEx>
          <w:tblW w:w="10260" w:type="dxa"/>
          <w:tblInd w:w="0" w:type="dxa"/>
          <w:tblLayout w:type="fixed"/>
        </w:tblPrEx>
        <w:trPr>
          <w:trHeight w:hRule="exact" w:val="315"/>
        </w:trPr>
        <w:tc>
          <w:tcPr>
            <w:tcW w:w="409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Total available-for-sale securities</w:t>
            </w:r>
          </w:p>
        </w:tc>
        <w:tc>
          <w:tcPr>
            <w:tcW w:w="148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802"/>
                <w:tab w:val="left" w:pos="1417"/>
              </w:tabs>
              <w:spacing w:before="33" w:after="30" w:line="240" w:lineRule="auto"/>
              <w:jc w:val="right"/>
            </w:pPr>
            <w:r>
              <w:rPr>
                <w:rFonts w:ascii="Times New Roman" w:eastAsia="Times New Roman" w:hAnsi="Times New Roman" w:cs="Times New Roman"/>
                <w:b w:val="0"/>
                <w:i w:val="0"/>
                <w:color w:val="000000"/>
                <w:sz w:val="20"/>
                <w:u w:val="none"/>
              </w:rPr>
              <w:tab/>
              <w:t>88,217</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1052"/>
                <w:tab w:val="left" w:pos="1417"/>
              </w:tabs>
              <w:spacing w:before="33" w:after="30" w:line="240" w:lineRule="auto"/>
              <w:jc w:val="right"/>
            </w:pPr>
            <w:r>
              <w:rPr>
                <w:rFonts w:ascii="Times New Roman" w:eastAsia="Times New Roman" w:hAnsi="Times New Roman" w:cs="Times New Roman"/>
                <w:b w:val="0"/>
                <w:i w:val="0"/>
                <w:color w:val="000000"/>
                <w:sz w:val="20"/>
                <w:u w:val="none"/>
              </w:rPr>
              <w:tab/>
              <w:t>529</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1066"/>
              </w:tabs>
              <w:spacing w:before="33" w:after="30" w:line="240" w:lineRule="auto"/>
              <w:jc w:val="right"/>
            </w:pPr>
            <w:r>
              <w:rPr>
                <w:rFonts w:ascii="Times New Roman" w:eastAsia="Times New Roman" w:hAnsi="Times New Roman" w:cs="Times New Roman"/>
                <w:b w:val="0"/>
                <w:i w:val="0"/>
                <w:color w:val="000000"/>
                <w:sz w:val="20"/>
                <w:u w:val="none"/>
              </w:rPr>
              <w:tab/>
              <w:t>(94)</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802"/>
                <w:tab w:val="left" w:pos="1417"/>
              </w:tabs>
              <w:spacing w:before="33" w:after="30" w:line="240" w:lineRule="auto"/>
              <w:jc w:val="right"/>
            </w:pPr>
            <w:r>
              <w:rPr>
                <w:rFonts w:ascii="Times New Roman" w:eastAsia="Times New Roman" w:hAnsi="Times New Roman" w:cs="Times New Roman"/>
                <w:b w:val="0"/>
                <w:i w:val="0"/>
                <w:color w:val="000000"/>
                <w:sz w:val="20"/>
                <w:u w:val="none"/>
              </w:rPr>
              <w:tab/>
              <w:t>88,652</w:t>
              <w:tab/>
            </w:r>
          </w:p>
        </w:tc>
      </w:tr>
      <w:tr>
        <w:tblPrEx>
          <w:tblW w:w="10260" w:type="dxa"/>
          <w:tblInd w:w="0" w:type="dxa"/>
          <w:tblLayout w:type="fixed"/>
        </w:tblPrEx>
        <w:trPr>
          <w:trHeight w:hRule="exact" w:val="315"/>
        </w:trPr>
        <w:tc>
          <w:tcPr>
            <w:tcW w:w="409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shd w:val="clear" w:color="auto" w:fill="FFFF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shd w:val="clear" w:color="auto" w:fill="FFFF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shd w:val="clear" w:color="auto" w:fill="FFFF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shd w:val="clear" w:color="auto" w:fill="FFFFFF"/>
            <w:tcMar>
              <w:top w:w="0" w:type="dxa"/>
              <w:left w:w="0" w:type="dxa"/>
              <w:bottom w:w="0" w:type="dxa"/>
              <w:right w:w="0" w:type="dxa"/>
            </w:tcMar>
            <w:vAlign w:val="bottom"/>
          </w:tcPr>
          <w:p>
            <w:pPr>
              <w:keepNext/>
              <w:pageBreakBefore w:val="0"/>
              <w:spacing w:before="0" w:after="0"/>
            </w:pPr>
          </w:p>
        </w:tc>
      </w:tr>
      <w:tr>
        <w:tblPrEx>
          <w:tblW w:w="10260" w:type="dxa"/>
          <w:tblInd w:w="0" w:type="dxa"/>
          <w:tblLayout w:type="fixed"/>
        </w:tblPrEx>
        <w:trPr>
          <w:trHeight w:hRule="exact" w:val="315"/>
        </w:trPr>
        <w:tc>
          <w:tcPr>
            <w:tcW w:w="4095" w:type="dxa"/>
            <w:tcBorders>
              <w:top w:val="nil"/>
              <w:left w:val="nil"/>
              <w:bottom w:val="nil"/>
              <w:right w:val="nil"/>
            </w:tcBorders>
            <w:shd w:val="clear" w:color="auto" w:fill="CCEEFF"/>
            <w:tcMar>
              <w:top w:w="0" w:type="dxa"/>
              <w:left w:w="53" w:type="dxa"/>
              <w:bottom w:w="0" w:type="dxa"/>
              <w:right w:w="53" w:type="dxa"/>
            </w:tcMar>
            <w:vAlign w:val="bottom"/>
          </w:tcPr>
          <w:p>
            <w:pPr>
              <w:pageBreakBefore w:val="0"/>
              <w:numPr>
                <w:ilvl w:val="0"/>
                <w:numId w:val="0"/>
              </w:numPr>
              <w:spacing w:before="33" w:after="30" w:line="240" w:lineRule="auto"/>
              <w:ind w:left="0" w:right="0" w:firstLine="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Total</w:t>
            </w:r>
            <w:r>
              <w:rPr>
                <w:rFonts w:ascii="Times New Roman" w:eastAsia="Times New Roman" w:hAnsi="Times New Roman" w:cs="Times New Roman"/>
                <w:b w:val="0"/>
                <w:i w:val="0"/>
                <w:sz w:val="20"/>
                <w:vertAlign w:val="superscript"/>
              </w:rPr>
              <w:t>(2)</w:t>
            </w:r>
          </w:p>
        </w:tc>
        <w:tc>
          <w:tcPr>
            <w:tcW w:w="148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802"/>
                <w:tab w:val="left" w:pos="1417"/>
              </w:tabs>
              <w:spacing w:before="33" w:after="30" w:line="240" w:lineRule="auto"/>
              <w:jc w:val="right"/>
            </w:pPr>
            <w:r>
              <w:rPr>
                <w:rFonts w:ascii="Times New Roman" w:eastAsia="Times New Roman" w:hAnsi="Times New Roman" w:cs="Times New Roman"/>
                <w:b w:val="0"/>
                <w:i w:val="0"/>
                <w:color w:val="000000"/>
                <w:sz w:val="20"/>
                <w:u w:val="none"/>
              </w:rPr>
              <w:t>$</w:t>
              <w:tab/>
              <w:t>90,004</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pPr>
          </w:p>
        </w:tc>
        <w:tc>
          <w:tcPr>
            <w:tcW w:w="148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1052"/>
                <w:tab w:val="left" w:pos="1417"/>
              </w:tabs>
              <w:spacing w:before="33" w:after="30" w:line="240" w:lineRule="auto"/>
              <w:jc w:val="right"/>
            </w:pPr>
            <w:r>
              <w:rPr>
                <w:rFonts w:ascii="Times New Roman" w:eastAsia="Times New Roman" w:hAnsi="Times New Roman" w:cs="Times New Roman"/>
                <w:b w:val="0"/>
                <w:i w:val="0"/>
                <w:color w:val="000000"/>
                <w:sz w:val="20"/>
                <w:u w:val="none"/>
              </w:rPr>
              <w:t>$</w:t>
              <w:tab/>
              <w:t>529</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pPr>
          </w:p>
        </w:tc>
        <w:tc>
          <w:tcPr>
            <w:tcW w:w="148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1066"/>
              </w:tabs>
              <w:spacing w:before="33" w:after="30" w:line="240" w:lineRule="auto"/>
              <w:jc w:val="right"/>
            </w:pPr>
            <w:r>
              <w:rPr>
                <w:rFonts w:ascii="Times New Roman" w:eastAsia="Times New Roman" w:hAnsi="Times New Roman" w:cs="Times New Roman"/>
                <w:b w:val="0"/>
                <w:i w:val="0"/>
                <w:color w:val="000000"/>
                <w:sz w:val="20"/>
                <w:u w:val="none"/>
              </w:rPr>
              <w:t>$</w:t>
              <w:tab/>
              <w:t>(97)</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pPr>
          </w:p>
        </w:tc>
        <w:tc>
          <w:tcPr>
            <w:tcW w:w="148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802"/>
                <w:tab w:val="left" w:pos="1417"/>
              </w:tabs>
              <w:spacing w:before="33" w:after="30" w:line="240" w:lineRule="auto"/>
              <w:jc w:val="right"/>
            </w:pPr>
            <w:r>
              <w:rPr>
                <w:rFonts w:ascii="Times New Roman" w:eastAsia="Times New Roman" w:hAnsi="Times New Roman" w:cs="Times New Roman"/>
                <w:b w:val="0"/>
                <w:i w:val="0"/>
                <w:color w:val="000000"/>
                <w:sz w:val="20"/>
                <w:u w:val="none"/>
              </w:rPr>
              <w:t>$</w:t>
              <w:tab/>
              <w:t>90,436</w:t>
              <w:tab/>
            </w:r>
          </w:p>
        </w:tc>
      </w:tr>
    </w:tbl>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color w:val="000000"/>
          <w:sz w:val="20"/>
          <w:u w:val="none"/>
        </w:rPr>
      </w:pPr>
    </w:p>
    <w:p>
      <w:pPr>
        <w:keepNext w:val="0"/>
        <w:keepLines/>
        <w:pageBreakBefore w:val="0"/>
        <w:widowControl w:val="0"/>
        <w:numPr>
          <w:ilvl w:val="0"/>
          <w:numId w:val="14"/>
        </w:numPr>
        <w:spacing w:before="0" w:after="0" w:line="288" w:lineRule="auto"/>
        <w:ind w:left="720" w:right="0" w:hanging="720"/>
        <w:jc w:val="both"/>
        <w:outlineLvl w:val="9"/>
        <w:rPr>
          <w:rFonts w:ascii="Times New Roman" w:eastAsia="Times New Roman" w:hAnsi="Times New Roman" w:cs="Times New Roman"/>
          <w:b w:val="0"/>
          <w:i w:val="0"/>
          <w:color w:val="000000"/>
          <w:sz w:val="18"/>
          <w:u w:val="none"/>
        </w:rPr>
      </w:pPr>
      <w:r>
        <w:rPr>
          <w:rFonts w:ascii="Times New Roman" w:eastAsia="Times New Roman" w:hAnsi="Times New Roman" w:cs="Times New Roman"/>
          <w:b w:val="0"/>
          <w:i w:val="0"/>
          <w:color w:val="000000"/>
          <w:sz w:val="18"/>
          <w:u w:val="none"/>
        </w:rPr>
        <w:t xml:space="preserve">Unrealized gains and losses on available-for-sale securities are included as a component of comprehensive </w:t>
      </w:r>
      <w:r>
        <w:rPr>
          <w:rFonts w:ascii="Times New Roman" w:eastAsia="Times New Roman" w:hAnsi="Times New Roman" w:cs="Times New Roman"/>
          <w:b w:val="0"/>
          <w:i w:val="0"/>
          <w:color w:val="000000"/>
          <w:sz w:val="18"/>
          <w:u w:val="none"/>
        </w:rPr>
        <w:t>income (loss)</w:t>
      </w:r>
      <w:r>
        <w:rPr>
          <w:rFonts w:ascii="Times New Roman" w:eastAsia="Times New Roman" w:hAnsi="Times New Roman" w:cs="Times New Roman"/>
          <w:b w:val="0"/>
          <w:i w:val="0"/>
          <w:color w:val="000000"/>
          <w:sz w:val="18"/>
          <w:u w:val="none"/>
        </w:rPr>
        <w:t xml:space="preserve">. As of </w:t>
      </w:r>
      <w:r>
        <w:rPr>
          <w:rFonts w:ascii="Times New Roman" w:eastAsia="Times New Roman" w:hAnsi="Times New Roman" w:cs="Times New Roman"/>
          <w:b w:val="0"/>
          <w:i w:val="0"/>
          <w:color w:val="000000"/>
          <w:sz w:val="18"/>
          <w:u w:val="none"/>
        </w:rPr>
        <w:t>March 31, 2026</w:t>
      </w:r>
      <w:r>
        <w:rPr>
          <w:rFonts w:ascii="Times New Roman" w:eastAsia="Times New Roman" w:hAnsi="Times New Roman" w:cs="Times New Roman"/>
          <w:b w:val="0"/>
          <w:i w:val="0"/>
          <w:color w:val="000000"/>
          <w:sz w:val="18"/>
          <w:u w:val="none"/>
        </w:rPr>
        <w:t xml:space="preserve"> and </w:t>
      </w:r>
      <w:r>
        <w:rPr>
          <w:rFonts w:ascii="Times New Roman" w:eastAsia="Times New Roman" w:hAnsi="Times New Roman" w:cs="Times New Roman"/>
          <w:b w:val="0"/>
          <w:i w:val="0"/>
          <w:color w:val="000000"/>
          <w:sz w:val="18"/>
          <w:u w:val="none"/>
        </w:rPr>
        <w:t>December 31, 2025</w:t>
      </w:r>
      <w:r>
        <w:rPr>
          <w:rFonts w:ascii="Times New Roman" w:eastAsia="Times New Roman" w:hAnsi="Times New Roman" w:cs="Times New Roman"/>
          <w:b w:val="0"/>
          <w:i w:val="0"/>
          <w:color w:val="000000"/>
          <w:sz w:val="18"/>
          <w:u w:val="none"/>
        </w:rPr>
        <w:t xml:space="preserve">, there were </w:t>
      </w:r>
      <w:r>
        <w:rPr>
          <w:rFonts w:ascii="Times New Roman" w:eastAsia="Times New Roman" w:hAnsi="Times New Roman" w:cs="Times New Roman"/>
          <w:b w:val="0"/>
          <w:i w:val="0"/>
          <w:color w:val="000000"/>
          <w:sz w:val="18"/>
          <w:u w:val="none"/>
        </w:rPr>
        <w:t>56</w:t>
      </w:r>
      <w:r>
        <w:rPr>
          <w:rFonts w:ascii="Times New Roman" w:eastAsia="Times New Roman" w:hAnsi="Times New Roman" w:cs="Times New Roman"/>
          <w:b w:val="0"/>
          <w:i w:val="0"/>
          <w:color w:val="000000"/>
          <w:sz w:val="18"/>
          <w:u w:val="none"/>
        </w:rPr>
        <w:t xml:space="preserve"> and </w:t>
      </w:r>
      <w:r>
        <w:rPr>
          <w:rFonts w:ascii="Times New Roman" w:eastAsia="Times New Roman" w:hAnsi="Times New Roman" w:cs="Times New Roman"/>
          <w:b w:val="0"/>
          <w:i w:val="0"/>
          <w:color w:val="000000"/>
          <w:sz w:val="18"/>
          <w:u w:val="none"/>
        </w:rPr>
        <w:t>127</w:t>
      </w:r>
      <w:r>
        <w:rPr>
          <w:rFonts w:ascii="Times New Roman" w:eastAsia="Times New Roman" w:hAnsi="Times New Roman" w:cs="Times New Roman"/>
          <w:b w:val="0"/>
          <w:i w:val="0"/>
          <w:color w:val="000000"/>
          <w:sz w:val="18"/>
          <w:u w:val="none"/>
        </w:rPr>
        <w:t xml:space="preserve"> securities, respectively, in an unrealized gain position and there were </w:t>
      </w:r>
      <w:r>
        <w:rPr>
          <w:rFonts w:ascii="Times New Roman" w:eastAsia="Times New Roman" w:hAnsi="Times New Roman" w:cs="Times New Roman"/>
          <w:b w:val="0"/>
          <w:i w:val="0"/>
          <w:color w:val="000000"/>
          <w:sz w:val="18"/>
          <w:u w:val="none"/>
        </w:rPr>
        <w:t>92</w:t>
      </w:r>
      <w:r>
        <w:rPr>
          <w:rFonts w:ascii="Times New Roman" w:eastAsia="Times New Roman" w:hAnsi="Times New Roman" w:cs="Times New Roman"/>
          <w:b w:val="0"/>
          <w:i w:val="0"/>
          <w:color w:val="000000"/>
          <w:sz w:val="18"/>
          <w:u w:val="none"/>
        </w:rPr>
        <w:t xml:space="preserve"> and </w:t>
      </w:r>
      <w:r>
        <w:rPr>
          <w:rFonts w:ascii="Times New Roman" w:eastAsia="Times New Roman" w:hAnsi="Times New Roman" w:cs="Times New Roman"/>
          <w:b w:val="0"/>
          <w:i w:val="0"/>
          <w:color w:val="000000"/>
          <w:sz w:val="18"/>
          <w:u w:val="none"/>
        </w:rPr>
        <w:t>27</w:t>
      </w:r>
      <w:r>
        <w:rPr>
          <w:rFonts w:ascii="Times New Roman" w:eastAsia="Times New Roman" w:hAnsi="Times New Roman" w:cs="Times New Roman"/>
          <w:b w:val="0"/>
          <w:i w:val="0"/>
          <w:color w:val="000000"/>
          <w:sz w:val="18"/>
          <w:u w:val="none"/>
        </w:rPr>
        <w:t xml:space="preserve"> securities in an unrealized loss position, respectively. As of </w:t>
      </w:r>
      <w:r>
        <w:rPr>
          <w:rFonts w:ascii="Times New Roman" w:eastAsia="Times New Roman" w:hAnsi="Times New Roman" w:cs="Times New Roman"/>
          <w:b w:val="0"/>
          <w:i w:val="0"/>
          <w:color w:val="000000"/>
          <w:sz w:val="18"/>
          <w:u w:val="none"/>
        </w:rPr>
        <w:t>March 31, 2026</w:t>
      </w:r>
      <w:r>
        <w:rPr>
          <w:rFonts w:ascii="Times New Roman" w:eastAsia="Times New Roman" w:hAnsi="Times New Roman" w:cs="Times New Roman"/>
          <w:b w:val="0"/>
          <w:i w:val="0"/>
          <w:color w:val="000000"/>
          <w:sz w:val="18"/>
          <w:u w:val="none"/>
        </w:rPr>
        <w:t xml:space="preserve">, these unrealized </w:t>
      </w:r>
      <w:r>
        <w:rPr>
          <w:rFonts w:ascii="Times New Roman" w:eastAsia="Times New Roman" w:hAnsi="Times New Roman" w:cs="Times New Roman"/>
          <w:b w:val="0"/>
          <w:i w:val="0"/>
          <w:color w:val="000000"/>
          <w:sz w:val="18"/>
          <w:u w:val="none"/>
        </w:rPr>
        <w:t>losses</w:t>
      </w:r>
      <w:r>
        <w:rPr>
          <w:rFonts w:ascii="Times New Roman" w:eastAsia="Times New Roman" w:hAnsi="Times New Roman" w:cs="Times New Roman"/>
          <w:b w:val="0"/>
          <w:i w:val="0"/>
          <w:color w:val="000000"/>
          <w:sz w:val="18"/>
          <w:u w:val="none"/>
        </w:rPr>
        <w:t xml:space="preserve"> were less than </w:t>
      </w:r>
      <w:r>
        <w:rPr>
          <w:rFonts w:ascii="Times New Roman" w:eastAsia="Times New Roman" w:hAnsi="Times New Roman" w:cs="Times New Roman"/>
          <w:b w:val="0"/>
          <w:i w:val="0"/>
          <w:color w:val="000000"/>
          <w:sz w:val="18"/>
          <w:u w:val="none"/>
        </w:rPr>
        <w:t>$14</w:t>
      </w:r>
      <w:r>
        <w:rPr>
          <w:rFonts w:ascii="Times New Roman" w:eastAsia="Times New Roman" w:hAnsi="Times New Roman" w:cs="Times New Roman"/>
          <w:b w:val="0"/>
          <w:i w:val="0"/>
          <w:color w:val="000000"/>
          <w:sz w:val="18"/>
          <w:u w:val="none"/>
        </w:rPr>
        <w:t xml:space="preserve"> individually and </w:t>
      </w:r>
      <w:r>
        <w:rPr>
          <w:rFonts w:ascii="Times New Roman" w:eastAsia="Times New Roman" w:hAnsi="Times New Roman" w:cs="Times New Roman"/>
          <w:b w:val="0"/>
          <w:i w:val="0"/>
          <w:color w:val="000000"/>
          <w:sz w:val="18"/>
          <w:u w:val="none"/>
        </w:rPr>
        <w:t>$320</w:t>
      </w:r>
      <w:r>
        <w:rPr>
          <w:rFonts w:ascii="Times New Roman" w:eastAsia="Times New Roman" w:hAnsi="Times New Roman" w:cs="Times New Roman"/>
          <w:b w:val="0"/>
          <w:i w:val="0"/>
          <w:color w:val="000000"/>
          <w:sz w:val="18"/>
          <w:u w:val="none"/>
        </w:rPr>
        <w:t xml:space="preserve"> in the aggregate. As of </w:t>
      </w:r>
      <w:r>
        <w:rPr>
          <w:rFonts w:ascii="Times New Roman" w:eastAsia="Times New Roman" w:hAnsi="Times New Roman" w:cs="Times New Roman"/>
          <w:b w:val="0"/>
          <w:i w:val="0"/>
          <w:color w:val="000000"/>
          <w:sz w:val="18"/>
          <w:u w:val="none"/>
        </w:rPr>
        <w:t>December 31, 2025</w:t>
      </w:r>
      <w:r>
        <w:rPr>
          <w:rFonts w:ascii="Times New Roman" w:eastAsia="Times New Roman" w:hAnsi="Times New Roman" w:cs="Times New Roman"/>
          <w:b w:val="0"/>
          <w:i w:val="0"/>
          <w:color w:val="000000"/>
          <w:sz w:val="18"/>
          <w:u w:val="none"/>
        </w:rPr>
        <w:t xml:space="preserve">, these unrealized </w:t>
      </w:r>
      <w:r>
        <w:rPr>
          <w:rFonts w:ascii="Times New Roman" w:eastAsia="Times New Roman" w:hAnsi="Times New Roman" w:cs="Times New Roman"/>
          <w:b w:val="0"/>
          <w:i w:val="0"/>
          <w:color w:val="000000"/>
          <w:sz w:val="18"/>
          <w:u w:val="none"/>
        </w:rPr>
        <w:t>losses</w:t>
      </w:r>
      <w:r>
        <w:rPr>
          <w:rFonts w:ascii="Times New Roman" w:eastAsia="Times New Roman" w:hAnsi="Times New Roman" w:cs="Times New Roman"/>
          <w:b w:val="0"/>
          <w:i w:val="0"/>
          <w:color w:val="000000"/>
          <w:sz w:val="18"/>
          <w:u w:val="none"/>
        </w:rPr>
        <w:t xml:space="preserve"> were less than </w:t>
      </w:r>
      <w:r>
        <w:rPr>
          <w:rFonts w:ascii="Times New Roman" w:eastAsia="Times New Roman" w:hAnsi="Times New Roman" w:cs="Times New Roman"/>
          <w:b w:val="0"/>
          <w:i w:val="0"/>
          <w:color w:val="000000"/>
          <w:sz w:val="18"/>
          <w:u w:val="none"/>
        </w:rPr>
        <w:t>$13</w:t>
      </w:r>
      <w:r>
        <w:rPr>
          <w:rFonts w:ascii="Times New Roman" w:eastAsia="Times New Roman" w:hAnsi="Times New Roman" w:cs="Times New Roman"/>
          <w:b w:val="0"/>
          <w:i w:val="0"/>
          <w:color w:val="000000"/>
          <w:sz w:val="18"/>
          <w:u w:val="none"/>
        </w:rPr>
        <w:t xml:space="preserve"> individually and </w:t>
      </w:r>
      <w:r>
        <w:rPr>
          <w:rFonts w:ascii="Times New Roman" w:eastAsia="Times New Roman" w:hAnsi="Times New Roman" w:cs="Times New Roman"/>
          <w:b w:val="0"/>
          <w:i w:val="0"/>
          <w:color w:val="000000"/>
          <w:sz w:val="18"/>
          <w:u w:val="none"/>
        </w:rPr>
        <w:t>$94</w:t>
      </w:r>
      <w:r>
        <w:rPr>
          <w:rFonts w:ascii="Times New Roman" w:eastAsia="Times New Roman" w:hAnsi="Times New Roman" w:cs="Times New Roman"/>
          <w:b w:val="0"/>
          <w:i w:val="0"/>
          <w:color w:val="000000"/>
          <w:sz w:val="18"/>
          <w:u w:val="none"/>
        </w:rPr>
        <w:t xml:space="preserve"> in the aggregate. We invest in high quality securities with roughly </w:t>
      </w:r>
      <w:r>
        <w:rPr>
          <w:rFonts w:ascii="Times New Roman" w:eastAsia="Times New Roman" w:hAnsi="Times New Roman" w:cs="Times New Roman"/>
          <w:b w:val="0"/>
          <w:i w:val="0"/>
          <w:color w:val="000000"/>
          <w:sz w:val="18"/>
          <w:u w:val="none"/>
        </w:rPr>
        <w:t>69%</w:t>
      </w:r>
      <w:r>
        <w:rPr>
          <w:rFonts w:ascii="Times New Roman" w:eastAsia="Times New Roman" w:hAnsi="Times New Roman" w:cs="Times New Roman"/>
          <w:b w:val="0"/>
          <w:i w:val="0"/>
          <w:color w:val="000000"/>
          <w:sz w:val="18"/>
          <w:u w:val="none"/>
        </w:rPr>
        <w:t xml:space="preserve"> of our portfolio made up of A ratings and above with unrealized losses primarily attributable to macroeconomic factors rather than credit related. We have no material individual securities that have been in a continuous unrealized loss position greater than twelve months. We do not intend to sell these investments, and we do not expect to sell these investments before recovery of their amortized cost basis, which may be at maturity. We review our investments to identify and evaluate investments that indicate possible credit losses. Factors considered in determining whether a loss is a credit loss include the length of time and extent to which fair value has been less than the cost basis, the financial condition and near-term prospects of the investee, and our intent and ability to hold the investment for a period of time sufficient to allow for any anticipated recovery in market value.</w:t>
      </w:r>
    </w:p>
    <w:p>
      <w:pPr>
        <w:keepNext w:val="0"/>
        <w:keepLines/>
        <w:pageBreakBefore w:val="0"/>
        <w:widowControl w:val="0"/>
        <w:numPr>
          <w:ilvl w:val="0"/>
          <w:numId w:val="14"/>
        </w:numPr>
        <w:spacing w:before="0" w:after="0" w:line="288" w:lineRule="auto"/>
        <w:ind w:left="720" w:right="0" w:hanging="720"/>
        <w:jc w:val="both"/>
        <w:outlineLvl w:val="9"/>
        <w:rPr>
          <w:rFonts w:ascii="Times New Roman" w:eastAsia="Times New Roman" w:hAnsi="Times New Roman" w:cs="Times New Roman"/>
          <w:b w:val="0"/>
          <w:i w:val="0"/>
          <w:color w:val="000000"/>
          <w:sz w:val="18"/>
          <w:u w:val="none"/>
        </w:rPr>
      </w:pPr>
      <w:r>
        <w:rPr>
          <w:rFonts w:ascii="Times New Roman" w:eastAsia="Times New Roman" w:hAnsi="Times New Roman" w:cs="Times New Roman"/>
          <w:b w:val="0"/>
          <w:i w:val="0"/>
          <w:color w:val="000000"/>
          <w:sz w:val="18"/>
          <w:u w:val="none"/>
        </w:rPr>
        <w:t xml:space="preserve">At </w:t>
      </w:r>
      <w:r>
        <w:rPr>
          <w:rFonts w:ascii="Times New Roman" w:eastAsia="Times New Roman" w:hAnsi="Times New Roman" w:cs="Times New Roman"/>
          <w:b w:val="0"/>
          <w:i w:val="0"/>
          <w:color w:val="000000"/>
          <w:sz w:val="18"/>
          <w:u w:val="none"/>
        </w:rPr>
        <w:t>March 31, 2026</w:t>
      </w:r>
      <w:r>
        <w:rPr>
          <w:rFonts w:ascii="Times New Roman" w:eastAsia="Times New Roman" w:hAnsi="Times New Roman" w:cs="Times New Roman"/>
          <w:b w:val="0"/>
          <w:i w:val="0"/>
          <w:color w:val="000000"/>
          <w:sz w:val="18"/>
          <w:u w:val="none"/>
        </w:rPr>
        <w:t xml:space="preserve"> and </w:t>
      </w:r>
      <w:r>
        <w:rPr>
          <w:rFonts w:ascii="Times New Roman" w:eastAsia="Times New Roman" w:hAnsi="Times New Roman" w:cs="Times New Roman"/>
          <w:b w:val="0"/>
          <w:i w:val="0"/>
          <w:color w:val="000000"/>
          <w:sz w:val="18"/>
          <w:u w:val="none"/>
        </w:rPr>
        <w:t>December 31, 2025</w:t>
      </w:r>
      <w:r>
        <w:rPr>
          <w:rFonts w:ascii="Times New Roman" w:eastAsia="Times New Roman" w:hAnsi="Times New Roman" w:cs="Times New Roman"/>
          <w:b w:val="0"/>
          <w:i w:val="0"/>
          <w:color w:val="000000"/>
          <w:sz w:val="18"/>
          <w:u w:val="none"/>
        </w:rPr>
        <w:t>, none of these securities were classified as cash and cash equivalents on the accompanying Condensed Consolidated Balance Sheets.</w:t>
      </w:r>
    </w:p>
    <w:p>
      <w:pPr>
        <w:keepNext w:val="0"/>
        <w:keepLines/>
        <w:pageBreakBefore w:val="0"/>
        <w:widowControl w:val="0"/>
        <w:numPr>
          <w:ilvl w:val="0"/>
          <w:numId w:val="0"/>
        </w:numPr>
        <w:spacing w:before="0" w:after="0" w:line="288" w:lineRule="auto"/>
        <w:ind w:left="0" w:right="0" w:hanging="360"/>
        <w:jc w:val="both"/>
        <w:outlineLvl w:val="9"/>
        <w:rPr>
          <w:rFonts w:ascii="Times New Roman" w:eastAsia="Times New Roman" w:hAnsi="Times New Roman" w:cs="Times New Roman"/>
          <w:b w:val="0"/>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Funds held for clients represent assets that we have classified for use solely for the purposes of satisfying the obligations to remit funds relating to our payroll and payroll tax filing services, which are classified as client funds obligations on our Condensed Consolidated Balance Sheets.</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Funds held for clients have been invested in the following categories for the periods presented below (in thousands):</w:t>
      </w:r>
    </w:p>
    <w:tbl>
      <w:tblPr>
        <w:tblStyle w:val="TableNormal0"/>
        <w:tblW w:w="9660" w:type="dxa"/>
        <w:jc w:val="center"/>
        <w:tblLayout w:type="fixed"/>
      </w:tblPr>
      <w:tblGrid>
        <w:gridCol w:w="6735"/>
        <w:gridCol w:w="1425"/>
        <w:gridCol w:w="75"/>
        <w:gridCol w:w="1425"/>
      </w:tblGrid>
      <w:tr>
        <w:tblPrEx>
          <w:tblW w:w="9660" w:type="dxa"/>
          <w:tblLayout w:type="fixed"/>
        </w:tblPrEx>
        <w:trPr>
          <w:trHeight w:hRule="exact" w:val="465"/>
        </w:trPr>
        <w:tc>
          <w:tcPr>
            <w:tcW w:w="673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42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March 31, 2026</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42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December 31, 2025</w:t>
            </w:r>
          </w:p>
        </w:tc>
      </w:tr>
      <w:tr>
        <w:tblPrEx>
          <w:tblW w:w="9660" w:type="dxa"/>
          <w:tblLayout w:type="fixed"/>
        </w:tblPrEx>
        <w:trPr>
          <w:trHeight w:hRule="exact" w:val="285"/>
        </w:trPr>
        <w:tc>
          <w:tcPr>
            <w:tcW w:w="673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Restricted cash and cash equivalents held to satisfy client funds obligations</w:t>
            </w:r>
          </w:p>
        </w:tc>
        <w:tc>
          <w:tcPr>
            <w:tcW w:w="142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642"/>
                <w:tab w:val="left" w:pos="1357"/>
              </w:tabs>
              <w:spacing w:before="33" w:after="30" w:line="240" w:lineRule="auto"/>
              <w:jc w:val="right"/>
            </w:pPr>
            <w:r>
              <w:rPr>
                <w:rFonts w:ascii="Times New Roman" w:eastAsia="Times New Roman" w:hAnsi="Times New Roman" w:cs="Times New Roman"/>
                <w:b w:val="0"/>
                <w:i w:val="0"/>
                <w:color w:val="000000"/>
                <w:sz w:val="20"/>
                <w:u w:val="none"/>
              </w:rPr>
              <w:t>$</w:t>
              <w:tab/>
              <w:t>131,284</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2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642"/>
                <w:tab w:val="left" w:pos="1357"/>
              </w:tabs>
              <w:spacing w:before="33" w:after="30" w:line="240" w:lineRule="auto"/>
              <w:jc w:val="right"/>
            </w:pPr>
            <w:r>
              <w:rPr>
                <w:rFonts w:ascii="Times New Roman" w:eastAsia="Times New Roman" w:hAnsi="Times New Roman" w:cs="Times New Roman"/>
                <w:b w:val="0"/>
                <w:i w:val="0"/>
                <w:color w:val="000000"/>
                <w:sz w:val="20"/>
                <w:u w:val="none"/>
              </w:rPr>
              <w:t>$</w:t>
              <w:tab/>
              <w:t>139,459</w:t>
              <w:tab/>
            </w:r>
          </w:p>
        </w:tc>
      </w:tr>
      <w:tr>
        <w:tblPrEx>
          <w:tblW w:w="9660" w:type="dxa"/>
          <w:tblLayout w:type="fixed"/>
        </w:tblPrEx>
        <w:trPr>
          <w:trHeight w:hRule="exact" w:val="285"/>
        </w:trPr>
        <w:tc>
          <w:tcPr>
            <w:tcW w:w="673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Restricted short-term marketable securities held to satisfy client funds obligations</w:t>
            </w:r>
          </w:p>
        </w:tc>
        <w:tc>
          <w:tcPr>
            <w:tcW w:w="142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42"/>
                <w:tab w:val="left" w:pos="1357"/>
              </w:tabs>
              <w:spacing w:before="53" w:after="30" w:line="240" w:lineRule="auto"/>
              <w:jc w:val="right"/>
            </w:pPr>
            <w:r>
              <w:rPr>
                <w:rFonts w:ascii="Times New Roman" w:eastAsia="Times New Roman" w:hAnsi="Times New Roman" w:cs="Times New Roman"/>
                <w:b w:val="0"/>
                <w:i w:val="0"/>
                <w:color w:val="000000"/>
                <w:sz w:val="20"/>
                <w:u w:val="none"/>
              </w:rPr>
              <w:tab/>
              <w:t>20,385</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2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42"/>
                <w:tab w:val="left" w:pos="1357"/>
              </w:tabs>
              <w:spacing w:before="53" w:after="30" w:line="240" w:lineRule="auto"/>
              <w:jc w:val="right"/>
            </w:pPr>
            <w:r>
              <w:rPr>
                <w:rFonts w:ascii="Times New Roman" w:eastAsia="Times New Roman" w:hAnsi="Times New Roman" w:cs="Times New Roman"/>
                <w:b w:val="0"/>
                <w:i w:val="0"/>
                <w:color w:val="000000"/>
                <w:sz w:val="20"/>
                <w:u w:val="none"/>
              </w:rPr>
              <w:tab/>
              <w:t>12,781</w:t>
              <w:tab/>
            </w:r>
          </w:p>
        </w:tc>
      </w:tr>
      <w:tr>
        <w:tblPrEx>
          <w:tblW w:w="9660" w:type="dxa"/>
          <w:tblLayout w:type="fixed"/>
        </w:tblPrEx>
        <w:trPr>
          <w:trHeight w:hRule="exact" w:val="285"/>
        </w:trPr>
        <w:tc>
          <w:tcPr>
            <w:tcW w:w="673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Restricted long-term marketable securities held to satisfy client funds obligations</w:t>
            </w:r>
          </w:p>
        </w:tc>
        <w:tc>
          <w:tcPr>
            <w:tcW w:w="142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742"/>
                <w:tab w:val="left" w:pos="1357"/>
              </w:tabs>
              <w:spacing w:before="53" w:after="30" w:line="240" w:lineRule="auto"/>
              <w:jc w:val="right"/>
            </w:pPr>
            <w:r>
              <w:rPr>
                <w:rFonts w:ascii="Times New Roman" w:eastAsia="Times New Roman" w:hAnsi="Times New Roman" w:cs="Times New Roman"/>
                <w:b w:val="0"/>
                <w:i w:val="0"/>
                <w:color w:val="000000"/>
                <w:sz w:val="20"/>
                <w:u w:val="none"/>
              </w:rPr>
              <w:tab/>
              <w:t>64,845</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2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742"/>
                <w:tab w:val="left" w:pos="1357"/>
              </w:tabs>
              <w:spacing w:before="53" w:after="30" w:line="240" w:lineRule="auto"/>
              <w:jc w:val="right"/>
            </w:pPr>
            <w:r>
              <w:rPr>
                <w:rFonts w:ascii="Times New Roman" w:eastAsia="Times New Roman" w:hAnsi="Times New Roman" w:cs="Times New Roman"/>
                <w:b w:val="0"/>
                <w:i w:val="0"/>
                <w:color w:val="000000"/>
                <w:sz w:val="20"/>
                <w:u w:val="none"/>
              </w:rPr>
              <w:tab/>
              <w:t>75,871</w:t>
              <w:tab/>
            </w:r>
          </w:p>
        </w:tc>
      </w:tr>
      <w:tr>
        <w:tblPrEx>
          <w:tblW w:w="9660" w:type="dxa"/>
          <w:tblLayout w:type="fixed"/>
        </w:tblPrEx>
        <w:trPr>
          <w:trHeight w:hRule="exact" w:val="285"/>
        </w:trPr>
        <w:tc>
          <w:tcPr>
            <w:tcW w:w="6735" w:type="dxa"/>
            <w:tcBorders>
              <w:top w:val="nil"/>
              <w:left w:val="nil"/>
              <w:bottom w:val="nil"/>
              <w:right w:val="nil"/>
            </w:tcBorders>
            <w:shd w:val="clear" w:color="auto" w:fill="FFFFFF"/>
            <w:tcMar>
              <w:top w:w="0" w:type="dxa"/>
              <w:left w:w="53" w:type="dxa"/>
              <w:bottom w:w="0" w:type="dxa"/>
              <w:right w:w="53" w:type="dxa"/>
            </w:tcMar>
            <w:vAlign w:val="bottom"/>
          </w:tcPr>
          <w:p>
            <w:pPr>
              <w:pageBreakBefore w:val="0"/>
              <w:spacing w:before="33" w:after="30" w:line="240" w:lineRule="auto"/>
              <w:jc w:val="left"/>
            </w:pPr>
            <w:r>
              <w:rPr>
                <w:rFonts w:ascii="Times New Roman" w:eastAsia="Times New Roman" w:hAnsi="Times New Roman" w:cs="Times New Roman"/>
                <w:b w:val="0"/>
                <w:i w:val="0"/>
                <w:color w:val="000000"/>
                <w:sz w:val="20"/>
                <w:u w:val="none"/>
              </w:rPr>
              <w:t>Total funds held for clients</w:t>
            </w:r>
          </w:p>
        </w:tc>
        <w:tc>
          <w:tcPr>
            <w:tcW w:w="142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pageBreakBefore w:val="0"/>
              <w:tabs>
                <w:tab w:val="left" w:pos="642"/>
                <w:tab w:val="left" w:pos="1357"/>
              </w:tabs>
              <w:spacing w:before="33" w:after="30" w:line="240" w:lineRule="auto"/>
              <w:jc w:val="right"/>
            </w:pPr>
            <w:r>
              <w:rPr>
                <w:rFonts w:ascii="Times New Roman" w:eastAsia="Times New Roman" w:hAnsi="Times New Roman" w:cs="Times New Roman"/>
                <w:b w:val="0"/>
                <w:i w:val="0"/>
                <w:color w:val="000000"/>
                <w:sz w:val="20"/>
                <w:u w:val="none"/>
              </w:rPr>
              <w:t>$</w:t>
              <w:tab/>
              <w:t>216,514</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142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pageBreakBefore w:val="0"/>
              <w:tabs>
                <w:tab w:val="left" w:pos="642"/>
                <w:tab w:val="left" w:pos="1357"/>
              </w:tabs>
              <w:spacing w:before="33" w:after="30" w:line="240" w:lineRule="auto"/>
              <w:jc w:val="right"/>
            </w:pPr>
            <w:r>
              <w:rPr>
                <w:rFonts w:ascii="Times New Roman" w:eastAsia="Times New Roman" w:hAnsi="Times New Roman" w:cs="Times New Roman"/>
                <w:b w:val="0"/>
                <w:i w:val="0"/>
                <w:color w:val="000000"/>
                <w:sz w:val="20"/>
                <w:u w:val="none"/>
              </w:rPr>
              <w:t>$</w:t>
              <w:tab/>
              <w:t>228,111</w:t>
              <w:tab/>
            </w:r>
          </w:p>
        </w:tc>
      </w:tr>
    </w:tbl>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color w:val="000000"/>
          <w:sz w:val="20"/>
          <w:u w:val="none"/>
        </w:rPr>
      </w:pP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i w:val="0"/>
          <w:color w:val="000000"/>
          <w:sz w:val="20"/>
          <w:u w:val="single"/>
        </w:rPr>
      </w:pPr>
      <w:r>
        <w:rPr>
          <w:rFonts w:ascii="Times New Roman" w:eastAsia="Times New Roman" w:hAnsi="Times New Roman" w:cs="Times New Roman"/>
          <w:b w:val="0"/>
          <w:i w:val="0"/>
          <w:color w:val="000000"/>
          <w:sz w:val="20"/>
          <w:u w:val="none"/>
        </w:rPr>
        <w:t xml:space="preserve">Expected maturities of available-for-sale securities are as of </w:t>
      </w:r>
      <w:r>
        <w:rPr>
          <w:rFonts w:ascii="Times New Roman" w:eastAsia="Times New Roman" w:hAnsi="Times New Roman" w:cs="Times New Roman"/>
          <w:b w:val="0"/>
          <w:i w:val="0"/>
          <w:color w:val="000000"/>
          <w:sz w:val="20"/>
          <w:u w:val="none"/>
        </w:rPr>
        <w:t>March 31, 2026</w:t>
      </w:r>
      <w:r>
        <w:rPr>
          <w:rFonts w:ascii="Times New Roman" w:eastAsia="Times New Roman" w:hAnsi="Times New Roman" w:cs="Times New Roman"/>
          <w:b w:val="0"/>
          <w:i w:val="0"/>
          <w:color w:val="000000"/>
          <w:sz w:val="20"/>
          <w:u w:val="none"/>
        </w:rPr>
        <w:t>, are as follows (in thousands):</w:t>
      </w:r>
    </w:p>
    <w:tbl>
      <w:tblPr>
        <w:tblStyle w:val="TableNormal0"/>
        <w:tblW w:w="6270" w:type="dxa"/>
        <w:jc w:val="center"/>
        <w:tblLayout w:type="fixed"/>
      </w:tblPr>
      <w:tblGrid>
        <w:gridCol w:w="4785"/>
        <w:gridCol w:w="1485"/>
      </w:tblGrid>
      <w:tr>
        <w:tblPrEx>
          <w:tblW w:w="6270" w:type="dxa"/>
          <w:tblLayout w:type="fixed"/>
        </w:tblPrEx>
        <w:trPr>
          <w:trHeight w:hRule="exact" w:val="285"/>
        </w:trPr>
        <w:tc>
          <w:tcPr>
            <w:tcW w:w="478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One year or less</w:t>
            </w:r>
          </w:p>
        </w:tc>
        <w:tc>
          <w:tcPr>
            <w:tcW w:w="148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802"/>
                <w:tab w:val="left" w:pos="1417"/>
              </w:tabs>
              <w:spacing w:before="53" w:after="30" w:line="240" w:lineRule="auto"/>
              <w:jc w:val="right"/>
            </w:pPr>
            <w:r>
              <w:rPr>
                <w:rFonts w:ascii="Times New Roman" w:eastAsia="Times New Roman" w:hAnsi="Times New Roman" w:cs="Times New Roman"/>
                <w:b w:val="0"/>
                <w:i w:val="0"/>
                <w:color w:val="000000"/>
                <w:sz w:val="20"/>
                <w:u w:val="none"/>
              </w:rPr>
              <w:t>$</w:t>
              <w:tab/>
              <w:t>20,385</w:t>
              <w:tab/>
            </w:r>
          </w:p>
        </w:tc>
      </w:tr>
      <w:tr>
        <w:tblPrEx>
          <w:tblW w:w="6270" w:type="dxa"/>
          <w:tblLayout w:type="fixed"/>
        </w:tblPrEx>
        <w:trPr>
          <w:trHeight w:hRule="exact" w:val="285"/>
        </w:trPr>
        <w:tc>
          <w:tcPr>
            <w:tcW w:w="478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After one year through five years</w:t>
            </w:r>
          </w:p>
        </w:tc>
        <w:tc>
          <w:tcPr>
            <w:tcW w:w="148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802"/>
                <w:tab w:val="left" w:pos="1417"/>
              </w:tabs>
              <w:spacing w:before="53" w:after="30" w:line="240" w:lineRule="auto"/>
              <w:jc w:val="right"/>
            </w:pPr>
            <w:r>
              <w:rPr>
                <w:rFonts w:ascii="Times New Roman" w:eastAsia="Times New Roman" w:hAnsi="Times New Roman" w:cs="Times New Roman"/>
                <w:b w:val="0"/>
                <w:i w:val="0"/>
                <w:color w:val="000000"/>
                <w:sz w:val="20"/>
                <w:u w:val="none"/>
              </w:rPr>
              <w:tab/>
              <w:t>64,845</w:t>
              <w:tab/>
            </w:r>
          </w:p>
        </w:tc>
      </w:tr>
      <w:tr>
        <w:tblPrEx>
          <w:tblW w:w="6270" w:type="dxa"/>
          <w:tblLayout w:type="fixed"/>
        </w:tblPrEx>
        <w:trPr>
          <w:trHeight w:hRule="exact" w:val="285"/>
        </w:trPr>
        <w:tc>
          <w:tcPr>
            <w:tcW w:w="4785" w:type="dxa"/>
            <w:tcBorders>
              <w:top w:val="nil"/>
              <w:left w:val="nil"/>
              <w:bottom w:val="nil"/>
              <w:right w:val="nil"/>
            </w:tcBorders>
            <w:shd w:val="clear" w:color="auto" w:fill="CCEEFF"/>
            <w:tcMar>
              <w:top w:w="0" w:type="dxa"/>
              <w:left w:w="53" w:type="dxa"/>
              <w:bottom w:w="0" w:type="dxa"/>
              <w:right w:w="53" w:type="dxa"/>
            </w:tcMar>
            <w:vAlign w:val="bottom"/>
          </w:tcPr>
          <w:p>
            <w:pPr>
              <w:pageBreakBefore w:val="0"/>
              <w:spacing w:before="33" w:after="30" w:line="240" w:lineRule="auto"/>
              <w:jc w:val="left"/>
            </w:pPr>
            <w:r>
              <w:rPr>
                <w:rFonts w:ascii="Times New Roman" w:eastAsia="Times New Roman" w:hAnsi="Times New Roman" w:cs="Times New Roman"/>
                <w:b w:val="0"/>
                <w:i w:val="0"/>
                <w:color w:val="000000"/>
                <w:sz w:val="20"/>
                <w:u w:val="none"/>
              </w:rPr>
              <w:t>Total</w:t>
            </w:r>
          </w:p>
        </w:tc>
        <w:tc>
          <w:tcPr>
            <w:tcW w:w="148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802"/>
                <w:tab w:val="left" w:pos="1417"/>
              </w:tabs>
              <w:spacing w:before="33" w:after="30" w:line="240" w:lineRule="auto"/>
              <w:jc w:val="right"/>
            </w:pPr>
            <w:r>
              <w:rPr>
                <w:rFonts w:ascii="Times New Roman" w:eastAsia="Times New Roman" w:hAnsi="Times New Roman" w:cs="Times New Roman"/>
                <w:b w:val="0"/>
                <w:i w:val="0"/>
                <w:color w:val="000000"/>
                <w:sz w:val="20"/>
                <w:u w:val="none"/>
              </w:rPr>
              <w:t>$</w:t>
              <w:tab/>
              <w:t>85,230</w:t>
              <w:tab/>
            </w:r>
          </w:p>
        </w:tc>
      </w:tr>
    </w:tbl>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20"/>
        </w:rPr>
        <w:sectPr>
          <w:type w:val="continuous"/>
          <w:pgSz w:w="12240" w:h="15840"/>
          <w:pgMar w:top="855" w:right="990" w:bottom="855" w:left="990" w:header="270" w:footer="270"/>
          <w:cols w:space="708"/>
        </w:sectPr>
      </w:pPr>
    </w:p>
    <w:p>
      <w:pPr>
        <w:keepNext/>
        <w:keepLines/>
        <w:pageBreakBefore w:val="0"/>
        <w:widowControl w:val="0"/>
        <w:numPr>
          <w:ilvl w:val="0"/>
          <w:numId w:val="0"/>
        </w:numPr>
        <w:spacing w:before="0" w:after="0" w:line="288" w:lineRule="auto"/>
        <w:ind w:left="0" w:right="0" w:firstLine="0"/>
        <w:jc w:val="both"/>
        <w:outlineLvl w:val="3"/>
        <w:rPr>
          <w:rFonts w:ascii="Times New Roman" w:eastAsia="Times New Roman" w:hAnsi="Times New Roman" w:cs="Times New Roman"/>
          <w:b/>
          <w:i w:val="0"/>
          <w:sz w:val="20"/>
        </w:rPr>
      </w:pPr>
      <w:bookmarkStart w:id="13" w:name="Section14"/>
      <w:bookmarkEnd w:id="13"/>
      <w:r>
        <w:rPr>
          <w:rFonts w:ascii="Times New Roman" w:eastAsia="Times New Roman" w:hAnsi="Times New Roman" w:cs="Times New Roman"/>
          <w:b/>
          <w:i w:val="0"/>
          <w:sz w:val="20"/>
        </w:rPr>
        <w:t>NOTE 5</w:t>
      </w:r>
      <w:r>
        <w:rPr>
          <w:rFonts w:ascii="Times New Roman" w:eastAsia="Times New Roman" w:hAnsi="Times New Roman" w:cs="Times New Roman"/>
          <w:b w:val="0"/>
          <w:i w:val="0"/>
          <w:sz w:val="20"/>
        </w:rPr>
        <w:t xml:space="preserve"> - </w:t>
      </w:r>
      <w:r>
        <w:rPr>
          <w:rFonts w:ascii="Times New Roman" w:eastAsia="Times New Roman" w:hAnsi="Times New Roman" w:cs="Times New Roman"/>
          <w:b/>
          <w:i w:val="0"/>
          <w:color w:val="000000"/>
          <w:sz w:val="20"/>
          <w:u w:val="none"/>
        </w:rPr>
        <w:t>GOODWILL AND OTHER INTANGIBLE ASSETS</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u w:val="none"/>
        </w:rPr>
      </w:pPr>
    </w:p>
    <w:tbl>
      <w:tblPr>
        <w:tblStyle w:val="TableNormal0"/>
        <w:tblW w:w="9810" w:type="dxa"/>
        <w:jc w:val="center"/>
        <w:tblLayout w:type="fixed"/>
      </w:tblPr>
      <w:tblGrid>
        <w:gridCol w:w="5655"/>
        <w:gridCol w:w="1335"/>
        <w:gridCol w:w="75"/>
        <w:gridCol w:w="1335"/>
        <w:gridCol w:w="75"/>
        <w:gridCol w:w="1335"/>
      </w:tblGrid>
      <w:tr>
        <w:tblPrEx>
          <w:tblW w:w="9810" w:type="dxa"/>
          <w:tblLayout w:type="fixed"/>
        </w:tblPrEx>
        <w:trPr>
          <w:trHeight w:hRule="exact" w:val="495"/>
        </w:trPr>
        <w:tc>
          <w:tcPr>
            <w:tcW w:w="565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33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December 31, 2025</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33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Acquisitions</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33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March 31, 2026</w:t>
            </w:r>
          </w:p>
        </w:tc>
      </w:tr>
      <w:tr>
        <w:tblPrEx>
          <w:tblW w:w="9810" w:type="dxa"/>
          <w:tblLayout w:type="fixed"/>
        </w:tblPrEx>
        <w:trPr>
          <w:trHeight w:hRule="exact" w:val="315"/>
        </w:trPr>
        <w:tc>
          <w:tcPr>
            <w:tcW w:w="5655" w:type="dxa"/>
            <w:tcBorders>
              <w:top w:val="nil"/>
              <w:left w:val="nil"/>
              <w:bottom w:val="nil"/>
              <w:right w:val="nil"/>
            </w:tcBorders>
            <w:shd w:val="clear" w:color="auto" w:fill="CCEEFF"/>
            <w:tcMar>
              <w:top w:w="0" w:type="dxa"/>
              <w:left w:w="53" w:type="dxa"/>
              <w:bottom w:w="0" w:type="dxa"/>
              <w:right w:w="53" w:type="dxa"/>
            </w:tcMar>
            <w:vAlign w:val="bottom"/>
          </w:tcPr>
          <w:p>
            <w:pPr>
              <w:pageBreakBefore w:val="0"/>
              <w:spacing w:before="33" w:after="30" w:line="240" w:lineRule="auto"/>
              <w:jc w:val="left"/>
            </w:pPr>
            <w:r>
              <w:rPr>
                <w:rFonts w:ascii="Times New Roman" w:eastAsia="Times New Roman" w:hAnsi="Times New Roman" w:cs="Times New Roman"/>
                <w:b w:val="0"/>
                <w:i w:val="0"/>
                <w:color w:val="000000"/>
                <w:sz w:val="20"/>
                <w:u w:val="none"/>
              </w:rPr>
              <w:t>Goodwill</w:t>
            </w:r>
          </w:p>
        </w:tc>
        <w:tc>
          <w:tcPr>
            <w:tcW w:w="133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pageBreakBefore w:val="0"/>
              <w:tabs>
                <w:tab w:val="left" w:pos="552"/>
                <w:tab w:val="left" w:pos="1267"/>
              </w:tabs>
              <w:spacing w:before="33" w:after="30" w:line="240" w:lineRule="auto"/>
              <w:jc w:val="right"/>
            </w:pPr>
            <w:r>
              <w:rPr>
                <w:rFonts w:ascii="Times New Roman" w:eastAsia="Times New Roman" w:hAnsi="Times New Roman" w:cs="Times New Roman"/>
                <w:b w:val="0"/>
                <w:i w:val="0"/>
                <w:color w:val="000000"/>
                <w:sz w:val="20"/>
                <w:u w:val="none"/>
              </w:rPr>
              <w:t>$</w:t>
              <w:tab/>
              <w:t>115,759</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pPr>
          </w:p>
        </w:tc>
        <w:tc>
          <w:tcPr>
            <w:tcW w:w="133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pageBreakBefore w:val="0"/>
              <w:tabs>
                <w:tab w:val="left" w:pos="1002"/>
                <w:tab w:val="left" w:pos="1267"/>
              </w:tabs>
              <w:spacing w:before="33" w:after="30" w:line="240" w:lineRule="auto"/>
              <w:jc w:val="right"/>
            </w:pPr>
            <w:r>
              <w:rPr>
                <w:rFonts w:ascii="Times New Roman" w:eastAsia="Times New Roman" w:hAnsi="Times New Roman" w:cs="Times New Roman"/>
                <w:b w:val="0"/>
                <w:i w:val="0"/>
                <w:color w:val="000000"/>
                <w:sz w:val="20"/>
                <w:u w:val="none"/>
              </w:rPr>
              <w:t>$</w:t>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pPr>
          </w:p>
        </w:tc>
        <w:tc>
          <w:tcPr>
            <w:tcW w:w="133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pageBreakBefore w:val="0"/>
              <w:tabs>
                <w:tab w:val="left" w:pos="552"/>
                <w:tab w:val="left" w:pos="1267"/>
              </w:tabs>
              <w:spacing w:before="33" w:after="30" w:line="240" w:lineRule="auto"/>
              <w:jc w:val="right"/>
            </w:pPr>
            <w:r>
              <w:rPr>
                <w:rFonts w:ascii="Times New Roman" w:eastAsia="Times New Roman" w:hAnsi="Times New Roman" w:cs="Times New Roman"/>
                <w:b w:val="0"/>
                <w:i w:val="0"/>
                <w:color w:val="000000"/>
                <w:sz w:val="20"/>
                <w:u w:val="none"/>
              </w:rPr>
              <w:t>$</w:t>
              <w:tab/>
              <w:t>115,759</w:t>
              <w:tab/>
            </w:r>
          </w:p>
        </w:tc>
      </w:tr>
    </w:tbl>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 xml:space="preserve">We believe significant synergies are expected to arise from our strategic acquisitions and their assembled work forces. This factor contributed to a purchase price that was in excess of the fair value of the net assets acquired and, as a result, we recorded goodwill for each acquisition. A portion of acquired goodwill will be amortizable for tax purposes. As of </w:t>
      </w:r>
      <w:r>
        <w:rPr>
          <w:rFonts w:ascii="Times New Roman" w:eastAsia="Times New Roman" w:hAnsi="Times New Roman" w:cs="Times New Roman"/>
          <w:b w:val="0"/>
          <w:i w:val="0"/>
          <w:color w:val="000000"/>
          <w:sz w:val="20"/>
          <w:u w:val="none"/>
        </w:rPr>
        <w:t>March 31, 2026</w:t>
      </w:r>
      <w:r>
        <w:rPr>
          <w:rFonts w:ascii="Times New Roman" w:eastAsia="Times New Roman" w:hAnsi="Times New Roman" w:cs="Times New Roman"/>
          <w:b w:val="0"/>
          <w:i w:val="0"/>
          <w:color w:val="000000"/>
          <w:sz w:val="20"/>
          <w:u w:val="none"/>
        </w:rPr>
        <w:t xml:space="preserve">, there has been </w:t>
      </w:r>
      <w:r>
        <w:rPr>
          <w:rFonts w:ascii="Times New Roman" w:eastAsia="Times New Roman" w:hAnsi="Times New Roman" w:cs="Times New Roman"/>
          <w:b w:val="0"/>
          <w:i w:val="0"/>
          <w:color w:val="000000"/>
          <w:sz w:val="20"/>
          <w:u w:val="none"/>
        </w:rPr>
        <w:t>no</w:t>
      </w:r>
      <w:r>
        <w:rPr>
          <w:rFonts w:ascii="Times New Roman" w:eastAsia="Times New Roman" w:hAnsi="Times New Roman" w:cs="Times New Roman"/>
          <w:b w:val="0"/>
          <w:i w:val="0"/>
          <w:color w:val="000000"/>
          <w:sz w:val="20"/>
          <w:u w:val="none"/>
        </w:rPr>
        <w:t xml:space="preserve"> impairment of goodwill based on the qualitative assessments we have performed.</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color w:val="000000"/>
          <w:sz w:val="20"/>
          <w:u w:val="none"/>
        </w:rPr>
      </w:pPr>
    </w:p>
    <w:tbl>
      <w:tblPr>
        <w:tblStyle w:val="TableNormal0"/>
        <w:tblW w:w="10050" w:type="dxa"/>
        <w:jc w:val="center"/>
        <w:tblLayout w:type="fixed"/>
      </w:tblPr>
      <w:tblGrid>
        <w:gridCol w:w="5655"/>
        <w:gridCol w:w="1395"/>
        <w:gridCol w:w="105"/>
        <w:gridCol w:w="1395"/>
        <w:gridCol w:w="105"/>
        <w:gridCol w:w="1395"/>
      </w:tblGrid>
      <w:tr>
        <w:tblPrEx>
          <w:tblW w:w="10050" w:type="dxa"/>
          <w:tblLayout w:type="fixed"/>
        </w:tblPrEx>
        <w:trPr>
          <w:trHeight w:hRule="exact" w:val="465"/>
        </w:trPr>
        <w:tc>
          <w:tcPr>
            <w:tcW w:w="5655" w:type="dxa"/>
            <w:tcBorders>
              <w:top w:val="nil"/>
              <w:left w:val="nil"/>
              <w:bottom w:val="nil"/>
              <w:right w:val="nil"/>
            </w:tcBorders>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i w:val="0"/>
                <w:color w:val="000000"/>
                <w:sz w:val="20"/>
                <w:u w:val="none"/>
              </w:rPr>
              <w:t>Gross Intangible Assets</w:t>
            </w:r>
          </w:p>
        </w:tc>
        <w:tc>
          <w:tcPr>
            <w:tcW w:w="139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December 31, 2025</w:t>
            </w:r>
          </w:p>
        </w:tc>
        <w:tc>
          <w:tcPr>
            <w:tcW w:w="10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39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Acquisitions</w:t>
            </w:r>
          </w:p>
        </w:tc>
        <w:tc>
          <w:tcPr>
            <w:tcW w:w="10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39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March 31, 2026</w:t>
            </w:r>
          </w:p>
        </w:tc>
      </w:tr>
      <w:tr>
        <w:tblPrEx>
          <w:tblW w:w="10050" w:type="dxa"/>
          <w:tblLayout w:type="fixed"/>
        </w:tblPrEx>
        <w:trPr>
          <w:trHeight w:hRule="exact" w:val="315"/>
        </w:trPr>
        <w:tc>
          <w:tcPr>
            <w:tcW w:w="565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Customer relationships</w:t>
            </w:r>
          </w:p>
        </w:tc>
        <w:tc>
          <w:tcPr>
            <w:tcW w:w="139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612"/>
                <w:tab w:val="left" w:pos="1327"/>
              </w:tabs>
              <w:spacing w:before="33" w:after="30" w:line="240" w:lineRule="auto"/>
              <w:jc w:val="right"/>
            </w:pPr>
            <w:r>
              <w:rPr>
                <w:rFonts w:ascii="Times New Roman" w:eastAsia="Times New Roman" w:hAnsi="Times New Roman" w:cs="Times New Roman"/>
                <w:b w:val="0"/>
                <w:i w:val="0"/>
                <w:color w:val="000000"/>
                <w:sz w:val="20"/>
                <w:u w:val="none"/>
              </w:rPr>
              <w:t>$</w:t>
              <w:tab/>
              <w:t>182,024</w:t>
              <w:tab/>
            </w:r>
          </w:p>
        </w:tc>
        <w:tc>
          <w:tcPr>
            <w:tcW w:w="10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9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812"/>
                <w:tab w:val="left" w:pos="1327"/>
              </w:tabs>
              <w:spacing w:before="33" w:after="30" w:line="240" w:lineRule="auto"/>
              <w:jc w:val="right"/>
            </w:pPr>
            <w:r>
              <w:rPr>
                <w:rFonts w:ascii="Times New Roman" w:eastAsia="Times New Roman" w:hAnsi="Times New Roman" w:cs="Times New Roman"/>
                <w:b w:val="0"/>
                <w:i w:val="0"/>
                <w:color w:val="000000"/>
                <w:sz w:val="20"/>
                <w:u w:val="none"/>
              </w:rPr>
              <w:t>$</w:t>
              <w:tab/>
              <w:t>6,212</w:t>
              <w:tab/>
            </w:r>
          </w:p>
        </w:tc>
        <w:tc>
          <w:tcPr>
            <w:tcW w:w="10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9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612"/>
                <w:tab w:val="left" w:pos="1327"/>
              </w:tabs>
              <w:spacing w:before="33" w:after="30" w:line="240" w:lineRule="auto"/>
              <w:jc w:val="right"/>
            </w:pPr>
            <w:r>
              <w:rPr>
                <w:rFonts w:ascii="Times New Roman" w:eastAsia="Times New Roman" w:hAnsi="Times New Roman" w:cs="Times New Roman"/>
                <w:b w:val="0"/>
                <w:i w:val="0"/>
                <w:color w:val="000000"/>
                <w:sz w:val="20"/>
                <w:u w:val="none"/>
              </w:rPr>
              <w:t>$</w:t>
              <w:tab/>
              <w:t>188,236</w:t>
              <w:tab/>
            </w:r>
          </w:p>
        </w:tc>
      </w:tr>
      <w:tr>
        <w:tblPrEx>
          <w:tblW w:w="10050" w:type="dxa"/>
          <w:tblLayout w:type="fixed"/>
        </w:tblPrEx>
        <w:trPr>
          <w:trHeight w:hRule="exact" w:val="315"/>
        </w:trPr>
        <w:tc>
          <w:tcPr>
            <w:tcW w:w="565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Developed technology</w:t>
            </w:r>
          </w:p>
        </w:tc>
        <w:tc>
          <w:tcPr>
            <w:tcW w:w="1395" w:type="dxa"/>
            <w:tcBorders>
              <w:top w:val="nil"/>
              <w:left w:val="nil"/>
              <w:bottom w:val="nil"/>
              <w:right w:val="nil"/>
            </w:tcBorders>
            <w:shd w:val="clear" w:color="auto" w:fill="FFFFFF"/>
            <w:tcMar>
              <w:top w:w="0" w:type="dxa"/>
              <w:left w:w="0" w:type="dxa"/>
              <w:bottom w:w="0" w:type="dxa"/>
              <w:right w:w="53" w:type="dxa"/>
            </w:tcMar>
            <w:vAlign w:val="bottom"/>
          </w:tcPr>
          <w:p>
            <w:pPr>
              <w:keepNext/>
              <w:pageBreakBefore w:val="0"/>
              <w:spacing w:before="53" w:after="30" w:line="240" w:lineRule="auto"/>
              <w:jc w:val="right"/>
            </w:pPr>
            <w:r>
              <w:rPr>
                <w:rFonts w:ascii="Times New Roman" w:eastAsia="Times New Roman" w:hAnsi="Times New Roman" w:cs="Times New Roman"/>
                <w:b w:val="0"/>
                <w:i w:val="0"/>
                <w:color w:val="000000"/>
                <w:sz w:val="20"/>
                <w:u w:val="none"/>
              </w:rPr>
              <w:t>19,501</w:t>
            </w:r>
          </w:p>
        </w:tc>
        <w:tc>
          <w:tcPr>
            <w:tcW w:w="10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9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062"/>
                <w:tab w:val="left" w:pos="1327"/>
              </w:tabs>
              <w:spacing w:before="53" w:after="30" w:line="240" w:lineRule="auto"/>
              <w:jc w:val="right"/>
            </w:pPr>
            <w:r>
              <w:rPr>
                <w:rFonts w:ascii="Times New Roman" w:eastAsia="Times New Roman" w:hAnsi="Times New Roman" w:cs="Times New Roman"/>
                <w:b w:val="0"/>
                <w:i w:val="0"/>
                <w:color w:val="000000"/>
                <w:sz w:val="20"/>
                <w:u w:val="none"/>
              </w:rPr>
              <w:tab/>
              <w:t>—</w:t>
              <w:tab/>
            </w:r>
          </w:p>
        </w:tc>
        <w:tc>
          <w:tcPr>
            <w:tcW w:w="10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95" w:type="dxa"/>
            <w:tcBorders>
              <w:top w:val="nil"/>
              <w:left w:val="nil"/>
              <w:bottom w:val="nil"/>
              <w:right w:val="nil"/>
            </w:tcBorders>
            <w:shd w:val="clear" w:color="auto" w:fill="FFFFFF"/>
            <w:tcMar>
              <w:top w:w="0" w:type="dxa"/>
              <w:left w:w="0" w:type="dxa"/>
              <w:bottom w:w="0" w:type="dxa"/>
              <w:right w:w="53" w:type="dxa"/>
            </w:tcMar>
            <w:vAlign w:val="bottom"/>
          </w:tcPr>
          <w:p>
            <w:pPr>
              <w:keepNext/>
              <w:pageBreakBefore w:val="0"/>
              <w:spacing w:before="53" w:after="30" w:line="240" w:lineRule="auto"/>
              <w:jc w:val="right"/>
            </w:pPr>
            <w:r>
              <w:rPr>
                <w:rFonts w:ascii="Times New Roman" w:eastAsia="Times New Roman" w:hAnsi="Times New Roman" w:cs="Times New Roman"/>
                <w:b w:val="0"/>
                <w:i w:val="0"/>
                <w:color w:val="000000"/>
                <w:sz w:val="20"/>
                <w:u w:val="none"/>
              </w:rPr>
              <w:t>19,501</w:t>
            </w:r>
          </w:p>
        </w:tc>
      </w:tr>
      <w:tr>
        <w:tblPrEx>
          <w:tblW w:w="10050" w:type="dxa"/>
          <w:tblLayout w:type="fixed"/>
        </w:tblPrEx>
        <w:trPr>
          <w:trHeight w:hRule="exact" w:val="315"/>
        </w:trPr>
        <w:tc>
          <w:tcPr>
            <w:tcW w:w="565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Trade names</w:t>
            </w:r>
          </w:p>
        </w:tc>
        <w:tc>
          <w:tcPr>
            <w:tcW w:w="1395" w:type="dxa"/>
            <w:tcBorders>
              <w:top w:val="nil"/>
              <w:left w:val="nil"/>
              <w:bottom w:val="nil"/>
              <w:right w:val="nil"/>
            </w:tcBorders>
            <w:shd w:val="clear" w:color="auto" w:fill="CCEEFF"/>
            <w:tcMar>
              <w:top w:w="0" w:type="dxa"/>
              <w:left w:w="0" w:type="dxa"/>
              <w:bottom w:w="0" w:type="dxa"/>
              <w:right w:w="53" w:type="dxa"/>
            </w:tcMar>
            <w:vAlign w:val="bottom"/>
          </w:tcPr>
          <w:p>
            <w:pPr>
              <w:keepNext/>
              <w:pageBreakBefore w:val="0"/>
              <w:spacing w:before="53" w:after="30" w:line="240" w:lineRule="auto"/>
              <w:jc w:val="right"/>
            </w:pPr>
            <w:r>
              <w:rPr>
                <w:rFonts w:ascii="Times New Roman" w:eastAsia="Times New Roman" w:hAnsi="Times New Roman" w:cs="Times New Roman"/>
                <w:b w:val="0"/>
                <w:i w:val="0"/>
                <w:color w:val="000000"/>
                <w:sz w:val="20"/>
                <w:u w:val="none"/>
              </w:rPr>
              <w:t>880</w:t>
            </w:r>
          </w:p>
        </w:tc>
        <w:tc>
          <w:tcPr>
            <w:tcW w:w="10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9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062"/>
                <w:tab w:val="left" w:pos="1327"/>
              </w:tabs>
              <w:spacing w:before="53" w:after="30" w:line="240" w:lineRule="auto"/>
              <w:jc w:val="right"/>
            </w:pPr>
            <w:r>
              <w:rPr>
                <w:rFonts w:ascii="Times New Roman" w:eastAsia="Times New Roman" w:hAnsi="Times New Roman" w:cs="Times New Roman"/>
                <w:b w:val="0"/>
                <w:i w:val="0"/>
                <w:color w:val="000000"/>
                <w:sz w:val="20"/>
                <w:u w:val="none"/>
              </w:rPr>
              <w:tab/>
              <w:t>—</w:t>
              <w:tab/>
            </w:r>
          </w:p>
        </w:tc>
        <w:tc>
          <w:tcPr>
            <w:tcW w:w="10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95" w:type="dxa"/>
            <w:tcBorders>
              <w:top w:val="nil"/>
              <w:left w:val="nil"/>
              <w:bottom w:val="nil"/>
              <w:right w:val="nil"/>
            </w:tcBorders>
            <w:shd w:val="clear" w:color="auto" w:fill="CCEEFF"/>
            <w:tcMar>
              <w:top w:w="0" w:type="dxa"/>
              <w:left w:w="0" w:type="dxa"/>
              <w:bottom w:w="0" w:type="dxa"/>
              <w:right w:w="53" w:type="dxa"/>
            </w:tcMar>
            <w:vAlign w:val="bottom"/>
          </w:tcPr>
          <w:p>
            <w:pPr>
              <w:keepNext/>
              <w:pageBreakBefore w:val="0"/>
              <w:spacing w:before="53" w:after="30" w:line="240" w:lineRule="auto"/>
              <w:jc w:val="right"/>
            </w:pPr>
            <w:r>
              <w:rPr>
                <w:rFonts w:ascii="Times New Roman" w:eastAsia="Times New Roman" w:hAnsi="Times New Roman" w:cs="Times New Roman"/>
                <w:b w:val="0"/>
                <w:i w:val="0"/>
                <w:color w:val="000000"/>
                <w:sz w:val="20"/>
                <w:u w:val="none"/>
              </w:rPr>
              <w:t>880</w:t>
            </w:r>
          </w:p>
        </w:tc>
      </w:tr>
      <w:tr>
        <w:tblPrEx>
          <w:tblW w:w="10050" w:type="dxa"/>
          <w:tblLayout w:type="fixed"/>
        </w:tblPrEx>
        <w:trPr>
          <w:trHeight w:hRule="exact" w:val="315"/>
        </w:trPr>
        <w:tc>
          <w:tcPr>
            <w:tcW w:w="565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Non-compete agreements</w:t>
            </w:r>
          </w:p>
        </w:tc>
        <w:tc>
          <w:tcPr>
            <w:tcW w:w="1395" w:type="dxa"/>
            <w:tcBorders>
              <w:top w:val="nil"/>
              <w:left w:val="nil"/>
              <w:bottom w:val="single" w:sz="8" w:space="0" w:color="000000"/>
              <w:right w:val="nil"/>
            </w:tcBorders>
            <w:shd w:val="clear" w:color="auto" w:fill="FFFFFF"/>
            <w:tcMar>
              <w:top w:w="0" w:type="dxa"/>
              <w:left w:w="0" w:type="dxa"/>
              <w:bottom w:w="0" w:type="dxa"/>
              <w:right w:w="53" w:type="dxa"/>
            </w:tcMar>
            <w:vAlign w:val="bottom"/>
          </w:tcPr>
          <w:p>
            <w:pPr>
              <w:keepNext/>
              <w:pageBreakBefore w:val="0"/>
              <w:spacing w:before="53" w:after="30" w:line="240" w:lineRule="auto"/>
              <w:jc w:val="right"/>
            </w:pPr>
            <w:r>
              <w:rPr>
                <w:rFonts w:ascii="Times New Roman" w:eastAsia="Times New Roman" w:hAnsi="Times New Roman" w:cs="Times New Roman"/>
                <w:b w:val="0"/>
                <w:i w:val="0"/>
                <w:color w:val="000000"/>
                <w:sz w:val="20"/>
                <w:u w:val="none"/>
              </w:rPr>
              <w:t>1,032</w:t>
            </w:r>
          </w:p>
        </w:tc>
        <w:tc>
          <w:tcPr>
            <w:tcW w:w="10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9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1062"/>
                <w:tab w:val="left" w:pos="1327"/>
              </w:tabs>
              <w:spacing w:before="53" w:after="30" w:line="240" w:lineRule="auto"/>
              <w:jc w:val="right"/>
            </w:pPr>
            <w:r>
              <w:rPr>
                <w:rFonts w:ascii="Times New Roman" w:eastAsia="Times New Roman" w:hAnsi="Times New Roman" w:cs="Times New Roman"/>
                <w:b w:val="0"/>
                <w:i w:val="0"/>
                <w:color w:val="000000"/>
                <w:sz w:val="20"/>
                <w:u w:val="none"/>
              </w:rPr>
              <w:tab/>
              <w:t>—</w:t>
              <w:tab/>
            </w:r>
          </w:p>
        </w:tc>
        <w:tc>
          <w:tcPr>
            <w:tcW w:w="10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95" w:type="dxa"/>
            <w:tcBorders>
              <w:top w:val="nil"/>
              <w:left w:val="nil"/>
              <w:bottom w:val="single" w:sz="8" w:space="0" w:color="000000"/>
              <w:right w:val="nil"/>
            </w:tcBorders>
            <w:shd w:val="clear" w:color="auto" w:fill="FFFFFF"/>
            <w:tcMar>
              <w:top w:w="0" w:type="dxa"/>
              <w:left w:w="0" w:type="dxa"/>
              <w:bottom w:w="0" w:type="dxa"/>
              <w:right w:w="53" w:type="dxa"/>
            </w:tcMar>
            <w:vAlign w:val="bottom"/>
          </w:tcPr>
          <w:p>
            <w:pPr>
              <w:keepNext/>
              <w:pageBreakBefore w:val="0"/>
              <w:spacing w:before="53" w:after="30" w:line="240" w:lineRule="auto"/>
              <w:jc w:val="right"/>
            </w:pPr>
            <w:r>
              <w:rPr>
                <w:rFonts w:ascii="Times New Roman" w:eastAsia="Times New Roman" w:hAnsi="Times New Roman" w:cs="Times New Roman"/>
                <w:b w:val="0"/>
                <w:i w:val="0"/>
                <w:color w:val="000000"/>
                <w:sz w:val="20"/>
                <w:u w:val="none"/>
              </w:rPr>
              <w:t>1,032</w:t>
            </w:r>
          </w:p>
        </w:tc>
      </w:tr>
      <w:tr>
        <w:tblPrEx>
          <w:tblW w:w="10050" w:type="dxa"/>
          <w:tblLayout w:type="fixed"/>
        </w:tblPrEx>
        <w:trPr>
          <w:trHeight w:hRule="exact" w:val="315"/>
        </w:trPr>
        <w:tc>
          <w:tcPr>
            <w:tcW w:w="5655" w:type="dxa"/>
            <w:tcBorders>
              <w:top w:val="nil"/>
              <w:left w:val="nil"/>
              <w:bottom w:val="nil"/>
              <w:right w:val="nil"/>
            </w:tcBorders>
            <w:shd w:val="clear" w:color="auto" w:fill="CCEEFF"/>
            <w:tcMar>
              <w:top w:w="0" w:type="dxa"/>
              <w:left w:w="53" w:type="dxa"/>
              <w:bottom w:w="0" w:type="dxa"/>
              <w:right w:w="53" w:type="dxa"/>
            </w:tcMar>
            <w:vAlign w:val="bottom"/>
          </w:tcPr>
          <w:p>
            <w:pPr>
              <w:pageBreakBefore w:val="0"/>
              <w:spacing w:before="33" w:after="30" w:line="240" w:lineRule="auto"/>
              <w:jc w:val="left"/>
            </w:pPr>
            <w:r>
              <w:rPr>
                <w:rFonts w:ascii="Times New Roman" w:eastAsia="Times New Roman" w:hAnsi="Times New Roman" w:cs="Times New Roman"/>
                <w:b w:val="0"/>
                <w:i w:val="0"/>
                <w:color w:val="000000"/>
                <w:sz w:val="20"/>
                <w:u w:val="none"/>
              </w:rPr>
              <w:t>Total</w:t>
            </w:r>
          </w:p>
        </w:tc>
        <w:tc>
          <w:tcPr>
            <w:tcW w:w="139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612"/>
                <w:tab w:val="left" w:pos="1327"/>
              </w:tabs>
              <w:spacing w:before="33" w:after="30" w:line="240" w:lineRule="auto"/>
              <w:jc w:val="right"/>
            </w:pPr>
            <w:r>
              <w:rPr>
                <w:rFonts w:ascii="Times New Roman" w:eastAsia="Times New Roman" w:hAnsi="Times New Roman" w:cs="Times New Roman"/>
                <w:b w:val="0"/>
                <w:i w:val="0"/>
                <w:color w:val="000000"/>
                <w:sz w:val="20"/>
                <w:u w:val="none"/>
              </w:rPr>
              <w:t>$</w:t>
              <w:tab/>
              <w:t>203,437</w:t>
              <w:tab/>
            </w:r>
          </w:p>
        </w:tc>
        <w:tc>
          <w:tcPr>
            <w:tcW w:w="105"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pPr>
          </w:p>
        </w:tc>
        <w:tc>
          <w:tcPr>
            <w:tcW w:w="139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812"/>
                <w:tab w:val="left" w:pos="1327"/>
              </w:tabs>
              <w:spacing w:before="33" w:after="30" w:line="240" w:lineRule="auto"/>
              <w:jc w:val="right"/>
            </w:pPr>
            <w:r>
              <w:rPr>
                <w:rFonts w:ascii="Times New Roman" w:eastAsia="Times New Roman" w:hAnsi="Times New Roman" w:cs="Times New Roman"/>
                <w:b w:val="0"/>
                <w:i w:val="0"/>
                <w:color w:val="000000"/>
                <w:sz w:val="20"/>
                <w:u w:val="none"/>
              </w:rPr>
              <w:t>$</w:t>
              <w:tab/>
              <w:t>6,212</w:t>
              <w:tab/>
            </w:r>
          </w:p>
        </w:tc>
        <w:tc>
          <w:tcPr>
            <w:tcW w:w="105"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pPr>
          </w:p>
        </w:tc>
        <w:tc>
          <w:tcPr>
            <w:tcW w:w="139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612"/>
                <w:tab w:val="left" w:pos="1327"/>
              </w:tabs>
              <w:spacing w:before="33" w:after="30" w:line="240" w:lineRule="auto"/>
              <w:jc w:val="right"/>
            </w:pPr>
            <w:r>
              <w:rPr>
                <w:rFonts w:ascii="Times New Roman" w:eastAsia="Times New Roman" w:hAnsi="Times New Roman" w:cs="Times New Roman"/>
                <w:b w:val="0"/>
                <w:i w:val="0"/>
                <w:color w:val="000000"/>
                <w:sz w:val="20"/>
                <w:u w:val="none"/>
              </w:rPr>
              <w:t>$</w:t>
              <w:tab/>
              <w:t>209,649</w:t>
              <w:tab/>
            </w:r>
          </w:p>
        </w:tc>
      </w:tr>
    </w:tbl>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The gross carrying amount and accumulated amortization of our intangible assets are as follows for the periods presented below (in thousands, except weighted average periods):</w:t>
      </w:r>
    </w:p>
    <w:tbl>
      <w:tblPr>
        <w:tblStyle w:val="TableNormal0"/>
        <w:tblW w:w="10260" w:type="dxa"/>
        <w:tblInd w:w="0" w:type="dxa"/>
        <w:tblLayout w:type="fixed"/>
      </w:tblPr>
      <w:tblGrid>
        <w:gridCol w:w="4020"/>
        <w:gridCol w:w="75"/>
        <w:gridCol w:w="1485"/>
        <w:gridCol w:w="75"/>
        <w:gridCol w:w="1485"/>
        <w:gridCol w:w="75"/>
        <w:gridCol w:w="1485"/>
        <w:gridCol w:w="75"/>
        <w:gridCol w:w="1485"/>
      </w:tblGrid>
      <w:tr>
        <w:tblPrEx>
          <w:tblW w:w="10260" w:type="dxa"/>
          <w:tblInd w:w="0" w:type="dxa"/>
          <w:tblLayout w:type="fixed"/>
        </w:tblPrEx>
        <w:trPr>
          <w:trHeight w:hRule="exact" w:val="1065"/>
        </w:trPr>
        <w:tc>
          <w:tcPr>
            <w:tcW w:w="402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line="240" w:lineRule="auto"/>
              <w:jc w:val="center"/>
            </w:pPr>
            <w:r>
              <w:rPr>
                <w:rFonts w:ascii="Times New Roman" w:eastAsia="Times New Roman" w:hAnsi="Times New Roman" w:cs="Times New Roman"/>
                <w:b/>
                <w:i w:val="0"/>
                <w:color w:val="000000"/>
                <w:sz w:val="20"/>
                <w:u w:val="none"/>
              </w:rPr>
              <w:t>Weighted Average</w:t>
            </w:r>
          </w:p>
          <w:p>
            <w:pPr>
              <w:spacing w:line="240" w:lineRule="auto"/>
              <w:jc w:val="center"/>
            </w:pPr>
            <w:r>
              <w:rPr>
                <w:rFonts w:ascii="Times New Roman" w:eastAsia="Times New Roman" w:hAnsi="Times New Roman" w:cs="Times New Roman"/>
                <w:b/>
                <w:i w:val="0"/>
                <w:color w:val="000000"/>
                <w:sz w:val="20"/>
                <w:u w:val="none"/>
              </w:rPr>
              <w:t>Amortization</w:t>
            </w:r>
          </w:p>
          <w:p>
            <w:pPr>
              <w:spacing w:line="240" w:lineRule="auto"/>
              <w:jc w:val="center"/>
            </w:pPr>
            <w:r>
              <w:rPr>
                <w:rFonts w:ascii="Times New Roman" w:eastAsia="Times New Roman" w:hAnsi="Times New Roman" w:cs="Times New Roman"/>
                <w:b/>
                <w:i w:val="0"/>
                <w:color w:val="000000"/>
                <w:sz w:val="20"/>
                <w:u w:val="none"/>
              </w:rPr>
              <w:t xml:space="preserve">Period </w:t>
            </w:r>
          </w:p>
          <w:p>
            <w:pPr>
              <w:spacing w:after="30" w:line="240" w:lineRule="auto"/>
              <w:jc w:val="center"/>
            </w:pPr>
            <w:r>
              <w:rPr>
                <w:rFonts w:ascii="Times New Roman" w:eastAsia="Times New Roman" w:hAnsi="Times New Roman" w:cs="Times New Roman"/>
                <w:b/>
                <w:i w:val="0"/>
                <w:color w:val="000000"/>
                <w:sz w:val="20"/>
                <w:u w:val="none"/>
              </w:rPr>
              <w:t>(in Years)</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Gross Intangible Assets</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line="240" w:lineRule="auto"/>
              <w:jc w:val="center"/>
            </w:pPr>
            <w:r>
              <w:rPr>
                <w:rFonts w:ascii="Times New Roman" w:eastAsia="Times New Roman" w:hAnsi="Times New Roman" w:cs="Times New Roman"/>
                <w:b/>
                <w:i w:val="0"/>
                <w:color w:val="000000"/>
                <w:sz w:val="20"/>
                <w:u w:val="none"/>
              </w:rPr>
              <w:t>Accumulated</w:t>
            </w:r>
          </w:p>
          <w:p>
            <w:pPr>
              <w:spacing w:after="30" w:line="240" w:lineRule="auto"/>
              <w:jc w:val="center"/>
            </w:pPr>
            <w:r>
              <w:rPr>
                <w:rFonts w:ascii="Times New Roman" w:eastAsia="Times New Roman" w:hAnsi="Times New Roman" w:cs="Times New Roman"/>
                <w:b/>
                <w:i w:val="0"/>
                <w:color w:val="000000"/>
                <w:sz w:val="20"/>
                <w:u w:val="none"/>
              </w:rPr>
              <w:t>Amortization</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Net Intangible Assets</w:t>
            </w:r>
          </w:p>
        </w:tc>
      </w:tr>
      <w:tr>
        <w:tblPrEx>
          <w:tblW w:w="10260" w:type="dxa"/>
          <w:tblInd w:w="0" w:type="dxa"/>
          <w:tblLayout w:type="fixed"/>
        </w:tblPrEx>
        <w:trPr>
          <w:trHeight w:hRule="exact" w:val="285"/>
        </w:trPr>
        <w:tc>
          <w:tcPr>
            <w:tcW w:w="402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33" w:after="30" w:line="240" w:lineRule="auto"/>
              <w:jc w:val="left"/>
            </w:pPr>
            <w:r>
              <w:rPr>
                <w:rFonts w:ascii="Times New Roman" w:eastAsia="Times New Roman" w:hAnsi="Times New Roman" w:cs="Times New Roman"/>
                <w:b/>
                <w:i w:val="0"/>
                <w:color w:val="000000"/>
                <w:sz w:val="20"/>
                <w:u w:val="none"/>
              </w:rPr>
              <w:t>March 31, 2026</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sing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sing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sing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sing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r>
      <w:tr>
        <w:tblPrEx>
          <w:tblW w:w="10260" w:type="dxa"/>
          <w:tblInd w:w="0" w:type="dxa"/>
          <w:tblLayout w:type="fixed"/>
        </w:tblPrEx>
        <w:trPr>
          <w:trHeight w:hRule="exact" w:val="285"/>
        </w:trPr>
        <w:tc>
          <w:tcPr>
            <w:tcW w:w="402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Customer relationships</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val="0"/>
                <w:i w:val="0"/>
                <w:color w:val="000000"/>
                <w:sz w:val="20"/>
                <w:u w:val="none"/>
              </w:rPr>
              <w:t>8.4</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02"/>
                <w:tab w:val="left" w:pos="1417"/>
              </w:tabs>
              <w:spacing w:before="53" w:after="30" w:line="240" w:lineRule="auto"/>
              <w:jc w:val="right"/>
            </w:pPr>
            <w:r>
              <w:rPr>
                <w:rFonts w:ascii="Times New Roman" w:eastAsia="Times New Roman" w:hAnsi="Times New Roman" w:cs="Times New Roman"/>
                <w:b w:val="0"/>
                <w:i w:val="0"/>
                <w:color w:val="000000"/>
                <w:sz w:val="20"/>
                <w:u w:val="none"/>
              </w:rPr>
              <w:t>$</w:t>
              <w:tab/>
              <w:t>188,236</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616"/>
              </w:tabs>
              <w:spacing w:before="53" w:after="30" w:line="240" w:lineRule="auto"/>
              <w:jc w:val="right"/>
            </w:pPr>
            <w:r>
              <w:rPr>
                <w:rFonts w:ascii="Times New Roman" w:eastAsia="Times New Roman" w:hAnsi="Times New Roman" w:cs="Times New Roman"/>
                <w:b w:val="0"/>
                <w:i w:val="0"/>
                <w:color w:val="000000"/>
                <w:sz w:val="20"/>
                <w:u w:val="none"/>
              </w:rPr>
              <w:t>$</w:t>
              <w:tab/>
              <w:t>(106,311)</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802"/>
                <w:tab w:val="left" w:pos="1417"/>
              </w:tabs>
              <w:spacing w:before="53" w:after="30" w:line="240" w:lineRule="auto"/>
              <w:jc w:val="right"/>
            </w:pPr>
            <w:r>
              <w:rPr>
                <w:rFonts w:ascii="Times New Roman" w:eastAsia="Times New Roman" w:hAnsi="Times New Roman" w:cs="Times New Roman"/>
                <w:b w:val="0"/>
                <w:i w:val="0"/>
                <w:color w:val="000000"/>
                <w:sz w:val="20"/>
                <w:u w:val="none"/>
              </w:rPr>
              <w:t>$</w:t>
              <w:tab/>
              <w:t>81,925</w:t>
              <w:tab/>
            </w:r>
          </w:p>
        </w:tc>
      </w:tr>
      <w:tr>
        <w:tblPrEx>
          <w:tblW w:w="10260" w:type="dxa"/>
          <w:tblInd w:w="0" w:type="dxa"/>
          <w:tblLayout w:type="fixed"/>
        </w:tblPrEx>
        <w:trPr>
          <w:trHeight w:hRule="exact" w:val="285"/>
        </w:trPr>
        <w:tc>
          <w:tcPr>
            <w:tcW w:w="402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Developed technology</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val="0"/>
                <w:i w:val="0"/>
                <w:color w:val="000000"/>
                <w:sz w:val="20"/>
                <w:u w:val="none"/>
              </w:rPr>
              <w:t>6.6</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802"/>
                <w:tab w:val="left" w:pos="1417"/>
              </w:tabs>
              <w:spacing w:before="53" w:after="30" w:line="240" w:lineRule="auto"/>
              <w:jc w:val="right"/>
            </w:pPr>
            <w:r>
              <w:rPr>
                <w:rFonts w:ascii="Times New Roman" w:eastAsia="Times New Roman" w:hAnsi="Times New Roman" w:cs="Times New Roman"/>
                <w:b w:val="0"/>
                <w:i w:val="0"/>
                <w:color w:val="000000"/>
                <w:sz w:val="20"/>
                <w:u w:val="none"/>
              </w:rPr>
              <w:tab/>
              <w:t>19,501</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716"/>
              </w:tabs>
              <w:spacing w:before="53" w:after="30" w:line="240" w:lineRule="auto"/>
              <w:jc w:val="right"/>
            </w:pPr>
            <w:r>
              <w:rPr>
                <w:rFonts w:ascii="Times New Roman" w:eastAsia="Times New Roman" w:hAnsi="Times New Roman" w:cs="Times New Roman"/>
                <w:b w:val="0"/>
                <w:i w:val="0"/>
                <w:color w:val="000000"/>
                <w:sz w:val="20"/>
                <w:u w:val="none"/>
              </w:rPr>
              <w:tab/>
              <w:t>(12,712)</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902"/>
                <w:tab w:val="left" w:pos="1417"/>
              </w:tabs>
              <w:spacing w:before="53" w:after="30" w:line="240" w:lineRule="auto"/>
              <w:jc w:val="right"/>
            </w:pPr>
            <w:r>
              <w:rPr>
                <w:rFonts w:ascii="Times New Roman" w:eastAsia="Times New Roman" w:hAnsi="Times New Roman" w:cs="Times New Roman"/>
                <w:b w:val="0"/>
                <w:i w:val="0"/>
                <w:color w:val="000000"/>
                <w:sz w:val="20"/>
                <w:u w:val="none"/>
              </w:rPr>
              <w:tab/>
              <w:t>6,789</w:t>
              <w:tab/>
            </w:r>
          </w:p>
        </w:tc>
      </w:tr>
      <w:tr>
        <w:tblPrEx>
          <w:tblW w:w="10260" w:type="dxa"/>
          <w:tblInd w:w="0" w:type="dxa"/>
          <w:tblLayout w:type="fixed"/>
        </w:tblPrEx>
        <w:trPr>
          <w:trHeight w:hRule="exact" w:val="285"/>
        </w:trPr>
        <w:tc>
          <w:tcPr>
            <w:tcW w:w="402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Trade names</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val="0"/>
                <w:i w:val="0"/>
                <w:color w:val="000000"/>
                <w:sz w:val="20"/>
                <w:u w:val="none"/>
              </w:rPr>
              <w:t>4.3</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052"/>
                <w:tab w:val="left" w:pos="1417"/>
              </w:tabs>
              <w:spacing w:before="53" w:after="30" w:line="240" w:lineRule="auto"/>
              <w:jc w:val="right"/>
            </w:pPr>
            <w:r>
              <w:rPr>
                <w:rFonts w:ascii="Times New Roman" w:eastAsia="Times New Roman" w:hAnsi="Times New Roman" w:cs="Times New Roman"/>
                <w:b w:val="0"/>
                <w:i w:val="0"/>
                <w:color w:val="000000"/>
                <w:sz w:val="20"/>
                <w:u w:val="none"/>
              </w:rPr>
              <w:tab/>
              <w:t>880</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66"/>
              </w:tabs>
              <w:spacing w:before="53" w:after="30" w:line="240" w:lineRule="auto"/>
              <w:jc w:val="right"/>
            </w:pPr>
            <w:r>
              <w:rPr>
                <w:rFonts w:ascii="Times New Roman" w:eastAsia="Times New Roman" w:hAnsi="Times New Roman" w:cs="Times New Roman"/>
                <w:b w:val="0"/>
                <w:i w:val="0"/>
                <w:color w:val="000000"/>
                <w:sz w:val="20"/>
                <w:u w:val="none"/>
              </w:rPr>
              <w:tab/>
              <w:t>(880)</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152"/>
                <w:tab w:val="left" w:pos="1417"/>
              </w:tabs>
              <w:spacing w:before="53" w:after="30" w:line="240" w:lineRule="auto"/>
              <w:jc w:val="right"/>
            </w:pPr>
            <w:r>
              <w:rPr>
                <w:rFonts w:ascii="Times New Roman" w:eastAsia="Times New Roman" w:hAnsi="Times New Roman" w:cs="Times New Roman"/>
                <w:b w:val="0"/>
                <w:i w:val="0"/>
                <w:color w:val="000000"/>
                <w:sz w:val="20"/>
                <w:u w:val="none"/>
              </w:rPr>
              <w:tab/>
              <w:t>—</w:t>
              <w:tab/>
            </w:r>
          </w:p>
        </w:tc>
      </w:tr>
      <w:tr>
        <w:tblPrEx>
          <w:tblW w:w="10260" w:type="dxa"/>
          <w:tblInd w:w="0" w:type="dxa"/>
          <w:tblLayout w:type="fixed"/>
        </w:tblPrEx>
        <w:trPr>
          <w:trHeight w:hRule="exact" w:val="285"/>
        </w:trPr>
        <w:tc>
          <w:tcPr>
            <w:tcW w:w="402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Non-compete agreements</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val="0"/>
                <w:i w:val="0"/>
                <w:color w:val="000000"/>
                <w:sz w:val="20"/>
                <w:u w:val="none"/>
              </w:rPr>
              <w:t>5.2</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902"/>
                <w:tab w:val="left" w:pos="1417"/>
              </w:tabs>
              <w:spacing w:before="53" w:after="30" w:line="240" w:lineRule="auto"/>
              <w:jc w:val="right"/>
            </w:pPr>
            <w:r>
              <w:rPr>
                <w:rFonts w:ascii="Times New Roman" w:eastAsia="Times New Roman" w:hAnsi="Times New Roman" w:cs="Times New Roman"/>
                <w:b w:val="0"/>
                <w:i w:val="0"/>
                <w:color w:val="000000"/>
                <w:sz w:val="20"/>
                <w:u w:val="none"/>
              </w:rPr>
              <w:tab/>
              <w:t>1,032</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966"/>
              </w:tabs>
              <w:spacing w:before="53" w:after="30" w:line="240" w:lineRule="auto"/>
              <w:jc w:val="right"/>
            </w:pPr>
            <w:r>
              <w:rPr>
                <w:rFonts w:ascii="Times New Roman" w:eastAsia="Times New Roman" w:hAnsi="Times New Roman" w:cs="Times New Roman"/>
                <w:b w:val="0"/>
                <w:i w:val="0"/>
                <w:color w:val="000000"/>
                <w:sz w:val="20"/>
                <w:u w:val="none"/>
              </w:rPr>
              <w:tab/>
              <w:t>(958)</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1152"/>
                <w:tab w:val="left" w:pos="1417"/>
              </w:tabs>
              <w:spacing w:before="53" w:after="30" w:line="240" w:lineRule="auto"/>
              <w:jc w:val="right"/>
            </w:pPr>
            <w:r>
              <w:rPr>
                <w:rFonts w:ascii="Times New Roman" w:eastAsia="Times New Roman" w:hAnsi="Times New Roman" w:cs="Times New Roman"/>
                <w:b w:val="0"/>
                <w:i w:val="0"/>
                <w:color w:val="000000"/>
                <w:sz w:val="20"/>
                <w:u w:val="none"/>
              </w:rPr>
              <w:tab/>
              <w:t>74</w:t>
              <w:tab/>
            </w:r>
          </w:p>
        </w:tc>
      </w:tr>
      <w:tr>
        <w:tblPrEx>
          <w:tblW w:w="10260" w:type="dxa"/>
          <w:tblInd w:w="0" w:type="dxa"/>
          <w:tblLayout w:type="fixed"/>
        </w:tblPrEx>
        <w:trPr>
          <w:trHeight w:hRule="exact" w:val="285"/>
        </w:trPr>
        <w:tc>
          <w:tcPr>
            <w:tcW w:w="402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 </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33" w:after="30" w:line="240" w:lineRule="auto"/>
              <w:jc w:val="center"/>
            </w:pPr>
            <w:r>
              <w:rPr>
                <w:rFonts w:ascii="Times New Roman" w:eastAsia="Times New Roman" w:hAnsi="Times New Roman" w:cs="Times New Roman"/>
                <w:b w:val="0"/>
                <w:i w:val="0"/>
                <w:color w:val="000000"/>
                <w:sz w:val="20"/>
                <w:u w:val="none"/>
              </w:rPr>
              <w:t>8.2</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keepNext/>
              <w:pageBreakBefore w:val="0"/>
              <w:tabs>
                <w:tab w:val="left" w:pos="702"/>
                <w:tab w:val="left" w:pos="1417"/>
              </w:tabs>
              <w:spacing w:before="33" w:after="30" w:line="240" w:lineRule="auto"/>
              <w:jc w:val="right"/>
            </w:pPr>
            <w:r>
              <w:rPr>
                <w:rFonts w:ascii="Times New Roman" w:eastAsia="Times New Roman" w:hAnsi="Times New Roman" w:cs="Times New Roman"/>
                <w:b w:val="0"/>
                <w:i w:val="0"/>
                <w:color w:val="000000"/>
                <w:sz w:val="20"/>
                <w:u w:val="none"/>
              </w:rPr>
              <w:t>$</w:t>
              <w:tab/>
              <w:t>209,649</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keepNext/>
              <w:pageBreakBefore w:val="0"/>
              <w:tabs>
                <w:tab w:val="left" w:pos="616"/>
              </w:tabs>
              <w:spacing w:before="33" w:after="30" w:line="240" w:lineRule="auto"/>
              <w:jc w:val="right"/>
            </w:pPr>
            <w:r>
              <w:rPr>
                <w:rFonts w:ascii="Times New Roman" w:eastAsia="Times New Roman" w:hAnsi="Times New Roman" w:cs="Times New Roman"/>
                <w:b w:val="0"/>
                <w:i w:val="0"/>
                <w:color w:val="000000"/>
                <w:sz w:val="20"/>
                <w:u w:val="none"/>
              </w:rPr>
              <w:t>$</w:t>
              <w:tab/>
              <w:t>(120,861)</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keepNext/>
              <w:pageBreakBefore w:val="0"/>
              <w:tabs>
                <w:tab w:val="left" w:pos="802"/>
                <w:tab w:val="left" w:pos="1417"/>
              </w:tabs>
              <w:spacing w:before="33" w:after="30" w:line="240" w:lineRule="auto"/>
              <w:jc w:val="right"/>
            </w:pPr>
            <w:r>
              <w:rPr>
                <w:rFonts w:ascii="Times New Roman" w:eastAsia="Times New Roman" w:hAnsi="Times New Roman" w:cs="Times New Roman"/>
                <w:b w:val="0"/>
                <w:i w:val="0"/>
                <w:color w:val="000000"/>
                <w:sz w:val="20"/>
                <w:u w:val="none"/>
              </w:rPr>
              <w:t>$</w:t>
              <w:tab/>
              <w:t>88,788</w:t>
              <w:tab/>
            </w:r>
          </w:p>
        </w:tc>
      </w:tr>
      <w:tr>
        <w:tblPrEx>
          <w:tblW w:w="10260" w:type="dxa"/>
          <w:tblInd w:w="0" w:type="dxa"/>
          <w:tblLayout w:type="fixed"/>
        </w:tblPrEx>
        <w:trPr>
          <w:trHeight w:hRule="exact" w:val="285"/>
        </w:trPr>
        <w:tc>
          <w:tcPr>
            <w:tcW w:w="4020"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doub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doub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doub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r>
      <w:tr>
        <w:tblPrEx>
          <w:tblW w:w="10260" w:type="dxa"/>
          <w:tblInd w:w="0" w:type="dxa"/>
          <w:tblLayout w:type="fixed"/>
        </w:tblPrEx>
        <w:trPr>
          <w:trHeight w:hRule="exact" w:val="285"/>
        </w:trPr>
        <w:tc>
          <w:tcPr>
            <w:tcW w:w="402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i w:val="0"/>
                <w:color w:val="000000"/>
                <w:sz w:val="20"/>
                <w:u w:val="none"/>
              </w:rPr>
              <w:t>December 31, 2025</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r>
      <w:tr>
        <w:tblPrEx>
          <w:tblW w:w="10260" w:type="dxa"/>
          <w:tblInd w:w="0" w:type="dxa"/>
          <w:tblLayout w:type="fixed"/>
        </w:tblPrEx>
        <w:trPr>
          <w:trHeight w:hRule="exact" w:val="285"/>
        </w:trPr>
        <w:tc>
          <w:tcPr>
            <w:tcW w:w="402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Customer relationships</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val="0"/>
                <w:i w:val="0"/>
                <w:color w:val="000000"/>
                <w:sz w:val="20"/>
                <w:u w:val="none"/>
              </w:rPr>
              <w:t>8.5</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702"/>
                <w:tab w:val="left" w:pos="1417"/>
              </w:tabs>
              <w:spacing w:before="53" w:after="30" w:line="240" w:lineRule="auto"/>
              <w:jc w:val="right"/>
            </w:pPr>
            <w:r>
              <w:rPr>
                <w:rFonts w:ascii="Times New Roman" w:eastAsia="Times New Roman" w:hAnsi="Times New Roman" w:cs="Times New Roman"/>
                <w:b w:val="0"/>
                <w:i w:val="0"/>
                <w:color w:val="000000"/>
                <w:sz w:val="20"/>
                <w:u w:val="none"/>
              </w:rPr>
              <w:t>$</w:t>
              <w:tab/>
              <w:t>182,024</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616"/>
              </w:tabs>
              <w:spacing w:before="53" w:after="30" w:line="240" w:lineRule="auto"/>
              <w:jc w:val="right"/>
            </w:pPr>
            <w:r>
              <w:rPr>
                <w:rFonts w:ascii="Times New Roman" w:eastAsia="Times New Roman" w:hAnsi="Times New Roman" w:cs="Times New Roman"/>
                <w:b w:val="0"/>
                <w:i w:val="0"/>
                <w:color w:val="000000"/>
                <w:sz w:val="20"/>
                <w:u w:val="none"/>
              </w:rPr>
              <w:t>$</w:t>
              <w:tab/>
              <w:t>(101,343)</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802"/>
                <w:tab w:val="left" w:pos="1417"/>
              </w:tabs>
              <w:spacing w:before="53" w:after="30" w:line="240" w:lineRule="auto"/>
              <w:jc w:val="right"/>
            </w:pPr>
            <w:r>
              <w:rPr>
                <w:rFonts w:ascii="Times New Roman" w:eastAsia="Times New Roman" w:hAnsi="Times New Roman" w:cs="Times New Roman"/>
                <w:b w:val="0"/>
                <w:i w:val="0"/>
                <w:color w:val="000000"/>
                <w:sz w:val="20"/>
                <w:u w:val="none"/>
              </w:rPr>
              <w:t>$</w:t>
              <w:tab/>
              <w:t>80,681</w:t>
              <w:tab/>
            </w:r>
          </w:p>
        </w:tc>
      </w:tr>
      <w:tr>
        <w:tblPrEx>
          <w:tblW w:w="10260" w:type="dxa"/>
          <w:tblInd w:w="0" w:type="dxa"/>
          <w:tblLayout w:type="fixed"/>
        </w:tblPrEx>
        <w:trPr>
          <w:trHeight w:hRule="exact" w:val="285"/>
        </w:trPr>
        <w:tc>
          <w:tcPr>
            <w:tcW w:w="402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Developed technology</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val="0"/>
                <w:i w:val="0"/>
                <w:color w:val="000000"/>
                <w:sz w:val="20"/>
                <w:u w:val="none"/>
              </w:rPr>
              <w:t>6.6</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802"/>
                <w:tab w:val="left" w:pos="1417"/>
              </w:tabs>
              <w:spacing w:before="53" w:after="30" w:line="240" w:lineRule="auto"/>
              <w:jc w:val="right"/>
            </w:pPr>
            <w:r>
              <w:rPr>
                <w:rFonts w:ascii="Times New Roman" w:eastAsia="Times New Roman" w:hAnsi="Times New Roman" w:cs="Times New Roman"/>
                <w:b w:val="0"/>
                <w:i w:val="0"/>
                <w:color w:val="000000"/>
                <w:sz w:val="20"/>
                <w:u w:val="none"/>
              </w:rPr>
              <w:tab/>
              <w:t>19,501</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16"/>
              </w:tabs>
              <w:spacing w:before="53" w:after="30" w:line="240" w:lineRule="auto"/>
              <w:jc w:val="right"/>
            </w:pPr>
            <w:r>
              <w:rPr>
                <w:rFonts w:ascii="Times New Roman" w:eastAsia="Times New Roman" w:hAnsi="Times New Roman" w:cs="Times New Roman"/>
                <w:b w:val="0"/>
                <w:i w:val="0"/>
                <w:color w:val="000000"/>
                <w:sz w:val="20"/>
                <w:u w:val="none"/>
              </w:rPr>
              <w:tab/>
              <w:t>(12,348)</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02"/>
                <w:tab w:val="left" w:pos="1417"/>
              </w:tabs>
              <w:spacing w:before="53" w:after="30" w:line="240" w:lineRule="auto"/>
              <w:jc w:val="right"/>
            </w:pPr>
            <w:r>
              <w:rPr>
                <w:rFonts w:ascii="Times New Roman" w:eastAsia="Times New Roman" w:hAnsi="Times New Roman" w:cs="Times New Roman"/>
                <w:b w:val="0"/>
                <w:i w:val="0"/>
                <w:color w:val="000000"/>
                <w:sz w:val="20"/>
                <w:u w:val="none"/>
              </w:rPr>
              <w:tab/>
              <w:t>7,153</w:t>
              <w:tab/>
            </w:r>
          </w:p>
        </w:tc>
      </w:tr>
      <w:tr>
        <w:tblPrEx>
          <w:tblW w:w="10260" w:type="dxa"/>
          <w:tblInd w:w="0" w:type="dxa"/>
          <w:tblLayout w:type="fixed"/>
        </w:tblPrEx>
        <w:trPr>
          <w:trHeight w:hRule="exact" w:val="285"/>
        </w:trPr>
        <w:tc>
          <w:tcPr>
            <w:tcW w:w="402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Trade names</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val="0"/>
                <w:i w:val="0"/>
                <w:color w:val="000000"/>
                <w:sz w:val="20"/>
                <w:u w:val="none"/>
              </w:rPr>
              <w:t>4.3</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052"/>
                <w:tab w:val="left" w:pos="1417"/>
              </w:tabs>
              <w:spacing w:before="53" w:after="30" w:line="240" w:lineRule="auto"/>
              <w:jc w:val="right"/>
            </w:pPr>
            <w:r>
              <w:rPr>
                <w:rFonts w:ascii="Times New Roman" w:eastAsia="Times New Roman" w:hAnsi="Times New Roman" w:cs="Times New Roman"/>
                <w:b w:val="0"/>
                <w:i w:val="0"/>
                <w:color w:val="000000"/>
                <w:sz w:val="20"/>
                <w:u w:val="none"/>
              </w:rPr>
              <w:tab/>
              <w:t>880</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966"/>
              </w:tabs>
              <w:spacing w:before="53" w:after="30" w:line="240" w:lineRule="auto"/>
              <w:jc w:val="right"/>
            </w:pPr>
            <w:r>
              <w:rPr>
                <w:rFonts w:ascii="Times New Roman" w:eastAsia="Times New Roman" w:hAnsi="Times New Roman" w:cs="Times New Roman"/>
                <w:b w:val="0"/>
                <w:i w:val="0"/>
                <w:color w:val="000000"/>
                <w:sz w:val="20"/>
                <w:u w:val="none"/>
              </w:rPr>
              <w:tab/>
              <w:t>(880)</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152"/>
                <w:tab w:val="left" w:pos="1417"/>
              </w:tabs>
              <w:spacing w:before="53" w:after="30" w:line="240" w:lineRule="auto"/>
              <w:jc w:val="right"/>
            </w:pPr>
            <w:r>
              <w:rPr>
                <w:rFonts w:ascii="Times New Roman" w:eastAsia="Times New Roman" w:hAnsi="Times New Roman" w:cs="Times New Roman"/>
                <w:b w:val="0"/>
                <w:i w:val="0"/>
                <w:color w:val="000000"/>
                <w:sz w:val="20"/>
                <w:u w:val="none"/>
              </w:rPr>
              <w:tab/>
              <w:t>—</w:t>
              <w:tab/>
            </w:r>
          </w:p>
        </w:tc>
      </w:tr>
      <w:tr>
        <w:tblPrEx>
          <w:tblW w:w="10260" w:type="dxa"/>
          <w:tblInd w:w="0" w:type="dxa"/>
          <w:tblLayout w:type="fixed"/>
        </w:tblPrEx>
        <w:trPr>
          <w:trHeight w:hRule="exact" w:val="285"/>
        </w:trPr>
        <w:tc>
          <w:tcPr>
            <w:tcW w:w="402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Non-compete agreements</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val="0"/>
                <w:i w:val="0"/>
                <w:color w:val="000000"/>
                <w:sz w:val="20"/>
                <w:u w:val="none"/>
              </w:rPr>
              <w:t>5.2</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902"/>
                <w:tab w:val="left" w:pos="1417"/>
              </w:tabs>
              <w:spacing w:before="53" w:after="30" w:line="240" w:lineRule="auto"/>
              <w:jc w:val="right"/>
            </w:pPr>
            <w:r>
              <w:rPr>
                <w:rFonts w:ascii="Times New Roman" w:eastAsia="Times New Roman" w:hAnsi="Times New Roman" w:cs="Times New Roman"/>
                <w:b w:val="0"/>
                <w:i w:val="0"/>
                <w:color w:val="000000"/>
                <w:sz w:val="20"/>
                <w:u w:val="none"/>
              </w:rPr>
              <w:tab/>
              <w:t>1,032</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966"/>
              </w:tabs>
              <w:spacing w:before="53" w:after="30" w:line="240" w:lineRule="auto"/>
              <w:jc w:val="right"/>
            </w:pPr>
            <w:r>
              <w:rPr>
                <w:rFonts w:ascii="Times New Roman" w:eastAsia="Times New Roman" w:hAnsi="Times New Roman" w:cs="Times New Roman"/>
                <w:b w:val="0"/>
                <w:i w:val="0"/>
                <w:color w:val="000000"/>
                <w:sz w:val="20"/>
                <w:u w:val="none"/>
              </w:rPr>
              <w:tab/>
              <w:t>(955)</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1152"/>
                <w:tab w:val="left" w:pos="1417"/>
              </w:tabs>
              <w:spacing w:before="53" w:after="30" w:line="240" w:lineRule="auto"/>
              <w:jc w:val="right"/>
            </w:pPr>
            <w:r>
              <w:rPr>
                <w:rFonts w:ascii="Times New Roman" w:eastAsia="Times New Roman" w:hAnsi="Times New Roman" w:cs="Times New Roman"/>
                <w:b w:val="0"/>
                <w:i w:val="0"/>
                <w:color w:val="000000"/>
                <w:sz w:val="20"/>
                <w:u w:val="none"/>
              </w:rPr>
              <w:tab/>
              <w:t>77</w:t>
              <w:tab/>
            </w:r>
          </w:p>
        </w:tc>
      </w:tr>
      <w:tr>
        <w:tblPrEx>
          <w:tblW w:w="10260" w:type="dxa"/>
          <w:tblInd w:w="0" w:type="dxa"/>
          <w:tblLayout w:type="fixed"/>
        </w:tblPrEx>
        <w:trPr>
          <w:trHeight w:hRule="exact" w:val="285"/>
        </w:trPr>
        <w:tc>
          <w:tcPr>
            <w:tcW w:w="4020"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pPr>
          </w:p>
        </w:tc>
        <w:tc>
          <w:tcPr>
            <w:tcW w:w="1485" w:type="dxa"/>
            <w:tcBorders>
              <w:top w:val="nil"/>
              <w:left w:val="nil"/>
              <w:bottom w:val="nil"/>
              <w:right w:val="nil"/>
            </w:tcBorders>
            <w:shd w:val="clear" w:color="auto" w:fill="CCEEFF"/>
            <w:tcMar>
              <w:top w:w="0" w:type="dxa"/>
              <w:left w:w="53" w:type="dxa"/>
              <w:bottom w:w="0" w:type="dxa"/>
              <w:right w:w="53" w:type="dxa"/>
            </w:tcMar>
            <w:vAlign w:val="bottom"/>
          </w:tcPr>
          <w:p>
            <w:pPr>
              <w:pageBreakBefore w:val="0"/>
              <w:spacing w:before="33" w:after="30" w:line="240" w:lineRule="auto"/>
              <w:jc w:val="center"/>
            </w:pPr>
            <w:r>
              <w:rPr>
                <w:rFonts w:ascii="Times New Roman" w:eastAsia="Times New Roman" w:hAnsi="Times New Roman" w:cs="Times New Roman"/>
                <w:b w:val="0"/>
                <w:i w:val="0"/>
                <w:color w:val="000000"/>
                <w:sz w:val="20"/>
                <w:u w:val="none"/>
              </w:rPr>
              <w:t>8.2</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pPr>
          </w:p>
        </w:tc>
        <w:tc>
          <w:tcPr>
            <w:tcW w:w="148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702"/>
                <w:tab w:val="left" w:pos="1417"/>
              </w:tabs>
              <w:spacing w:before="33" w:after="30" w:line="240" w:lineRule="auto"/>
              <w:jc w:val="right"/>
            </w:pPr>
            <w:r>
              <w:rPr>
                <w:rFonts w:ascii="Times New Roman" w:eastAsia="Times New Roman" w:hAnsi="Times New Roman" w:cs="Times New Roman"/>
                <w:b w:val="0"/>
                <w:i w:val="0"/>
                <w:color w:val="000000"/>
                <w:sz w:val="20"/>
                <w:u w:val="none"/>
              </w:rPr>
              <w:t>$</w:t>
              <w:tab/>
              <w:t>203,437</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pPr>
          </w:p>
        </w:tc>
        <w:tc>
          <w:tcPr>
            <w:tcW w:w="148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616"/>
              </w:tabs>
              <w:spacing w:before="33" w:after="30" w:line="240" w:lineRule="auto"/>
              <w:jc w:val="right"/>
            </w:pPr>
            <w:r>
              <w:rPr>
                <w:rFonts w:ascii="Times New Roman" w:eastAsia="Times New Roman" w:hAnsi="Times New Roman" w:cs="Times New Roman"/>
                <w:b w:val="0"/>
                <w:i w:val="0"/>
                <w:color w:val="000000"/>
                <w:sz w:val="20"/>
                <w:u w:val="none"/>
              </w:rPr>
              <w:t>$</w:t>
              <w:tab/>
              <w:t>(115,526)</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pPr>
          </w:p>
        </w:tc>
        <w:tc>
          <w:tcPr>
            <w:tcW w:w="148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802"/>
                <w:tab w:val="left" w:pos="1417"/>
              </w:tabs>
              <w:spacing w:before="33" w:after="30" w:line="240" w:lineRule="auto"/>
              <w:jc w:val="right"/>
            </w:pPr>
            <w:r>
              <w:rPr>
                <w:rFonts w:ascii="Times New Roman" w:eastAsia="Times New Roman" w:hAnsi="Times New Roman" w:cs="Times New Roman"/>
                <w:b w:val="0"/>
                <w:i w:val="0"/>
                <w:color w:val="000000"/>
                <w:sz w:val="20"/>
                <w:u w:val="none"/>
              </w:rPr>
              <w:t>$</w:t>
              <w:tab/>
              <w:t>87,911</w:t>
              <w:tab/>
            </w:r>
          </w:p>
        </w:tc>
      </w:tr>
    </w:tbl>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 xml:space="preserve">We record amortization expenses using the </w:t>
      </w:r>
      <w:r>
        <w:rPr>
          <w:rFonts w:ascii="Times New Roman" w:eastAsia="Times New Roman" w:hAnsi="Times New Roman" w:cs="Times New Roman"/>
          <w:b w:val="0"/>
          <w:i w:val="0"/>
          <w:color w:val="000000"/>
          <w:sz w:val="20"/>
          <w:u w:val="none"/>
        </w:rPr>
        <w:t>straight-line method</w:t>
      </w:r>
      <w:r>
        <w:rPr>
          <w:rFonts w:ascii="Times New Roman" w:eastAsia="Times New Roman" w:hAnsi="Times New Roman" w:cs="Times New Roman"/>
          <w:b w:val="0"/>
          <w:i w:val="0"/>
          <w:color w:val="000000"/>
          <w:sz w:val="20"/>
          <w:u w:val="none"/>
        </w:rPr>
        <w:t xml:space="preserve"> over the estimated useful lives of the intangible assets, as noted above. Amortization expenses recorded in Operating Expenses were </w:t>
      </w:r>
      <w:r>
        <w:rPr>
          <w:rFonts w:ascii="Times New Roman" w:eastAsia="Times New Roman" w:hAnsi="Times New Roman" w:cs="Times New Roman"/>
          <w:b w:val="0"/>
          <w:i w:val="0"/>
          <w:color w:val="000000"/>
          <w:sz w:val="20"/>
          <w:u w:val="none"/>
        </w:rPr>
        <w:t>$4,972</w:t>
      </w:r>
      <w:r>
        <w:rPr>
          <w:rFonts w:ascii="Times New Roman" w:eastAsia="Times New Roman" w:hAnsi="Times New Roman" w:cs="Times New Roman"/>
          <w:b w:val="0"/>
          <w:i w:val="0"/>
          <w:color w:val="000000"/>
          <w:sz w:val="20"/>
          <w:u w:val="none"/>
        </w:rPr>
        <w:t xml:space="preserve"> and </w:t>
      </w:r>
      <w:r>
        <w:rPr>
          <w:rFonts w:ascii="Times New Roman" w:eastAsia="Times New Roman" w:hAnsi="Times New Roman" w:cs="Times New Roman"/>
          <w:b w:val="0"/>
          <w:i w:val="0"/>
          <w:color w:val="000000"/>
          <w:sz w:val="20"/>
          <w:u w:val="none"/>
        </w:rPr>
        <w:t>$4,308</w:t>
      </w:r>
      <w:r>
        <w:rPr>
          <w:rFonts w:ascii="Times New Roman" w:eastAsia="Times New Roman" w:hAnsi="Times New Roman" w:cs="Times New Roman"/>
          <w:b w:val="0"/>
          <w:i w:val="0"/>
          <w:color w:val="000000"/>
          <w:sz w:val="20"/>
          <w:u w:val="none"/>
        </w:rPr>
        <w:t xml:space="preserve"> for the </w:t>
      </w:r>
      <w:r>
        <w:rPr>
          <w:rFonts w:ascii="Times New Roman" w:eastAsia="Times New Roman" w:hAnsi="Times New Roman" w:cs="Times New Roman"/>
          <w:b w:val="0"/>
          <w:i w:val="0"/>
          <w:color w:val="000000"/>
          <w:sz w:val="20"/>
          <w:u w:val="none"/>
        </w:rPr>
        <w:t>three months ended</w:t>
      </w:r>
      <w:r>
        <w:rPr>
          <w:rFonts w:ascii="Times New Roman" w:eastAsia="Times New Roman" w:hAnsi="Times New Roman" w:cs="Times New Roman"/>
          <w:b w:val="0"/>
          <w:i w:val="0"/>
          <w:color w:val="000000"/>
          <w:sz w:val="20"/>
          <w:u w:val="none"/>
        </w:rPr>
        <w:t xml:space="preserve"> </w:t>
      </w:r>
      <w:r>
        <w:rPr>
          <w:rFonts w:ascii="Times New Roman" w:eastAsia="Times New Roman" w:hAnsi="Times New Roman" w:cs="Times New Roman"/>
          <w:b w:val="0"/>
          <w:i w:val="0"/>
          <w:color w:val="000000"/>
          <w:sz w:val="20"/>
          <w:u w:val="none"/>
        </w:rPr>
        <w:t>March 31, 2026</w:t>
      </w:r>
      <w:r>
        <w:rPr>
          <w:rFonts w:ascii="Times New Roman" w:eastAsia="Times New Roman" w:hAnsi="Times New Roman" w:cs="Times New Roman"/>
          <w:b w:val="0"/>
          <w:i w:val="0"/>
          <w:color w:val="000000"/>
          <w:sz w:val="20"/>
          <w:u w:val="none"/>
        </w:rPr>
        <w:t xml:space="preserve"> and </w:t>
      </w:r>
      <w:r>
        <w:rPr>
          <w:rFonts w:ascii="Times New Roman" w:eastAsia="Times New Roman" w:hAnsi="Times New Roman" w:cs="Times New Roman"/>
          <w:b w:val="0"/>
          <w:i w:val="0"/>
          <w:color w:val="000000"/>
          <w:sz w:val="20"/>
          <w:u w:val="none"/>
        </w:rPr>
        <w:t>2025</w:t>
      </w:r>
      <w:r>
        <w:rPr>
          <w:rFonts w:ascii="Times New Roman" w:eastAsia="Times New Roman" w:hAnsi="Times New Roman" w:cs="Times New Roman"/>
          <w:b w:val="0"/>
          <w:i w:val="0"/>
          <w:color w:val="000000"/>
          <w:sz w:val="20"/>
          <w:u w:val="none"/>
        </w:rPr>
        <w:t xml:space="preserve">, respectively. Amortization expenses recorded in Cost of Sales were </w:t>
      </w:r>
      <w:r>
        <w:rPr>
          <w:rFonts w:ascii="Times New Roman" w:eastAsia="Times New Roman" w:hAnsi="Times New Roman" w:cs="Times New Roman"/>
          <w:b w:val="0"/>
          <w:i w:val="0"/>
          <w:color w:val="000000"/>
          <w:sz w:val="20"/>
          <w:u w:val="none"/>
        </w:rPr>
        <w:t>$364</w:t>
      </w:r>
      <w:r>
        <w:rPr>
          <w:rFonts w:ascii="Times New Roman" w:eastAsia="Times New Roman" w:hAnsi="Times New Roman" w:cs="Times New Roman"/>
          <w:b w:val="0"/>
          <w:i w:val="0"/>
          <w:color w:val="000000"/>
          <w:sz w:val="20"/>
          <w:u w:val="none"/>
        </w:rPr>
        <w:t xml:space="preserve"> and </w:t>
      </w:r>
      <w:r>
        <w:rPr>
          <w:rFonts w:ascii="Times New Roman" w:eastAsia="Times New Roman" w:hAnsi="Times New Roman" w:cs="Times New Roman"/>
          <w:b w:val="0"/>
          <w:i w:val="0"/>
          <w:color w:val="000000"/>
          <w:sz w:val="20"/>
          <w:u w:val="none"/>
        </w:rPr>
        <w:t>$50</w:t>
      </w:r>
      <w:r>
        <w:rPr>
          <w:rFonts w:ascii="Times New Roman" w:eastAsia="Times New Roman" w:hAnsi="Times New Roman" w:cs="Times New Roman"/>
          <w:b w:val="0"/>
          <w:i w:val="0"/>
          <w:color w:val="000000"/>
          <w:sz w:val="20"/>
          <w:u w:val="none"/>
        </w:rPr>
        <w:t xml:space="preserve"> for the </w:t>
      </w:r>
      <w:r>
        <w:rPr>
          <w:rFonts w:ascii="Times New Roman" w:eastAsia="Times New Roman" w:hAnsi="Times New Roman" w:cs="Times New Roman"/>
          <w:b w:val="0"/>
          <w:i w:val="0"/>
          <w:color w:val="000000"/>
          <w:sz w:val="20"/>
          <w:u w:val="none"/>
        </w:rPr>
        <w:t>three months ended</w:t>
      </w:r>
      <w:r>
        <w:rPr>
          <w:rFonts w:ascii="Times New Roman" w:eastAsia="Times New Roman" w:hAnsi="Times New Roman" w:cs="Times New Roman"/>
          <w:b w:val="0"/>
          <w:i w:val="0"/>
          <w:color w:val="000000"/>
          <w:sz w:val="20"/>
          <w:u w:val="none"/>
        </w:rPr>
        <w:t xml:space="preserve"> </w:t>
      </w:r>
      <w:r>
        <w:rPr>
          <w:rFonts w:ascii="Times New Roman" w:eastAsia="Times New Roman" w:hAnsi="Times New Roman" w:cs="Times New Roman"/>
          <w:b w:val="0"/>
          <w:i w:val="0"/>
          <w:color w:val="000000"/>
          <w:sz w:val="20"/>
          <w:u w:val="none"/>
        </w:rPr>
        <w:t>March 31, 2026</w:t>
      </w:r>
      <w:r>
        <w:rPr>
          <w:rFonts w:ascii="Times New Roman" w:eastAsia="Times New Roman" w:hAnsi="Times New Roman" w:cs="Times New Roman"/>
          <w:b w:val="0"/>
          <w:i w:val="0"/>
          <w:color w:val="000000"/>
          <w:sz w:val="20"/>
          <w:u w:val="none"/>
        </w:rPr>
        <w:t xml:space="preserve"> and </w:t>
      </w:r>
      <w:r>
        <w:rPr>
          <w:rFonts w:ascii="Times New Roman" w:eastAsia="Times New Roman" w:hAnsi="Times New Roman" w:cs="Times New Roman"/>
          <w:b w:val="0"/>
          <w:i w:val="0"/>
          <w:color w:val="000000"/>
          <w:sz w:val="20"/>
          <w:u w:val="none"/>
        </w:rPr>
        <w:t>2025</w:t>
      </w:r>
      <w:r>
        <w:rPr>
          <w:rFonts w:ascii="Times New Roman" w:eastAsia="Times New Roman" w:hAnsi="Times New Roman" w:cs="Times New Roman"/>
          <w:b w:val="0"/>
          <w:i w:val="0"/>
          <w:color w:val="000000"/>
          <w:sz w:val="20"/>
          <w:u w:val="none"/>
        </w:rPr>
        <w:t xml:space="preserve">, respectively. There was </w:t>
      </w:r>
      <w:r>
        <w:rPr>
          <w:rFonts w:ascii="Times New Roman" w:eastAsia="Times New Roman" w:hAnsi="Times New Roman" w:cs="Times New Roman"/>
          <w:b w:val="0"/>
          <w:i w:val="0"/>
          <w:color w:val="000000"/>
          <w:sz w:val="20"/>
          <w:u w:val="none"/>
        </w:rPr>
        <w:t>no</w:t>
      </w:r>
      <w:r>
        <w:rPr>
          <w:rFonts w:ascii="Times New Roman" w:eastAsia="Times New Roman" w:hAnsi="Times New Roman" w:cs="Times New Roman"/>
          <w:b w:val="0"/>
          <w:i w:val="0"/>
          <w:color w:val="000000"/>
          <w:sz w:val="20"/>
          <w:u w:val="none"/>
        </w:rPr>
        <w:t xml:space="preserve"> impairment of intangibles during the </w:t>
      </w:r>
      <w:r>
        <w:rPr>
          <w:rFonts w:ascii="Times New Roman" w:eastAsia="Times New Roman" w:hAnsi="Times New Roman" w:cs="Times New Roman"/>
          <w:b w:val="0"/>
          <w:i w:val="0"/>
          <w:color w:val="000000"/>
          <w:sz w:val="20"/>
          <w:u w:val="none"/>
        </w:rPr>
        <w:t>three months ended</w:t>
      </w:r>
      <w:r>
        <w:rPr>
          <w:rFonts w:ascii="Times New Roman" w:eastAsia="Times New Roman" w:hAnsi="Times New Roman" w:cs="Times New Roman"/>
          <w:b w:val="0"/>
          <w:i w:val="0"/>
          <w:color w:val="000000"/>
          <w:sz w:val="20"/>
          <w:u w:val="none"/>
        </w:rPr>
        <w:t xml:space="preserve"> </w:t>
      </w:r>
      <w:r>
        <w:rPr>
          <w:rFonts w:ascii="Times New Roman" w:eastAsia="Times New Roman" w:hAnsi="Times New Roman" w:cs="Times New Roman"/>
          <w:b w:val="0"/>
          <w:i w:val="0"/>
          <w:color w:val="000000"/>
          <w:sz w:val="20"/>
          <w:u w:val="none"/>
        </w:rPr>
        <w:t>March 31, 2026</w:t>
      </w:r>
      <w:r>
        <w:rPr>
          <w:rFonts w:ascii="Times New Roman" w:eastAsia="Times New Roman" w:hAnsi="Times New Roman" w:cs="Times New Roman"/>
          <w:b w:val="0"/>
          <w:i w:val="0"/>
          <w:color w:val="000000"/>
          <w:sz w:val="20"/>
          <w:u w:val="none"/>
        </w:rPr>
        <w:t xml:space="preserve"> based on the qualitative assessment we performed. However, if market, political and other conditions over which we have no control continue to affect the capital markets and our stock price declines, we may experience an impairment of our intangibles in future quarters.</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color w:val="000000"/>
          <w:sz w:val="20"/>
          <w:u w:val="none"/>
        </w:rPr>
      </w:pP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The following table summarizes the future estimated amortization expense relating to our intangible assets for the period presented below (in thousands):</w:t>
      </w:r>
    </w:p>
    <w:tbl>
      <w:tblPr>
        <w:tblStyle w:val="TableNormal0"/>
        <w:tblW w:w="6270" w:type="dxa"/>
        <w:jc w:val="center"/>
        <w:tblLayout w:type="fixed"/>
      </w:tblPr>
      <w:tblGrid>
        <w:gridCol w:w="4785"/>
        <w:gridCol w:w="1485"/>
      </w:tblGrid>
      <w:tr>
        <w:tblPrEx>
          <w:tblW w:w="6270" w:type="dxa"/>
          <w:tblLayout w:type="fixed"/>
        </w:tblPrEx>
        <w:trPr>
          <w:trHeight w:hRule="exact" w:val="285"/>
        </w:trPr>
        <w:tc>
          <w:tcPr>
            <w:tcW w:w="478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2026 (Remaining)</w:t>
            </w:r>
          </w:p>
        </w:tc>
        <w:tc>
          <w:tcPr>
            <w:tcW w:w="148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802"/>
                <w:tab w:val="left" w:pos="1417"/>
              </w:tabs>
              <w:spacing w:before="53" w:after="30" w:line="240" w:lineRule="auto"/>
              <w:jc w:val="right"/>
            </w:pPr>
            <w:r>
              <w:rPr>
                <w:rFonts w:ascii="Times New Roman" w:eastAsia="Times New Roman" w:hAnsi="Times New Roman" w:cs="Times New Roman"/>
                <w:b w:val="0"/>
                <w:i w:val="0"/>
                <w:color w:val="000000"/>
                <w:sz w:val="20"/>
                <w:u w:val="none"/>
              </w:rPr>
              <w:t>$</w:t>
              <w:tab/>
              <w:t>14,031</w:t>
              <w:tab/>
            </w:r>
          </w:p>
        </w:tc>
      </w:tr>
      <w:tr>
        <w:tblPrEx>
          <w:tblW w:w="6270" w:type="dxa"/>
          <w:tblLayout w:type="fixed"/>
        </w:tblPrEx>
        <w:trPr>
          <w:trHeight w:hRule="exact" w:val="285"/>
        </w:trPr>
        <w:tc>
          <w:tcPr>
            <w:tcW w:w="478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2027</w:t>
            </w:r>
          </w:p>
        </w:tc>
        <w:tc>
          <w:tcPr>
            <w:tcW w:w="148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802"/>
                <w:tab w:val="left" w:pos="1417"/>
              </w:tabs>
              <w:spacing w:before="53" w:after="30" w:line="240" w:lineRule="auto"/>
              <w:jc w:val="right"/>
            </w:pPr>
            <w:r>
              <w:rPr>
                <w:rFonts w:ascii="Times New Roman" w:eastAsia="Times New Roman" w:hAnsi="Times New Roman" w:cs="Times New Roman"/>
                <w:b w:val="0"/>
                <w:i w:val="0"/>
                <w:color w:val="000000"/>
                <w:sz w:val="20"/>
                <w:u w:val="none"/>
              </w:rPr>
              <w:tab/>
              <w:t>17,239</w:t>
              <w:tab/>
            </w:r>
          </w:p>
        </w:tc>
      </w:tr>
      <w:tr>
        <w:tblPrEx>
          <w:tblW w:w="6270" w:type="dxa"/>
          <w:tblLayout w:type="fixed"/>
        </w:tblPrEx>
        <w:trPr>
          <w:trHeight w:hRule="exact" w:val="285"/>
        </w:trPr>
        <w:tc>
          <w:tcPr>
            <w:tcW w:w="478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2028</w:t>
            </w:r>
          </w:p>
        </w:tc>
        <w:tc>
          <w:tcPr>
            <w:tcW w:w="148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802"/>
                <w:tab w:val="left" w:pos="1417"/>
              </w:tabs>
              <w:spacing w:before="53" w:after="30" w:line="240" w:lineRule="auto"/>
              <w:jc w:val="right"/>
            </w:pPr>
            <w:r>
              <w:rPr>
                <w:rFonts w:ascii="Times New Roman" w:eastAsia="Times New Roman" w:hAnsi="Times New Roman" w:cs="Times New Roman"/>
                <w:b w:val="0"/>
                <w:i w:val="0"/>
                <w:color w:val="000000"/>
                <w:sz w:val="20"/>
                <w:u w:val="none"/>
              </w:rPr>
              <w:tab/>
              <w:t>15,794</w:t>
              <w:tab/>
            </w:r>
          </w:p>
        </w:tc>
      </w:tr>
      <w:tr>
        <w:tblPrEx>
          <w:tblW w:w="6270" w:type="dxa"/>
          <w:tblLayout w:type="fixed"/>
        </w:tblPrEx>
        <w:trPr>
          <w:trHeight w:hRule="exact" w:val="285"/>
        </w:trPr>
        <w:tc>
          <w:tcPr>
            <w:tcW w:w="478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2029</w:t>
            </w:r>
          </w:p>
        </w:tc>
        <w:tc>
          <w:tcPr>
            <w:tcW w:w="148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802"/>
                <w:tab w:val="left" w:pos="1417"/>
              </w:tabs>
              <w:spacing w:before="53" w:after="30" w:line="240" w:lineRule="auto"/>
              <w:jc w:val="right"/>
            </w:pPr>
            <w:r>
              <w:rPr>
                <w:rFonts w:ascii="Times New Roman" w:eastAsia="Times New Roman" w:hAnsi="Times New Roman" w:cs="Times New Roman"/>
                <w:b w:val="0"/>
                <w:i w:val="0"/>
                <w:color w:val="000000"/>
                <w:sz w:val="20"/>
                <w:u w:val="none"/>
              </w:rPr>
              <w:tab/>
              <w:t>13,630</w:t>
              <w:tab/>
            </w:r>
          </w:p>
        </w:tc>
      </w:tr>
      <w:tr>
        <w:tblPrEx>
          <w:tblW w:w="6270" w:type="dxa"/>
          <w:tblLayout w:type="fixed"/>
        </w:tblPrEx>
        <w:trPr>
          <w:trHeight w:hRule="exact" w:val="285"/>
        </w:trPr>
        <w:tc>
          <w:tcPr>
            <w:tcW w:w="478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2030</w:t>
            </w:r>
          </w:p>
        </w:tc>
        <w:tc>
          <w:tcPr>
            <w:tcW w:w="148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802"/>
                <w:tab w:val="left" w:pos="1417"/>
              </w:tabs>
              <w:spacing w:before="53" w:after="30" w:line="240" w:lineRule="auto"/>
              <w:jc w:val="right"/>
            </w:pPr>
            <w:r>
              <w:rPr>
                <w:rFonts w:ascii="Times New Roman" w:eastAsia="Times New Roman" w:hAnsi="Times New Roman" w:cs="Times New Roman"/>
                <w:b w:val="0"/>
                <w:i w:val="0"/>
                <w:color w:val="000000"/>
                <w:sz w:val="20"/>
                <w:u w:val="none"/>
              </w:rPr>
              <w:tab/>
              <w:t>10,000</w:t>
              <w:tab/>
            </w:r>
          </w:p>
        </w:tc>
      </w:tr>
      <w:tr>
        <w:tblPrEx>
          <w:tblW w:w="6270" w:type="dxa"/>
          <w:tblLayout w:type="fixed"/>
        </w:tblPrEx>
        <w:trPr>
          <w:trHeight w:hRule="exact" w:val="285"/>
        </w:trPr>
        <w:tc>
          <w:tcPr>
            <w:tcW w:w="478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2031</w:t>
            </w:r>
          </w:p>
        </w:tc>
        <w:tc>
          <w:tcPr>
            <w:tcW w:w="148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02"/>
                <w:tab w:val="left" w:pos="1417"/>
              </w:tabs>
              <w:spacing w:before="53" w:after="30" w:line="240" w:lineRule="auto"/>
              <w:jc w:val="right"/>
            </w:pPr>
            <w:r>
              <w:rPr>
                <w:rFonts w:ascii="Times New Roman" w:eastAsia="Times New Roman" w:hAnsi="Times New Roman" w:cs="Times New Roman"/>
                <w:b w:val="0"/>
                <w:i w:val="0"/>
                <w:color w:val="000000"/>
                <w:sz w:val="20"/>
                <w:u w:val="none"/>
              </w:rPr>
              <w:tab/>
              <w:t>9,019</w:t>
              <w:tab/>
            </w:r>
          </w:p>
        </w:tc>
      </w:tr>
      <w:tr>
        <w:tblPrEx>
          <w:tblW w:w="6270" w:type="dxa"/>
          <w:tblLayout w:type="fixed"/>
        </w:tblPrEx>
        <w:trPr>
          <w:trHeight w:hRule="exact" w:val="285"/>
        </w:trPr>
        <w:tc>
          <w:tcPr>
            <w:tcW w:w="478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Thereafter</w:t>
            </w:r>
          </w:p>
        </w:tc>
        <w:tc>
          <w:tcPr>
            <w:tcW w:w="148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902"/>
                <w:tab w:val="left" w:pos="1417"/>
              </w:tabs>
              <w:spacing w:before="53" w:after="30" w:line="240" w:lineRule="auto"/>
              <w:jc w:val="right"/>
            </w:pPr>
            <w:r>
              <w:rPr>
                <w:rFonts w:ascii="Times New Roman" w:eastAsia="Times New Roman" w:hAnsi="Times New Roman" w:cs="Times New Roman"/>
                <w:b w:val="0"/>
                <w:i w:val="0"/>
                <w:color w:val="000000"/>
                <w:sz w:val="20"/>
                <w:u w:val="none"/>
              </w:rPr>
              <w:tab/>
              <w:t>9,075</w:t>
              <w:tab/>
            </w:r>
          </w:p>
        </w:tc>
      </w:tr>
      <w:tr>
        <w:tblPrEx>
          <w:tblW w:w="6270" w:type="dxa"/>
          <w:tblLayout w:type="fixed"/>
        </w:tblPrEx>
        <w:trPr>
          <w:trHeight w:hRule="exact" w:val="285"/>
        </w:trPr>
        <w:tc>
          <w:tcPr>
            <w:tcW w:w="4785" w:type="dxa"/>
            <w:tcBorders>
              <w:top w:val="nil"/>
              <w:left w:val="nil"/>
              <w:bottom w:val="nil"/>
              <w:right w:val="nil"/>
            </w:tcBorders>
            <w:shd w:val="clear" w:color="auto" w:fill="FFFFFF"/>
            <w:tcMar>
              <w:top w:w="0" w:type="dxa"/>
              <w:left w:w="53" w:type="dxa"/>
              <w:bottom w:w="0" w:type="dxa"/>
              <w:right w:w="53" w:type="dxa"/>
            </w:tcMar>
            <w:vAlign w:val="bottom"/>
          </w:tcPr>
          <w:p>
            <w:pPr>
              <w:pageBreakBefore w:val="0"/>
              <w:spacing w:before="33" w:after="30" w:line="240" w:lineRule="auto"/>
              <w:jc w:val="left"/>
            </w:pPr>
            <w:r>
              <w:rPr>
                <w:rFonts w:ascii="Times New Roman" w:eastAsia="Times New Roman" w:hAnsi="Times New Roman" w:cs="Times New Roman"/>
                <w:b w:val="0"/>
                <w:i w:val="0"/>
                <w:color w:val="000000"/>
                <w:sz w:val="20"/>
                <w:u w:val="none"/>
              </w:rPr>
              <w:t> </w:t>
            </w:r>
          </w:p>
        </w:tc>
        <w:tc>
          <w:tcPr>
            <w:tcW w:w="148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pageBreakBefore w:val="0"/>
              <w:tabs>
                <w:tab w:val="left" w:pos="802"/>
                <w:tab w:val="left" w:pos="1417"/>
              </w:tabs>
              <w:spacing w:before="33" w:after="30" w:line="240" w:lineRule="auto"/>
              <w:jc w:val="right"/>
            </w:pPr>
            <w:r>
              <w:rPr>
                <w:rFonts w:ascii="Times New Roman" w:eastAsia="Times New Roman" w:hAnsi="Times New Roman" w:cs="Times New Roman"/>
                <w:b w:val="0"/>
                <w:i w:val="0"/>
                <w:color w:val="000000"/>
                <w:sz w:val="20"/>
                <w:u w:val="none"/>
              </w:rPr>
              <w:t>$</w:t>
              <w:tab/>
              <w:t>88,788</w:t>
              <w:tab/>
            </w:r>
          </w:p>
        </w:tc>
      </w:tr>
    </w:tbl>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val="0"/>
          <w:i w:val="0"/>
          <w:color w:val="000000"/>
          <w:sz w:val="2"/>
          <w:u w:val="none"/>
        </w:rPr>
      </w:pPr>
    </w:p>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val="0"/>
          <w:i w:val="0"/>
          <w:color w:val="000000"/>
          <w:sz w:val="2"/>
          <w:u w:val="none"/>
        </w:rPr>
        <w:sectPr>
          <w:type w:val="continuous"/>
          <w:pgSz w:w="12240" w:h="15840"/>
          <w:pgMar w:top="855" w:right="990" w:bottom="855" w:left="990" w:header="270" w:footer="270"/>
          <w:cols w:space="708"/>
        </w:sectPr>
      </w:pPr>
    </w:p>
    <w:p>
      <w:pPr>
        <w:keepNext/>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i w:val="0"/>
          <w:color w:val="000000"/>
          <w:sz w:val="20"/>
          <w:highlight w:val="white"/>
          <w:u w:val="none"/>
        </w:rPr>
      </w:pPr>
      <w:bookmarkStart w:id="14" w:name="Section15"/>
      <w:bookmarkEnd w:id="14"/>
    </w:p>
    <w:p>
      <w:pPr>
        <w:keepNext/>
        <w:keepLines/>
        <w:pageBreakBefore w:val="0"/>
        <w:widowControl w:val="0"/>
        <w:numPr>
          <w:ilvl w:val="0"/>
          <w:numId w:val="0"/>
        </w:numPr>
        <w:spacing w:before="0" w:after="0" w:line="288" w:lineRule="auto"/>
        <w:ind w:left="0" w:right="0" w:firstLine="0"/>
        <w:jc w:val="left"/>
        <w:outlineLvl w:val="3"/>
        <w:rPr>
          <w:rFonts w:ascii="Times New Roman" w:eastAsia="Times New Roman" w:hAnsi="Times New Roman" w:cs="Times New Roman"/>
          <w:b/>
          <w:i w:val="0"/>
          <w:color w:val="000000"/>
          <w:sz w:val="20"/>
          <w:highlight w:val="white"/>
          <w:u w:val="none"/>
        </w:rPr>
      </w:pPr>
      <w:r>
        <w:rPr>
          <w:rFonts w:ascii="Times New Roman" w:eastAsia="Times New Roman" w:hAnsi="Times New Roman" w:cs="Times New Roman"/>
          <w:b/>
          <w:i w:val="0"/>
          <w:color w:val="000000"/>
          <w:sz w:val="20"/>
          <w:highlight w:val="white"/>
          <w:u w:val="none"/>
        </w:rPr>
        <w:t xml:space="preserve">NOTE 6 - </w:t>
      </w:r>
      <w:r>
        <w:rPr>
          <w:rFonts w:ascii="Times New Roman" w:eastAsia="Times New Roman" w:hAnsi="Times New Roman" w:cs="Times New Roman"/>
          <w:b/>
          <w:i w:val="0"/>
          <w:color w:val="000000"/>
          <w:sz w:val="20"/>
          <w:highlight w:val="white"/>
          <w:u w:val="none"/>
        </w:rPr>
        <w:t>NOTES PAYABLE</w:t>
      </w:r>
    </w:p>
    <w:p>
      <w:pPr>
        <w:keepNext/>
        <w:keepLines/>
        <w:pageBreakBefore w:val="0"/>
        <w:widowControl w:val="0"/>
        <w:numPr>
          <w:ilvl w:val="0"/>
          <w:numId w:val="0"/>
        </w:numPr>
        <w:spacing w:before="0" w:after="0" w:line="288" w:lineRule="auto"/>
        <w:ind w:left="0" w:right="0" w:firstLine="135"/>
        <w:jc w:val="left"/>
        <w:outlineLvl w:val="9"/>
        <w:rPr>
          <w:rFonts w:ascii="Times New Roman" w:eastAsia="Times New Roman" w:hAnsi="Times New Roman" w:cs="Times New Roman"/>
          <w:b/>
          <w:i w:val="0"/>
          <w:color w:val="000000"/>
          <w:sz w:val="20"/>
          <w:u w:val="none"/>
        </w:rPr>
      </w:pP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The following table summarizes our outstanding debt as of the dates indicated</w:t>
      </w:r>
      <w:r>
        <w:rPr>
          <w:rFonts w:ascii="Times New Roman" w:eastAsia="Times New Roman" w:hAnsi="Times New Roman" w:cs="Times New Roman"/>
          <w:b w:val="0"/>
          <w:i w:val="0"/>
          <w:color w:val="000000"/>
          <w:sz w:val="20"/>
          <w:u w:val="none"/>
          <w:vertAlign w:val="superscript"/>
        </w:rPr>
        <w:t xml:space="preserve"> </w:t>
      </w:r>
      <w:r>
        <w:rPr>
          <w:rFonts w:ascii="Times New Roman" w:eastAsia="Times New Roman" w:hAnsi="Times New Roman" w:cs="Times New Roman"/>
          <w:b w:val="0"/>
          <w:i w:val="0"/>
          <w:color w:val="000000"/>
          <w:sz w:val="20"/>
          <w:u w:val="none"/>
        </w:rPr>
        <w:t>(in thousands)</w:t>
      </w:r>
      <w:r>
        <w:rPr>
          <w:rFonts w:ascii="Times New Roman" w:eastAsia="Times New Roman" w:hAnsi="Times New Roman" w:cs="Times New Roman"/>
          <w:b w:val="0"/>
          <w:i w:val="0"/>
          <w:color w:val="000000"/>
          <w:sz w:val="20"/>
          <w:u w:val="none"/>
        </w:rPr>
        <w:t>:</w:t>
      </w:r>
    </w:p>
    <w:tbl>
      <w:tblPr>
        <w:tblStyle w:val="TableNormal0"/>
        <w:tblW w:w="10260" w:type="dxa"/>
        <w:jc w:val="left"/>
        <w:tblInd w:w="0" w:type="dxa"/>
        <w:tblLayout w:type="fixed"/>
      </w:tblPr>
      <w:tblGrid>
        <w:gridCol w:w="3165"/>
        <w:gridCol w:w="2235"/>
        <w:gridCol w:w="75"/>
        <w:gridCol w:w="1545"/>
        <w:gridCol w:w="75"/>
        <w:gridCol w:w="1545"/>
        <w:gridCol w:w="75"/>
        <w:gridCol w:w="1545"/>
      </w:tblGrid>
      <w:tr>
        <w:tblPrEx>
          <w:tblW w:w="10260" w:type="dxa"/>
          <w:tblInd w:w="0" w:type="dxa"/>
          <w:tblLayout w:type="fixed"/>
        </w:tblPrEx>
        <w:trPr>
          <w:trHeight w:hRule="exact" w:val="465"/>
        </w:trPr>
        <w:tc>
          <w:tcPr>
            <w:tcW w:w="3165" w:type="dxa"/>
            <w:tcBorders>
              <w:top w:val="nil"/>
              <w:left w:val="nil"/>
              <w:bottom w:val="nil"/>
              <w:right w:val="nil"/>
            </w:tcBorders>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 </w:t>
            </w:r>
          </w:p>
        </w:tc>
        <w:tc>
          <w:tcPr>
            <w:tcW w:w="223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Maturity</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54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Cash Interest Rate</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54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March 31, 2026</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54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December 31, 2025</w:t>
            </w:r>
          </w:p>
        </w:tc>
      </w:tr>
      <w:tr>
        <w:tblPrEx>
          <w:tblW w:w="10260" w:type="dxa"/>
          <w:tblInd w:w="0" w:type="dxa"/>
          <w:tblLayout w:type="fixed"/>
        </w:tblPrEx>
        <w:trPr>
          <w:trHeight w:hRule="exact" w:val="495"/>
        </w:trPr>
        <w:tc>
          <w:tcPr>
            <w:tcW w:w="316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numPr>
                <w:ilvl w:val="0"/>
                <w:numId w:val="0"/>
              </w:numPr>
              <w:spacing w:before="33" w:after="30" w:line="240" w:lineRule="auto"/>
              <w:ind w:left="0" w:right="0" w:firstLine="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Notes Payable – Acquisitions</w:t>
            </w:r>
            <w:r>
              <w:rPr>
                <w:rFonts w:ascii="Times New Roman" w:eastAsia="Times New Roman" w:hAnsi="Times New Roman" w:cs="Times New Roman"/>
                <w:b w:val="0"/>
                <w:i w:val="0"/>
                <w:sz w:val="20"/>
                <w:vertAlign w:val="superscript"/>
              </w:rPr>
              <w:t>(1)</w:t>
            </w:r>
          </w:p>
        </w:tc>
        <w:tc>
          <w:tcPr>
            <w:tcW w:w="2235" w:type="dxa"/>
            <w:tcBorders>
              <w:top w:val="single" w:sz="8" w:space="0" w:color="000000"/>
              <w:left w:val="nil"/>
              <w:bottom w:val="nil"/>
              <w:right w:val="nil"/>
            </w:tcBorders>
            <w:shd w:val="clear" w:color="auto" w:fill="CCEEFF"/>
            <w:tcMar>
              <w:top w:w="0" w:type="dxa"/>
              <w:left w:w="53" w:type="dxa"/>
              <w:bottom w:w="0" w:type="dxa"/>
              <w:right w:w="53" w:type="dxa"/>
            </w:tcMar>
            <w:vAlign w:val="bottom"/>
          </w:tcPr>
          <w:p>
            <w:pPr>
              <w:keepNext/>
              <w:pageBreakBefore w:val="0"/>
              <w:spacing w:before="33" w:after="30" w:line="240" w:lineRule="auto"/>
              <w:jc w:val="center"/>
            </w:pPr>
            <w:r>
              <w:rPr>
                <w:rFonts w:ascii="Times New Roman" w:eastAsia="Times New Roman" w:hAnsi="Times New Roman" w:cs="Times New Roman"/>
                <w:b w:val="0"/>
                <w:i w:val="0"/>
                <w:color w:val="000000"/>
                <w:sz w:val="20"/>
                <w:u w:val="none"/>
              </w:rPr>
              <w:t>08/19/2026 - 07/01/29</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545" w:type="dxa"/>
            <w:tcBorders>
              <w:top w:val="single" w:sz="8" w:space="0" w:color="000000"/>
              <w:left w:val="nil"/>
              <w:bottom w:val="nil"/>
              <w:right w:val="nil"/>
            </w:tcBorders>
            <w:shd w:val="clear" w:color="auto" w:fill="CCEEFF"/>
            <w:tcMar>
              <w:top w:w="0" w:type="dxa"/>
              <w:left w:w="53" w:type="dxa"/>
              <w:bottom w:w="0" w:type="dxa"/>
              <w:right w:w="53" w:type="dxa"/>
            </w:tcMar>
            <w:vAlign w:val="bottom"/>
          </w:tcPr>
          <w:p>
            <w:pPr>
              <w:keepNext/>
              <w:pageBreakBefore w:val="0"/>
              <w:numPr>
                <w:ilvl w:val="0"/>
                <w:numId w:val="0"/>
              </w:numPr>
              <w:spacing w:before="33" w:after="30" w:line="240" w:lineRule="auto"/>
              <w:ind w:left="0" w:right="0" w:firstLine="0"/>
              <w:jc w:val="center"/>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color w:val="000000"/>
                <w:sz w:val="20"/>
                <w:u w:val="none"/>
              </w:rPr>
              <w:t>2.00%</w:t>
            </w:r>
            <w:r>
              <w:rPr>
                <w:rFonts w:ascii="Times New Roman" w:eastAsia="Times New Roman" w:hAnsi="Times New Roman" w:cs="Times New Roman"/>
                <w:b w:val="0"/>
                <w:i w:val="0"/>
                <w:sz w:val="20"/>
              </w:rPr>
              <w:t xml:space="preserve"> - </w:t>
            </w:r>
            <w:r>
              <w:rPr>
                <w:rFonts w:ascii="Times New Roman" w:eastAsia="Times New Roman" w:hAnsi="Times New Roman" w:cs="Times New Roman"/>
                <w:b w:val="0"/>
                <w:i w:val="0"/>
                <w:color w:val="000000"/>
                <w:sz w:val="20"/>
                <w:u w:val="none"/>
              </w:rPr>
              <w:t>4.00%</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54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862"/>
                <w:tab w:val="left" w:pos="1477"/>
              </w:tabs>
              <w:spacing w:before="33" w:after="30" w:line="240" w:lineRule="auto"/>
              <w:jc w:val="right"/>
            </w:pPr>
            <w:r>
              <w:rPr>
                <w:rFonts w:ascii="Times New Roman" w:eastAsia="Times New Roman" w:hAnsi="Times New Roman" w:cs="Times New Roman"/>
                <w:b w:val="0"/>
                <w:i w:val="0"/>
                <w:color w:val="000000"/>
                <w:sz w:val="20"/>
                <w:u w:val="none"/>
              </w:rPr>
              <w:t>$</w:t>
              <w:tab/>
              <w:t>11,701</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54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862"/>
                <w:tab w:val="left" w:pos="1477"/>
              </w:tabs>
              <w:spacing w:before="33" w:after="30" w:line="240" w:lineRule="auto"/>
              <w:jc w:val="right"/>
            </w:pPr>
            <w:r>
              <w:rPr>
                <w:rFonts w:ascii="Times New Roman" w:eastAsia="Times New Roman" w:hAnsi="Times New Roman" w:cs="Times New Roman"/>
                <w:b w:val="0"/>
                <w:i w:val="0"/>
                <w:color w:val="000000"/>
                <w:sz w:val="20"/>
                <w:u w:val="none"/>
              </w:rPr>
              <w:t>$</w:t>
              <w:tab/>
              <w:t>10,775</w:t>
              <w:tab/>
            </w:r>
          </w:p>
        </w:tc>
      </w:tr>
      <w:tr>
        <w:tblPrEx>
          <w:tblW w:w="10260" w:type="dxa"/>
          <w:tblInd w:w="0" w:type="dxa"/>
          <w:tblLayout w:type="fixed"/>
        </w:tblPrEx>
        <w:trPr>
          <w:trHeight w:hRule="exact" w:val="285"/>
        </w:trPr>
        <w:tc>
          <w:tcPr>
            <w:tcW w:w="316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Notes Payable – MidCap</w:t>
            </w:r>
          </w:p>
        </w:tc>
        <w:tc>
          <w:tcPr>
            <w:tcW w:w="223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val="0"/>
                <w:i w:val="0"/>
                <w:color w:val="000000"/>
                <w:sz w:val="20"/>
                <w:u w:val="none"/>
              </w:rPr>
              <w:t>04/30/2030</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545" w:type="dxa"/>
            <w:tcBorders>
              <w:top w:val="nil"/>
              <w:left w:val="nil"/>
              <w:bottom w:val="nil"/>
              <w:right w:val="nil"/>
            </w:tcBorders>
            <w:shd w:val="clear" w:color="auto" w:fill="FFFFFF"/>
            <w:tcMar>
              <w:top w:w="0" w:type="dxa"/>
              <w:left w:w="53" w:type="dxa"/>
              <w:bottom w:w="0" w:type="dxa"/>
              <w:right w:w="15" w:type="dxa"/>
            </w:tcMar>
            <w:vAlign w:val="bottom"/>
          </w:tcPr>
          <w:p>
            <w:pPr>
              <w:keepNext/>
              <w:pageBreakBefore w:val="0"/>
              <w:spacing w:before="53" w:after="30" w:line="240" w:lineRule="auto"/>
              <w:jc w:val="center"/>
            </w:pPr>
            <w:r>
              <w:rPr>
                <w:rFonts w:ascii="Times New Roman" w:eastAsia="Times New Roman" w:hAnsi="Times New Roman" w:cs="Times New Roman"/>
                <w:b w:val="0"/>
                <w:i w:val="0"/>
                <w:color w:val="000000"/>
                <w:sz w:val="20"/>
                <w:u w:val="none"/>
              </w:rPr>
              <w:t>9.04%</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54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862"/>
                <w:tab w:val="left" w:pos="1477"/>
              </w:tabs>
              <w:spacing w:before="53" w:after="30" w:line="240" w:lineRule="auto"/>
              <w:jc w:val="right"/>
            </w:pPr>
            <w:r>
              <w:rPr>
                <w:rFonts w:ascii="Times New Roman" w:eastAsia="Times New Roman" w:hAnsi="Times New Roman" w:cs="Times New Roman"/>
                <w:b w:val="0"/>
                <w:i w:val="0"/>
                <w:color w:val="000000"/>
                <w:sz w:val="20"/>
                <w:u w:val="none"/>
              </w:rPr>
              <w:tab/>
              <w:t>60,000</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54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862"/>
                <w:tab w:val="left" w:pos="1477"/>
              </w:tabs>
              <w:spacing w:before="53" w:after="30" w:line="240" w:lineRule="auto"/>
              <w:jc w:val="right"/>
            </w:pPr>
            <w:r>
              <w:rPr>
                <w:rFonts w:ascii="Times New Roman" w:eastAsia="Times New Roman" w:hAnsi="Times New Roman" w:cs="Times New Roman"/>
                <w:b w:val="0"/>
                <w:i w:val="0"/>
                <w:color w:val="000000"/>
                <w:sz w:val="20"/>
                <w:u w:val="none"/>
              </w:rPr>
              <w:tab/>
              <w:t>60,000</w:t>
              <w:tab/>
            </w:r>
          </w:p>
        </w:tc>
      </w:tr>
      <w:tr>
        <w:tblPrEx>
          <w:tblW w:w="10260" w:type="dxa"/>
          <w:tblInd w:w="0" w:type="dxa"/>
          <w:tblLayout w:type="fixed"/>
        </w:tblPrEx>
        <w:trPr>
          <w:trHeight w:hRule="exact" w:val="285"/>
        </w:trPr>
        <w:tc>
          <w:tcPr>
            <w:tcW w:w="3165" w:type="dxa"/>
            <w:tcBorders>
              <w:top w:val="nil"/>
              <w:left w:val="nil"/>
              <w:bottom w:val="nil"/>
              <w:right w:val="nil"/>
            </w:tcBorders>
            <w:shd w:val="clear" w:color="auto" w:fill="CCEEFF"/>
            <w:tcMar>
              <w:top w:w="0" w:type="dxa"/>
              <w:left w:w="53" w:type="dxa"/>
              <w:bottom w:w="0" w:type="dxa"/>
              <w:right w:w="53" w:type="dxa"/>
            </w:tcMar>
            <w:vAlign w:val="bottom"/>
          </w:tcPr>
          <w:p>
            <w:pPr>
              <w:pageBreakBefore w:val="0"/>
              <w:spacing w:before="33" w:after="30" w:line="240" w:lineRule="auto"/>
              <w:jc w:val="left"/>
            </w:pPr>
            <w:r>
              <w:rPr>
                <w:rFonts w:ascii="Times New Roman" w:eastAsia="Times New Roman" w:hAnsi="Times New Roman" w:cs="Times New Roman"/>
                <w:b w:val="0"/>
                <w:i w:val="0"/>
                <w:color w:val="000000"/>
                <w:sz w:val="20"/>
                <w:u w:val="none"/>
              </w:rPr>
              <w:t>Gross Notes Payable</w:t>
            </w:r>
          </w:p>
        </w:tc>
        <w:tc>
          <w:tcPr>
            <w:tcW w:w="2235"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pPr>
          </w:p>
        </w:tc>
        <w:tc>
          <w:tcPr>
            <w:tcW w:w="1545" w:type="dxa"/>
            <w:tcBorders>
              <w:top w:val="nil"/>
              <w:left w:val="nil"/>
              <w:bottom w:val="nil"/>
              <w:right w:val="nil"/>
            </w:tcBorders>
            <w:shd w:val="clear" w:color="auto" w:fill="CCEEFF"/>
            <w:tcMar>
              <w:top w:w="0" w:type="dxa"/>
              <w:left w:w="53" w:type="dxa"/>
              <w:bottom w:w="0" w:type="dxa"/>
              <w:right w:w="53" w:type="dxa"/>
            </w:tcMar>
            <w:vAlign w:val="bottom"/>
          </w:tcPr>
          <w:p>
            <w:pPr>
              <w:pageBreakBefore w:val="0"/>
              <w:spacing w:before="33" w:after="30" w:line="240" w:lineRule="auto"/>
              <w:jc w:val="left"/>
            </w:pPr>
            <w:r>
              <w:rPr>
                <w:rFonts w:ascii="Times New Roman" w:eastAsia="Times New Roman" w:hAnsi="Times New Roman" w:cs="Times New Roman"/>
                <w:b w:val="0"/>
                <w:i w:val="0"/>
                <w:color w:val="000000"/>
                <w:sz w:val="20"/>
                <w:u w:val="none"/>
              </w:rPr>
              <w:t> </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pPr>
          </w:p>
        </w:tc>
        <w:tc>
          <w:tcPr>
            <w:tcW w:w="154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862"/>
                <w:tab w:val="left" w:pos="1477"/>
              </w:tabs>
              <w:spacing w:before="33" w:after="30" w:line="240" w:lineRule="auto"/>
              <w:jc w:val="right"/>
            </w:pPr>
            <w:r>
              <w:rPr>
                <w:rFonts w:ascii="Times New Roman" w:eastAsia="Times New Roman" w:hAnsi="Times New Roman" w:cs="Times New Roman"/>
                <w:b w:val="0"/>
                <w:i w:val="0"/>
                <w:color w:val="000000"/>
                <w:sz w:val="20"/>
                <w:u w:val="none"/>
              </w:rPr>
              <w:t>$</w:t>
              <w:tab/>
              <w:t>71,701</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pPr>
          </w:p>
        </w:tc>
        <w:tc>
          <w:tcPr>
            <w:tcW w:w="154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862"/>
                <w:tab w:val="left" w:pos="1477"/>
              </w:tabs>
              <w:spacing w:before="33" w:after="30" w:line="240" w:lineRule="auto"/>
              <w:jc w:val="right"/>
            </w:pPr>
            <w:r>
              <w:rPr>
                <w:rFonts w:ascii="Times New Roman" w:eastAsia="Times New Roman" w:hAnsi="Times New Roman" w:cs="Times New Roman"/>
                <w:b w:val="0"/>
                <w:i w:val="0"/>
                <w:color w:val="000000"/>
                <w:sz w:val="20"/>
                <w:u w:val="none"/>
              </w:rPr>
              <w:t>$</w:t>
              <w:tab/>
              <w:t>70,775</w:t>
              <w:tab/>
            </w:r>
          </w:p>
        </w:tc>
      </w:tr>
    </w:tbl>
    <w:p>
      <w:pPr>
        <w:keepNext w:val="0"/>
        <w:keepLines/>
        <w:pageBreakBefore w:val="0"/>
        <w:widowControl w:val="0"/>
        <w:numPr>
          <w:ilvl w:val="0"/>
          <w:numId w:val="15"/>
        </w:numPr>
        <w:spacing w:before="0" w:after="0" w:line="288" w:lineRule="auto"/>
        <w:ind w:left="720" w:right="0" w:hanging="720"/>
        <w:jc w:val="left"/>
        <w:outlineLvl w:val="9"/>
        <w:rPr>
          <w:rFonts w:ascii="Times New Roman" w:eastAsia="Times New Roman" w:hAnsi="Times New Roman" w:cs="Times New Roman"/>
          <w:b w:val="0"/>
          <w:i w:val="0"/>
          <w:color w:val="000000"/>
          <w:sz w:val="16"/>
          <w:u w:val="none"/>
        </w:rPr>
      </w:pPr>
      <w:r>
        <w:rPr>
          <w:rFonts w:ascii="Times New Roman" w:eastAsia="Times New Roman" w:hAnsi="Times New Roman" w:cs="Times New Roman"/>
          <w:b w:val="0"/>
          <w:i w:val="0"/>
          <w:color w:val="000000"/>
          <w:sz w:val="16"/>
          <w:u w:val="none"/>
        </w:rPr>
        <w:t xml:space="preserve">See </w:t>
      </w:r>
      <w:r>
        <w:rPr>
          <w:rFonts w:ascii="Times New Roman" w:eastAsia="Times New Roman" w:hAnsi="Times New Roman" w:cs="Times New Roman"/>
          <w:b w:val="0"/>
          <w:i/>
          <w:color w:val="000000"/>
          <w:sz w:val="16"/>
          <w:u w:val="none"/>
        </w:rPr>
        <w:t>Note 3 — Business Combinations and Asset Acquisitions</w:t>
      </w:r>
      <w:r>
        <w:rPr>
          <w:rFonts w:ascii="Times New Roman" w:eastAsia="Times New Roman" w:hAnsi="Times New Roman" w:cs="Times New Roman"/>
          <w:b w:val="0"/>
          <w:i w:val="0"/>
          <w:color w:val="000000"/>
          <w:sz w:val="16"/>
          <w:u w:val="none"/>
        </w:rPr>
        <w:t xml:space="preserve"> and  </w:t>
      </w:r>
      <w:r>
        <w:rPr>
          <w:rFonts w:ascii="Times New Roman" w:eastAsia="Times New Roman" w:hAnsi="Times New Roman" w:cs="Times New Roman"/>
          <w:b w:val="0"/>
          <w:i/>
          <w:color w:val="000000"/>
          <w:sz w:val="16"/>
          <w:u w:val="none"/>
        </w:rPr>
        <w:t>Notes Payable - Acquisitions</w:t>
      </w:r>
      <w:r>
        <w:rPr>
          <w:rFonts w:ascii="Times New Roman" w:eastAsia="Times New Roman" w:hAnsi="Times New Roman" w:cs="Times New Roman"/>
          <w:b w:val="0"/>
          <w:i w:val="0"/>
          <w:color w:val="000000"/>
          <w:sz w:val="16"/>
          <w:u w:val="none"/>
        </w:rPr>
        <w:t xml:space="preserve"> section below for further discussion regarding the notes payable related to acquisitions.</w:t>
      </w:r>
    </w:p>
    <w:p>
      <w:pPr>
        <w:keepNext w:val="0"/>
        <w:keepLines/>
        <w:pageBreakBefore w:val="0"/>
        <w:widowControl w:val="0"/>
        <w:numPr>
          <w:ilvl w:val="0"/>
          <w:numId w:val="0"/>
        </w:numPr>
        <w:spacing w:before="0" w:after="0" w:line="288" w:lineRule="auto"/>
        <w:ind w:left="0" w:right="0" w:hanging="360"/>
        <w:jc w:val="left"/>
        <w:outlineLvl w:val="9"/>
        <w:rPr>
          <w:rFonts w:ascii="Times New Roman" w:eastAsia="Times New Roman" w:hAnsi="Times New Roman" w:cs="Times New Roman"/>
          <w:b w:val="0"/>
          <w:i w:val="0"/>
          <w:color w:val="000000"/>
          <w:sz w:val="20"/>
          <w:u w:val="none"/>
        </w:rPr>
      </w:pP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The following table summarizes the debt issuance costs as of the dates indicated (in thousands):</w:t>
      </w:r>
    </w:p>
    <w:tbl>
      <w:tblPr>
        <w:tblStyle w:val="TableNormal0"/>
        <w:tblW w:w="10260" w:type="dxa"/>
        <w:jc w:val="left"/>
        <w:tblInd w:w="0" w:type="dxa"/>
        <w:tblLayout w:type="fixed"/>
      </w:tblPr>
      <w:tblGrid>
        <w:gridCol w:w="5115"/>
        <w:gridCol w:w="1665"/>
        <w:gridCol w:w="75"/>
        <w:gridCol w:w="1665"/>
        <w:gridCol w:w="75"/>
        <w:gridCol w:w="1665"/>
      </w:tblGrid>
      <w:tr>
        <w:tblPrEx>
          <w:tblW w:w="10260" w:type="dxa"/>
          <w:tblInd w:w="0" w:type="dxa"/>
          <w:tblLayout w:type="fixed"/>
        </w:tblPrEx>
        <w:trPr>
          <w:trHeight w:hRule="exact" w:val="675"/>
        </w:trPr>
        <w:tc>
          <w:tcPr>
            <w:tcW w:w="5115" w:type="dxa"/>
            <w:tcBorders>
              <w:top w:val="nil"/>
              <w:left w:val="nil"/>
              <w:bottom w:val="nil"/>
              <w:right w:val="nil"/>
            </w:tcBorders>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 </w:t>
            </w:r>
          </w:p>
        </w:tc>
        <w:tc>
          <w:tcPr>
            <w:tcW w:w="166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Gross Notes Payable</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66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Debt Issuance Costs and Debt Discount</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66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Net Notes Payable</w:t>
            </w:r>
          </w:p>
        </w:tc>
      </w:tr>
      <w:tr>
        <w:tblPrEx>
          <w:tblW w:w="10260" w:type="dxa"/>
          <w:tblInd w:w="0" w:type="dxa"/>
          <w:tblLayout w:type="fixed"/>
        </w:tblPrEx>
        <w:trPr>
          <w:trHeight w:hRule="exact" w:val="300"/>
        </w:trPr>
        <w:tc>
          <w:tcPr>
            <w:tcW w:w="511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33" w:after="30" w:line="240" w:lineRule="auto"/>
              <w:jc w:val="left"/>
            </w:pPr>
            <w:r>
              <w:rPr>
                <w:rFonts w:ascii="Times New Roman" w:eastAsia="Times New Roman" w:hAnsi="Times New Roman" w:cs="Times New Roman"/>
                <w:b/>
                <w:i w:val="0"/>
                <w:color w:val="000000"/>
                <w:sz w:val="20"/>
                <w:u w:val="none"/>
              </w:rPr>
              <w:t>March 31, 2026</w:t>
            </w:r>
          </w:p>
        </w:tc>
        <w:tc>
          <w:tcPr>
            <w:tcW w:w="1665" w:type="dxa"/>
            <w:tcBorders>
              <w:top w:val="sing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665" w:type="dxa"/>
            <w:tcBorders>
              <w:top w:val="sing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665" w:type="dxa"/>
            <w:tcBorders>
              <w:top w:val="sing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r>
      <w:tr>
        <w:tblPrEx>
          <w:tblW w:w="10260" w:type="dxa"/>
          <w:tblInd w:w="0" w:type="dxa"/>
          <w:tblLayout w:type="fixed"/>
        </w:tblPrEx>
        <w:trPr>
          <w:trHeight w:hRule="exact" w:val="300"/>
        </w:trPr>
        <w:tc>
          <w:tcPr>
            <w:tcW w:w="511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Current portion of notes payable</w:t>
            </w:r>
          </w:p>
        </w:tc>
        <w:tc>
          <w:tcPr>
            <w:tcW w:w="166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082"/>
                <w:tab w:val="left" w:pos="1597"/>
              </w:tabs>
              <w:spacing w:before="53" w:after="30" w:line="240" w:lineRule="auto"/>
              <w:jc w:val="right"/>
            </w:pPr>
            <w:r>
              <w:rPr>
                <w:rFonts w:ascii="Times New Roman" w:eastAsia="Times New Roman" w:hAnsi="Times New Roman" w:cs="Times New Roman"/>
                <w:b w:val="0"/>
                <w:i w:val="0"/>
                <w:color w:val="000000"/>
                <w:sz w:val="20"/>
                <w:u w:val="none"/>
              </w:rPr>
              <w:t>$</w:t>
              <w:tab/>
              <w:t>6,980</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66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146"/>
              </w:tabs>
              <w:spacing w:before="53" w:after="30" w:line="240" w:lineRule="auto"/>
              <w:jc w:val="right"/>
            </w:pPr>
            <w:r>
              <w:rPr>
                <w:rFonts w:ascii="Times New Roman" w:eastAsia="Times New Roman" w:hAnsi="Times New Roman" w:cs="Times New Roman"/>
                <w:b w:val="0"/>
                <w:i w:val="0"/>
                <w:color w:val="000000"/>
                <w:sz w:val="20"/>
                <w:u w:val="none"/>
              </w:rPr>
              <w:t>$</w:t>
              <w:tab/>
              <w:t>(493)</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66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082"/>
                <w:tab w:val="left" w:pos="1597"/>
              </w:tabs>
              <w:spacing w:before="53" w:after="30" w:line="240" w:lineRule="auto"/>
              <w:jc w:val="right"/>
            </w:pPr>
            <w:r>
              <w:rPr>
                <w:rFonts w:ascii="Times New Roman" w:eastAsia="Times New Roman" w:hAnsi="Times New Roman" w:cs="Times New Roman"/>
                <w:b w:val="0"/>
                <w:i w:val="0"/>
                <w:color w:val="000000"/>
                <w:sz w:val="20"/>
                <w:u w:val="none"/>
              </w:rPr>
              <w:t>$</w:t>
              <w:tab/>
              <w:t>6,487</w:t>
              <w:tab/>
            </w:r>
          </w:p>
        </w:tc>
      </w:tr>
      <w:tr>
        <w:tblPrEx>
          <w:tblW w:w="10260" w:type="dxa"/>
          <w:tblInd w:w="0" w:type="dxa"/>
          <w:tblLayout w:type="fixed"/>
        </w:tblPrEx>
        <w:trPr>
          <w:trHeight w:hRule="exact" w:val="300"/>
        </w:trPr>
        <w:tc>
          <w:tcPr>
            <w:tcW w:w="511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Notes payable, net of current portion</w:t>
            </w:r>
          </w:p>
        </w:tc>
        <w:tc>
          <w:tcPr>
            <w:tcW w:w="166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982"/>
                <w:tab w:val="left" w:pos="1597"/>
              </w:tabs>
              <w:spacing w:before="53" w:after="30" w:line="240" w:lineRule="auto"/>
              <w:jc w:val="right"/>
            </w:pPr>
            <w:r>
              <w:rPr>
                <w:rFonts w:ascii="Times New Roman" w:eastAsia="Times New Roman" w:hAnsi="Times New Roman" w:cs="Times New Roman"/>
                <w:b w:val="0"/>
                <w:i w:val="0"/>
                <w:color w:val="000000"/>
                <w:sz w:val="20"/>
                <w:u w:val="none"/>
              </w:rPr>
              <w:tab/>
              <w:t>64,721</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66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996"/>
              </w:tabs>
              <w:spacing w:before="53" w:after="30" w:line="240" w:lineRule="auto"/>
              <w:jc w:val="right"/>
            </w:pPr>
            <w:r>
              <w:rPr>
                <w:rFonts w:ascii="Times New Roman" w:eastAsia="Times New Roman" w:hAnsi="Times New Roman" w:cs="Times New Roman"/>
                <w:b w:val="0"/>
                <w:i w:val="0"/>
                <w:color w:val="000000"/>
                <w:sz w:val="20"/>
                <w:u w:val="none"/>
              </w:rPr>
              <w:tab/>
              <w:t>(2,375)</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66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982"/>
                <w:tab w:val="left" w:pos="1597"/>
              </w:tabs>
              <w:spacing w:before="53" w:after="30" w:line="240" w:lineRule="auto"/>
              <w:jc w:val="right"/>
            </w:pPr>
            <w:r>
              <w:rPr>
                <w:rFonts w:ascii="Times New Roman" w:eastAsia="Times New Roman" w:hAnsi="Times New Roman" w:cs="Times New Roman"/>
                <w:b w:val="0"/>
                <w:i w:val="0"/>
                <w:color w:val="000000"/>
                <w:sz w:val="20"/>
                <w:u w:val="none"/>
              </w:rPr>
              <w:tab/>
              <w:t>62,346</w:t>
              <w:tab/>
            </w:r>
          </w:p>
        </w:tc>
      </w:tr>
      <w:tr>
        <w:tblPrEx>
          <w:tblW w:w="10260" w:type="dxa"/>
          <w:tblInd w:w="0" w:type="dxa"/>
          <w:tblLayout w:type="fixed"/>
        </w:tblPrEx>
        <w:trPr>
          <w:trHeight w:hRule="exact" w:val="285"/>
        </w:trPr>
        <w:tc>
          <w:tcPr>
            <w:tcW w:w="511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Total</w:t>
            </w:r>
          </w:p>
        </w:tc>
        <w:tc>
          <w:tcPr>
            <w:tcW w:w="166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keepNext/>
              <w:pageBreakBefore w:val="0"/>
              <w:tabs>
                <w:tab w:val="left" w:pos="982"/>
                <w:tab w:val="left" w:pos="1597"/>
              </w:tabs>
              <w:spacing w:before="33" w:after="30" w:line="240" w:lineRule="auto"/>
              <w:jc w:val="right"/>
            </w:pPr>
            <w:r>
              <w:rPr>
                <w:rFonts w:ascii="Times New Roman" w:eastAsia="Times New Roman" w:hAnsi="Times New Roman" w:cs="Times New Roman"/>
                <w:b w:val="0"/>
                <w:i w:val="0"/>
                <w:color w:val="000000"/>
                <w:sz w:val="20"/>
                <w:u w:val="none"/>
              </w:rPr>
              <w:t>$</w:t>
              <w:tab/>
              <w:t>71,701</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66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keepNext/>
              <w:pageBreakBefore w:val="0"/>
              <w:tabs>
                <w:tab w:val="left" w:pos="996"/>
              </w:tabs>
              <w:spacing w:before="33" w:after="30" w:line="240" w:lineRule="auto"/>
              <w:jc w:val="right"/>
            </w:pPr>
            <w:r>
              <w:rPr>
                <w:rFonts w:ascii="Times New Roman" w:eastAsia="Times New Roman" w:hAnsi="Times New Roman" w:cs="Times New Roman"/>
                <w:b w:val="0"/>
                <w:i w:val="0"/>
                <w:color w:val="000000"/>
                <w:sz w:val="20"/>
                <w:u w:val="none"/>
              </w:rPr>
              <w:t>$</w:t>
              <w:tab/>
              <w:t>(2,868)</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66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keepNext/>
              <w:pageBreakBefore w:val="0"/>
              <w:tabs>
                <w:tab w:val="left" w:pos="982"/>
                <w:tab w:val="left" w:pos="1597"/>
              </w:tabs>
              <w:spacing w:before="33" w:after="30" w:line="240" w:lineRule="auto"/>
              <w:jc w:val="right"/>
            </w:pPr>
            <w:r>
              <w:rPr>
                <w:rFonts w:ascii="Times New Roman" w:eastAsia="Times New Roman" w:hAnsi="Times New Roman" w:cs="Times New Roman"/>
                <w:b w:val="0"/>
                <w:i w:val="0"/>
                <w:color w:val="000000"/>
                <w:sz w:val="20"/>
                <w:u w:val="none"/>
              </w:rPr>
              <w:t>$</w:t>
              <w:tab/>
              <w:t>68,833</w:t>
              <w:tab/>
            </w:r>
          </w:p>
        </w:tc>
      </w:tr>
      <w:tr>
        <w:tblPrEx>
          <w:tblW w:w="10260" w:type="dxa"/>
          <w:tblInd w:w="0" w:type="dxa"/>
          <w:tblLayout w:type="fixed"/>
        </w:tblPrEx>
        <w:trPr>
          <w:trHeight w:hRule="exact" w:val="285"/>
        </w:trPr>
        <w:tc>
          <w:tcPr>
            <w:tcW w:w="511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665" w:type="dxa"/>
            <w:tcBorders>
              <w:top w:val="doub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665" w:type="dxa"/>
            <w:tcBorders>
              <w:top w:val="doub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665" w:type="dxa"/>
            <w:tcBorders>
              <w:top w:val="doub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r>
      <w:tr>
        <w:tblPrEx>
          <w:tblW w:w="10260" w:type="dxa"/>
          <w:tblInd w:w="0" w:type="dxa"/>
          <w:tblLayout w:type="fixed"/>
        </w:tblPrEx>
        <w:trPr>
          <w:trHeight w:hRule="exact" w:val="285"/>
        </w:trPr>
        <w:tc>
          <w:tcPr>
            <w:tcW w:w="511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i w:val="0"/>
                <w:color w:val="000000"/>
                <w:sz w:val="20"/>
                <w:u w:val="none"/>
              </w:rPr>
              <w:t>December 31, 2025</w:t>
            </w:r>
          </w:p>
        </w:tc>
        <w:tc>
          <w:tcPr>
            <w:tcW w:w="166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66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66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r>
      <w:tr>
        <w:tblPrEx>
          <w:tblW w:w="10260" w:type="dxa"/>
          <w:tblInd w:w="0" w:type="dxa"/>
          <w:tblLayout w:type="fixed"/>
        </w:tblPrEx>
        <w:trPr>
          <w:trHeight w:hRule="exact" w:val="285"/>
        </w:trPr>
        <w:tc>
          <w:tcPr>
            <w:tcW w:w="511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Current portion of notes payable</w:t>
            </w:r>
          </w:p>
        </w:tc>
        <w:tc>
          <w:tcPr>
            <w:tcW w:w="166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082"/>
                <w:tab w:val="left" w:pos="1597"/>
              </w:tabs>
              <w:spacing w:before="53" w:after="30" w:line="240" w:lineRule="auto"/>
              <w:jc w:val="right"/>
            </w:pPr>
            <w:r>
              <w:rPr>
                <w:rFonts w:ascii="Times New Roman" w:eastAsia="Times New Roman" w:hAnsi="Times New Roman" w:cs="Times New Roman"/>
                <w:b w:val="0"/>
                <w:i w:val="0"/>
                <w:color w:val="000000"/>
                <w:sz w:val="20"/>
                <w:u w:val="none"/>
              </w:rPr>
              <w:t>$</w:t>
              <w:tab/>
              <w:t>4,834</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66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146"/>
              </w:tabs>
              <w:spacing w:before="53" w:after="30" w:line="240" w:lineRule="auto"/>
              <w:jc w:val="right"/>
            </w:pPr>
            <w:r>
              <w:rPr>
                <w:rFonts w:ascii="Times New Roman" w:eastAsia="Times New Roman" w:hAnsi="Times New Roman" w:cs="Times New Roman"/>
                <w:b w:val="0"/>
                <w:i w:val="0"/>
                <w:color w:val="000000"/>
                <w:sz w:val="20"/>
                <w:u w:val="none"/>
              </w:rPr>
              <w:t>$</w:t>
              <w:tab/>
              <w:t>(490)</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66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082"/>
                <w:tab w:val="left" w:pos="1597"/>
              </w:tabs>
              <w:spacing w:before="53" w:after="30" w:line="240" w:lineRule="auto"/>
              <w:jc w:val="right"/>
            </w:pPr>
            <w:r>
              <w:rPr>
                <w:rFonts w:ascii="Times New Roman" w:eastAsia="Times New Roman" w:hAnsi="Times New Roman" w:cs="Times New Roman"/>
                <w:b w:val="0"/>
                <w:i w:val="0"/>
                <w:color w:val="000000"/>
                <w:sz w:val="20"/>
                <w:u w:val="none"/>
              </w:rPr>
              <w:t>$</w:t>
              <w:tab/>
              <w:t>4,344</w:t>
              <w:tab/>
            </w:r>
          </w:p>
        </w:tc>
      </w:tr>
      <w:tr>
        <w:tblPrEx>
          <w:tblW w:w="10260" w:type="dxa"/>
          <w:tblInd w:w="0" w:type="dxa"/>
          <w:tblLayout w:type="fixed"/>
        </w:tblPrEx>
        <w:trPr>
          <w:trHeight w:hRule="exact" w:val="285"/>
        </w:trPr>
        <w:tc>
          <w:tcPr>
            <w:tcW w:w="511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Notes payable, net of current portion</w:t>
            </w:r>
          </w:p>
        </w:tc>
        <w:tc>
          <w:tcPr>
            <w:tcW w:w="166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982"/>
                <w:tab w:val="left" w:pos="1597"/>
              </w:tabs>
              <w:spacing w:before="53" w:after="30" w:line="240" w:lineRule="auto"/>
              <w:jc w:val="right"/>
            </w:pPr>
            <w:r>
              <w:rPr>
                <w:rFonts w:ascii="Times New Roman" w:eastAsia="Times New Roman" w:hAnsi="Times New Roman" w:cs="Times New Roman"/>
                <w:b w:val="0"/>
                <w:i w:val="0"/>
                <w:color w:val="000000"/>
                <w:sz w:val="20"/>
                <w:u w:val="none"/>
              </w:rPr>
              <w:tab/>
              <w:t>65,941</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66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996"/>
              </w:tabs>
              <w:spacing w:before="53" w:after="30" w:line="240" w:lineRule="auto"/>
              <w:jc w:val="right"/>
            </w:pPr>
            <w:r>
              <w:rPr>
                <w:rFonts w:ascii="Times New Roman" w:eastAsia="Times New Roman" w:hAnsi="Times New Roman" w:cs="Times New Roman"/>
                <w:b w:val="0"/>
                <w:i w:val="0"/>
                <w:color w:val="000000"/>
                <w:sz w:val="20"/>
                <w:u w:val="none"/>
              </w:rPr>
              <w:tab/>
              <w:t>(2,659)</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66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982"/>
                <w:tab w:val="left" w:pos="1597"/>
              </w:tabs>
              <w:spacing w:before="53" w:after="30" w:line="240" w:lineRule="auto"/>
              <w:jc w:val="right"/>
            </w:pPr>
            <w:r>
              <w:rPr>
                <w:rFonts w:ascii="Times New Roman" w:eastAsia="Times New Roman" w:hAnsi="Times New Roman" w:cs="Times New Roman"/>
                <w:b w:val="0"/>
                <w:i w:val="0"/>
                <w:color w:val="000000"/>
                <w:sz w:val="20"/>
                <w:u w:val="none"/>
              </w:rPr>
              <w:tab/>
              <w:t>63,282</w:t>
              <w:tab/>
            </w:r>
          </w:p>
        </w:tc>
      </w:tr>
      <w:tr>
        <w:tblPrEx>
          <w:tblW w:w="10260" w:type="dxa"/>
          <w:tblInd w:w="0" w:type="dxa"/>
          <w:tblLayout w:type="fixed"/>
        </w:tblPrEx>
        <w:trPr>
          <w:trHeight w:hRule="exact" w:val="285"/>
        </w:trPr>
        <w:tc>
          <w:tcPr>
            <w:tcW w:w="5115" w:type="dxa"/>
            <w:tcBorders>
              <w:top w:val="nil"/>
              <w:left w:val="nil"/>
              <w:bottom w:val="nil"/>
              <w:right w:val="nil"/>
            </w:tcBorders>
            <w:shd w:val="clear" w:color="auto" w:fill="CCEEFF"/>
            <w:tcMar>
              <w:top w:w="0" w:type="dxa"/>
              <w:left w:w="53" w:type="dxa"/>
              <w:bottom w:w="0" w:type="dxa"/>
              <w:right w:w="53" w:type="dxa"/>
            </w:tcMar>
            <w:vAlign w:val="bottom"/>
          </w:tcPr>
          <w:p>
            <w:pPr>
              <w:pageBreakBefore w:val="0"/>
              <w:spacing w:before="33" w:after="30" w:line="240" w:lineRule="auto"/>
              <w:jc w:val="left"/>
            </w:pPr>
            <w:r>
              <w:rPr>
                <w:rFonts w:ascii="Times New Roman" w:eastAsia="Times New Roman" w:hAnsi="Times New Roman" w:cs="Times New Roman"/>
                <w:b w:val="0"/>
                <w:i w:val="0"/>
                <w:color w:val="000000"/>
                <w:sz w:val="20"/>
                <w:u w:val="none"/>
              </w:rPr>
              <w:t>Total</w:t>
            </w:r>
          </w:p>
        </w:tc>
        <w:tc>
          <w:tcPr>
            <w:tcW w:w="166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982"/>
                <w:tab w:val="left" w:pos="1597"/>
              </w:tabs>
              <w:spacing w:before="33" w:after="30" w:line="240" w:lineRule="auto"/>
              <w:jc w:val="right"/>
            </w:pPr>
            <w:r>
              <w:rPr>
                <w:rFonts w:ascii="Times New Roman" w:eastAsia="Times New Roman" w:hAnsi="Times New Roman" w:cs="Times New Roman"/>
                <w:b w:val="0"/>
                <w:i w:val="0"/>
                <w:color w:val="000000"/>
                <w:sz w:val="20"/>
                <w:u w:val="none"/>
              </w:rPr>
              <w:t>$</w:t>
              <w:tab/>
              <w:t>70,775</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pPr>
          </w:p>
        </w:tc>
        <w:tc>
          <w:tcPr>
            <w:tcW w:w="166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996"/>
              </w:tabs>
              <w:spacing w:before="33" w:after="30" w:line="240" w:lineRule="auto"/>
              <w:jc w:val="right"/>
            </w:pPr>
            <w:r>
              <w:rPr>
                <w:rFonts w:ascii="Times New Roman" w:eastAsia="Times New Roman" w:hAnsi="Times New Roman" w:cs="Times New Roman"/>
                <w:b w:val="0"/>
                <w:i w:val="0"/>
                <w:color w:val="000000"/>
                <w:sz w:val="20"/>
                <w:u w:val="none"/>
              </w:rPr>
              <w:t>$</w:t>
              <w:tab/>
              <w:t>(3,149)</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pPr>
          </w:p>
        </w:tc>
        <w:tc>
          <w:tcPr>
            <w:tcW w:w="166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982"/>
                <w:tab w:val="left" w:pos="1597"/>
              </w:tabs>
              <w:spacing w:before="33" w:after="30" w:line="240" w:lineRule="auto"/>
              <w:jc w:val="right"/>
            </w:pPr>
            <w:r>
              <w:rPr>
                <w:rFonts w:ascii="Times New Roman" w:eastAsia="Times New Roman" w:hAnsi="Times New Roman" w:cs="Times New Roman"/>
                <w:b w:val="0"/>
                <w:i w:val="0"/>
                <w:color w:val="000000"/>
                <w:sz w:val="20"/>
                <w:u w:val="none"/>
              </w:rPr>
              <w:t>$</w:t>
              <w:tab/>
              <w:t>67,626</w:t>
              <w:tab/>
            </w:r>
          </w:p>
        </w:tc>
      </w:tr>
    </w:tbl>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color w:val="000000"/>
          <w:sz w:val="20"/>
          <w:u w:val="none"/>
        </w:rPr>
      </w:pP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highlight w:val="white"/>
          <w:u w:val="none"/>
        </w:rPr>
      </w:pPr>
      <w:r>
        <w:rPr>
          <w:rFonts w:ascii="Times New Roman" w:eastAsia="Times New Roman" w:hAnsi="Times New Roman" w:cs="Times New Roman"/>
          <w:b w:val="0"/>
          <w:i w:val="0"/>
          <w:color w:val="000000"/>
          <w:sz w:val="20"/>
          <w:highlight w:val="white"/>
          <w:u w:val="none"/>
        </w:rPr>
        <w:t xml:space="preserve">The following table summarizes the future principal payments related to our outstanding debt </w:t>
      </w:r>
      <w:r>
        <w:rPr>
          <w:rFonts w:ascii="Times New Roman" w:eastAsia="Times New Roman" w:hAnsi="Times New Roman" w:cs="Times New Roman"/>
          <w:b w:val="0"/>
          <w:i w:val="0"/>
          <w:color w:val="000000"/>
          <w:sz w:val="20"/>
          <w:u w:val="none"/>
        </w:rPr>
        <w:t xml:space="preserve">as of </w:t>
      </w:r>
      <w:r>
        <w:rPr>
          <w:rFonts w:ascii="Times New Roman" w:eastAsia="Times New Roman" w:hAnsi="Times New Roman" w:cs="Times New Roman"/>
          <w:b w:val="0"/>
          <w:i w:val="0"/>
          <w:color w:val="000000"/>
          <w:sz w:val="20"/>
          <w:u w:val="none"/>
        </w:rPr>
        <w:t>March 31, 2026</w:t>
      </w:r>
      <w:r>
        <w:rPr>
          <w:rFonts w:ascii="Times New Roman" w:eastAsia="Times New Roman" w:hAnsi="Times New Roman" w:cs="Times New Roman"/>
          <w:b w:val="0"/>
          <w:i w:val="0"/>
          <w:color w:val="000000"/>
          <w:sz w:val="20"/>
          <w:highlight w:val="white"/>
          <w:u w:val="none"/>
        </w:rPr>
        <w:t xml:space="preserve"> (in thousands):</w:t>
      </w:r>
    </w:p>
    <w:tbl>
      <w:tblPr>
        <w:tblStyle w:val="TableNormal0"/>
        <w:tblW w:w="6270" w:type="dxa"/>
        <w:jc w:val="center"/>
        <w:tblLayout w:type="fixed"/>
      </w:tblPr>
      <w:tblGrid>
        <w:gridCol w:w="4785"/>
        <w:gridCol w:w="1485"/>
      </w:tblGrid>
      <w:tr>
        <w:tblPrEx>
          <w:tblW w:w="6270" w:type="dxa"/>
          <w:tblLayout w:type="fixed"/>
        </w:tblPrEx>
        <w:trPr>
          <w:trHeight w:hRule="exact" w:val="300"/>
        </w:trPr>
        <w:tc>
          <w:tcPr>
            <w:tcW w:w="478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2026 (Remaining)</w:t>
            </w:r>
          </w:p>
        </w:tc>
        <w:tc>
          <w:tcPr>
            <w:tcW w:w="148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902"/>
                <w:tab w:val="left" w:pos="1417"/>
              </w:tabs>
              <w:spacing w:before="53" w:after="30" w:line="240" w:lineRule="auto"/>
              <w:jc w:val="right"/>
            </w:pPr>
            <w:r>
              <w:rPr>
                <w:rFonts w:ascii="Times New Roman" w:eastAsia="Times New Roman" w:hAnsi="Times New Roman" w:cs="Times New Roman"/>
                <w:b w:val="0"/>
                <w:i w:val="0"/>
                <w:color w:val="000000"/>
                <w:sz w:val="20"/>
                <w:u w:val="none"/>
              </w:rPr>
              <w:t>$</w:t>
              <w:tab/>
              <w:t>5,760</w:t>
              <w:tab/>
            </w:r>
          </w:p>
        </w:tc>
      </w:tr>
      <w:tr>
        <w:tblPrEx>
          <w:tblW w:w="6270" w:type="dxa"/>
          <w:tblLayout w:type="fixed"/>
        </w:tblPrEx>
        <w:trPr>
          <w:trHeight w:hRule="exact" w:val="300"/>
        </w:trPr>
        <w:tc>
          <w:tcPr>
            <w:tcW w:w="478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2027</w:t>
            </w:r>
          </w:p>
        </w:tc>
        <w:tc>
          <w:tcPr>
            <w:tcW w:w="148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02"/>
                <w:tab w:val="left" w:pos="1417"/>
              </w:tabs>
              <w:spacing w:before="53" w:after="30" w:line="240" w:lineRule="auto"/>
              <w:jc w:val="right"/>
            </w:pPr>
            <w:r>
              <w:rPr>
                <w:rFonts w:ascii="Times New Roman" w:eastAsia="Times New Roman" w:hAnsi="Times New Roman" w:cs="Times New Roman"/>
                <w:b w:val="0"/>
                <w:i w:val="0"/>
                <w:color w:val="000000"/>
                <w:sz w:val="20"/>
                <w:u w:val="none"/>
              </w:rPr>
              <w:tab/>
              <w:t>4,941</w:t>
              <w:tab/>
            </w:r>
          </w:p>
        </w:tc>
      </w:tr>
      <w:tr>
        <w:tblPrEx>
          <w:tblW w:w="6270" w:type="dxa"/>
          <w:tblLayout w:type="fixed"/>
        </w:tblPrEx>
        <w:trPr>
          <w:trHeight w:hRule="exact" w:val="285"/>
        </w:trPr>
        <w:tc>
          <w:tcPr>
            <w:tcW w:w="478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2028</w:t>
            </w:r>
          </w:p>
        </w:tc>
        <w:tc>
          <w:tcPr>
            <w:tcW w:w="148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152"/>
                <w:tab w:val="left" w:pos="1417"/>
              </w:tabs>
              <w:spacing w:before="53" w:after="30" w:line="240" w:lineRule="auto"/>
              <w:jc w:val="right"/>
            </w:pPr>
            <w:r>
              <w:rPr>
                <w:rFonts w:ascii="Times New Roman" w:eastAsia="Times New Roman" w:hAnsi="Times New Roman" w:cs="Times New Roman"/>
                <w:b w:val="0"/>
                <w:i w:val="0"/>
                <w:color w:val="000000"/>
                <w:sz w:val="20"/>
                <w:u w:val="none"/>
              </w:rPr>
              <w:tab/>
              <w:t>—</w:t>
              <w:tab/>
            </w:r>
          </w:p>
        </w:tc>
      </w:tr>
      <w:tr>
        <w:tblPrEx>
          <w:tblW w:w="6270" w:type="dxa"/>
          <w:tblLayout w:type="fixed"/>
        </w:tblPrEx>
        <w:trPr>
          <w:trHeight w:hRule="exact" w:val="285"/>
        </w:trPr>
        <w:tc>
          <w:tcPr>
            <w:tcW w:w="478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2029</w:t>
            </w:r>
          </w:p>
        </w:tc>
        <w:tc>
          <w:tcPr>
            <w:tcW w:w="148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802"/>
                <w:tab w:val="left" w:pos="1417"/>
              </w:tabs>
              <w:spacing w:before="53" w:after="30" w:line="240" w:lineRule="auto"/>
              <w:jc w:val="right"/>
            </w:pPr>
            <w:r>
              <w:rPr>
                <w:rFonts w:ascii="Times New Roman" w:eastAsia="Times New Roman" w:hAnsi="Times New Roman" w:cs="Times New Roman"/>
                <w:b w:val="0"/>
                <w:i w:val="0"/>
                <w:color w:val="000000"/>
                <w:sz w:val="20"/>
                <w:u w:val="none"/>
              </w:rPr>
              <w:tab/>
              <w:t>46,000</w:t>
              <w:tab/>
            </w:r>
          </w:p>
        </w:tc>
      </w:tr>
      <w:tr>
        <w:tblPrEx>
          <w:tblW w:w="6270" w:type="dxa"/>
          <w:tblLayout w:type="fixed"/>
        </w:tblPrEx>
        <w:trPr>
          <w:trHeight w:hRule="exact" w:val="285"/>
        </w:trPr>
        <w:tc>
          <w:tcPr>
            <w:tcW w:w="478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2030</w:t>
            </w:r>
          </w:p>
        </w:tc>
        <w:tc>
          <w:tcPr>
            <w:tcW w:w="148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802"/>
                <w:tab w:val="left" w:pos="1417"/>
              </w:tabs>
              <w:spacing w:before="53" w:after="30" w:line="240" w:lineRule="auto"/>
              <w:jc w:val="right"/>
            </w:pPr>
            <w:r>
              <w:rPr>
                <w:rFonts w:ascii="Times New Roman" w:eastAsia="Times New Roman" w:hAnsi="Times New Roman" w:cs="Times New Roman"/>
                <w:b w:val="0"/>
                <w:i w:val="0"/>
                <w:color w:val="000000"/>
                <w:sz w:val="20"/>
                <w:u w:val="none"/>
              </w:rPr>
              <w:tab/>
              <w:t>15,000</w:t>
              <w:tab/>
            </w:r>
          </w:p>
        </w:tc>
      </w:tr>
      <w:tr>
        <w:tblPrEx>
          <w:tblW w:w="6270" w:type="dxa"/>
          <w:tblLayout w:type="fixed"/>
        </w:tblPrEx>
        <w:trPr>
          <w:trHeight w:hRule="exact" w:val="285"/>
        </w:trPr>
        <w:tc>
          <w:tcPr>
            <w:tcW w:w="4785" w:type="dxa"/>
            <w:tcBorders>
              <w:top w:val="nil"/>
              <w:left w:val="nil"/>
              <w:bottom w:val="nil"/>
              <w:right w:val="nil"/>
            </w:tcBorders>
            <w:shd w:val="clear" w:color="auto" w:fill="FFFFFF"/>
            <w:tcMar>
              <w:top w:w="0" w:type="dxa"/>
              <w:left w:w="53" w:type="dxa"/>
              <w:bottom w:w="0" w:type="dxa"/>
              <w:right w:w="53" w:type="dxa"/>
            </w:tcMar>
            <w:vAlign w:val="bottom"/>
          </w:tcPr>
          <w:p>
            <w:pPr>
              <w:pageBreakBefore w:val="0"/>
              <w:spacing w:before="33" w:after="30" w:line="240" w:lineRule="auto"/>
              <w:jc w:val="left"/>
            </w:pPr>
            <w:r>
              <w:rPr>
                <w:rFonts w:ascii="Times New Roman" w:eastAsia="Times New Roman" w:hAnsi="Times New Roman" w:cs="Times New Roman"/>
                <w:b w:val="0"/>
                <w:i w:val="0"/>
                <w:color w:val="000000"/>
                <w:sz w:val="20"/>
                <w:u w:val="none"/>
              </w:rPr>
              <w:t>Total</w:t>
            </w:r>
          </w:p>
        </w:tc>
        <w:tc>
          <w:tcPr>
            <w:tcW w:w="148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pageBreakBefore w:val="0"/>
              <w:tabs>
                <w:tab w:val="left" w:pos="802"/>
                <w:tab w:val="left" w:pos="1417"/>
              </w:tabs>
              <w:spacing w:before="33" w:after="30" w:line="240" w:lineRule="auto"/>
              <w:jc w:val="right"/>
            </w:pPr>
            <w:r>
              <w:rPr>
                <w:rFonts w:ascii="Times New Roman" w:eastAsia="Times New Roman" w:hAnsi="Times New Roman" w:cs="Times New Roman"/>
                <w:b w:val="0"/>
                <w:i w:val="0"/>
                <w:color w:val="000000"/>
                <w:sz w:val="20"/>
                <w:u w:val="none"/>
              </w:rPr>
              <w:t>$</w:t>
              <w:tab/>
              <w:t>71,701</w:t>
              <w:tab/>
            </w:r>
          </w:p>
        </w:tc>
      </w:tr>
    </w:tbl>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val="0"/>
          <w:i w:val="0"/>
          <w:color w:val="000000"/>
          <w:sz w:val="20"/>
          <w:u w:val="none"/>
        </w:rPr>
      </w:pP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color w:val="000000"/>
          <w:sz w:val="20"/>
          <w:highlight w:val="white"/>
          <w:u w:val="none"/>
        </w:rPr>
      </w:pPr>
      <w:r>
        <w:rPr>
          <w:rFonts w:ascii="Times New Roman" w:eastAsia="Times New Roman" w:hAnsi="Times New Roman" w:cs="Times New Roman"/>
          <w:b w:val="0"/>
          <w:i/>
          <w:color w:val="000000"/>
          <w:sz w:val="20"/>
          <w:highlight w:val="white"/>
          <w:u w:val="none"/>
        </w:rPr>
        <w:t>Notes Payable - Acquisitions</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color w:val="000000"/>
          <w:sz w:val="20"/>
          <w:highlight w:val="white"/>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highlight w:val="white"/>
          <w:u w:val="none"/>
        </w:rPr>
      </w:pPr>
      <w:r>
        <w:rPr>
          <w:rFonts w:ascii="Times New Roman" w:eastAsia="Times New Roman" w:hAnsi="Times New Roman" w:cs="Times New Roman"/>
          <w:b w:val="0"/>
          <w:i w:val="0"/>
          <w:color w:val="000000"/>
          <w:sz w:val="20"/>
          <w:highlight w:val="white"/>
          <w:u w:val="none"/>
        </w:rPr>
        <w:t xml:space="preserve">As of </w:t>
      </w:r>
      <w:r>
        <w:rPr>
          <w:rFonts w:ascii="Times New Roman" w:eastAsia="Times New Roman" w:hAnsi="Times New Roman" w:cs="Times New Roman"/>
          <w:b w:val="0"/>
          <w:i w:val="0"/>
          <w:color w:val="000000"/>
          <w:sz w:val="20"/>
          <w:u w:val="none"/>
        </w:rPr>
        <w:t>March 31, 2026</w:t>
      </w:r>
      <w:r>
        <w:rPr>
          <w:rFonts w:ascii="Times New Roman" w:eastAsia="Times New Roman" w:hAnsi="Times New Roman" w:cs="Times New Roman"/>
          <w:b w:val="0"/>
          <w:i w:val="0"/>
          <w:color w:val="000000"/>
          <w:sz w:val="20"/>
          <w:u w:val="none"/>
        </w:rPr>
        <w:t xml:space="preserve">, we have </w:t>
      </w:r>
      <w:r>
        <w:rPr>
          <w:rFonts w:ascii="Times New Roman" w:eastAsia="Times New Roman" w:hAnsi="Times New Roman" w:cs="Times New Roman"/>
          <w:b w:val="0"/>
          <w:i w:val="0"/>
          <w:color w:val="000000"/>
          <w:sz w:val="20"/>
          <w:u w:val="none"/>
        </w:rPr>
        <w:t>nine</w:t>
      </w:r>
      <w:r>
        <w:rPr>
          <w:rFonts w:ascii="Times New Roman" w:eastAsia="Times New Roman" w:hAnsi="Times New Roman" w:cs="Times New Roman"/>
          <w:b w:val="0"/>
          <w:i w:val="0"/>
          <w:color w:val="000000"/>
          <w:sz w:val="20"/>
          <w:u w:val="none"/>
        </w:rPr>
        <w:t xml:space="preserve"> promissory notes related to acquisitions that occurred during the </w:t>
      </w:r>
      <w:r>
        <w:rPr>
          <w:rFonts w:ascii="Times New Roman" w:eastAsia="Times New Roman" w:hAnsi="Times New Roman" w:cs="Times New Roman"/>
          <w:b w:val="0"/>
          <w:i w:val="0"/>
          <w:color w:val="000000"/>
          <w:sz w:val="20"/>
          <w:highlight w:val="white"/>
          <w:u w:val="none"/>
        </w:rPr>
        <w:t>three months ended March 31, 2026</w:t>
      </w:r>
      <w:r>
        <w:rPr>
          <w:rFonts w:ascii="Times New Roman" w:eastAsia="Times New Roman" w:hAnsi="Times New Roman" w:cs="Times New Roman"/>
          <w:b w:val="0"/>
          <w:i w:val="0"/>
          <w:color w:val="000000"/>
          <w:sz w:val="20"/>
          <w:u w:val="none"/>
        </w:rPr>
        <w:t xml:space="preserve"> and prior years with a combined outstanding principal balance of </w:t>
      </w:r>
      <w:r>
        <w:rPr>
          <w:rFonts w:ascii="Times New Roman" w:eastAsia="Times New Roman" w:hAnsi="Times New Roman" w:cs="Times New Roman"/>
          <w:b w:val="0"/>
          <w:i w:val="0"/>
          <w:color w:val="000000"/>
          <w:sz w:val="20"/>
          <w:u w:val="none"/>
        </w:rPr>
        <w:t>$11,701</w:t>
      </w:r>
      <w:r>
        <w:rPr>
          <w:rFonts w:ascii="Times New Roman" w:eastAsia="Times New Roman" w:hAnsi="Times New Roman" w:cs="Times New Roman"/>
          <w:b w:val="0"/>
          <w:i w:val="0"/>
          <w:color w:val="000000"/>
          <w:sz w:val="20"/>
          <w:u w:val="none"/>
        </w:rPr>
        <w:t xml:space="preserve"> and maturity dates ranging from </w:t>
      </w:r>
      <w:r>
        <w:rPr>
          <w:rFonts w:ascii="Times New Roman" w:eastAsia="Times New Roman" w:hAnsi="Times New Roman" w:cs="Times New Roman"/>
          <w:b w:val="0"/>
          <w:i w:val="0"/>
          <w:color w:val="000000"/>
          <w:sz w:val="20"/>
          <w:u w:val="none"/>
        </w:rPr>
        <w:t>August 1, 2026</w:t>
      </w:r>
      <w:r>
        <w:rPr>
          <w:rFonts w:ascii="Times New Roman" w:eastAsia="Times New Roman" w:hAnsi="Times New Roman" w:cs="Times New Roman"/>
          <w:b w:val="0"/>
          <w:i w:val="0"/>
          <w:color w:val="000000"/>
          <w:sz w:val="20"/>
          <w:u w:val="none"/>
        </w:rPr>
        <w:t xml:space="preserve"> to </w:t>
      </w:r>
      <w:r>
        <w:rPr>
          <w:rFonts w:ascii="Times New Roman" w:eastAsia="Times New Roman" w:hAnsi="Times New Roman" w:cs="Times New Roman"/>
          <w:b w:val="0"/>
          <w:i w:val="0"/>
          <w:color w:val="000000"/>
          <w:sz w:val="20"/>
          <w:u w:val="none"/>
        </w:rPr>
        <w:t>July 1, 2029</w:t>
      </w:r>
      <w:r>
        <w:rPr>
          <w:rFonts w:ascii="Times New Roman" w:eastAsia="Times New Roman" w:hAnsi="Times New Roman" w:cs="Times New Roman"/>
          <w:b w:val="0"/>
          <w:i w:val="0"/>
          <w:color w:val="000000"/>
          <w:sz w:val="20"/>
          <w:u w:val="none"/>
        </w:rPr>
        <w:t xml:space="preserve">. All of our promissory notes related to acquisitions are subordinated to our Loan Agreement with MidCap (defined below). See Note 3 — </w:t>
      </w:r>
      <w:r>
        <w:rPr>
          <w:rFonts w:ascii="Times New Roman" w:eastAsia="Times New Roman" w:hAnsi="Times New Roman" w:cs="Times New Roman"/>
          <w:b w:val="0"/>
          <w:i/>
          <w:color w:val="000000"/>
          <w:sz w:val="20"/>
          <w:u w:val="none"/>
        </w:rPr>
        <w:t>Business Combinations and Asset Acquisitions</w:t>
      </w:r>
      <w:r>
        <w:rPr>
          <w:rFonts w:ascii="Times New Roman" w:eastAsia="Times New Roman" w:hAnsi="Times New Roman" w:cs="Times New Roman"/>
          <w:b w:val="0"/>
          <w:i w:val="0"/>
          <w:color w:val="000000"/>
          <w:sz w:val="20"/>
          <w:u w:val="none"/>
        </w:rPr>
        <w:t xml:space="preserve"> for further discussion regarding the issuance of notes payable related to acquisitions.</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 xml:space="preserve">On </w:t>
      </w:r>
      <w:r>
        <w:rPr>
          <w:rFonts w:ascii="Times New Roman" w:eastAsia="Times New Roman" w:hAnsi="Times New Roman" w:cs="Times New Roman"/>
          <w:b w:val="0"/>
          <w:i w:val="0"/>
          <w:color w:val="000000"/>
          <w:sz w:val="20"/>
          <w:u w:val="none"/>
        </w:rPr>
        <w:t>August 13, 2025</w:t>
      </w:r>
      <w:r>
        <w:rPr>
          <w:rFonts w:ascii="Times New Roman" w:eastAsia="Times New Roman" w:hAnsi="Times New Roman" w:cs="Times New Roman"/>
          <w:b w:val="0"/>
          <w:i w:val="0"/>
          <w:color w:val="000000"/>
          <w:sz w:val="20"/>
          <w:u w:val="none"/>
        </w:rPr>
        <w:t xml:space="preserve">, we prepaid the outstanding balance on one of our acquisition-related promissory notes through the issuance of shares of our common stock. Prior to extinguishment, the promissory note had an outstanding principal balance of </w:t>
      </w:r>
      <w:r>
        <w:rPr>
          <w:rFonts w:ascii="Times New Roman" w:eastAsia="Times New Roman" w:hAnsi="Times New Roman" w:cs="Times New Roman"/>
          <w:b w:val="0"/>
          <w:i w:val="0"/>
          <w:color w:val="000000"/>
          <w:sz w:val="20"/>
          <w:u w:val="none"/>
        </w:rPr>
        <w:t>$1,000</w:t>
      </w:r>
      <w:r>
        <w:rPr>
          <w:rFonts w:ascii="Times New Roman" w:eastAsia="Times New Roman" w:hAnsi="Times New Roman" w:cs="Times New Roman"/>
          <w:b w:val="0"/>
          <w:i w:val="0"/>
          <w:color w:val="000000"/>
          <w:sz w:val="20"/>
          <w:u w:val="none"/>
        </w:rPr>
        <w:t xml:space="preserve"> and a maturity date of </w:t>
      </w:r>
      <w:r>
        <w:rPr>
          <w:rFonts w:ascii="Times New Roman" w:eastAsia="Times New Roman" w:hAnsi="Times New Roman" w:cs="Times New Roman"/>
          <w:b w:val="0"/>
          <w:i w:val="0"/>
          <w:color w:val="000000"/>
          <w:sz w:val="20"/>
          <w:u w:val="none"/>
        </w:rPr>
        <w:t>February 22, 2026</w:t>
      </w:r>
      <w:r>
        <w:rPr>
          <w:rFonts w:ascii="Times New Roman" w:eastAsia="Times New Roman" w:hAnsi="Times New Roman" w:cs="Times New Roman"/>
          <w:b w:val="0"/>
          <w:i w:val="0"/>
          <w:color w:val="000000"/>
          <w:sz w:val="20"/>
          <w:u w:val="none"/>
        </w:rPr>
        <w:t xml:space="preserve">. In connection with the extinguishment, the principal balance of the note was reduced by </w:t>
      </w:r>
      <w:r>
        <w:rPr>
          <w:rFonts w:ascii="Times New Roman" w:eastAsia="Times New Roman" w:hAnsi="Times New Roman" w:cs="Times New Roman"/>
          <w:b w:val="0"/>
          <w:i w:val="0"/>
          <w:color w:val="000000"/>
          <w:sz w:val="20"/>
          <w:u w:val="none"/>
        </w:rPr>
        <w:t>$118</w:t>
      </w:r>
      <w:r>
        <w:rPr>
          <w:rFonts w:ascii="Times New Roman" w:eastAsia="Times New Roman" w:hAnsi="Times New Roman" w:cs="Times New Roman"/>
          <w:b w:val="0"/>
          <w:i w:val="0"/>
          <w:color w:val="000000"/>
          <w:sz w:val="20"/>
          <w:u w:val="none"/>
        </w:rPr>
        <w:t xml:space="preserve"> for indemnifiable claims related to the acquisition. The remaining </w:t>
      </w:r>
      <w:r>
        <w:rPr>
          <w:rFonts w:ascii="Times New Roman" w:eastAsia="Times New Roman" w:hAnsi="Times New Roman" w:cs="Times New Roman"/>
          <w:b w:val="0"/>
          <w:i w:val="0"/>
          <w:color w:val="000000"/>
          <w:sz w:val="20"/>
          <w:u w:val="none"/>
        </w:rPr>
        <w:t>$956</w:t>
      </w:r>
      <w:r>
        <w:rPr>
          <w:rFonts w:ascii="Times New Roman" w:eastAsia="Times New Roman" w:hAnsi="Times New Roman" w:cs="Times New Roman"/>
          <w:b w:val="0"/>
          <w:i w:val="0"/>
          <w:color w:val="000000"/>
          <w:sz w:val="20"/>
          <w:u w:val="none"/>
        </w:rPr>
        <w:t xml:space="preserve"> of principal and accrued interest was repaid with </w:t>
      </w:r>
      <w:r>
        <w:rPr>
          <w:rFonts w:ascii="Times New Roman" w:eastAsia="Times New Roman" w:hAnsi="Times New Roman" w:cs="Times New Roman"/>
          <w:b w:val="0"/>
          <w:i w:val="0"/>
          <w:color w:val="000000"/>
          <w:sz w:val="20"/>
          <w:u w:val="none"/>
        </w:rPr>
        <w:t>91</w:t>
      </w:r>
      <w:r>
        <w:rPr>
          <w:rFonts w:ascii="Times New Roman" w:eastAsia="Times New Roman" w:hAnsi="Times New Roman" w:cs="Times New Roman"/>
          <w:b w:val="0"/>
          <w:i w:val="0"/>
          <w:color w:val="000000"/>
          <w:sz w:val="20"/>
          <w:u w:val="none"/>
        </w:rPr>
        <w:t xml:space="preserve"> shares of common stock, having a fair value of </w:t>
      </w:r>
      <w:r>
        <w:rPr>
          <w:rFonts w:ascii="Times New Roman" w:eastAsia="Times New Roman" w:hAnsi="Times New Roman" w:cs="Times New Roman"/>
          <w:b w:val="0"/>
          <w:i w:val="0"/>
          <w:color w:val="000000"/>
          <w:sz w:val="20"/>
          <w:u w:val="none"/>
        </w:rPr>
        <w:t>$701</w:t>
      </w:r>
      <w:r>
        <w:rPr>
          <w:rFonts w:ascii="Times New Roman" w:eastAsia="Times New Roman" w:hAnsi="Times New Roman" w:cs="Times New Roman"/>
          <w:b w:val="0"/>
          <w:i w:val="0"/>
          <w:color w:val="000000"/>
          <w:sz w:val="20"/>
          <w:u w:val="none"/>
        </w:rPr>
        <w:t>.</w:t>
      </w: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 xml:space="preserve">On </w:t>
      </w:r>
      <w:r>
        <w:rPr>
          <w:rFonts w:ascii="Times New Roman" w:eastAsia="Times New Roman" w:hAnsi="Times New Roman" w:cs="Times New Roman"/>
          <w:b w:val="0"/>
          <w:i w:val="0"/>
          <w:color w:val="000000"/>
          <w:sz w:val="20"/>
          <w:u w:val="none"/>
        </w:rPr>
        <w:t>October 30, 2025</w:t>
      </w:r>
      <w:r>
        <w:rPr>
          <w:rFonts w:ascii="Times New Roman" w:eastAsia="Times New Roman" w:hAnsi="Times New Roman" w:cs="Times New Roman"/>
          <w:b w:val="0"/>
          <w:i w:val="0"/>
          <w:color w:val="000000"/>
          <w:sz w:val="20"/>
          <w:u w:val="none"/>
        </w:rPr>
        <w:t xml:space="preserve">, we partially repaid the outstanding balance on one of our acquisition-related promissory notes through the issuance of shares of our common stock and cash payment of accrued interest. Prior to the transaction, the promissory note had an outstanding principal balance of </w:t>
      </w:r>
      <w:r>
        <w:rPr>
          <w:rFonts w:ascii="Times New Roman" w:eastAsia="Times New Roman" w:hAnsi="Times New Roman" w:cs="Times New Roman"/>
          <w:b w:val="0"/>
          <w:i w:val="0"/>
          <w:color w:val="000000"/>
          <w:sz w:val="20"/>
          <w:u w:val="none"/>
        </w:rPr>
        <w:t>$3,000</w:t>
      </w:r>
      <w:r>
        <w:rPr>
          <w:rFonts w:ascii="Times New Roman" w:eastAsia="Times New Roman" w:hAnsi="Times New Roman" w:cs="Times New Roman"/>
          <w:b w:val="0"/>
          <w:i w:val="0"/>
          <w:color w:val="000000"/>
          <w:sz w:val="20"/>
          <w:u w:val="none"/>
        </w:rPr>
        <w:t xml:space="preserve"> and would mature on </w:t>
      </w:r>
      <w:r>
        <w:rPr>
          <w:rFonts w:ascii="Times New Roman" w:eastAsia="Times New Roman" w:hAnsi="Times New Roman" w:cs="Times New Roman"/>
          <w:b w:val="0"/>
          <w:i w:val="0"/>
          <w:color w:val="000000"/>
          <w:sz w:val="20"/>
          <w:u w:val="none"/>
        </w:rPr>
        <w:t>July 1, 2029</w:t>
      </w:r>
      <w:r>
        <w:rPr>
          <w:rFonts w:ascii="Times New Roman" w:eastAsia="Times New Roman" w:hAnsi="Times New Roman" w:cs="Times New Roman"/>
          <w:b w:val="0"/>
          <w:i w:val="0"/>
          <w:color w:val="000000"/>
          <w:sz w:val="20"/>
          <w:u w:val="none"/>
        </w:rPr>
        <w:t xml:space="preserve">. In connection with the partial extinguishment, the holders of the promissory note agreed to reduce the principal balance of the portion of the note by </w:t>
      </w:r>
      <w:r>
        <w:rPr>
          <w:rFonts w:ascii="Times New Roman" w:eastAsia="Times New Roman" w:hAnsi="Times New Roman" w:cs="Times New Roman"/>
          <w:b w:val="0"/>
          <w:i w:val="0"/>
          <w:color w:val="000000"/>
          <w:sz w:val="20"/>
          <w:u w:val="none"/>
        </w:rPr>
        <w:t>$300</w:t>
      </w:r>
      <w:r>
        <w:rPr>
          <w:rFonts w:ascii="Times New Roman" w:eastAsia="Times New Roman" w:hAnsi="Times New Roman" w:cs="Times New Roman"/>
          <w:b w:val="0"/>
          <w:i w:val="0"/>
          <w:color w:val="000000"/>
          <w:sz w:val="20"/>
          <w:u w:val="none"/>
        </w:rPr>
        <w:t xml:space="preserve"> in consideration of the early repayment. The remaining </w:t>
      </w:r>
      <w:r>
        <w:rPr>
          <w:rFonts w:ascii="Times New Roman" w:eastAsia="Times New Roman" w:hAnsi="Times New Roman" w:cs="Times New Roman"/>
          <w:b w:val="0"/>
          <w:i w:val="0"/>
          <w:color w:val="000000"/>
          <w:sz w:val="20"/>
          <w:u w:val="none"/>
        </w:rPr>
        <w:t>$1,700</w:t>
      </w:r>
      <w:r>
        <w:rPr>
          <w:rFonts w:ascii="Times New Roman" w:eastAsia="Times New Roman" w:hAnsi="Times New Roman" w:cs="Times New Roman"/>
          <w:b w:val="0"/>
          <w:i w:val="0"/>
          <w:color w:val="000000"/>
          <w:sz w:val="20"/>
          <w:u w:val="none"/>
        </w:rPr>
        <w:t xml:space="preserve"> of principal was repaid with </w:t>
      </w:r>
      <w:r>
        <w:rPr>
          <w:rFonts w:ascii="Times New Roman" w:eastAsia="Times New Roman" w:hAnsi="Times New Roman" w:cs="Times New Roman"/>
          <w:b w:val="0"/>
          <w:i w:val="0"/>
          <w:color w:val="000000"/>
          <w:sz w:val="20"/>
          <w:u w:val="none"/>
        </w:rPr>
        <w:t>201</w:t>
      </w:r>
      <w:r>
        <w:rPr>
          <w:rFonts w:ascii="Times New Roman" w:eastAsia="Times New Roman" w:hAnsi="Times New Roman" w:cs="Times New Roman"/>
          <w:b w:val="0"/>
          <w:i w:val="0"/>
          <w:color w:val="000000"/>
          <w:sz w:val="20"/>
          <w:u w:val="none"/>
        </w:rPr>
        <w:t xml:space="preserve"> shares of common stock, having an estimated fair value of </w:t>
      </w:r>
      <w:r>
        <w:rPr>
          <w:rFonts w:ascii="Times New Roman" w:eastAsia="Times New Roman" w:hAnsi="Times New Roman" w:cs="Times New Roman"/>
          <w:b w:val="0"/>
          <w:i w:val="0"/>
          <w:color w:val="000000"/>
          <w:sz w:val="20"/>
          <w:u w:val="none"/>
        </w:rPr>
        <w:t>$1,511</w:t>
      </w:r>
      <w:r>
        <w:rPr>
          <w:rFonts w:ascii="Times New Roman" w:eastAsia="Times New Roman" w:hAnsi="Times New Roman" w:cs="Times New Roman"/>
          <w:b w:val="0"/>
          <w:i w:val="0"/>
          <w:color w:val="000000"/>
          <w:sz w:val="20"/>
          <w:u w:val="none"/>
        </w:rPr>
        <w:t xml:space="preserve">, and </w:t>
      </w:r>
      <w:r>
        <w:rPr>
          <w:rFonts w:ascii="Times New Roman" w:eastAsia="Times New Roman" w:hAnsi="Times New Roman" w:cs="Times New Roman"/>
          <w:b w:val="0"/>
          <w:i w:val="0"/>
          <w:color w:val="000000"/>
          <w:sz w:val="20"/>
          <w:u w:val="none"/>
        </w:rPr>
        <w:t>$20</w:t>
      </w:r>
      <w:r>
        <w:rPr>
          <w:rFonts w:ascii="Times New Roman" w:eastAsia="Times New Roman" w:hAnsi="Times New Roman" w:cs="Times New Roman"/>
          <w:b w:val="0"/>
          <w:i w:val="0"/>
          <w:color w:val="000000"/>
          <w:sz w:val="20"/>
          <w:u w:val="none"/>
        </w:rPr>
        <w:t xml:space="preserve"> of accrued interest was paid with cash. After the partial extinguishment, the outstanding principal balance of the note is </w:t>
      </w:r>
      <w:r>
        <w:rPr>
          <w:rFonts w:ascii="Times New Roman" w:eastAsia="Times New Roman" w:hAnsi="Times New Roman" w:cs="Times New Roman"/>
          <w:b w:val="0"/>
          <w:i w:val="0"/>
          <w:color w:val="000000"/>
          <w:sz w:val="20"/>
          <w:u w:val="none"/>
        </w:rPr>
        <w:t>$1,000</w:t>
      </w:r>
      <w:r>
        <w:rPr>
          <w:rFonts w:ascii="Times New Roman" w:eastAsia="Times New Roman" w:hAnsi="Times New Roman" w:cs="Times New Roman"/>
          <w:b w:val="0"/>
          <w:i w:val="0"/>
          <w:color w:val="000000"/>
          <w:sz w:val="20"/>
          <w:u w:val="none"/>
        </w:rPr>
        <w:t>.</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color w:val="000000"/>
          <w:sz w:val="20"/>
          <w:u w:val="none"/>
        </w:rPr>
        <w:t>Senior Credit Facility</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highlight w:val="white"/>
          <w:u w:val="none"/>
        </w:rPr>
      </w:pPr>
      <w:r>
        <w:rPr>
          <w:rFonts w:ascii="Times New Roman" w:eastAsia="Times New Roman" w:hAnsi="Times New Roman" w:cs="Times New Roman"/>
          <w:b w:val="0"/>
          <w:i w:val="0"/>
          <w:color w:val="000000"/>
          <w:sz w:val="20"/>
          <w:u w:val="none"/>
        </w:rPr>
        <w:t xml:space="preserve">On April 10, 2025, we entered into a Loan Agreement with MidCap Financial Trust (“MidCap”) and the lenders from time to time party thereto (such lenders collectively with MidCap, the “Lenders”). Under the Loan Agreement, we may borrow up to </w:t>
      </w:r>
      <w:r>
        <w:rPr>
          <w:rFonts w:ascii="Times New Roman" w:eastAsia="Times New Roman" w:hAnsi="Times New Roman" w:cs="Times New Roman"/>
          <w:b w:val="0"/>
          <w:i w:val="0"/>
          <w:color w:val="000000"/>
          <w:sz w:val="20"/>
          <w:u w:val="none"/>
        </w:rPr>
        <w:t>$60,000</w:t>
      </w:r>
      <w:r>
        <w:rPr>
          <w:rFonts w:ascii="Times New Roman" w:eastAsia="Times New Roman" w:hAnsi="Times New Roman" w:cs="Times New Roman"/>
          <w:b w:val="0"/>
          <w:i w:val="0"/>
          <w:color w:val="000000"/>
          <w:sz w:val="20"/>
          <w:u w:val="none"/>
        </w:rPr>
        <w:t xml:space="preserve"> from the Lenders, all of which has been funded as of </w:t>
      </w:r>
      <w:r>
        <w:rPr>
          <w:rFonts w:ascii="Times New Roman" w:eastAsia="Times New Roman" w:hAnsi="Times New Roman" w:cs="Times New Roman"/>
          <w:b w:val="0"/>
          <w:i w:val="0"/>
          <w:color w:val="000000"/>
          <w:sz w:val="20"/>
          <w:highlight w:val="white"/>
          <w:u w:val="none"/>
        </w:rPr>
        <w:t>March 31, 2026</w:t>
      </w:r>
      <w:r>
        <w:rPr>
          <w:rFonts w:ascii="Times New Roman" w:eastAsia="Times New Roman" w:hAnsi="Times New Roman" w:cs="Times New Roman"/>
          <w:b w:val="0"/>
          <w:i w:val="0"/>
          <w:color w:val="000000"/>
          <w:sz w:val="20"/>
          <w:u w:val="none"/>
        </w:rPr>
        <w:t>. The maturity date of the loan as provided under the Loan Agreement is April 1, 2030 (the “Maturity Date”).</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 xml:space="preserve">Interest on the outstanding loan balance is payable monthly in arrears at an annual rate of Term Secured Overnight Financing Rate (“SOFR”) plus </w:t>
      </w:r>
      <w:r>
        <w:rPr>
          <w:rFonts w:ascii="Times New Roman" w:eastAsia="Times New Roman" w:hAnsi="Times New Roman" w:cs="Times New Roman"/>
          <w:b w:val="0"/>
          <w:i w:val="0"/>
          <w:color w:val="000000"/>
          <w:sz w:val="20"/>
          <w:u w:val="none"/>
        </w:rPr>
        <w:t>5.00%</w:t>
      </w:r>
      <w:r>
        <w:rPr>
          <w:rFonts w:ascii="Times New Roman" w:eastAsia="Times New Roman" w:hAnsi="Times New Roman" w:cs="Times New Roman"/>
          <w:b w:val="0"/>
          <w:i w:val="0"/>
          <w:color w:val="000000"/>
          <w:sz w:val="20"/>
          <w:u w:val="none"/>
        </w:rPr>
        <w:t xml:space="preserve">, subject to a SOFR floor of </w:t>
      </w:r>
      <w:r>
        <w:rPr>
          <w:rFonts w:ascii="Times New Roman" w:eastAsia="Times New Roman" w:hAnsi="Times New Roman" w:cs="Times New Roman"/>
          <w:b w:val="0"/>
          <w:i w:val="0"/>
          <w:color w:val="000000"/>
          <w:sz w:val="20"/>
          <w:u w:val="none"/>
        </w:rPr>
        <w:t>2.00%</w:t>
      </w:r>
      <w:r>
        <w:rPr>
          <w:rFonts w:ascii="Times New Roman" w:eastAsia="Times New Roman" w:hAnsi="Times New Roman" w:cs="Times New Roman"/>
          <w:b w:val="0"/>
          <w:i w:val="0"/>
          <w:color w:val="000000"/>
          <w:sz w:val="20"/>
          <w:u w:val="none"/>
        </w:rPr>
        <w:t xml:space="preserve">. This rate was </w:t>
      </w:r>
      <w:r>
        <w:rPr>
          <w:rFonts w:ascii="Times New Roman" w:eastAsia="Times New Roman" w:hAnsi="Times New Roman" w:cs="Times New Roman"/>
          <w:b w:val="0"/>
          <w:i w:val="0"/>
          <w:color w:val="000000"/>
          <w:sz w:val="20"/>
          <w:u w:val="none"/>
        </w:rPr>
        <w:t>9.04%</w:t>
      </w:r>
      <w:r>
        <w:rPr>
          <w:rFonts w:ascii="Times New Roman" w:eastAsia="Times New Roman" w:hAnsi="Times New Roman" w:cs="Times New Roman"/>
          <w:b w:val="0"/>
          <w:i w:val="0"/>
          <w:color w:val="000000"/>
          <w:sz w:val="20"/>
          <w:u w:val="none"/>
        </w:rPr>
        <w:t xml:space="preserve"> as of </w:t>
      </w:r>
      <w:r>
        <w:rPr>
          <w:rFonts w:ascii="Times New Roman" w:eastAsia="Times New Roman" w:hAnsi="Times New Roman" w:cs="Times New Roman"/>
          <w:b w:val="0"/>
          <w:i w:val="0"/>
          <w:color w:val="000000"/>
          <w:sz w:val="20"/>
          <w:highlight w:val="white"/>
          <w:u w:val="none"/>
        </w:rPr>
        <w:t>March 31, 2026</w:t>
      </w:r>
      <w:r>
        <w:rPr>
          <w:rFonts w:ascii="Times New Roman" w:eastAsia="Times New Roman" w:hAnsi="Times New Roman" w:cs="Times New Roman"/>
          <w:b w:val="0"/>
          <w:i w:val="0"/>
          <w:color w:val="000000"/>
          <w:sz w:val="20"/>
          <w:u w:val="none"/>
        </w:rPr>
        <w:t>. Prior to April 1, 2029 (the “Amortization Start Date”), we must make interest-only payments on the outstanding loan balance. Commencing on the Amortization Start Date and continuing on the first day of each calendar month thereafter, we will pay an amount equal to the total principal of the outstanding loan balance divided by twelve (</w:t>
      </w:r>
      <w:r>
        <w:rPr>
          <w:rFonts w:ascii="Times New Roman" w:eastAsia="Times New Roman" w:hAnsi="Times New Roman" w:cs="Times New Roman"/>
          <w:b w:val="0"/>
          <w:i w:val="0"/>
          <w:color w:val="000000"/>
          <w:sz w:val="20"/>
          <w:u w:val="none"/>
        </w:rPr>
        <w:t>12</w:t>
      </w:r>
      <w:r>
        <w:rPr>
          <w:rFonts w:ascii="Times New Roman" w:eastAsia="Times New Roman" w:hAnsi="Times New Roman" w:cs="Times New Roman"/>
          <w:b w:val="0"/>
          <w:i w:val="0"/>
          <w:color w:val="000000"/>
          <w:sz w:val="20"/>
          <w:u w:val="none"/>
        </w:rPr>
        <w:t>), for a twelve (</w:t>
      </w:r>
      <w:r>
        <w:rPr>
          <w:rFonts w:ascii="Times New Roman" w:eastAsia="Times New Roman" w:hAnsi="Times New Roman" w:cs="Times New Roman"/>
          <w:b w:val="0"/>
          <w:i w:val="0"/>
          <w:color w:val="000000"/>
          <w:sz w:val="20"/>
          <w:u w:val="none"/>
        </w:rPr>
        <w:t>12</w:t>
      </w:r>
      <w:r>
        <w:rPr>
          <w:rFonts w:ascii="Times New Roman" w:eastAsia="Times New Roman" w:hAnsi="Times New Roman" w:cs="Times New Roman"/>
          <w:b w:val="0"/>
          <w:i w:val="0"/>
          <w:color w:val="000000"/>
          <w:sz w:val="20"/>
          <w:u w:val="none"/>
        </w:rPr>
        <w:t xml:space="preserve">) month straight-line amortization of equal monthly principal payments. Also on a monthly basis, we must pay an administrative agency fee to MidCap equal to </w:t>
      </w:r>
      <w:r>
        <w:rPr>
          <w:rFonts w:ascii="Times New Roman" w:eastAsia="Times New Roman" w:hAnsi="Times New Roman" w:cs="Times New Roman"/>
          <w:b w:val="0"/>
          <w:i w:val="0"/>
          <w:color w:val="000000"/>
          <w:sz w:val="20"/>
          <w:u w:val="none"/>
        </w:rPr>
        <w:t>0.25%</w:t>
      </w:r>
      <w:r>
        <w:rPr>
          <w:rFonts w:ascii="Times New Roman" w:eastAsia="Times New Roman" w:hAnsi="Times New Roman" w:cs="Times New Roman"/>
          <w:b w:val="0"/>
          <w:i w:val="0"/>
          <w:color w:val="000000"/>
          <w:sz w:val="20"/>
          <w:u w:val="none"/>
        </w:rPr>
        <w:t xml:space="preserve"> of the average end-of-day principal balance outstanding during the immediately preceding month. At the time of final payment under the loan, we will provide a final payment fee of </w:t>
      </w:r>
      <w:r>
        <w:rPr>
          <w:rFonts w:ascii="Times New Roman" w:eastAsia="Times New Roman" w:hAnsi="Times New Roman" w:cs="Times New Roman"/>
          <w:b w:val="0"/>
          <w:i w:val="0"/>
          <w:color w:val="000000"/>
          <w:sz w:val="20"/>
          <w:u w:val="none"/>
        </w:rPr>
        <w:t>2.00%</w:t>
      </w:r>
      <w:r>
        <w:rPr>
          <w:rFonts w:ascii="Times New Roman" w:eastAsia="Times New Roman" w:hAnsi="Times New Roman" w:cs="Times New Roman"/>
          <w:b w:val="0"/>
          <w:i w:val="0"/>
          <w:color w:val="000000"/>
          <w:sz w:val="20"/>
          <w:u w:val="none"/>
        </w:rPr>
        <w:t xml:space="preserve"> of the amount advanced thereunder except in the case of a refinance of the loan with MidCap and the Lenders.</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 xml:space="preserve">We are subject to customary events of default as described in the Loan Agreement. In such event, and for so long as it continues, the outstanding loan balance will bear interest at </w:t>
      </w:r>
      <w:r>
        <w:rPr>
          <w:rFonts w:ascii="Times New Roman" w:eastAsia="Times New Roman" w:hAnsi="Times New Roman" w:cs="Times New Roman"/>
          <w:b w:val="0"/>
          <w:i w:val="0"/>
          <w:color w:val="000000"/>
          <w:sz w:val="20"/>
          <w:u w:val="none"/>
        </w:rPr>
        <w:t>2.00%</w:t>
      </w:r>
      <w:r>
        <w:rPr>
          <w:rFonts w:ascii="Times New Roman" w:eastAsia="Times New Roman" w:hAnsi="Times New Roman" w:cs="Times New Roman"/>
          <w:b w:val="0"/>
          <w:i w:val="0"/>
          <w:color w:val="000000"/>
          <w:sz w:val="20"/>
          <w:u w:val="none"/>
        </w:rPr>
        <w:t xml:space="preserve"> per annum in excess of the rate otherwise payable. The Loan Agreement is collateralized by substantially all of our assets except for all funds held for clients and an amount of cash intended solely to cover employee wages, benefits, and taxes for a limited period. Under the Loan Agreement, we covenant to maintain a (1) Total Leverage Ratio (as defined in the Loan Agreement), as tested quarterly, no greater than </w:t>
      </w:r>
      <w:r>
        <w:rPr>
          <w:rFonts w:ascii="Times New Roman" w:eastAsia="Times New Roman" w:hAnsi="Times New Roman" w:cs="Times New Roman"/>
          <w:b w:val="0"/>
          <w:i w:val="0"/>
          <w:color w:val="000000"/>
          <w:sz w:val="20"/>
          <w:u w:val="none"/>
        </w:rPr>
        <w:t>5.50</w:t>
      </w:r>
      <w:r>
        <w:rPr>
          <w:rFonts w:ascii="Times New Roman" w:eastAsia="Times New Roman" w:hAnsi="Times New Roman" w:cs="Times New Roman"/>
          <w:b w:val="0"/>
          <w:i w:val="0"/>
          <w:color w:val="000000"/>
          <w:sz w:val="20"/>
          <w:u w:val="none"/>
        </w:rPr>
        <w:t xml:space="preserve"> to 1.00, and (2) minimum liquidity threshold of </w:t>
      </w:r>
      <w:r>
        <w:rPr>
          <w:rFonts w:ascii="Times New Roman" w:eastAsia="Times New Roman" w:hAnsi="Times New Roman" w:cs="Times New Roman"/>
          <w:b w:val="0"/>
          <w:i w:val="0"/>
          <w:color w:val="000000"/>
          <w:sz w:val="20"/>
          <w:u w:val="none"/>
        </w:rPr>
        <w:t>$10,000</w:t>
      </w:r>
      <w:r>
        <w:rPr>
          <w:rFonts w:ascii="Times New Roman" w:eastAsia="Times New Roman" w:hAnsi="Times New Roman" w:cs="Times New Roman"/>
          <w:b w:val="0"/>
          <w:i w:val="0"/>
          <w:color w:val="000000"/>
          <w:sz w:val="20"/>
          <w:u w:val="none"/>
        </w:rPr>
        <w:t xml:space="preserve">. As of </w:t>
      </w:r>
      <w:r>
        <w:rPr>
          <w:rFonts w:ascii="Times New Roman" w:eastAsia="Times New Roman" w:hAnsi="Times New Roman" w:cs="Times New Roman"/>
          <w:b w:val="0"/>
          <w:i w:val="0"/>
          <w:color w:val="000000"/>
          <w:sz w:val="20"/>
          <w:highlight w:val="white"/>
          <w:u w:val="none"/>
        </w:rPr>
        <w:t>March 31, 2026</w:t>
      </w:r>
      <w:r>
        <w:rPr>
          <w:rFonts w:ascii="Times New Roman" w:eastAsia="Times New Roman" w:hAnsi="Times New Roman" w:cs="Times New Roman"/>
          <w:b w:val="0"/>
          <w:i w:val="0"/>
          <w:color w:val="000000"/>
          <w:sz w:val="20"/>
          <w:u w:val="none"/>
        </w:rPr>
        <w:t xml:space="preserve">, we are in compliance with all covenants under the Loan Agreement. </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color w:val="000000"/>
          <w:sz w:val="20"/>
          <w:highlight w:val="white"/>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 xml:space="preserve">In connection with the Loan Agreement and subsequent draw, we incurred </w:t>
      </w:r>
      <w:r>
        <w:rPr>
          <w:rFonts w:ascii="Times New Roman" w:eastAsia="Times New Roman" w:hAnsi="Times New Roman" w:cs="Times New Roman"/>
          <w:b w:val="0"/>
          <w:i w:val="0"/>
          <w:color w:val="000000"/>
          <w:sz w:val="20"/>
          <w:u w:val="none"/>
        </w:rPr>
        <w:t>$2,025</w:t>
      </w:r>
      <w:r>
        <w:rPr>
          <w:rFonts w:ascii="Times New Roman" w:eastAsia="Times New Roman" w:hAnsi="Times New Roman" w:cs="Times New Roman"/>
          <w:b w:val="0"/>
          <w:i w:val="0"/>
          <w:color w:val="000000"/>
          <w:sz w:val="20"/>
          <w:u w:val="none"/>
        </w:rPr>
        <w:t xml:space="preserve"> of origination, legal, and other fees that represent debt financing costs to be deferred and amortized over the duration of the Loan Agreement. As a result, net proceeds of all borrowings under the Loan Agreement were </w:t>
      </w:r>
      <w:r>
        <w:rPr>
          <w:rFonts w:ascii="Times New Roman" w:eastAsia="Times New Roman" w:hAnsi="Times New Roman" w:cs="Times New Roman"/>
          <w:b w:val="0"/>
          <w:i w:val="0"/>
          <w:color w:val="000000"/>
          <w:sz w:val="20"/>
          <w:u w:val="none"/>
        </w:rPr>
        <w:t>$57,975</w:t>
      </w:r>
      <w:r>
        <w:rPr>
          <w:rFonts w:ascii="Times New Roman" w:eastAsia="Times New Roman" w:hAnsi="Times New Roman" w:cs="Times New Roman"/>
          <w:b w:val="0"/>
          <w:i w:val="0"/>
          <w:color w:val="000000"/>
          <w:sz w:val="20"/>
          <w:u w:val="none"/>
        </w:rPr>
        <w:t>.</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sectPr>
          <w:type w:val="continuous"/>
          <w:pgSz w:w="12240" w:h="15840"/>
          <w:pgMar w:top="855" w:right="990" w:bottom="855" w:left="990" w:header="270" w:footer="270"/>
          <w:cols w:space="708"/>
        </w:sectPr>
      </w:pPr>
    </w:p>
    <w:p>
      <w:pPr>
        <w:keepNext/>
        <w:keepLines/>
        <w:pageBreakBefore w:val="0"/>
        <w:widowControl w:val="0"/>
        <w:numPr>
          <w:ilvl w:val="0"/>
          <w:numId w:val="0"/>
        </w:numPr>
        <w:spacing w:before="0" w:after="0" w:line="288" w:lineRule="auto"/>
        <w:ind w:left="0" w:right="0" w:firstLine="0"/>
        <w:jc w:val="both"/>
        <w:outlineLvl w:val="3"/>
        <w:rPr>
          <w:rFonts w:ascii="Times New Roman" w:eastAsia="Times New Roman" w:hAnsi="Times New Roman" w:cs="Times New Roman"/>
          <w:b/>
          <w:i w:val="0"/>
          <w:sz w:val="20"/>
        </w:rPr>
      </w:pPr>
      <w:bookmarkStart w:id="15" w:name="Section16"/>
      <w:bookmarkEnd w:id="15"/>
      <w:r>
        <w:rPr>
          <w:rFonts w:ascii="Times New Roman" w:eastAsia="Times New Roman" w:hAnsi="Times New Roman" w:cs="Times New Roman"/>
          <w:b/>
          <w:i w:val="0"/>
          <w:color w:val="000000"/>
          <w:sz w:val="20"/>
          <w:highlight w:val="white"/>
          <w:u w:val="none"/>
        </w:rPr>
        <w:t xml:space="preserve">NOTE 7 </w:t>
      </w:r>
      <w:r>
        <w:rPr>
          <w:rFonts w:ascii="Times New Roman" w:eastAsia="Times New Roman" w:hAnsi="Times New Roman" w:cs="Times New Roman"/>
          <w:b w:val="0"/>
          <w:i w:val="0"/>
          <w:color w:val="000000"/>
          <w:sz w:val="20"/>
          <w:highlight w:val="white"/>
          <w:u w:val="none"/>
        </w:rPr>
        <w:t>–</w:t>
      </w:r>
      <w:r>
        <w:rPr>
          <w:rFonts w:ascii="Times New Roman" w:eastAsia="Times New Roman" w:hAnsi="Times New Roman" w:cs="Times New Roman"/>
          <w:b/>
          <w:i w:val="0"/>
          <w:color w:val="000000"/>
          <w:sz w:val="20"/>
          <w:highlight w:val="white"/>
          <w:u w:val="none"/>
        </w:rPr>
        <w:t xml:space="preserve"> </w:t>
      </w:r>
      <w:r>
        <w:rPr>
          <w:rFonts w:ascii="Times New Roman" w:eastAsia="Times New Roman" w:hAnsi="Times New Roman" w:cs="Times New Roman"/>
          <w:b/>
          <w:i w:val="0"/>
          <w:color w:val="000000"/>
          <w:sz w:val="20"/>
          <w:highlight w:val="white"/>
          <w:u w:val="none"/>
        </w:rPr>
        <w:t>CONTRACTS WITH CUSTOMERS AND REVENUE CONCENTRATION</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u w:val="none"/>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color w:val="000000"/>
          <w:sz w:val="20"/>
          <w:u w:val="none"/>
        </w:rPr>
      </w:pPr>
      <w:r>
        <w:rPr>
          <w:rFonts w:ascii="Times New Roman" w:eastAsia="Times New Roman" w:hAnsi="Times New Roman" w:cs="Times New Roman"/>
          <w:b/>
          <w:i/>
          <w:color w:val="000000"/>
          <w:sz w:val="20"/>
          <w:u w:val="none"/>
        </w:rPr>
        <w:t>Receivables</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Receivables from contracts with customers, net of allowance for credit losses</w:t>
      </w:r>
      <w:r>
        <w:rPr>
          <w:rFonts w:ascii="Times New Roman" w:eastAsia="Times New Roman" w:hAnsi="Times New Roman" w:cs="Times New Roman"/>
          <w:b w:val="0"/>
          <w:i w:val="0"/>
          <w:color w:val="000000"/>
          <w:sz w:val="20"/>
          <w:highlight w:val="white"/>
          <w:u w:val="none"/>
        </w:rPr>
        <w:t xml:space="preserve"> of </w:t>
      </w:r>
      <w:r>
        <w:rPr>
          <w:rFonts w:ascii="Times New Roman" w:eastAsia="Times New Roman" w:hAnsi="Times New Roman" w:cs="Times New Roman"/>
          <w:b w:val="0"/>
          <w:i w:val="0"/>
          <w:color w:val="000000"/>
          <w:sz w:val="20"/>
          <w:u w:val="none"/>
        </w:rPr>
        <w:t>$7,610</w:t>
      </w:r>
      <w:r>
        <w:rPr>
          <w:rFonts w:ascii="Times New Roman" w:eastAsia="Times New Roman" w:hAnsi="Times New Roman" w:cs="Times New Roman"/>
          <w:b w:val="0"/>
          <w:i w:val="0"/>
          <w:color w:val="000000"/>
          <w:sz w:val="20"/>
          <w:u w:val="none"/>
        </w:rPr>
        <w:t>, were $</w:t>
      </w:r>
      <w:r>
        <w:rPr>
          <w:rFonts w:ascii="Times New Roman" w:eastAsia="Times New Roman" w:hAnsi="Times New Roman" w:cs="Times New Roman"/>
          <w:b w:val="0"/>
          <w:i w:val="0"/>
          <w:color w:val="000000"/>
          <w:sz w:val="20"/>
          <w:u w:val="none"/>
        </w:rPr>
        <w:t>13,467</w:t>
      </w:r>
      <w:r>
        <w:rPr>
          <w:rFonts w:ascii="Times New Roman" w:eastAsia="Times New Roman" w:hAnsi="Times New Roman" w:cs="Times New Roman"/>
          <w:b w:val="0"/>
          <w:i w:val="0"/>
          <w:color w:val="000000"/>
          <w:sz w:val="20"/>
          <w:u w:val="none"/>
        </w:rPr>
        <w:t xml:space="preserve"> at </w:t>
      </w:r>
      <w:r>
        <w:rPr>
          <w:rFonts w:ascii="Times New Roman" w:eastAsia="Times New Roman" w:hAnsi="Times New Roman" w:cs="Times New Roman"/>
          <w:b w:val="0"/>
          <w:i w:val="0"/>
          <w:color w:val="000000"/>
          <w:sz w:val="20"/>
          <w:u w:val="none"/>
        </w:rPr>
        <w:t>March 31, 2026</w:t>
      </w:r>
      <w:r>
        <w:rPr>
          <w:rFonts w:ascii="Times New Roman" w:eastAsia="Times New Roman" w:hAnsi="Times New Roman" w:cs="Times New Roman"/>
          <w:b w:val="0"/>
          <w:i w:val="0"/>
          <w:color w:val="000000"/>
          <w:sz w:val="20"/>
          <w:u w:val="none"/>
        </w:rPr>
        <w:t xml:space="preserve">. Receivables from contracts with customers, net of allowance for credit losses of </w:t>
      </w:r>
      <w:r>
        <w:rPr>
          <w:rFonts w:ascii="Times New Roman" w:eastAsia="Times New Roman" w:hAnsi="Times New Roman" w:cs="Times New Roman"/>
          <w:b w:val="0"/>
          <w:i w:val="0"/>
          <w:color w:val="000000"/>
          <w:sz w:val="20"/>
          <w:u w:val="none"/>
        </w:rPr>
        <w:t>$7,206</w:t>
      </w:r>
      <w:r>
        <w:rPr>
          <w:rFonts w:ascii="Times New Roman" w:eastAsia="Times New Roman" w:hAnsi="Times New Roman" w:cs="Times New Roman"/>
          <w:b w:val="0"/>
          <w:i w:val="0"/>
          <w:color w:val="000000"/>
          <w:sz w:val="20"/>
          <w:u w:val="none"/>
        </w:rPr>
        <w:t>, were $</w:t>
      </w:r>
      <w:r>
        <w:rPr>
          <w:rFonts w:ascii="Times New Roman" w:eastAsia="Times New Roman" w:hAnsi="Times New Roman" w:cs="Times New Roman"/>
          <w:b w:val="0"/>
          <w:i w:val="0"/>
          <w:color w:val="000000"/>
          <w:sz w:val="20"/>
          <w:u w:val="none"/>
        </w:rPr>
        <w:t>15,859</w:t>
      </w:r>
      <w:r>
        <w:rPr>
          <w:rFonts w:ascii="Times New Roman" w:eastAsia="Times New Roman" w:hAnsi="Times New Roman" w:cs="Times New Roman"/>
          <w:b w:val="0"/>
          <w:i w:val="0"/>
          <w:color w:val="000000"/>
          <w:sz w:val="20"/>
          <w:u w:val="none"/>
        </w:rPr>
        <w:t xml:space="preserve"> at </w:t>
      </w:r>
      <w:r>
        <w:rPr>
          <w:rFonts w:ascii="Times New Roman" w:eastAsia="Times New Roman" w:hAnsi="Times New Roman" w:cs="Times New Roman"/>
          <w:b w:val="0"/>
          <w:i w:val="0"/>
          <w:color w:val="000000"/>
          <w:sz w:val="20"/>
          <w:u w:val="none"/>
        </w:rPr>
        <w:t>December 31, 2025</w:t>
      </w:r>
      <w:r>
        <w:rPr>
          <w:rFonts w:ascii="Times New Roman" w:eastAsia="Times New Roman" w:hAnsi="Times New Roman" w:cs="Times New Roman"/>
          <w:b w:val="0"/>
          <w:i w:val="0"/>
          <w:color w:val="000000"/>
          <w:sz w:val="20"/>
          <w:u w:val="none"/>
        </w:rPr>
        <w:t>.</w:t>
      </w:r>
      <w:r>
        <w:rPr>
          <w:rFonts w:ascii="Times New Roman" w:eastAsia="Times New Roman" w:hAnsi="Times New Roman" w:cs="Times New Roman"/>
          <w:b w:val="0"/>
          <w:i w:val="0"/>
          <w:color w:val="000000"/>
          <w:sz w:val="20"/>
          <w:highlight w:val="white"/>
          <w:u w:val="none"/>
        </w:rPr>
        <w:t xml:space="preserve"> We had a provision for expected losses </w:t>
      </w:r>
      <w:r>
        <w:rPr>
          <w:rFonts w:ascii="Times New Roman" w:eastAsia="Times New Roman" w:hAnsi="Times New Roman" w:cs="Times New Roman"/>
          <w:b w:val="0"/>
          <w:i w:val="0"/>
          <w:color w:val="000000"/>
          <w:sz w:val="20"/>
          <w:u w:val="none"/>
        </w:rPr>
        <w:t xml:space="preserve">of </w:t>
      </w:r>
      <w:r>
        <w:rPr>
          <w:rFonts w:ascii="Times New Roman" w:eastAsia="Times New Roman" w:hAnsi="Times New Roman" w:cs="Times New Roman"/>
          <w:b w:val="0"/>
          <w:i w:val="0"/>
          <w:color w:val="000000"/>
          <w:sz w:val="20"/>
          <w:u w:val="none"/>
        </w:rPr>
        <w:t>$9</w:t>
      </w:r>
      <w:r>
        <w:rPr>
          <w:rFonts w:ascii="Times New Roman" w:eastAsia="Times New Roman" w:hAnsi="Times New Roman" w:cs="Times New Roman"/>
          <w:b w:val="0"/>
          <w:i w:val="0"/>
          <w:color w:val="000000"/>
          <w:sz w:val="20"/>
          <w:u w:val="none"/>
        </w:rPr>
        <w:t xml:space="preserve">, write-offs charged against the allowance for credit losses of </w:t>
      </w:r>
      <w:r>
        <w:rPr>
          <w:rFonts w:ascii="Times New Roman" w:eastAsia="Times New Roman" w:hAnsi="Times New Roman" w:cs="Times New Roman"/>
          <w:b w:val="0"/>
          <w:i w:val="0"/>
          <w:color w:val="000000"/>
          <w:sz w:val="20"/>
          <w:u w:val="none"/>
        </w:rPr>
        <w:t>$37</w:t>
      </w:r>
      <w:r>
        <w:rPr>
          <w:rFonts w:ascii="Times New Roman" w:eastAsia="Times New Roman" w:hAnsi="Times New Roman" w:cs="Times New Roman"/>
          <w:b w:val="0"/>
          <w:i w:val="0"/>
          <w:color w:val="000000"/>
          <w:sz w:val="20"/>
          <w:u w:val="none"/>
        </w:rPr>
        <w:t xml:space="preserve">, and recoveries on previously written off receivables of </w:t>
      </w:r>
      <w:r>
        <w:rPr>
          <w:rFonts w:ascii="Times New Roman" w:eastAsia="Times New Roman" w:hAnsi="Times New Roman" w:cs="Times New Roman"/>
          <w:b w:val="0"/>
          <w:i w:val="0"/>
          <w:color w:val="000000"/>
          <w:sz w:val="20"/>
          <w:u w:val="none"/>
        </w:rPr>
        <w:t>$432</w:t>
      </w:r>
      <w:r>
        <w:rPr>
          <w:rFonts w:ascii="Times New Roman" w:eastAsia="Times New Roman" w:hAnsi="Times New Roman" w:cs="Times New Roman"/>
          <w:b w:val="0"/>
          <w:i w:val="0"/>
          <w:color w:val="000000"/>
          <w:sz w:val="20"/>
          <w:u w:val="none"/>
        </w:rPr>
        <w:t xml:space="preserve"> during the </w:t>
      </w:r>
      <w:r>
        <w:rPr>
          <w:rFonts w:ascii="Times New Roman" w:eastAsia="Times New Roman" w:hAnsi="Times New Roman" w:cs="Times New Roman"/>
          <w:b w:val="0"/>
          <w:i w:val="0"/>
          <w:color w:val="000000"/>
          <w:sz w:val="20"/>
          <w:u w:val="none"/>
        </w:rPr>
        <w:t>three months ended March 31, 2026</w:t>
      </w:r>
      <w:r>
        <w:rPr>
          <w:rFonts w:ascii="Times New Roman" w:eastAsia="Times New Roman" w:hAnsi="Times New Roman" w:cs="Times New Roman"/>
          <w:b w:val="0"/>
          <w:i w:val="0"/>
          <w:color w:val="000000"/>
          <w:sz w:val="20"/>
          <w:u w:val="none"/>
        </w:rPr>
        <w:t xml:space="preserve">. We had a provision for expected losses of </w:t>
      </w:r>
      <w:r>
        <w:rPr>
          <w:rFonts w:ascii="Times New Roman" w:eastAsia="Times New Roman" w:hAnsi="Times New Roman" w:cs="Times New Roman"/>
          <w:b w:val="0"/>
          <w:i w:val="0"/>
          <w:color w:val="000000"/>
          <w:sz w:val="20"/>
          <w:u w:val="none"/>
        </w:rPr>
        <w:t>$93</w:t>
      </w:r>
      <w:r>
        <w:rPr>
          <w:rFonts w:ascii="Times New Roman" w:eastAsia="Times New Roman" w:hAnsi="Times New Roman" w:cs="Times New Roman"/>
          <w:b w:val="0"/>
          <w:i w:val="0"/>
          <w:color w:val="000000"/>
          <w:sz w:val="20"/>
          <w:u w:val="none"/>
        </w:rPr>
        <w:t xml:space="preserve">, write-offs charged against the allowance for credit losses of </w:t>
      </w:r>
      <w:r>
        <w:rPr>
          <w:rFonts w:ascii="Times New Roman" w:eastAsia="Times New Roman" w:hAnsi="Times New Roman" w:cs="Times New Roman"/>
          <w:b w:val="0"/>
          <w:i w:val="0"/>
          <w:color w:val="000000"/>
          <w:sz w:val="20"/>
          <w:u w:val="none"/>
        </w:rPr>
        <w:t>$22</w:t>
      </w:r>
      <w:r>
        <w:rPr>
          <w:rFonts w:ascii="Times New Roman" w:eastAsia="Times New Roman" w:hAnsi="Times New Roman" w:cs="Times New Roman"/>
          <w:b w:val="0"/>
          <w:i w:val="0"/>
          <w:color w:val="000000"/>
          <w:sz w:val="20"/>
          <w:u w:val="none"/>
        </w:rPr>
        <w:t xml:space="preserve">, and recoveries on previously written off receivables of </w:t>
      </w:r>
      <w:r>
        <w:rPr>
          <w:rFonts w:ascii="Times New Roman" w:eastAsia="Times New Roman" w:hAnsi="Times New Roman" w:cs="Times New Roman"/>
          <w:b w:val="0"/>
          <w:i w:val="0"/>
          <w:color w:val="000000"/>
          <w:sz w:val="20"/>
          <w:u w:val="none"/>
        </w:rPr>
        <w:t>$145</w:t>
      </w:r>
      <w:r>
        <w:rPr>
          <w:rFonts w:ascii="Times New Roman" w:eastAsia="Times New Roman" w:hAnsi="Times New Roman" w:cs="Times New Roman"/>
          <w:b w:val="0"/>
          <w:i w:val="0"/>
          <w:color w:val="000000"/>
          <w:sz w:val="20"/>
          <w:u w:val="none"/>
        </w:rPr>
        <w:t xml:space="preserve"> during the </w:t>
      </w:r>
      <w:r>
        <w:rPr>
          <w:rFonts w:ascii="Times New Roman" w:eastAsia="Times New Roman" w:hAnsi="Times New Roman" w:cs="Times New Roman"/>
          <w:b w:val="0"/>
          <w:i w:val="0"/>
          <w:color w:val="000000"/>
          <w:sz w:val="20"/>
          <w:u w:val="none"/>
        </w:rPr>
        <w:t>three months ended March 31, 2025</w:t>
      </w:r>
      <w:r>
        <w:rPr>
          <w:rFonts w:ascii="Times New Roman" w:eastAsia="Times New Roman" w:hAnsi="Times New Roman" w:cs="Times New Roman"/>
          <w:b w:val="0"/>
          <w:i w:val="0"/>
          <w:color w:val="000000"/>
          <w:sz w:val="20"/>
          <w:u w:val="none"/>
        </w:rPr>
        <w:t xml:space="preserve">. As of </w:t>
      </w:r>
      <w:r>
        <w:rPr>
          <w:rFonts w:ascii="Times New Roman" w:eastAsia="Times New Roman" w:hAnsi="Times New Roman" w:cs="Times New Roman"/>
          <w:b w:val="0"/>
          <w:i w:val="0"/>
          <w:color w:val="000000"/>
          <w:sz w:val="20"/>
          <w:highlight w:val="white"/>
          <w:u w:val="none"/>
        </w:rPr>
        <w:t>March 31, 2026</w:t>
      </w:r>
      <w:r>
        <w:rPr>
          <w:rFonts w:ascii="Times New Roman" w:eastAsia="Times New Roman" w:hAnsi="Times New Roman" w:cs="Times New Roman"/>
          <w:b w:val="0"/>
          <w:i w:val="0"/>
          <w:color w:val="000000"/>
          <w:sz w:val="20"/>
          <w:u w:val="none"/>
        </w:rPr>
        <w:t xml:space="preserve">, we had two customers that accounted for </w:t>
      </w:r>
      <w:r>
        <w:rPr>
          <w:rFonts w:ascii="Times New Roman" w:eastAsia="Times New Roman" w:hAnsi="Times New Roman" w:cs="Times New Roman"/>
          <w:b w:val="0"/>
          <w:i w:val="0"/>
          <w:color w:val="000000"/>
          <w:sz w:val="20"/>
          <w:u w:val="none"/>
        </w:rPr>
        <w:t>$1,383</w:t>
      </w:r>
      <w:r>
        <w:rPr>
          <w:rFonts w:ascii="Times New Roman" w:eastAsia="Times New Roman" w:hAnsi="Times New Roman" w:cs="Times New Roman"/>
          <w:b w:val="0"/>
          <w:i w:val="0"/>
          <w:color w:val="000000"/>
          <w:sz w:val="20"/>
          <w:u w:val="none"/>
        </w:rPr>
        <w:t xml:space="preserve"> and </w:t>
      </w:r>
      <w:r>
        <w:rPr>
          <w:rFonts w:ascii="Times New Roman" w:eastAsia="Times New Roman" w:hAnsi="Times New Roman" w:cs="Times New Roman"/>
          <w:b w:val="0"/>
          <w:i w:val="0"/>
          <w:color w:val="000000"/>
          <w:sz w:val="20"/>
          <w:u w:val="none"/>
        </w:rPr>
        <w:t>$1,354</w:t>
      </w:r>
      <w:r>
        <w:rPr>
          <w:rFonts w:ascii="Times New Roman" w:eastAsia="Times New Roman" w:hAnsi="Times New Roman" w:cs="Times New Roman"/>
          <w:b w:val="0"/>
          <w:i w:val="0"/>
          <w:color w:val="000000"/>
          <w:sz w:val="20"/>
          <w:u w:val="none"/>
        </w:rPr>
        <w:t xml:space="preserve">, or </w:t>
      </w:r>
      <w:r>
        <w:rPr>
          <w:rFonts w:ascii="Times New Roman" w:eastAsia="Times New Roman" w:hAnsi="Times New Roman" w:cs="Times New Roman"/>
          <w:b w:val="0"/>
          <w:i w:val="0"/>
          <w:color w:val="000000"/>
          <w:sz w:val="20"/>
          <w:u w:val="none"/>
        </w:rPr>
        <w:t>10%</w:t>
      </w:r>
      <w:r>
        <w:rPr>
          <w:rFonts w:ascii="Times New Roman" w:eastAsia="Times New Roman" w:hAnsi="Times New Roman" w:cs="Times New Roman"/>
          <w:b w:val="0"/>
          <w:i w:val="0"/>
          <w:color w:val="000000"/>
          <w:sz w:val="20"/>
          <w:u w:val="none"/>
        </w:rPr>
        <w:t xml:space="preserve"> and </w:t>
      </w:r>
      <w:r>
        <w:rPr>
          <w:rFonts w:ascii="Times New Roman" w:eastAsia="Times New Roman" w:hAnsi="Times New Roman" w:cs="Times New Roman"/>
          <w:b w:val="0"/>
          <w:i w:val="0"/>
          <w:color w:val="000000"/>
          <w:sz w:val="20"/>
          <w:u w:val="none"/>
        </w:rPr>
        <w:t>10%</w:t>
      </w:r>
      <w:r>
        <w:rPr>
          <w:rFonts w:ascii="Times New Roman" w:eastAsia="Times New Roman" w:hAnsi="Times New Roman" w:cs="Times New Roman"/>
          <w:b w:val="0"/>
          <w:i w:val="0"/>
          <w:color w:val="000000"/>
          <w:sz w:val="20"/>
          <w:u w:val="none"/>
        </w:rPr>
        <w:t xml:space="preserve"> respectively, of our net accounts receivable balance. The receivable balance is not collateralized, and thus the entire </w:t>
      </w:r>
      <w:r>
        <w:rPr>
          <w:rFonts w:ascii="Times New Roman" w:eastAsia="Times New Roman" w:hAnsi="Times New Roman" w:cs="Times New Roman"/>
          <w:b w:val="0"/>
          <w:i w:val="0"/>
          <w:color w:val="000000"/>
          <w:sz w:val="20"/>
          <w:u w:val="none"/>
        </w:rPr>
        <w:t>$2,737</w:t>
      </w:r>
      <w:r>
        <w:rPr>
          <w:rFonts w:ascii="Times New Roman" w:eastAsia="Times New Roman" w:hAnsi="Times New Roman" w:cs="Times New Roman"/>
          <w:b w:val="0"/>
          <w:i w:val="0"/>
          <w:color w:val="000000"/>
          <w:sz w:val="20"/>
          <w:u w:val="none"/>
        </w:rPr>
        <w:t xml:space="preserve"> is at risk of loss. </w:t>
      </w:r>
      <w:r>
        <w:rPr>
          <w:rFonts w:ascii="Times New Roman" w:eastAsia="Times New Roman" w:hAnsi="Times New Roman" w:cs="Times New Roman"/>
          <w:b w:val="0"/>
          <w:i w:val="0"/>
          <w:color w:val="000000"/>
          <w:sz w:val="20"/>
          <w:highlight w:val="white"/>
          <w:u w:val="none"/>
        </w:rPr>
        <w:t xml:space="preserve">As of </w:t>
      </w:r>
      <w:r>
        <w:rPr>
          <w:rFonts w:ascii="Times New Roman" w:eastAsia="Times New Roman" w:hAnsi="Times New Roman" w:cs="Times New Roman"/>
          <w:b w:val="0"/>
          <w:i w:val="0"/>
          <w:color w:val="000000"/>
          <w:sz w:val="20"/>
          <w:highlight w:val="white"/>
          <w:u w:val="none"/>
        </w:rPr>
        <w:t>December 31, 2025</w:t>
      </w:r>
      <w:r>
        <w:rPr>
          <w:rFonts w:ascii="Times New Roman" w:eastAsia="Times New Roman" w:hAnsi="Times New Roman" w:cs="Times New Roman"/>
          <w:b w:val="0"/>
          <w:i w:val="0"/>
          <w:color w:val="000000"/>
          <w:sz w:val="20"/>
          <w:highlight w:val="white"/>
          <w:u w:val="none"/>
        </w:rPr>
        <w:t xml:space="preserve">, we had one customer that accounted for </w:t>
      </w:r>
      <w:r>
        <w:rPr>
          <w:rFonts w:ascii="Times New Roman" w:eastAsia="Times New Roman" w:hAnsi="Times New Roman" w:cs="Times New Roman"/>
          <w:b w:val="0"/>
          <w:i w:val="0"/>
          <w:color w:val="000000"/>
          <w:sz w:val="20"/>
          <w:u w:val="none"/>
        </w:rPr>
        <w:t>$1,879</w:t>
      </w:r>
      <w:r>
        <w:rPr>
          <w:rFonts w:ascii="Times New Roman" w:eastAsia="Times New Roman" w:hAnsi="Times New Roman" w:cs="Times New Roman"/>
          <w:b w:val="0"/>
          <w:i w:val="0"/>
          <w:color w:val="000000"/>
          <w:sz w:val="20"/>
          <w:highlight w:val="white"/>
          <w:u w:val="none"/>
        </w:rPr>
        <w:t xml:space="preserve"> or </w:t>
      </w:r>
      <w:r>
        <w:rPr>
          <w:rFonts w:ascii="Times New Roman" w:eastAsia="Times New Roman" w:hAnsi="Times New Roman" w:cs="Times New Roman"/>
          <w:b w:val="0"/>
          <w:i w:val="0"/>
          <w:color w:val="000000"/>
          <w:sz w:val="20"/>
          <w:u w:val="none"/>
        </w:rPr>
        <w:t>13%</w:t>
      </w:r>
      <w:r>
        <w:rPr>
          <w:rFonts w:ascii="Times New Roman" w:eastAsia="Times New Roman" w:hAnsi="Times New Roman" w:cs="Times New Roman"/>
          <w:b w:val="0"/>
          <w:i w:val="0"/>
          <w:color w:val="000000"/>
          <w:sz w:val="20"/>
          <w:highlight w:val="white"/>
          <w:u w:val="none"/>
        </w:rPr>
        <w:t xml:space="preserve"> of our net accounts receivable balance. </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color w:val="000000"/>
          <w:sz w:val="20"/>
          <w:highlight w:val="white"/>
          <w:u w:val="none"/>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color w:val="000000"/>
          <w:sz w:val="20"/>
          <w:u w:val="none"/>
        </w:rPr>
      </w:pPr>
      <w:r>
        <w:rPr>
          <w:rFonts w:ascii="Times New Roman" w:eastAsia="Times New Roman" w:hAnsi="Times New Roman" w:cs="Times New Roman"/>
          <w:b/>
          <w:i w:val="0"/>
          <w:color w:val="000000"/>
          <w:sz w:val="20"/>
          <w:u w:val="none"/>
        </w:rPr>
        <w:t>Contract Assets</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u w:val="none"/>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color w:val="000000"/>
          <w:sz w:val="20"/>
          <w:u w:val="none"/>
        </w:rPr>
        <w:t>Costs to Fulfill Contracts</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u w:val="none"/>
        </w:rPr>
      </w:pP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i w:val="0"/>
          <w:color w:val="000000"/>
          <w:sz w:val="20"/>
          <w:u w:val="none"/>
        </w:rPr>
      </w:pPr>
      <w:r>
        <w:rPr>
          <w:rFonts w:ascii="Times New Roman" w:eastAsia="Times New Roman" w:hAnsi="Times New Roman" w:cs="Times New Roman"/>
          <w:b w:val="0"/>
          <w:i w:val="0"/>
          <w:color w:val="000000"/>
          <w:sz w:val="20"/>
          <w:u w:val="none"/>
        </w:rPr>
        <w:t xml:space="preserve">Contract assets from contracts with customers were </w:t>
      </w:r>
      <w:r>
        <w:rPr>
          <w:rFonts w:ascii="Times New Roman" w:eastAsia="Times New Roman" w:hAnsi="Times New Roman" w:cs="Times New Roman"/>
          <w:b w:val="0"/>
          <w:i w:val="0"/>
          <w:color w:val="000000"/>
          <w:sz w:val="20"/>
          <w:u w:val="none"/>
        </w:rPr>
        <w:t>$4,713</w:t>
      </w:r>
      <w:r>
        <w:rPr>
          <w:rFonts w:ascii="Times New Roman" w:eastAsia="Times New Roman" w:hAnsi="Times New Roman" w:cs="Times New Roman"/>
          <w:b w:val="0"/>
          <w:i w:val="0"/>
          <w:color w:val="000000"/>
          <w:sz w:val="20"/>
          <w:u w:val="none"/>
        </w:rPr>
        <w:t xml:space="preserve"> and </w:t>
      </w:r>
      <w:r>
        <w:rPr>
          <w:rFonts w:ascii="Times New Roman" w:eastAsia="Times New Roman" w:hAnsi="Times New Roman" w:cs="Times New Roman"/>
          <w:b w:val="0"/>
          <w:i w:val="0"/>
          <w:color w:val="000000"/>
          <w:sz w:val="20"/>
          <w:u w:val="none"/>
        </w:rPr>
        <w:t>$3,747</w:t>
      </w:r>
      <w:r>
        <w:rPr>
          <w:rFonts w:ascii="Times New Roman" w:eastAsia="Times New Roman" w:hAnsi="Times New Roman" w:cs="Times New Roman"/>
          <w:b w:val="0"/>
          <w:i w:val="0"/>
          <w:color w:val="000000"/>
          <w:sz w:val="20"/>
          <w:u w:val="none"/>
        </w:rPr>
        <w:t xml:space="preserve"> at </w:t>
      </w:r>
      <w:r>
        <w:rPr>
          <w:rFonts w:ascii="Times New Roman" w:eastAsia="Times New Roman" w:hAnsi="Times New Roman" w:cs="Times New Roman"/>
          <w:b w:val="0"/>
          <w:i w:val="0"/>
          <w:color w:val="000000"/>
          <w:sz w:val="20"/>
          <w:u w:val="none"/>
        </w:rPr>
        <w:t>March 31, 2026</w:t>
      </w:r>
      <w:r>
        <w:rPr>
          <w:rFonts w:ascii="Times New Roman" w:eastAsia="Times New Roman" w:hAnsi="Times New Roman" w:cs="Times New Roman"/>
          <w:b w:val="0"/>
          <w:i w:val="0"/>
          <w:color w:val="000000"/>
          <w:sz w:val="20"/>
          <w:u w:val="none"/>
        </w:rPr>
        <w:t xml:space="preserve"> and </w:t>
      </w:r>
      <w:r>
        <w:rPr>
          <w:rFonts w:ascii="Times New Roman" w:eastAsia="Times New Roman" w:hAnsi="Times New Roman" w:cs="Times New Roman"/>
          <w:b w:val="0"/>
          <w:i w:val="0"/>
          <w:color w:val="000000"/>
          <w:sz w:val="20"/>
          <w:highlight w:val="white"/>
          <w:u w:val="none"/>
        </w:rPr>
        <w:t>December 31, 2025</w:t>
      </w:r>
      <w:r>
        <w:rPr>
          <w:rFonts w:ascii="Times New Roman" w:eastAsia="Times New Roman" w:hAnsi="Times New Roman" w:cs="Times New Roman"/>
          <w:b w:val="0"/>
          <w:i w:val="0"/>
          <w:color w:val="000000"/>
          <w:sz w:val="20"/>
          <w:highlight w:val="white"/>
          <w:u w:val="none"/>
        </w:rPr>
        <w:t>, respectively</w:t>
      </w:r>
      <w:r>
        <w:rPr>
          <w:rFonts w:ascii="Times New Roman" w:eastAsia="Times New Roman" w:hAnsi="Times New Roman" w:cs="Times New Roman"/>
          <w:b w:val="0"/>
          <w:i w:val="0"/>
          <w:color w:val="000000"/>
          <w:sz w:val="20"/>
          <w:u w:val="none"/>
        </w:rPr>
        <w:t xml:space="preserve">. </w:t>
      </w: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color w:val="000000"/>
          <w:sz w:val="20"/>
          <w:u w:val="none"/>
        </w:rPr>
      </w:pPr>
      <w:r>
        <w:rPr>
          <w:rFonts w:ascii="Times New Roman" w:eastAsia="Times New Roman" w:hAnsi="Times New Roman" w:cs="Times New Roman"/>
          <w:b w:val="0"/>
          <w:i/>
          <w:color w:val="000000"/>
          <w:sz w:val="20"/>
          <w:u w:val="none"/>
        </w:rPr>
        <w:t>Costs to Obtain Contracts</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 xml:space="preserve">Deferred commission costs from contracts with customers were </w:t>
      </w:r>
      <w:r>
        <w:rPr>
          <w:rFonts w:ascii="Times New Roman" w:eastAsia="Times New Roman" w:hAnsi="Times New Roman" w:cs="Times New Roman"/>
          <w:b w:val="0"/>
          <w:i w:val="0"/>
          <w:color w:val="000000"/>
          <w:sz w:val="20"/>
          <w:u w:val="none"/>
        </w:rPr>
        <w:t>$15,290</w:t>
      </w:r>
      <w:r>
        <w:rPr>
          <w:rFonts w:ascii="Times New Roman" w:eastAsia="Times New Roman" w:hAnsi="Times New Roman" w:cs="Times New Roman"/>
          <w:b w:val="0"/>
          <w:i w:val="0"/>
          <w:color w:val="000000"/>
          <w:sz w:val="20"/>
          <w:u w:val="none"/>
        </w:rPr>
        <w:t xml:space="preserve"> and </w:t>
      </w:r>
      <w:r>
        <w:rPr>
          <w:rFonts w:ascii="Times New Roman" w:eastAsia="Times New Roman" w:hAnsi="Times New Roman" w:cs="Times New Roman"/>
          <w:b w:val="0"/>
          <w:i w:val="0"/>
          <w:color w:val="000000"/>
          <w:sz w:val="20"/>
          <w:u w:val="none"/>
        </w:rPr>
        <w:t>$14,721</w:t>
      </w:r>
      <w:r>
        <w:rPr>
          <w:rFonts w:ascii="Times New Roman" w:eastAsia="Times New Roman" w:hAnsi="Times New Roman" w:cs="Times New Roman"/>
          <w:b w:val="0"/>
          <w:i w:val="0"/>
          <w:color w:val="000000"/>
          <w:sz w:val="20"/>
          <w:u w:val="none"/>
        </w:rPr>
        <w:t xml:space="preserve"> at </w:t>
      </w:r>
      <w:r>
        <w:rPr>
          <w:rFonts w:ascii="Times New Roman" w:eastAsia="Times New Roman" w:hAnsi="Times New Roman" w:cs="Times New Roman"/>
          <w:b w:val="0"/>
          <w:i w:val="0"/>
          <w:color w:val="000000"/>
          <w:sz w:val="20"/>
          <w:u w:val="none"/>
        </w:rPr>
        <w:t>March 31, 2026</w:t>
      </w:r>
      <w:r>
        <w:rPr>
          <w:rFonts w:ascii="Times New Roman" w:eastAsia="Times New Roman" w:hAnsi="Times New Roman" w:cs="Times New Roman"/>
          <w:b w:val="0"/>
          <w:i w:val="0"/>
          <w:color w:val="000000"/>
          <w:sz w:val="20"/>
          <w:u w:val="none"/>
        </w:rPr>
        <w:t xml:space="preserve">, and </w:t>
      </w:r>
      <w:r>
        <w:rPr>
          <w:rFonts w:ascii="Times New Roman" w:eastAsia="Times New Roman" w:hAnsi="Times New Roman" w:cs="Times New Roman"/>
          <w:b w:val="0"/>
          <w:i w:val="0"/>
          <w:color w:val="000000"/>
          <w:sz w:val="20"/>
          <w:highlight w:val="white"/>
          <w:u w:val="none"/>
        </w:rPr>
        <w:t>December 31, 2025</w:t>
      </w:r>
      <w:r>
        <w:rPr>
          <w:rFonts w:ascii="Times New Roman" w:eastAsia="Times New Roman" w:hAnsi="Times New Roman" w:cs="Times New Roman"/>
          <w:b w:val="0"/>
          <w:i w:val="0"/>
          <w:color w:val="000000"/>
          <w:sz w:val="20"/>
          <w:u w:val="none"/>
        </w:rPr>
        <w:t xml:space="preserve">, respectively. The amount of amortization recognized for the </w:t>
      </w:r>
      <w:r>
        <w:rPr>
          <w:rFonts w:ascii="Times New Roman" w:eastAsia="Times New Roman" w:hAnsi="Times New Roman" w:cs="Times New Roman"/>
          <w:b w:val="0"/>
          <w:i w:val="0"/>
          <w:color w:val="000000"/>
          <w:sz w:val="20"/>
          <w:u w:val="none"/>
        </w:rPr>
        <w:t>three months ended March 31, 2026</w:t>
      </w:r>
      <w:r>
        <w:rPr>
          <w:rFonts w:ascii="Times New Roman" w:eastAsia="Times New Roman" w:hAnsi="Times New Roman" w:cs="Times New Roman"/>
          <w:b w:val="0"/>
          <w:i w:val="0"/>
          <w:color w:val="000000"/>
          <w:sz w:val="20"/>
          <w:u w:val="none"/>
        </w:rPr>
        <w:t xml:space="preserve">, and </w:t>
      </w:r>
      <w:r>
        <w:rPr>
          <w:rFonts w:ascii="Times New Roman" w:eastAsia="Times New Roman" w:hAnsi="Times New Roman" w:cs="Times New Roman"/>
          <w:b w:val="0"/>
          <w:i w:val="0"/>
          <w:color w:val="000000"/>
          <w:sz w:val="20"/>
          <w:u w:val="none"/>
        </w:rPr>
        <w:t>March 31, 2025</w:t>
      </w:r>
      <w:r>
        <w:rPr>
          <w:rFonts w:ascii="Times New Roman" w:eastAsia="Times New Roman" w:hAnsi="Times New Roman" w:cs="Times New Roman"/>
          <w:b w:val="0"/>
          <w:i w:val="0"/>
          <w:color w:val="000000"/>
          <w:sz w:val="20"/>
          <w:u w:val="none"/>
        </w:rPr>
        <w:t xml:space="preserve">, was </w:t>
      </w:r>
      <w:r>
        <w:rPr>
          <w:rFonts w:ascii="Times New Roman" w:eastAsia="Times New Roman" w:hAnsi="Times New Roman" w:cs="Times New Roman"/>
          <w:b w:val="0"/>
          <w:i w:val="0"/>
          <w:color w:val="000000"/>
          <w:sz w:val="20"/>
          <w:u w:val="none"/>
        </w:rPr>
        <w:t>$809</w:t>
      </w:r>
      <w:r>
        <w:rPr>
          <w:rFonts w:ascii="Times New Roman" w:eastAsia="Times New Roman" w:hAnsi="Times New Roman" w:cs="Times New Roman"/>
          <w:b w:val="0"/>
          <w:i w:val="0"/>
          <w:color w:val="000000"/>
          <w:sz w:val="20"/>
          <w:u w:val="none"/>
        </w:rPr>
        <w:t xml:space="preserve"> and </w:t>
      </w:r>
      <w:r>
        <w:rPr>
          <w:rFonts w:ascii="Times New Roman" w:eastAsia="Times New Roman" w:hAnsi="Times New Roman" w:cs="Times New Roman"/>
          <w:b w:val="0"/>
          <w:i w:val="0"/>
          <w:color w:val="000000"/>
          <w:sz w:val="20"/>
          <w:u w:val="none"/>
        </w:rPr>
        <w:t>$737</w:t>
      </w:r>
      <w:r>
        <w:rPr>
          <w:rFonts w:ascii="Times New Roman" w:eastAsia="Times New Roman" w:hAnsi="Times New Roman" w:cs="Times New Roman"/>
          <w:b w:val="0"/>
          <w:i w:val="0"/>
          <w:color w:val="000000"/>
          <w:sz w:val="20"/>
          <w:u w:val="none"/>
        </w:rPr>
        <w:t xml:space="preserve">, respectively. </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color w:val="000000"/>
          <w:sz w:val="20"/>
          <w:u w:val="none"/>
        </w:rPr>
      </w:pPr>
      <w:r>
        <w:rPr>
          <w:rFonts w:ascii="Times New Roman" w:eastAsia="Times New Roman" w:hAnsi="Times New Roman" w:cs="Times New Roman"/>
          <w:b/>
          <w:i/>
          <w:color w:val="000000"/>
          <w:sz w:val="20"/>
          <w:u w:val="none"/>
        </w:rPr>
        <w:t>Deferred Revenue</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highlight w:val="white"/>
          <w:u w:val="none"/>
        </w:rPr>
        <w:t xml:space="preserve">During the </w:t>
      </w:r>
      <w:r>
        <w:rPr>
          <w:rFonts w:ascii="Times New Roman" w:eastAsia="Times New Roman" w:hAnsi="Times New Roman" w:cs="Times New Roman"/>
          <w:b w:val="0"/>
          <w:i w:val="0"/>
          <w:color w:val="000000"/>
          <w:sz w:val="20"/>
          <w:highlight w:val="white"/>
          <w:u w:val="none"/>
        </w:rPr>
        <w:t>three</w:t>
      </w:r>
      <w:r>
        <w:rPr>
          <w:rFonts w:ascii="Times New Roman" w:eastAsia="Times New Roman" w:hAnsi="Times New Roman" w:cs="Times New Roman"/>
          <w:b w:val="0"/>
          <w:i w:val="0"/>
          <w:color w:val="000000"/>
          <w:sz w:val="20"/>
          <w:highlight w:val="white"/>
          <w:u w:val="none"/>
        </w:rPr>
        <w:t xml:space="preserve"> months ended </w:t>
      </w:r>
      <w:r>
        <w:rPr>
          <w:rFonts w:ascii="Times New Roman" w:eastAsia="Times New Roman" w:hAnsi="Times New Roman" w:cs="Times New Roman"/>
          <w:b w:val="0"/>
          <w:i w:val="0"/>
          <w:color w:val="000000"/>
          <w:sz w:val="20"/>
          <w:highlight w:val="white"/>
          <w:u w:val="none"/>
        </w:rPr>
        <w:t>March 31, 2026</w:t>
      </w:r>
      <w:r>
        <w:rPr>
          <w:rFonts w:ascii="Times New Roman" w:eastAsia="Times New Roman" w:hAnsi="Times New Roman" w:cs="Times New Roman"/>
          <w:b w:val="0"/>
          <w:i w:val="0"/>
          <w:color w:val="000000"/>
          <w:sz w:val="20"/>
          <w:highlight w:val="white"/>
          <w:u w:val="none"/>
        </w:rPr>
        <w:t xml:space="preserve"> and </w:t>
      </w:r>
      <w:r>
        <w:rPr>
          <w:rFonts w:ascii="Times New Roman" w:eastAsia="Times New Roman" w:hAnsi="Times New Roman" w:cs="Times New Roman"/>
          <w:b w:val="0"/>
          <w:i w:val="0"/>
          <w:color w:val="000000"/>
          <w:sz w:val="20"/>
          <w:u w:val="none"/>
        </w:rPr>
        <w:t>2025</w:t>
      </w:r>
      <w:r>
        <w:rPr>
          <w:rFonts w:ascii="Times New Roman" w:eastAsia="Times New Roman" w:hAnsi="Times New Roman" w:cs="Times New Roman"/>
          <w:b w:val="0"/>
          <w:i w:val="0"/>
          <w:color w:val="000000"/>
          <w:sz w:val="20"/>
          <w:highlight w:val="white"/>
          <w:u w:val="none"/>
        </w:rPr>
        <w:t xml:space="preserve">, revenue of </w:t>
      </w:r>
      <w:r>
        <w:rPr>
          <w:rFonts w:ascii="Times New Roman" w:eastAsia="Times New Roman" w:hAnsi="Times New Roman" w:cs="Times New Roman"/>
          <w:b w:val="0"/>
          <w:i w:val="0"/>
          <w:color w:val="000000"/>
          <w:sz w:val="20"/>
          <w:u w:val="none"/>
        </w:rPr>
        <w:t>$8,874</w:t>
      </w:r>
      <w:r>
        <w:rPr>
          <w:rFonts w:ascii="Times New Roman" w:eastAsia="Times New Roman" w:hAnsi="Times New Roman" w:cs="Times New Roman"/>
          <w:b w:val="0"/>
          <w:i w:val="0"/>
          <w:color w:val="000000"/>
          <w:sz w:val="20"/>
          <w:highlight w:val="white"/>
          <w:u w:val="none"/>
        </w:rPr>
        <w:t xml:space="preserve"> and</w:t>
      </w:r>
      <w:r>
        <w:rPr>
          <w:rFonts w:ascii="Times New Roman" w:eastAsia="Times New Roman" w:hAnsi="Times New Roman" w:cs="Times New Roman"/>
          <w:b w:val="0"/>
          <w:i w:val="0"/>
          <w:color w:val="000000"/>
          <w:sz w:val="20"/>
          <w:u w:val="none"/>
        </w:rPr>
        <w:t xml:space="preserve"> </w:t>
      </w:r>
      <w:r>
        <w:rPr>
          <w:rFonts w:ascii="Times New Roman" w:eastAsia="Times New Roman" w:hAnsi="Times New Roman" w:cs="Times New Roman"/>
          <w:b w:val="0"/>
          <w:i w:val="0"/>
          <w:color w:val="000000"/>
          <w:sz w:val="20"/>
          <w:u w:val="none"/>
        </w:rPr>
        <w:t>$5,990</w:t>
      </w:r>
      <w:r>
        <w:rPr>
          <w:rFonts w:ascii="Times New Roman" w:eastAsia="Times New Roman" w:hAnsi="Times New Roman" w:cs="Times New Roman"/>
          <w:b w:val="0"/>
          <w:i w:val="0"/>
          <w:color w:val="000000"/>
          <w:sz w:val="20"/>
          <w:u w:val="none"/>
        </w:rPr>
        <w:t>, respectively, was recognized from the deferred revenue balance at the beginning of each period.</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color w:val="000000"/>
          <w:sz w:val="20"/>
          <w:u w:val="none"/>
        </w:rPr>
      </w:pPr>
      <w:r>
        <w:rPr>
          <w:rFonts w:ascii="Times New Roman" w:eastAsia="Times New Roman" w:hAnsi="Times New Roman" w:cs="Times New Roman"/>
          <w:b/>
          <w:i/>
          <w:color w:val="000000"/>
          <w:sz w:val="20"/>
          <w:u w:val="none"/>
        </w:rPr>
        <w:t>Transaction Price Allocated to the Remaining Performance Obligations</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highlight w:val="white"/>
          <w:u w:val="none"/>
        </w:rPr>
      </w:pPr>
      <w:r>
        <w:rPr>
          <w:rFonts w:ascii="Times New Roman" w:eastAsia="Times New Roman" w:hAnsi="Times New Roman" w:cs="Times New Roman"/>
          <w:b w:val="0"/>
          <w:i w:val="0"/>
          <w:color w:val="000000"/>
          <w:sz w:val="20"/>
          <w:highlight w:val="white"/>
          <w:u w:val="none"/>
        </w:rPr>
        <w:t xml:space="preserve">As of </w:t>
      </w:r>
      <w:r>
        <w:rPr>
          <w:rFonts w:ascii="Times New Roman" w:eastAsia="Times New Roman" w:hAnsi="Times New Roman" w:cs="Times New Roman"/>
          <w:b w:val="0"/>
          <w:i w:val="0"/>
          <w:color w:val="000000"/>
          <w:sz w:val="20"/>
          <w:highlight w:val="white"/>
          <w:u w:val="none"/>
        </w:rPr>
        <w:t>March 31, 2026</w:t>
      </w:r>
      <w:r>
        <w:rPr>
          <w:rFonts w:ascii="Times New Roman" w:eastAsia="Times New Roman" w:hAnsi="Times New Roman" w:cs="Times New Roman"/>
          <w:b w:val="0"/>
          <w:i w:val="0"/>
          <w:color w:val="000000"/>
          <w:sz w:val="20"/>
          <w:highlight w:val="white"/>
          <w:u w:val="none"/>
        </w:rPr>
        <w:t>, approximately</w:t>
      </w:r>
      <w:r>
        <w:rPr>
          <w:rFonts w:ascii="Times New Roman" w:eastAsia="Times New Roman" w:hAnsi="Times New Roman" w:cs="Times New Roman"/>
          <w:b w:val="0"/>
          <w:i w:val="0"/>
          <w:color w:val="000000"/>
          <w:sz w:val="20"/>
          <w:u w:val="none"/>
        </w:rPr>
        <w:t xml:space="preserve"> </w:t>
      </w:r>
      <w:r>
        <w:rPr>
          <w:rFonts w:ascii="Times New Roman" w:eastAsia="Times New Roman" w:hAnsi="Times New Roman" w:cs="Times New Roman"/>
          <w:b w:val="0"/>
          <w:i w:val="0"/>
          <w:color w:val="000000"/>
          <w:sz w:val="20"/>
          <w:u w:val="none"/>
        </w:rPr>
        <w:t>$85,567</w:t>
      </w:r>
      <w:r>
        <w:rPr>
          <w:rFonts w:ascii="Times New Roman" w:eastAsia="Times New Roman" w:hAnsi="Times New Roman" w:cs="Times New Roman"/>
          <w:b w:val="0"/>
          <w:i w:val="0"/>
          <w:color w:val="000000"/>
          <w:sz w:val="20"/>
          <w:u w:val="none"/>
        </w:rPr>
        <w:t xml:space="preserve"> of revenue is expected to be recognized from remaining performance obligations. We expect to recognize revenue on approximately </w:t>
      </w:r>
      <w:r>
        <w:rPr>
          <w:rFonts w:ascii="Times New Roman" w:eastAsia="Times New Roman" w:hAnsi="Times New Roman" w:cs="Times New Roman"/>
          <w:b w:val="0"/>
          <w:i w:val="0"/>
          <w:color w:val="000000"/>
          <w:sz w:val="20"/>
          <w:u w:val="none"/>
        </w:rPr>
        <w:t>38%</w:t>
      </w:r>
      <w:r>
        <w:rPr>
          <w:rFonts w:ascii="Times New Roman" w:eastAsia="Times New Roman" w:hAnsi="Times New Roman" w:cs="Times New Roman"/>
          <w:b w:val="0"/>
          <w:i w:val="0"/>
          <w:color w:val="000000"/>
          <w:sz w:val="20"/>
          <w:u w:val="none"/>
        </w:rPr>
        <w:t xml:space="preserve"> of these remaining performance obligations over the next </w:t>
      </w:r>
      <w:r>
        <w:rPr>
          <w:rFonts w:ascii="Times New Roman" w:eastAsia="Times New Roman" w:hAnsi="Times New Roman" w:cs="Times New Roman"/>
          <w:b w:val="0"/>
          <w:i w:val="0"/>
          <w:color w:val="000000"/>
          <w:sz w:val="20"/>
          <w:u w:val="none"/>
        </w:rPr>
        <w:t>12 months</w:t>
      </w:r>
      <w:r>
        <w:rPr>
          <w:rFonts w:ascii="Times New Roman" w:eastAsia="Times New Roman" w:hAnsi="Times New Roman" w:cs="Times New Roman"/>
          <w:b w:val="0"/>
          <w:i w:val="0"/>
          <w:color w:val="000000"/>
          <w:sz w:val="20"/>
          <w:u w:val="none"/>
        </w:rPr>
        <w:t>, with the balance recognized thereafter. These amounts exc</w:t>
      </w:r>
      <w:r>
        <w:rPr>
          <w:rFonts w:ascii="Times New Roman" w:eastAsia="Times New Roman" w:hAnsi="Times New Roman" w:cs="Times New Roman"/>
          <w:b w:val="0"/>
          <w:i w:val="0"/>
          <w:color w:val="000000"/>
          <w:sz w:val="20"/>
          <w:highlight w:val="white"/>
          <w:u w:val="none"/>
        </w:rPr>
        <w:t xml:space="preserve">lude remaining performance obligations related to contracts for professional services for tax and payroll offerings whose remaining contractual term is less than one year as of </w:t>
      </w:r>
      <w:r>
        <w:rPr>
          <w:rFonts w:ascii="Times New Roman" w:eastAsia="Times New Roman" w:hAnsi="Times New Roman" w:cs="Times New Roman"/>
          <w:b w:val="0"/>
          <w:i w:val="0"/>
          <w:color w:val="000000"/>
          <w:sz w:val="20"/>
          <w:u w:val="none"/>
        </w:rPr>
        <w:t>March 31, 2026</w:t>
      </w:r>
      <w:r>
        <w:rPr>
          <w:rFonts w:ascii="Times New Roman" w:eastAsia="Times New Roman" w:hAnsi="Times New Roman" w:cs="Times New Roman"/>
          <w:b w:val="0"/>
          <w:i w:val="0"/>
          <w:color w:val="000000"/>
          <w:sz w:val="20"/>
          <w:u w:val="none"/>
        </w:rPr>
        <w:t>.</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color w:val="000000"/>
          <w:sz w:val="20"/>
          <w:u w:val="none"/>
        </w:rPr>
      </w:pPr>
      <w:r>
        <w:rPr>
          <w:rFonts w:ascii="Times New Roman" w:eastAsia="Times New Roman" w:hAnsi="Times New Roman" w:cs="Times New Roman"/>
          <w:b/>
          <w:i/>
          <w:color w:val="000000"/>
          <w:sz w:val="20"/>
          <w:u w:val="none"/>
        </w:rPr>
        <w:t>Revenue Co</w:t>
      </w:r>
      <w:r>
        <w:rPr>
          <w:rFonts w:ascii="Times New Roman" w:eastAsia="Times New Roman" w:hAnsi="Times New Roman" w:cs="Times New Roman"/>
          <w:b/>
          <w:i/>
          <w:color w:val="000000"/>
          <w:sz w:val="20"/>
          <w:highlight w:val="white"/>
          <w:u w:val="none"/>
        </w:rPr>
        <w:t>ncentration</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color w:val="000000"/>
          <w:sz w:val="20"/>
          <w:highlight w:val="white"/>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highlight w:val="white"/>
          <w:u w:val="none"/>
        </w:rPr>
      </w:pPr>
      <w:r>
        <w:rPr>
          <w:rFonts w:ascii="Times New Roman" w:eastAsia="Times New Roman" w:hAnsi="Times New Roman" w:cs="Times New Roman"/>
          <w:b w:val="0"/>
          <w:i w:val="0"/>
          <w:color w:val="000000"/>
          <w:sz w:val="20"/>
          <w:highlight w:val="white"/>
          <w:u w:val="none"/>
        </w:rPr>
        <w:t xml:space="preserve">During the </w:t>
      </w:r>
      <w:r>
        <w:rPr>
          <w:rFonts w:ascii="Times New Roman" w:eastAsia="Times New Roman" w:hAnsi="Times New Roman" w:cs="Times New Roman"/>
          <w:b w:val="0"/>
          <w:i w:val="0"/>
          <w:color w:val="000000"/>
          <w:sz w:val="20"/>
          <w:highlight w:val="white"/>
          <w:u w:val="none"/>
        </w:rPr>
        <w:t>three</w:t>
      </w:r>
      <w:r>
        <w:rPr>
          <w:rFonts w:ascii="Times New Roman" w:eastAsia="Times New Roman" w:hAnsi="Times New Roman" w:cs="Times New Roman"/>
          <w:b w:val="0"/>
          <w:i w:val="0"/>
          <w:color w:val="000000"/>
          <w:sz w:val="20"/>
          <w:highlight w:val="white"/>
          <w:u w:val="none"/>
        </w:rPr>
        <w:t xml:space="preserve"> months ended </w:t>
      </w:r>
      <w:r>
        <w:rPr>
          <w:rFonts w:ascii="Times New Roman" w:eastAsia="Times New Roman" w:hAnsi="Times New Roman" w:cs="Times New Roman"/>
          <w:b w:val="0"/>
          <w:i w:val="0"/>
          <w:color w:val="000000"/>
          <w:sz w:val="20"/>
          <w:highlight w:val="white"/>
          <w:u w:val="none"/>
        </w:rPr>
        <w:t>March 31, 2026</w:t>
      </w:r>
      <w:r>
        <w:rPr>
          <w:rFonts w:ascii="Times New Roman" w:eastAsia="Times New Roman" w:hAnsi="Times New Roman" w:cs="Times New Roman"/>
          <w:b w:val="0"/>
          <w:i w:val="0"/>
          <w:color w:val="000000"/>
          <w:sz w:val="20"/>
          <w:highlight w:val="white"/>
          <w:u w:val="none"/>
        </w:rPr>
        <w:t xml:space="preserve"> and </w:t>
      </w:r>
      <w:r>
        <w:rPr>
          <w:rFonts w:ascii="Times New Roman" w:eastAsia="Times New Roman" w:hAnsi="Times New Roman" w:cs="Times New Roman"/>
          <w:b w:val="0"/>
          <w:i w:val="0"/>
          <w:color w:val="000000"/>
          <w:sz w:val="20"/>
          <w:highlight w:val="white"/>
          <w:u w:val="none"/>
        </w:rPr>
        <w:t>2025</w:t>
      </w:r>
      <w:r>
        <w:rPr>
          <w:rFonts w:ascii="Times New Roman" w:eastAsia="Times New Roman" w:hAnsi="Times New Roman" w:cs="Times New Roman"/>
          <w:b w:val="0"/>
          <w:i w:val="0"/>
          <w:color w:val="000000"/>
          <w:sz w:val="20"/>
          <w:highlight w:val="white"/>
          <w:u w:val="none"/>
        </w:rPr>
        <w:t>, there w</w:t>
      </w:r>
      <w:r>
        <w:rPr>
          <w:rFonts w:ascii="Times New Roman" w:eastAsia="Times New Roman" w:hAnsi="Times New Roman" w:cs="Times New Roman"/>
          <w:b w:val="0"/>
          <w:i w:val="0"/>
          <w:color w:val="000000"/>
          <w:sz w:val="20"/>
          <w:u w:val="none"/>
        </w:rPr>
        <w:t>ere no c</w:t>
      </w:r>
      <w:r>
        <w:rPr>
          <w:rFonts w:ascii="Times New Roman" w:eastAsia="Times New Roman" w:hAnsi="Times New Roman" w:cs="Times New Roman"/>
          <w:b w:val="0"/>
          <w:i w:val="0"/>
          <w:color w:val="000000"/>
          <w:sz w:val="20"/>
          <w:highlight w:val="white"/>
          <w:u w:val="none"/>
        </w:rPr>
        <w:t>ustomers that individually represented 10% or more of consolidated revenue.</w:t>
      </w:r>
    </w:p>
    <w:p>
      <w:pPr>
        <w:keepNext w:val="0"/>
        <w:keepLines/>
        <w:pageBreakBefore w:val="0"/>
        <w:widowControl w:val="0"/>
        <w:numPr>
          <w:ilvl w:val="0"/>
          <w:numId w:val="0"/>
        </w:numPr>
        <w:spacing w:before="0" w:after="0" w:line="288" w:lineRule="auto"/>
        <w:ind w:left="0" w:right="0" w:firstLine="720"/>
        <w:jc w:val="both"/>
        <w:outlineLvl w:val="9"/>
        <w:sectPr>
          <w:type w:val="continuous"/>
          <w:pgSz w:w="12240" w:h="15840"/>
          <w:pgMar w:top="855" w:right="990" w:bottom="855" w:left="990" w:header="270" w:footer="270"/>
          <w:cols w:space="708"/>
        </w:sect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sz w:val="20"/>
        </w:rPr>
      </w:pPr>
      <w:bookmarkStart w:id="16" w:name="Section17"/>
      <w:bookmarkEnd w:id="16"/>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sz w:val="20"/>
        </w:rPr>
      </w:pPr>
    </w:p>
    <w:p>
      <w:pPr>
        <w:keepNext/>
        <w:keepLines/>
        <w:pageBreakBefore/>
        <w:widowControl w:val="0"/>
        <w:numPr>
          <w:ilvl w:val="0"/>
          <w:numId w:val="0"/>
        </w:numPr>
        <w:spacing w:before="0" w:after="0" w:line="288" w:lineRule="auto"/>
        <w:ind w:left="0" w:right="0" w:firstLine="0"/>
        <w:jc w:val="both"/>
        <w:outlineLvl w:val="3"/>
        <w:rPr>
          <w:rFonts w:ascii="Times New Roman" w:eastAsia="Times New Roman" w:hAnsi="Times New Roman" w:cs="Times New Roman"/>
          <w:b w:val="0"/>
          <w:i w:val="0"/>
          <w:sz w:val="20"/>
        </w:rPr>
      </w:pPr>
      <w:r>
        <w:rPr>
          <w:rFonts w:ascii="Times New Roman" w:eastAsia="Times New Roman" w:hAnsi="Times New Roman" w:cs="Times New Roman"/>
          <w:b/>
          <w:i w:val="0"/>
          <w:color w:val="000000"/>
          <w:sz w:val="20"/>
          <w:u w:val="none"/>
        </w:rPr>
        <w:t xml:space="preserve">NOTE 8 - </w:t>
      </w:r>
      <w:r>
        <w:rPr>
          <w:rFonts w:ascii="Times New Roman" w:eastAsia="Times New Roman" w:hAnsi="Times New Roman" w:cs="Times New Roman"/>
          <w:b/>
          <w:i w:val="0"/>
          <w:color w:val="000000"/>
          <w:sz w:val="20"/>
          <w:u w:val="none"/>
        </w:rPr>
        <w:t>COMMITMENTS AND CONTINGENCIES</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u w:val="none"/>
        </w:rPr>
      </w:pP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color w:val="000000"/>
          <w:sz w:val="20"/>
          <w:u w:val="none"/>
        </w:rPr>
      </w:pPr>
      <w:r>
        <w:rPr>
          <w:rFonts w:ascii="Times New Roman" w:eastAsia="Times New Roman" w:hAnsi="Times New Roman" w:cs="Times New Roman"/>
          <w:b/>
          <w:i/>
          <w:color w:val="000000"/>
          <w:sz w:val="20"/>
          <w:u w:val="none"/>
        </w:rPr>
        <w:t>Lease Commitments</w:t>
      </w:r>
    </w:p>
    <w:p>
      <w:pPr>
        <w:keepNext w:val="0"/>
        <w:keepLines/>
        <w:pageBreakBefore w:val="0"/>
        <w:widowControl w:val="0"/>
        <w:numPr>
          <w:ilvl w:val="0"/>
          <w:numId w:val="0"/>
        </w:numPr>
        <w:spacing w:before="0" w:after="0" w:line="288" w:lineRule="auto"/>
        <w:ind w:left="0" w:right="0" w:firstLine="675"/>
        <w:jc w:val="both"/>
        <w:outlineLvl w:val="9"/>
        <w:rPr>
          <w:rFonts w:ascii="Times New Roman" w:eastAsia="Times New Roman" w:hAnsi="Times New Roman" w:cs="Times New Roman"/>
          <w:b w:val="0"/>
          <w:i w:val="0"/>
          <w:color w:val="000000"/>
          <w:sz w:val="20"/>
          <w:u w:val="none"/>
        </w:rPr>
      </w:pP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i w:val="0"/>
          <w:color w:val="000000"/>
          <w:sz w:val="20"/>
          <w:u w:val="none"/>
        </w:rPr>
      </w:pPr>
      <w:r>
        <w:rPr>
          <w:rFonts w:ascii="Times New Roman" w:eastAsia="Times New Roman" w:hAnsi="Times New Roman" w:cs="Times New Roman"/>
          <w:b w:val="0"/>
          <w:i w:val="0"/>
          <w:color w:val="000000"/>
          <w:sz w:val="20"/>
          <w:u w:val="none"/>
        </w:rPr>
        <w:t>We have entered into office space lease agreements, which qualify as operating leases under ASU No. 2016-02, “Leases (Topic 842)”. Under such leases, we have commitments to pay annual minimum (base) rent. The leases have original terms (excluding extension options) ranging from </w:t>
      </w:r>
      <w:r>
        <w:rPr>
          <w:rFonts w:ascii="Times New Roman" w:eastAsia="Times New Roman" w:hAnsi="Times New Roman" w:cs="Times New Roman"/>
          <w:b w:val="0"/>
          <w:i w:val="0"/>
          <w:color w:val="000000"/>
          <w:sz w:val="20"/>
          <w:u w:val="none"/>
        </w:rPr>
        <w:t>one</w:t>
      </w:r>
      <w:r>
        <w:rPr>
          <w:rFonts w:ascii="Times New Roman" w:eastAsia="Times New Roman" w:hAnsi="Times New Roman" w:cs="Times New Roman"/>
          <w:b w:val="0"/>
          <w:i w:val="0"/>
          <w:color w:val="000000"/>
          <w:sz w:val="20"/>
          <w:u w:val="none"/>
        </w:rPr>
        <w:t> to </w:t>
      </w:r>
      <w:r>
        <w:rPr>
          <w:rFonts w:ascii="Times New Roman" w:eastAsia="Times New Roman" w:hAnsi="Times New Roman" w:cs="Times New Roman"/>
          <w:b w:val="0"/>
          <w:i w:val="0"/>
          <w:color w:val="000000"/>
          <w:sz w:val="20"/>
          <w:u w:val="none"/>
        </w:rPr>
        <w:t>ten years</w:t>
      </w:r>
      <w:r>
        <w:rPr>
          <w:rFonts w:ascii="Times New Roman" w:eastAsia="Times New Roman" w:hAnsi="Times New Roman" w:cs="Times New Roman"/>
          <w:b w:val="0"/>
          <w:i w:val="0"/>
          <w:color w:val="000000"/>
          <w:sz w:val="20"/>
          <w:u w:val="none"/>
        </w:rPr>
        <w:t xml:space="preserve">. Our lease agreements do not contain any material residual value guarantees or material restrictive covenants. We record base rent expense under the straight-line method over the term of the lease. In the accompanying Condensed Consolidated Statements of Comprehensive </w:t>
      </w:r>
      <w:r>
        <w:rPr>
          <w:rFonts w:ascii="Times New Roman" w:eastAsia="Times New Roman" w:hAnsi="Times New Roman" w:cs="Times New Roman"/>
          <w:b w:val="0"/>
          <w:i w:val="0"/>
          <w:color w:val="000000"/>
          <w:sz w:val="20"/>
          <w:u w:val="none"/>
        </w:rPr>
        <w:t>Income and Loss</w:t>
      </w:r>
      <w:r>
        <w:rPr>
          <w:rFonts w:ascii="Times New Roman" w:eastAsia="Times New Roman" w:hAnsi="Times New Roman" w:cs="Times New Roman"/>
          <w:b w:val="0"/>
          <w:i w:val="0"/>
          <w:color w:val="000000"/>
          <w:sz w:val="20"/>
          <w:u w:val="none"/>
        </w:rPr>
        <w:t xml:space="preserve">, rent expense is included in operating expenses under general and administrative expenses. </w:t>
      </w:r>
    </w:p>
    <w:p>
      <w:pPr>
        <w:keepNext w:val="0"/>
        <w:keepLines/>
        <w:pageBreakBefore w:val="0"/>
        <w:widowControl w:val="0"/>
        <w:numPr>
          <w:ilvl w:val="0"/>
          <w:numId w:val="0"/>
        </w:numPr>
        <w:spacing w:before="0" w:after="0" w:line="288" w:lineRule="auto"/>
        <w:ind w:left="0" w:right="0" w:firstLine="675"/>
        <w:jc w:val="both"/>
        <w:outlineLvl w:val="9"/>
        <w:rPr>
          <w:rFonts w:ascii="Times New Roman" w:eastAsia="Times New Roman" w:hAnsi="Times New Roman" w:cs="Times New Roman"/>
          <w:b w:val="0"/>
          <w:i w:val="0"/>
          <w:color w:val="000000"/>
          <w:sz w:val="20"/>
          <w:u w:val="none"/>
        </w:rPr>
      </w:pPr>
    </w:p>
    <w:p>
      <w:pPr>
        <w:keepNext/>
        <w:keepLines/>
        <w:pageBreakBefore w:val="0"/>
        <w:widowControl w:val="0"/>
        <w:numPr>
          <w:ilvl w:val="0"/>
          <w:numId w:val="0"/>
        </w:numPr>
        <w:spacing w:before="0" w:after="0" w:line="288" w:lineRule="auto"/>
        <w:ind w:left="0" w:right="0" w:firstLine="675"/>
        <w:jc w:val="both"/>
        <w:outlineLvl w:val="9"/>
        <w:rPr>
          <w:rFonts w:ascii="Times New Roman" w:eastAsia="Times New Roman" w:hAnsi="Times New Roman" w:cs="Times New Roman"/>
          <w:b/>
          <w:i w:val="0"/>
          <w:color w:val="000000"/>
          <w:sz w:val="20"/>
          <w:u w:val="none"/>
        </w:rPr>
      </w:pPr>
      <w:r>
        <w:rPr>
          <w:rFonts w:ascii="Times New Roman" w:eastAsia="Times New Roman" w:hAnsi="Times New Roman" w:cs="Times New Roman"/>
          <w:b w:val="0"/>
          <w:i w:val="0"/>
          <w:color w:val="000000"/>
          <w:sz w:val="20"/>
          <w:u w:val="none"/>
        </w:rPr>
        <w:t xml:space="preserve">We have entered into a software license agreement, which qualifies as a finance lease under ASC 842 (“Leases”). Under this lease, the lessor receives fixed payments over a period of </w:t>
      </w:r>
      <w:r>
        <w:rPr>
          <w:rFonts w:ascii="Times New Roman" w:eastAsia="Times New Roman" w:hAnsi="Times New Roman" w:cs="Times New Roman"/>
          <w:b w:val="0"/>
          <w:i w:val="0"/>
          <w:color w:val="000000"/>
          <w:sz w:val="20"/>
          <w:u w:val="none"/>
        </w:rPr>
        <w:t>four years</w:t>
      </w:r>
      <w:r>
        <w:rPr>
          <w:rFonts w:ascii="Times New Roman" w:eastAsia="Times New Roman" w:hAnsi="Times New Roman" w:cs="Times New Roman"/>
          <w:b w:val="0"/>
          <w:i w:val="0"/>
          <w:color w:val="000000"/>
          <w:sz w:val="20"/>
          <w:u w:val="none"/>
        </w:rPr>
        <w:t xml:space="preserve">, after which we take ownership of the software and source code. The resulting software asset is included in property and equipment, net, in the accompanying Condensed Consolidated Balance Sheets. We record amortization for the related asset over its useful life on a straight-line basis and recognize interest expense under the effective interest method over the term of the lease. In the accompanying Condensed Consolidated Statements of Comprehensive </w:t>
      </w:r>
      <w:r>
        <w:rPr>
          <w:rFonts w:ascii="Times New Roman" w:eastAsia="Times New Roman" w:hAnsi="Times New Roman" w:cs="Times New Roman"/>
          <w:b w:val="0"/>
          <w:i w:val="0"/>
          <w:color w:val="000000"/>
          <w:sz w:val="20"/>
          <w:u w:val="none"/>
        </w:rPr>
        <w:t>Income and Loss</w:t>
      </w:r>
      <w:r>
        <w:rPr>
          <w:rFonts w:ascii="Times New Roman" w:eastAsia="Times New Roman" w:hAnsi="Times New Roman" w:cs="Times New Roman"/>
          <w:b w:val="0"/>
          <w:i w:val="0"/>
          <w:color w:val="000000"/>
          <w:sz w:val="20"/>
          <w:u w:val="none"/>
        </w:rPr>
        <w:t>, these expenses are included in general and administrative expenses and interest expense, respectively.</w:t>
      </w:r>
    </w:p>
    <w:p>
      <w:pPr>
        <w:keepNext/>
        <w:keepLines/>
        <w:pageBreakBefore w:val="0"/>
        <w:widowControl w:val="0"/>
        <w:numPr>
          <w:ilvl w:val="0"/>
          <w:numId w:val="0"/>
        </w:numPr>
        <w:spacing w:before="0" w:after="0" w:line="288" w:lineRule="auto"/>
        <w:ind w:left="0" w:right="0" w:firstLine="675"/>
        <w:jc w:val="both"/>
        <w:outlineLvl w:val="9"/>
        <w:rPr>
          <w:rFonts w:ascii="Times New Roman" w:eastAsia="Times New Roman" w:hAnsi="Times New Roman" w:cs="Times New Roman"/>
          <w:b w:val="0"/>
          <w:i w:val="0"/>
          <w:color w:val="000000"/>
          <w:sz w:val="20"/>
          <w:u w:val="none"/>
        </w:rPr>
      </w:pPr>
    </w:p>
    <w:p>
      <w:pPr>
        <w:keepNext/>
        <w:keepLines/>
        <w:pageBreakBefore w:val="0"/>
        <w:widowControl w:val="0"/>
        <w:numPr>
          <w:ilvl w:val="0"/>
          <w:numId w:val="0"/>
        </w:numPr>
        <w:spacing w:before="0" w:after="0" w:line="288" w:lineRule="auto"/>
        <w:ind w:left="0" w:right="0" w:firstLine="675"/>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The components of the lease-related expenses are as follows for the periods presented below (in thousands):</w:t>
      </w:r>
    </w:p>
    <w:tbl>
      <w:tblPr>
        <w:tblStyle w:val="TableNormal0"/>
        <w:tblW w:w="10245" w:type="dxa"/>
        <w:jc w:val="center"/>
        <w:tblLayout w:type="fixed"/>
      </w:tblPr>
      <w:tblGrid>
        <w:gridCol w:w="7035"/>
        <w:gridCol w:w="1575"/>
        <w:gridCol w:w="75"/>
        <w:gridCol w:w="1560"/>
      </w:tblGrid>
      <w:tr>
        <w:tblPrEx>
          <w:tblW w:w="10245" w:type="dxa"/>
          <w:tblLayout w:type="fixed"/>
        </w:tblPrEx>
        <w:trPr>
          <w:trHeight w:hRule="exact" w:val="285"/>
        </w:trPr>
        <w:tc>
          <w:tcPr>
            <w:tcW w:w="703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3210" w:type="dxa"/>
            <w:gridSpan w:val="3"/>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Three Months Ended March 31,</w:t>
            </w:r>
          </w:p>
        </w:tc>
      </w:tr>
      <w:tr>
        <w:tblPrEx>
          <w:tblW w:w="10245" w:type="dxa"/>
          <w:tblLayout w:type="fixed"/>
        </w:tblPrEx>
        <w:trPr>
          <w:trHeight w:hRule="exact" w:val="285"/>
        </w:trPr>
        <w:tc>
          <w:tcPr>
            <w:tcW w:w="7035" w:type="dxa"/>
            <w:tcBorders>
              <w:top w:val="nil"/>
              <w:left w:val="nil"/>
              <w:bottom w:val="nil"/>
              <w:right w:val="nil"/>
            </w:tcBorders>
            <w:tcMar>
              <w:top w:w="0" w:type="dxa"/>
              <w:left w:w="53" w:type="dxa"/>
              <w:bottom w:w="0" w:type="dxa"/>
              <w:right w:w="53" w:type="dxa"/>
            </w:tcMar>
            <w:vAlign w:val="bottom"/>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 </w:t>
            </w:r>
          </w:p>
        </w:tc>
        <w:tc>
          <w:tcPr>
            <w:tcW w:w="157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33" w:after="30" w:line="240" w:lineRule="auto"/>
              <w:jc w:val="center"/>
            </w:pPr>
            <w:r>
              <w:rPr>
                <w:rFonts w:ascii="Times New Roman" w:eastAsia="Times New Roman" w:hAnsi="Times New Roman" w:cs="Times New Roman"/>
                <w:b/>
                <w:i w:val="0"/>
                <w:color w:val="000000"/>
                <w:sz w:val="20"/>
                <w:u w:val="none"/>
              </w:rPr>
              <w:t>2026</w:t>
            </w:r>
          </w:p>
        </w:tc>
        <w:tc>
          <w:tcPr>
            <w:tcW w:w="75" w:type="dxa"/>
            <w:tcBorders>
              <w:top w:val="single" w:sz="8" w:space="0" w:color="000000"/>
              <w:left w:val="nil"/>
              <w:bottom w:val="nil"/>
              <w:right w:val="nil"/>
            </w:tcBorders>
            <w:tcMar>
              <w:top w:w="0" w:type="dxa"/>
              <w:left w:w="0" w:type="dxa"/>
              <w:bottom w:w="0" w:type="dxa"/>
              <w:right w:w="0" w:type="dxa"/>
            </w:tcMar>
            <w:vAlign w:val="bottom"/>
          </w:tcPr>
          <w:p>
            <w:pPr>
              <w:keepNext/>
              <w:pageBreakBefore w:val="0"/>
              <w:spacing w:before="0" w:after="0"/>
            </w:pPr>
          </w:p>
        </w:tc>
        <w:tc>
          <w:tcPr>
            <w:tcW w:w="1560" w:type="dxa"/>
            <w:tcBorders>
              <w:top w:val="single" w:sz="8" w:space="0" w:color="000000"/>
              <w:left w:val="nil"/>
              <w:bottom w:val="single" w:sz="8" w:space="0" w:color="000000"/>
              <w:right w:val="nil"/>
            </w:tcBorders>
            <w:tcMar>
              <w:top w:w="0" w:type="dxa"/>
              <w:left w:w="53" w:type="dxa"/>
              <w:bottom w:w="0" w:type="dxa"/>
              <w:right w:w="53" w:type="dxa"/>
            </w:tcMar>
            <w:vAlign w:val="bottom"/>
          </w:tcPr>
          <w:p>
            <w:pPr>
              <w:keepNext/>
              <w:pageBreakBefore w:val="0"/>
              <w:spacing w:before="33" w:after="30" w:line="240" w:lineRule="auto"/>
              <w:jc w:val="center"/>
            </w:pPr>
            <w:r>
              <w:rPr>
                <w:rFonts w:ascii="Times New Roman" w:eastAsia="Times New Roman" w:hAnsi="Times New Roman" w:cs="Times New Roman"/>
                <w:b/>
                <w:i w:val="0"/>
                <w:color w:val="000000"/>
                <w:sz w:val="20"/>
                <w:u w:val="none"/>
              </w:rPr>
              <w:t>2025</w:t>
            </w:r>
          </w:p>
        </w:tc>
      </w:tr>
      <w:tr>
        <w:tblPrEx>
          <w:tblW w:w="10245" w:type="dxa"/>
          <w:tblLayout w:type="fixed"/>
        </w:tblPrEx>
        <w:trPr>
          <w:trHeight w:hRule="exact" w:val="285"/>
        </w:trPr>
        <w:tc>
          <w:tcPr>
            <w:tcW w:w="703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Operating lease cost:</w:t>
            </w:r>
          </w:p>
        </w:tc>
        <w:tc>
          <w:tcPr>
            <w:tcW w:w="1575" w:type="dxa"/>
            <w:tcBorders>
              <w:top w:val="sing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560" w:type="dxa"/>
            <w:tcBorders>
              <w:top w:val="sing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r>
      <w:tr>
        <w:tblPrEx>
          <w:tblW w:w="10245" w:type="dxa"/>
          <w:tblLayout w:type="fixed"/>
        </w:tblPrEx>
        <w:trPr>
          <w:trHeight w:hRule="exact" w:val="285"/>
        </w:trPr>
        <w:tc>
          <w:tcPr>
            <w:tcW w:w="703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ind w:left="120"/>
              <w:jc w:val="left"/>
            </w:pPr>
            <w:r>
              <w:rPr>
                <w:rFonts w:ascii="Times New Roman" w:eastAsia="Times New Roman" w:hAnsi="Times New Roman" w:cs="Times New Roman"/>
                <w:b w:val="0"/>
                <w:i w:val="0"/>
                <w:color w:val="000000"/>
                <w:sz w:val="20"/>
                <w:u w:val="none"/>
              </w:rPr>
              <w:t>Rent expense</w:t>
            </w:r>
          </w:p>
        </w:tc>
        <w:tc>
          <w:tcPr>
            <w:tcW w:w="157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1142"/>
                <w:tab w:val="left" w:pos="1507"/>
              </w:tabs>
              <w:spacing w:before="53" w:after="30" w:line="240" w:lineRule="auto"/>
              <w:jc w:val="right"/>
            </w:pPr>
            <w:r>
              <w:rPr>
                <w:rFonts w:ascii="Times New Roman" w:eastAsia="Times New Roman" w:hAnsi="Times New Roman" w:cs="Times New Roman"/>
                <w:b w:val="0"/>
                <w:i w:val="0"/>
                <w:color w:val="000000"/>
                <w:sz w:val="20"/>
                <w:u w:val="none"/>
              </w:rPr>
              <w:t>$</w:t>
              <w:tab/>
              <w:t>647</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56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1127"/>
                <w:tab w:val="left" w:pos="1492"/>
              </w:tabs>
              <w:spacing w:before="53" w:after="30" w:line="240" w:lineRule="auto"/>
              <w:jc w:val="right"/>
            </w:pPr>
            <w:r>
              <w:rPr>
                <w:rFonts w:ascii="Times New Roman" w:eastAsia="Times New Roman" w:hAnsi="Times New Roman" w:cs="Times New Roman"/>
                <w:b w:val="0"/>
                <w:i w:val="0"/>
                <w:color w:val="000000"/>
                <w:sz w:val="20"/>
                <w:u w:val="none"/>
              </w:rPr>
              <w:t>$</w:t>
              <w:tab/>
              <w:t>534</w:t>
              <w:tab/>
            </w:r>
          </w:p>
        </w:tc>
      </w:tr>
      <w:tr>
        <w:tblPrEx>
          <w:tblW w:w="10245" w:type="dxa"/>
          <w:tblLayout w:type="fixed"/>
        </w:tblPrEx>
        <w:trPr>
          <w:trHeight w:hRule="exact" w:val="285"/>
        </w:trPr>
        <w:tc>
          <w:tcPr>
            <w:tcW w:w="703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Total operating lease cost</w:t>
            </w:r>
          </w:p>
        </w:tc>
        <w:tc>
          <w:tcPr>
            <w:tcW w:w="157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keepNext/>
              <w:pageBreakBefore w:val="0"/>
              <w:tabs>
                <w:tab w:val="left" w:pos="1142"/>
                <w:tab w:val="left" w:pos="1507"/>
              </w:tabs>
              <w:spacing w:before="33" w:after="30" w:line="240" w:lineRule="auto"/>
              <w:jc w:val="right"/>
            </w:pPr>
            <w:r>
              <w:rPr>
                <w:rFonts w:ascii="Times New Roman" w:eastAsia="Times New Roman" w:hAnsi="Times New Roman" w:cs="Times New Roman"/>
                <w:b w:val="0"/>
                <w:i w:val="0"/>
                <w:color w:val="000000"/>
                <w:sz w:val="20"/>
                <w:u w:val="none"/>
              </w:rPr>
              <w:t>$</w:t>
              <w:tab/>
              <w:t>647</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56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keepNext/>
              <w:pageBreakBefore w:val="0"/>
              <w:tabs>
                <w:tab w:val="left" w:pos="1127"/>
                <w:tab w:val="left" w:pos="1492"/>
              </w:tabs>
              <w:spacing w:before="33" w:after="30" w:line="240" w:lineRule="auto"/>
              <w:jc w:val="right"/>
            </w:pPr>
            <w:r>
              <w:rPr>
                <w:rFonts w:ascii="Times New Roman" w:eastAsia="Times New Roman" w:hAnsi="Times New Roman" w:cs="Times New Roman"/>
                <w:b w:val="0"/>
                <w:i w:val="0"/>
                <w:color w:val="000000"/>
                <w:sz w:val="20"/>
                <w:u w:val="none"/>
              </w:rPr>
              <w:t>$</w:t>
              <w:tab/>
              <w:t>534</w:t>
              <w:tab/>
            </w:r>
          </w:p>
        </w:tc>
      </w:tr>
      <w:tr>
        <w:tblPrEx>
          <w:tblW w:w="10245" w:type="dxa"/>
          <w:tblLayout w:type="fixed"/>
        </w:tblPrEx>
        <w:trPr>
          <w:trHeight w:hRule="exact" w:val="285"/>
        </w:trPr>
        <w:tc>
          <w:tcPr>
            <w:tcW w:w="703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575" w:type="dxa"/>
            <w:tcBorders>
              <w:top w:val="double" w:sz="8" w:space="0" w:color="000000"/>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560" w:type="dxa"/>
            <w:tcBorders>
              <w:top w:val="double" w:sz="8" w:space="0" w:color="000000"/>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r>
      <w:tr>
        <w:tblPrEx>
          <w:tblW w:w="10245" w:type="dxa"/>
          <w:tblLayout w:type="fixed"/>
        </w:tblPrEx>
        <w:trPr>
          <w:trHeight w:hRule="exact" w:val="285"/>
        </w:trPr>
        <w:tc>
          <w:tcPr>
            <w:tcW w:w="703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Finance lease cost:</w:t>
            </w:r>
          </w:p>
        </w:tc>
        <w:tc>
          <w:tcPr>
            <w:tcW w:w="15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560"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r>
      <w:tr>
        <w:tblPrEx>
          <w:tblW w:w="10245" w:type="dxa"/>
          <w:tblLayout w:type="fixed"/>
        </w:tblPrEx>
        <w:trPr>
          <w:trHeight w:hRule="exact" w:val="285"/>
        </w:trPr>
        <w:tc>
          <w:tcPr>
            <w:tcW w:w="703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ind w:left="120"/>
              <w:jc w:val="left"/>
            </w:pPr>
            <w:r>
              <w:rPr>
                <w:rFonts w:ascii="Times New Roman" w:eastAsia="Times New Roman" w:hAnsi="Times New Roman" w:cs="Times New Roman"/>
                <w:b w:val="0"/>
                <w:i w:val="0"/>
                <w:color w:val="000000"/>
                <w:sz w:val="20"/>
                <w:u w:val="none"/>
              </w:rPr>
              <w:t>Amortization of assets</w:t>
            </w:r>
          </w:p>
        </w:tc>
        <w:tc>
          <w:tcPr>
            <w:tcW w:w="157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242"/>
                <w:tab w:val="left" w:pos="1507"/>
              </w:tabs>
              <w:spacing w:before="53" w:after="30" w:line="240" w:lineRule="auto"/>
              <w:jc w:val="right"/>
            </w:pPr>
            <w:r>
              <w:rPr>
                <w:rFonts w:ascii="Times New Roman" w:eastAsia="Times New Roman" w:hAnsi="Times New Roman" w:cs="Times New Roman"/>
                <w:b w:val="0"/>
                <w:i w:val="0"/>
                <w:color w:val="000000"/>
                <w:sz w:val="20"/>
                <w:u w:val="none"/>
              </w:rPr>
              <w:t>$</w:t>
              <w:tab/>
              <w:t>14</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56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227"/>
                <w:tab w:val="left" w:pos="1492"/>
              </w:tabs>
              <w:spacing w:before="53" w:after="30" w:line="240" w:lineRule="auto"/>
              <w:jc w:val="right"/>
            </w:pPr>
            <w:r>
              <w:rPr>
                <w:rFonts w:ascii="Times New Roman" w:eastAsia="Times New Roman" w:hAnsi="Times New Roman" w:cs="Times New Roman"/>
                <w:b w:val="0"/>
                <w:i w:val="0"/>
                <w:color w:val="000000"/>
                <w:sz w:val="20"/>
                <w:u w:val="none"/>
              </w:rPr>
              <w:t>$</w:t>
              <w:tab/>
              <w:t>—</w:t>
              <w:tab/>
            </w:r>
          </w:p>
        </w:tc>
      </w:tr>
      <w:tr>
        <w:tblPrEx>
          <w:tblW w:w="10245" w:type="dxa"/>
          <w:tblLayout w:type="fixed"/>
        </w:tblPrEx>
        <w:trPr>
          <w:trHeight w:hRule="exact" w:val="285"/>
        </w:trPr>
        <w:tc>
          <w:tcPr>
            <w:tcW w:w="703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ind w:left="120"/>
              <w:jc w:val="left"/>
            </w:pPr>
            <w:r>
              <w:rPr>
                <w:rFonts w:ascii="Times New Roman" w:eastAsia="Times New Roman" w:hAnsi="Times New Roman" w:cs="Times New Roman"/>
                <w:b w:val="0"/>
                <w:i w:val="0"/>
                <w:color w:val="000000"/>
                <w:sz w:val="20"/>
                <w:u w:val="none"/>
              </w:rPr>
              <w:t>Interest on lease liabilities</w:t>
            </w:r>
          </w:p>
        </w:tc>
        <w:tc>
          <w:tcPr>
            <w:tcW w:w="157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1342"/>
                <w:tab w:val="left" w:pos="1507"/>
              </w:tabs>
              <w:spacing w:before="53" w:after="30" w:line="240" w:lineRule="auto"/>
              <w:jc w:val="right"/>
            </w:pPr>
            <w:r>
              <w:rPr>
                <w:rFonts w:ascii="Times New Roman" w:eastAsia="Times New Roman" w:hAnsi="Times New Roman" w:cs="Times New Roman"/>
                <w:b w:val="0"/>
                <w:i w:val="0"/>
                <w:color w:val="000000"/>
                <w:sz w:val="20"/>
                <w:u w:val="none"/>
              </w:rPr>
              <w:tab/>
              <w:t>7</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56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1227"/>
                <w:tab w:val="left" w:pos="1492"/>
              </w:tabs>
              <w:spacing w:before="53" w:after="30" w:line="240" w:lineRule="auto"/>
              <w:jc w:val="right"/>
            </w:pPr>
            <w:r>
              <w:rPr>
                <w:rFonts w:ascii="Times New Roman" w:eastAsia="Times New Roman" w:hAnsi="Times New Roman" w:cs="Times New Roman"/>
                <w:b w:val="0"/>
                <w:i w:val="0"/>
                <w:color w:val="000000"/>
                <w:sz w:val="20"/>
                <w:u w:val="none"/>
              </w:rPr>
              <w:tab/>
              <w:t>—</w:t>
              <w:tab/>
            </w:r>
          </w:p>
        </w:tc>
      </w:tr>
      <w:tr>
        <w:tblPrEx>
          <w:tblW w:w="10245" w:type="dxa"/>
          <w:tblLayout w:type="fixed"/>
        </w:tblPrEx>
        <w:trPr>
          <w:trHeight w:hRule="exact" w:val="285"/>
        </w:trPr>
        <w:tc>
          <w:tcPr>
            <w:tcW w:w="7035" w:type="dxa"/>
            <w:tcBorders>
              <w:top w:val="nil"/>
              <w:left w:val="nil"/>
              <w:bottom w:val="nil"/>
              <w:right w:val="nil"/>
            </w:tcBorders>
            <w:shd w:val="clear" w:color="auto" w:fill="FFFFFF"/>
            <w:tcMar>
              <w:top w:w="0" w:type="dxa"/>
              <w:left w:w="53" w:type="dxa"/>
              <w:bottom w:w="0" w:type="dxa"/>
              <w:right w:w="53" w:type="dxa"/>
            </w:tcMar>
            <w:vAlign w:val="bottom"/>
          </w:tcPr>
          <w:p>
            <w:pPr>
              <w:pageBreakBefore w:val="0"/>
              <w:spacing w:before="33" w:after="30" w:line="240" w:lineRule="auto"/>
              <w:jc w:val="left"/>
            </w:pPr>
            <w:r>
              <w:rPr>
                <w:rFonts w:ascii="Times New Roman" w:eastAsia="Times New Roman" w:hAnsi="Times New Roman" w:cs="Times New Roman"/>
                <w:b w:val="0"/>
                <w:i w:val="0"/>
                <w:color w:val="000000"/>
                <w:sz w:val="20"/>
                <w:u w:val="none"/>
              </w:rPr>
              <w:t>Total finance lease cost</w:t>
            </w:r>
          </w:p>
        </w:tc>
        <w:tc>
          <w:tcPr>
            <w:tcW w:w="157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pageBreakBefore w:val="0"/>
              <w:tabs>
                <w:tab w:val="left" w:pos="1242"/>
                <w:tab w:val="left" w:pos="1507"/>
              </w:tabs>
              <w:spacing w:before="33" w:after="30" w:line="240" w:lineRule="auto"/>
              <w:jc w:val="right"/>
            </w:pPr>
            <w:r>
              <w:rPr>
                <w:rFonts w:ascii="Times New Roman" w:eastAsia="Times New Roman" w:hAnsi="Times New Roman" w:cs="Times New Roman"/>
                <w:b w:val="0"/>
                <w:i w:val="0"/>
                <w:color w:val="000000"/>
                <w:sz w:val="20"/>
                <w:u w:val="none"/>
              </w:rPr>
              <w:t>$</w:t>
              <w:tab/>
              <w:t>21</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156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pageBreakBefore w:val="0"/>
              <w:tabs>
                <w:tab w:val="left" w:pos="1227"/>
                <w:tab w:val="left" w:pos="1492"/>
              </w:tabs>
              <w:spacing w:before="33" w:after="30" w:line="240" w:lineRule="auto"/>
              <w:jc w:val="right"/>
            </w:pPr>
            <w:r>
              <w:rPr>
                <w:rFonts w:ascii="Times New Roman" w:eastAsia="Times New Roman" w:hAnsi="Times New Roman" w:cs="Times New Roman"/>
                <w:b w:val="0"/>
                <w:i w:val="0"/>
                <w:color w:val="000000"/>
                <w:sz w:val="20"/>
                <w:u w:val="none"/>
              </w:rPr>
              <w:t>$</w:t>
              <w:tab/>
              <w:t>—</w:t>
              <w:tab/>
            </w:r>
          </w:p>
        </w:tc>
      </w:tr>
    </w:tbl>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For purposes of calculating the lease assets and lease liabilities, extension options are not included</w:t>
      </w:r>
      <w:r>
        <w:rPr>
          <w:rFonts w:ascii="Times New Roman" w:eastAsia="Times New Roman" w:hAnsi="Times New Roman" w:cs="Times New Roman"/>
          <w:b w:val="0"/>
          <w:i w:val="0"/>
          <w:color w:val="000000"/>
          <w:sz w:val="20"/>
          <w:highlight w:val="white"/>
          <w:u w:val="none"/>
        </w:rPr>
        <w:t xml:space="preserve"> in the lease term unless it is reasonably certain we will exercise the option, or the lessor has the sole ability to exercise the option. The weighted average discount rate of our operating leases is </w:t>
      </w:r>
      <w:r>
        <w:rPr>
          <w:rFonts w:ascii="Times New Roman" w:eastAsia="Times New Roman" w:hAnsi="Times New Roman" w:cs="Times New Roman"/>
          <w:b w:val="0"/>
          <w:i w:val="0"/>
          <w:color w:val="000000"/>
          <w:sz w:val="20"/>
          <w:highlight w:val="white"/>
          <w:u w:val="none"/>
        </w:rPr>
        <w:t>10%</w:t>
      </w:r>
      <w:r>
        <w:rPr>
          <w:rFonts w:ascii="Times New Roman" w:eastAsia="Times New Roman" w:hAnsi="Times New Roman" w:cs="Times New Roman"/>
          <w:b w:val="0"/>
          <w:i w:val="0"/>
          <w:color w:val="000000"/>
          <w:sz w:val="20"/>
          <w:highlight w:val="white"/>
          <w:u w:val="none"/>
        </w:rPr>
        <w:t xml:space="preserve"> as of </w:t>
      </w:r>
      <w:r>
        <w:rPr>
          <w:rFonts w:ascii="Times New Roman" w:eastAsia="Times New Roman" w:hAnsi="Times New Roman" w:cs="Times New Roman"/>
          <w:b w:val="0"/>
          <w:i w:val="0"/>
          <w:color w:val="000000"/>
          <w:sz w:val="20"/>
          <w:highlight w:val="white"/>
          <w:u w:val="none"/>
        </w:rPr>
        <w:t>March 31, 2026</w:t>
      </w:r>
      <w:r>
        <w:rPr>
          <w:rFonts w:ascii="Times New Roman" w:eastAsia="Times New Roman" w:hAnsi="Times New Roman" w:cs="Times New Roman"/>
          <w:b w:val="0"/>
          <w:i w:val="0"/>
          <w:color w:val="000000"/>
          <w:sz w:val="20"/>
          <w:highlight w:val="white"/>
          <w:u w:val="none"/>
        </w:rPr>
        <w:t xml:space="preserve"> and </w:t>
      </w:r>
      <w:r>
        <w:rPr>
          <w:rFonts w:ascii="Times New Roman" w:eastAsia="Times New Roman" w:hAnsi="Times New Roman" w:cs="Times New Roman"/>
          <w:b w:val="0"/>
          <w:i w:val="0"/>
          <w:color w:val="000000"/>
          <w:sz w:val="20"/>
          <w:highlight w:val="white"/>
          <w:u w:val="none"/>
        </w:rPr>
        <w:t>December 31, 2025</w:t>
      </w:r>
      <w:r>
        <w:rPr>
          <w:rFonts w:ascii="Times New Roman" w:eastAsia="Times New Roman" w:hAnsi="Times New Roman" w:cs="Times New Roman"/>
          <w:b w:val="0"/>
          <w:i w:val="0"/>
          <w:color w:val="000000"/>
          <w:sz w:val="20"/>
          <w:highlight w:val="white"/>
          <w:u w:val="none"/>
        </w:rPr>
        <w:t xml:space="preserve">. The weighted average remaining lease term for our operating leases </w:t>
      </w:r>
      <w:r>
        <w:rPr>
          <w:rFonts w:ascii="Times New Roman" w:eastAsia="Times New Roman" w:hAnsi="Times New Roman" w:cs="Times New Roman"/>
          <w:b w:val="0"/>
          <w:i w:val="0"/>
          <w:color w:val="000000"/>
          <w:sz w:val="20"/>
          <w:u w:val="none"/>
        </w:rPr>
        <w:t>is</w:t>
      </w:r>
      <w:r>
        <w:rPr>
          <w:rFonts w:ascii="Times New Roman" w:eastAsia="Times New Roman" w:hAnsi="Times New Roman" w:cs="Times New Roman"/>
          <w:b w:val="0"/>
          <w:i w:val="0"/>
          <w:color w:val="000000"/>
          <w:sz w:val="20"/>
          <w:highlight w:val="white"/>
          <w:u w:val="none"/>
        </w:rPr>
        <w:t xml:space="preserve"> </w:t>
      </w:r>
      <w:r>
        <w:rPr>
          <w:rFonts w:ascii="Times New Roman" w:eastAsia="Times New Roman" w:hAnsi="Times New Roman" w:cs="Times New Roman"/>
          <w:b w:val="0"/>
          <w:i w:val="0"/>
          <w:color w:val="000000"/>
          <w:sz w:val="20"/>
          <w:u w:val="none"/>
        </w:rPr>
        <w:t>three years</w:t>
      </w:r>
      <w:r>
        <w:rPr>
          <w:rFonts w:ascii="Times New Roman" w:eastAsia="Times New Roman" w:hAnsi="Times New Roman" w:cs="Times New Roman"/>
          <w:b w:val="0"/>
          <w:i w:val="0"/>
          <w:color w:val="000000"/>
          <w:sz w:val="20"/>
          <w:highlight w:val="white"/>
          <w:u w:val="none"/>
        </w:rPr>
        <w:t xml:space="preserve">  as of </w:t>
      </w:r>
      <w:r>
        <w:rPr>
          <w:rFonts w:ascii="Times New Roman" w:eastAsia="Times New Roman" w:hAnsi="Times New Roman" w:cs="Times New Roman"/>
          <w:b w:val="0"/>
          <w:i w:val="0"/>
          <w:color w:val="000000"/>
          <w:sz w:val="20"/>
          <w:highlight w:val="white"/>
          <w:u w:val="none"/>
        </w:rPr>
        <w:t>March 31, 2026</w:t>
      </w:r>
      <w:r>
        <w:rPr>
          <w:rFonts w:ascii="Times New Roman" w:eastAsia="Times New Roman" w:hAnsi="Times New Roman" w:cs="Times New Roman"/>
          <w:b w:val="0"/>
          <w:i w:val="0"/>
          <w:color w:val="000000"/>
          <w:sz w:val="20"/>
          <w:highlight w:val="white"/>
          <w:u w:val="none"/>
        </w:rPr>
        <w:t xml:space="preserve"> and </w:t>
      </w:r>
      <w:r>
        <w:rPr>
          <w:rFonts w:ascii="Times New Roman" w:eastAsia="Times New Roman" w:hAnsi="Times New Roman" w:cs="Times New Roman"/>
          <w:b w:val="0"/>
          <w:i w:val="0"/>
          <w:color w:val="000000"/>
          <w:sz w:val="20"/>
          <w:highlight w:val="white"/>
          <w:u w:val="none"/>
        </w:rPr>
        <w:t>December 31, 2025</w:t>
      </w:r>
      <w:r>
        <w:rPr>
          <w:rFonts w:ascii="Times New Roman" w:eastAsia="Times New Roman" w:hAnsi="Times New Roman" w:cs="Times New Roman"/>
          <w:b w:val="0"/>
          <w:i w:val="0"/>
          <w:color w:val="000000"/>
          <w:sz w:val="20"/>
          <w:highlight w:val="white"/>
          <w:u w:val="none"/>
        </w:rPr>
        <w:t xml:space="preserve">. The discount rate of our finance lease is </w:t>
      </w:r>
      <w:r>
        <w:rPr>
          <w:rFonts w:ascii="Times New Roman" w:eastAsia="Times New Roman" w:hAnsi="Times New Roman" w:cs="Times New Roman"/>
          <w:b w:val="0"/>
          <w:i w:val="0"/>
          <w:color w:val="000000"/>
          <w:sz w:val="20"/>
          <w:highlight w:val="white"/>
          <w:u w:val="none"/>
        </w:rPr>
        <w:t>11%</w:t>
      </w:r>
      <w:r>
        <w:rPr>
          <w:rFonts w:ascii="Times New Roman" w:eastAsia="Times New Roman" w:hAnsi="Times New Roman" w:cs="Times New Roman"/>
          <w:b w:val="0"/>
          <w:i w:val="0"/>
          <w:color w:val="000000"/>
          <w:sz w:val="20"/>
          <w:u w:val="none"/>
        </w:rPr>
        <w:t xml:space="preserve"> as of </w:t>
      </w:r>
      <w:r>
        <w:rPr>
          <w:rFonts w:ascii="Times New Roman" w:eastAsia="Times New Roman" w:hAnsi="Times New Roman" w:cs="Times New Roman"/>
          <w:b w:val="0"/>
          <w:i w:val="0"/>
          <w:color w:val="000000"/>
          <w:sz w:val="20"/>
          <w:highlight w:val="white"/>
          <w:u w:val="none"/>
        </w:rPr>
        <w:t>March 31, 2026</w:t>
      </w:r>
      <w:r>
        <w:rPr>
          <w:rFonts w:ascii="Times New Roman" w:eastAsia="Times New Roman" w:hAnsi="Times New Roman" w:cs="Times New Roman"/>
          <w:b w:val="0"/>
          <w:i w:val="0"/>
          <w:color w:val="000000"/>
          <w:sz w:val="20"/>
          <w:highlight w:val="white"/>
          <w:u w:val="none"/>
        </w:rPr>
        <w:t xml:space="preserve"> and </w:t>
      </w:r>
      <w:r>
        <w:rPr>
          <w:rFonts w:ascii="Times New Roman" w:eastAsia="Times New Roman" w:hAnsi="Times New Roman" w:cs="Times New Roman"/>
          <w:b w:val="0"/>
          <w:i w:val="0"/>
          <w:color w:val="000000"/>
          <w:sz w:val="20"/>
          <w:highlight w:val="white"/>
          <w:u w:val="none"/>
        </w:rPr>
        <w:t>December 31, 2025</w:t>
      </w:r>
      <w:r>
        <w:rPr>
          <w:rFonts w:ascii="Times New Roman" w:eastAsia="Times New Roman" w:hAnsi="Times New Roman" w:cs="Times New Roman"/>
          <w:b w:val="0"/>
          <w:i w:val="0"/>
          <w:color w:val="000000"/>
          <w:sz w:val="20"/>
          <w:highlight w:val="white"/>
          <w:u w:val="none"/>
        </w:rPr>
        <w:t xml:space="preserve">. The remaining lease term for our finance lease is </w:t>
      </w:r>
      <w:r>
        <w:rPr>
          <w:rFonts w:ascii="Times New Roman" w:eastAsia="Times New Roman" w:hAnsi="Times New Roman" w:cs="Times New Roman"/>
          <w:b w:val="0"/>
          <w:i w:val="0"/>
          <w:color w:val="000000"/>
          <w:sz w:val="20"/>
          <w:u w:val="none"/>
        </w:rPr>
        <w:t>three</w:t>
      </w:r>
      <w:r>
        <w:rPr>
          <w:rFonts w:ascii="Times New Roman" w:eastAsia="Times New Roman" w:hAnsi="Times New Roman" w:cs="Times New Roman"/>
          <w:b w:val="0"/>
          <w:i w:val="0"/>
          <w:color w:val="000000"/>
          <w:sz w:val="20"/>
          <w:highlight w:val="white"/>
          <w:u w:val="none"/>
        </w:rPr>
        <w:t xml:space="preserve"> and </w:t>
      </w:r>
      <w:r>
        <w:rPr>
          <w:rFonts w:ascii="Times New Roman" w:eastAsia="Times New Roman" w:hAnsi="Times New Roman" w:cs="Times New Roman"/>
          <w:b w:val="0"/>
          <w:i w:val="0"/>
          <w:color w:val="000000"/>
          <w:sz w:val="20"/>
          <w:u w:val="none"/>
        </w:rPr>
        <w:t>four years</w:t>
      </w:r>
      <w:r>
        <w:rPr>
          <w:rFonts w:ascii="Times New Roman" w:eastAsia="Times New Roman" w:hAnsi="Times New Roman" w:cs="Times New Roman"/>
          <w:b w:val="0"/>
          <w:i w:val="0"/>
          <w:color w:val="000000"/>
          <w:sz w:val="20"/>
          <w:u w:val="none"/>
        </w:rPr>
        <w:t xml:space="preserve"> as of </w:t>
      </w:r>
      <w:r>
        <w:rPr>
          <w:rFonts w:ascii="Times New Roman" w:eastAsia="Times New Roman" w:hAnsi="Times New Roman" w:cs="Times New Roman"/>
          <w:b w:val="0"/>
          <w:i w:val="0"/>
          <w:color w:val="000000"/>
          <w:sz w:val="20"/>
          <w:highlight w:val="white"/>
          <w:u w:val="none"/>
        </w:rPr>
        <w:t>March 31, 2026</w:t>
      </w:r>
      <w:r>
        <w:rPr>
          <w:rFonts w:ascii="Times New Roman" w:eastAsia="Times New Roman" w:hAnsi="Times New Roman" w:cs="Times New Roman"/>
          <w:b w:val="0"/>
          <w:i w:val="0"/>
          <w:color w:val="000000"/>
          <w:sz w:val="20"/>
          <w:highlight w:val="white"/>
          <w:u w:val="none"/>
        </w:rPr>
        <w:t xml:space="preserve"> and </w:t>
      </w:r>
      <w:r>
        <w:rPr>
          <w:rFonts w:ascii="Times New Roman" w:eastAsia="Times New Roman" w:hAnsi="Times New Roman" w:cs="Times New Roman"/>
          <w:b w:val="0"/>
          <w:i w:val="0"/>
          <w:color w:val="000000"/>
          <w:sz w:val="20"/>
          <w:highlight w:val="white"/>
          <w:u w:val="none"/>
        </w:rPr>
        <w:t>December 31, 2025</w:t>
      </w:r>
      <w:r>
        <w:rPr>
          <w:rFonts w:ascii="Times New Roman" w:eastAsia="Times New Roman" w:hAnsi="Times New Roman" w:cs="Times New Roman"/>
          <w:b w:val="0"/>
          <w:i w:val="0"/>
          <w:color w:val="000000"/>
          <w:sz w:val="20"/>
          <w:highlight w:val="white"/>
          <w:u w:val="none"/>
        </w:rPr>
        <w:t>, respectively.</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color w:val="000000"/>
          <w:sz w:val="20"/>
          <w:u w:val="none"/>
        </w:rPr>
      </w:pP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Supplemental cash flow information related to operating leases are as follows for the periods presented below (in thousands):</w:t>
      </w:r>
    </w:p>
    <w:tbl>
      <w:tblPr>
        <w:tblStyle w:val="TableNormal0"/>
        <w:tblW w:w="10260" w:type="dxa"/>
        <w:jc w:val="left"/>
        <w:tblInd w:w="0" w:type="dxa"/>
        <w:tblLayout w:type="fixed"/>
      </w:tblPr>
      <w:tblGrid>
        <w:gridCol w:w="7035"/>
        <w:gridCol w:w="1575"/>
        <w:gridCol w:w="75"/>
        <w:gridCol w:w="1575"/>
      </w:tblGrid>
      <w:tr>
        <w:tblPrEx>
          <w:tblW w:w="10260" w:type="dxa"/>
          <w:tblInd w:w="0" w:type="dxa"/>
          <w:tblLayout w:type="fixed"/>
        </w:tblPrEx>
        <w:trPr>
          <w:trHeight w:hRule="exact" w:val="285"/>
        </w:trPr>
        <w:tc>
          <w:tcPr>
            <w:tcW w:w="703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3225" w:type="dxa"/>
            <w:gridSpan w:val="3"/>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Three Months Ended March 31,</w:t>
            </w:r>
          </w:p>
        </w:tc>
      </w:tr>
      <w:tr>
        <w:tblPrEx>
          <w:tblW w:w="10260" w:type="dxa"/>
          <w:tblInd w:w="0" w:type="dxa"/>
          <w:tblLayout w:type="fixed"/>
        </w:tblPrEx>
        <w:trPr>
          <w:trHeight w:hRule="exact" w:val="285"/>
        </w:trPr>
        <w:tc>
          <w:tcPr>
            <w:tcW w:w="7035" w:type="dxa"/>
            <w:tcBorders>
              <w:top w:val="nil"/>
              <w:left w:val="nil"/>
              <w:bottom w:val="nil"/>
              <w:right w:val="nil"/>
            </w:tcBorders>
            <w:tcMar>
              <w:top w:w="0" w:type="dxa"/>
              <w:left w:w="53" w:type="dxa"/>
              <w:bottom w:w="0" w:type="dxa"/>
              <w:right w:w="53" w:type="dxa"/>
            </w:tcMar>
            <w:vAlign w:val="bottom"/>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 </w:t>
            </w:r>
          </w:p>
        </w:tc>
        <w:tc>
          <w:tcPr>
            <w:tcW w:w="157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33" w:after="30" w:line="240" w:lineRule="auto"/>
              <w:jc w:val="center"/>
            </w:pPr>
            <w:r>
              <w:rPr>
                <w:rFonts w:ascii="Times New Roman" w:eastAsia="Times New Roman" w:hAnsi="Times New Roman" w:cs="Times New Roman"/>
                <w:b/>
                <w:i w:val="0"/>
                <w:color w:val="000000"/>
                <w:sz w:val="20"/>
                <w:u w:val="none"/>
              </w:rPr>
              <w:t>2026</w:t>
            </w:r>
          </w:p>
        </w:tc>
        <w:tc>
          <w:tcPr>
            <w:tcW w:w="75" w:type="dxa"/>
            <w:tcBorders>
              <w:top w:val="single" w:sz="8" w:space="0" w:color="000000"/>
              <w:left w:val="nil"/>
              <w:bottom w:val="nil"/>
              <w:right w:val="nil"/>
            </w:tcBorders>
            <w:tcMar>
              <w:top w:w="0" w:type="dxa"/>
              <w:left w:w="0" w:type="dxa"/>
              <w:bottom w:w="0" w:type="dxa"/>
              <w:right w:w="0" w:type="dxa"/>
            </w:tcMar>
            <w:vAlign w:val="bottom"/>
          </w:tcPr>
          <w:p>
            <w:pPr>
              <w:keepNext/>
              <w:pageBreakBefore w:val="0"/>
              <w:spacing w:before="0" w:after="0"/>
            </w:pPr>
          </w:p>
        </w:tc>
        <w:tc>
          <w:tcPr>
            <w:tcW w:w="1575" w:type="dxa"/>
            <w:tcBorders>
              <w:top w:val="single" w:sz="8" w:space="0" w:color="000000"/>
              <w:left w:val="nil"/>
              <w:bottom w:val="single" w:sz="8" w:space="0" w:color="000000"/>
              <w:right w:val="nil"/>
            </w:tcBorders>
            <w:tcMar>
              <w:top w:w="0" w:type="dxa"/>
              <w:left w:w="53" w:type="dxa"/>
              <w:bottom w:w="0" w:type="dxa"/>
              <w:right w:w="53" w:type="dxa"/>
            </w:tcMar>
            <w:vAlign w:val="bottom"/>
          </w:tcPr>
          <w:p>
            <w:pPr>
              <w:keepNext/>
              <w:pageBreakBefore w:val="0"/>
              <w:spacing w:before="33" w:after="30" w:line="240" w:lineRule="auto"/>
              <w:jc w:val="center"/>
            </w:pPr>
            <w:r>
              <w:rPr>
                <w:rFonts w:ascii="Times New Roman" w:eastAsia="Times New Roman" w:hAnsi="Times New Roman" w:cs="Times New Roman"/>
                <w:b/>
                <w:i w:val="0"/>
                <w:color w:val="000000"/>
                <w:sz w:val="20"/>
                <w:u w:val="none"/>
              </w:rPr>
              <w:t>2025</w:t>
            </w:r>
          </w:p>
        </w:tc>
      </w:tr>
      <w:tr>
        <w:tblPrEx>
          <w:tblW w:w="10260" w:type="dxa"/>
          <w:tblInd w:w="0" w:type="dxa"/>
          <w:tblLayout w:type="fixed"/>
        </w:tblPrEx>
        <w:trPr>
          <w:trHeight w:hRule="exact" w:val="285"/>
        </w:trPr>
        <w:tc>
          <w:tcPr>
            <w:tcW w:w="703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Cash paid for amounts included in the measurement of operating lease liabilities:</w:t>
            </w:r>
          </w:p>
        </w:tc>
        <w:tc>
          <w:tcPr>
            <w:tcW w:w="1575" w:type="dxa"/>
            <w:tcBorders>
              <w:top w:val="single" w:sz="8" w:space="0" w:color="000000"/>
              <w:left w:val="nil"/>
              <w:bottom w:val="nil"/>
              <w:right w:val="nil"/>
            </w:tcBorders>
            <w:shd w:val="clear" w:color="auto" w:fill="CCEEFF"/>
            <w:tcMar>
              <w:top w:w="0" w:type="dxa"/>
              <w:left w:w="53" w:type="dxa"/>
              <w:bottom w:w="0" w:type="dxa"/>
              <w:right w:w="53" w:type="dxa"/>
            </w:tcMar>
            <w:vAlign w:val="bottom"/>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 </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575" w:type="dxa"/>
            <w:tcBorders>
              <w:top w:val="single" w:sz="8" w:space="0" w:color="000000"/>
              <w:left w:val="nil"/>
              <w:bottom w:val="nil"/>
              <w:right w:val="nil"/>
            </w:tcBorders>
            <w:shd w:val="clear" w:color="auto" w:fill="CCEEFF"/>
            <w:tcMar>
              <w:top w:w="0" w:type="dxa"/>
              <w:left w:w="53" w:type="dxa"/>
              <w:bottom w:w="0" w:type="dxa"/>
              <w:right w:w="53" w:type="dxa"/>
            </w:tcMar>
            <w:vAlign w:val="bottom"/>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 </w:t>
            </w:r>
          </w:p>
        </w:tc>
      </w:tr>
      <w:tr>
        <w:tblPrEx>
          <w:tblW w:w="10260" w:type="dxa"/>
          <w:tblInd w:w="0" w:type="dxa"/>
          <w:tblLayout w:type="fixed"/>
        </w:tblPrEx>
        <w:trPr>
          <w:trHeight w:hRule="exact" w:val="285"/>
        </w:trPr>
        <w:tc>
          <w:tcPr>
            <w:tcW w:w="703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ind w:left="135"/>
              <w:jc w:val="left"/>
            </w:pPr>
            <w:r>
              <w:rPr>
                <w:rFonts w:ascii="Times New Roman" w:eastAsia="Times New Roman" w:hAnsi="Times New Roman" w:cs="Times New Roman"/>
                <w:b w:val="0"/>
                <w:i w:val="0"/>
                <w:color w:val="000000"/>
                <w:sz w:val="20"/>
                <w:u w:val="none"/>
              </w:rPr>
              <w:t>Operating cash outflows from operating leases</w:t>
            </w:r>
          </w:p>
        </w:tc>
        <w:tc>
          <w:tcPr>
            <w:tcW w:w="157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142"/>
                <w:tab w:val="left" w:pos="1507"/>
              </w:tabs>
              <w:spacing w:before="53" w:after="30" w:line="240" w:lineRule="auto"/>
              <w:jc w:val="right"/>
            </w:pPr>
            <w:r>
              <w:rPr>
                <w:rFonts w:ascii="Times New Roman" w:eastAsia="Times New Roman" w:hAnsi="Times New Roman" w:cs="Times New Roman"/>
                <w:b w:val="0"/>
                <w:i w:val="0"/>
                <w:color w:val="000000"/>
                <w:sz w:val="20"/>
                <w:u w:val="none"/>
              </w:rPr>
              <w:t>$</w:t>
              <w:tab/>
              <w:t>651</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57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142"/>
                <w:tab w:val="left" w:pos="1507"/>
              </w:tabs>
              <w:spacing w:before="53" w:after="30" w:line="240" w:lineRule="auto"/>
              <w:jc w:val="right"/>
            </w:pPr>
            <w:r>
              <w:rPr>
                <w:rFonts w:ascii="Times New Roman" w:eastAsia="Times New Roman" w:hAnsi="Times New Roman" w:cs="Times New Roman"/>
                <w:b w:val="0"/>
                <w:i w:val="0"/>
                <w:color w:val="000000"/>
                <w:sz w:val="20"/>
                <w:u w:val="none"/>
              </w:rPr>
              <w:t>$</w:t>
              <w:tab/>
              <w:t>564</w:t>
              <w:tab/>
            </w:r>
          </w:p>
        </w:tc>
      </w:tr>
      <w:tr>
        <w:tblPrEx>
          <w:tblW w:w="10260" w:type="dxa"/>
          <w:tblInd w:w="0" w:type="dxa"/>
          <w:tblLayout w:type="fixed"/>
        </w:tblPrEx>
        <w:trPr>
          <w:trHeight w:hRule="exact" w:val="285"/>
        </w:trPr>
        <w:tc>
          <w:tcPr>
            <w:tcW w:w="703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Non-cash operating activities:</w:t>
            </w:r>
          </w:p>
        </w:tc>
        <w:tc>
          <w:tcPr>
            <w:tcW w:w="15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5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r>
      <w:tr>
        <w:tblPrEx>
          <w:tblW w:w="10260" w:type="dxa"/>
          <w:tblInd w:w="0" w:type="dxa"/>
          <w:tblLayout w:type="fixed"/>
        </w:tblPrEx>
        <w:trPr>
          <w:trHeight w:hRule="exact" w:val="465"/>
        </w:trPr>
        <w:tc>
          <w:tcPr>
            <w:tcW w:w="7035" w:type="dxa"/>
            <w:tcBorders>
              <w:top w:val="nil"/>
              <w:left w:val="nil"/>
              <w:bottom w:val="nil"/>
              <w:right w:val="nil"/>
            </w:tcBorders>
            <w:shd w:val="clear" w:color="auto" w:fill="FFFFFF"/>
            <w:tcMar>
              <w:top w:w="0" w:type="dxa"/>
              <w:left w:w="53" w:type="dxa"/>
              <w:bottom w:w="0" w:type="dxa"/>
              <w:right w:w="53" w:type="dxa"/>
            </w:tcMar>
            <w:vAlign w:val="bottom"/>
          </w:tcPr>
          <w:p>
            <w:pPr>
              <w:pageBreakBefore w:val="0"/>
              <w:spacing w:before="53" w:after="30" w:line="240" w:lineRule="auto"/>
              <w:ind w:left="135"/>
              <w:jc w:val="left"/>
            </w:pPr>
            <w:r>
              <w:rPr>
                <w:rFonts w:ascii="Times New Roman" w:eastAsia="Times New Roman" w:hAnsi="Times New Roman" w:cs="Times New Roman"/>
                <w:b w:val="0"/>
                <w:i w:val="0"/>
                <w:color w:val="000000"/>
                <w:sz w:val="20"/>
                <w:u w:val="none"/>
              </w:rPr>
              <w:t>Operating lease assets obtained or removed in exchange for new, modified or terminated operating lease liabilities</w:t>
            </w:r>
          </w:p>
        </w:tc>
        <w:tc>
          <w:tcPr>
            <w:tcW w:w="1575" w:type="dxa"/>
            <w:tcBorders>
              <w:top w:val="nil"/>
              <w:left w:val="nil"/>
              <w:bottom w:val="nil"/>
              <w:right w:val="nil"/>
            </w:tcBorders>
            <w:shd w:val="clear" w:color="auto" w:fill="FFFFFF"/>
            <w:tcMar>
              <w:top w:w="0" w:type="dxa"/>
              <w:left w:w="0" w:type="dxa"/>
              <w:bottom w:w="0" w:type="dxa"/>
              <w:right w:w="15" w:type="dxa"/>
            </w:tcMar>
            <w:vAlign w:val="bottom"/>
          </w:tcPr>
          <w:p>
            <w:pPr>
              <w:pageBreakBefore w:val="0"/>
              <w:tabs>
                <w:tab w:val="left" w:pos="1242"/>
                <w:tab w:val="left" w:pos="1507"/>
              </w:tabs>
              <w:spacing w:before="53" w:after="30" w:line="240" w:lineRule="auto"/>
              <w:jc w:val="right"/>
            </w:pPr>
            <w:r>
              <w:rPr>
                <w:rFonts w:ascii="Times New Roman" w:eastAsia="Times New Roman" w:hAnsi="Times New Roman" w:cs="Times New Roman"/>
                <w:b w:val="0"/>
                <w:i w:val="0"/>
                <w:color w:val="000000"/>
                <w:sz w:val="20"/>
                <w:u w:val="none"/>
              </w:rPr>
              <w:t>$</w:t>
              <w:tab/>
              <w:t>70</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1575" w:type="dxa"/>
            <w:tcBorders>
              <w:top w:val="nil"/>
              <w:left w:val="nil"/>
              <w:bottom w:val="nil"/>
              <w:right w:val="nil"/>
            </w:tcBorders>
            <w:shd w:val="clear" w:color="auto" w:fill="FFFFFF"/>
            <w:tcMar>
              <w:top w:w="0" w:type="dxa"/>
              <w:left w:w="0" w:type="dxa"/>
              <w:bottom w:w="0" w:type="dxa"/>
              <w:right w:w="15" w:type="dxa"/>
            </w:tcMar>
            <w:vAlign w:val="bottom"/>
          </w:tcPr>
          <w:p>
            <w:pPr>
              <w:pageBreakBefore w:val="0"/>
              <w:tabs>
                <w:tab w:val="left" w:pos="1142"/>
                <w:tab w:val="left" w:pos="1507"/>
              </w:tabs>
              <w:spacing w:before="53" w:after="30" w:line="240" w:lineRule="auto"/>
              <w:jc w:val="right"/>
            </w:pPr>
            <w:r>
              <w:rPr>
                <w:rFonts w:ascii="Times New Roman" w:eastAsia="Times New Roman" w:hAnsi="Times New Roman" w:cs="Times New Roman"/>
                <w:b w:val="0"/>
                <w:i w:val="0"/>
                <w:color w:val="000000"/>
                <w:sz w:val="20"/>
                <w:u w:val="none"/>
              </w:rPr>
              <w:t>$</w:t>
              <w:tab/>
              <w:t>736</w:t>
              <w:tab/>
            </w:r>
          </w:p>
        </w:tc>
      </w:tr>
    </w:tbl>
    <w:p>
      <w:pPr>
        <w:keepNext/>
        <w:keepLines/>
        <w:pageBreakBefore w:val="0"/>
        <w:widowControl w:val="0"/>
        <w:numPr>
          <w:ilvl w:val="0"/>
          <w:numId w:val="0"/>
        </w:numPr>
        <w:spacing w:before="0" w:after="0" w:line="288" w:lineRule="auto"/>
        <w:ind w:left="0" w:right="0" w:firstLine="720"/>
        <w:jc w:val="left"/>
        <w:outlineLvl w:val="9"/>
        <w:rPr>
          <w:rFonts w:ascii="Times New Roman" w:eastAsia="Times New Roman" w:hAnsi="Times New Roman" w:cs="Times New Roman"/>
          <w:b w:val="0"/>
          <w:i w:val="0"/>
          <w:color w:val="000000"/>
          <w:sz w:val="20"/>
          <w:u w:val="none"/>
        </w:rPr>
      </w:pP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Future minimum commitments over the life of all operating leases, which exclude variable rent payments, are as follows for the period presented below (in thousands):</w:t>
      </w:r>
    </w:p>
    <w:tbl>
      <w:tblPr>
        <w:tblStyle w:val="TableNormal0"/>
        <w:tblW w:w="7980" w:type="dxa"/>
        <w:jc w:val="center"/>
        <w:tblLayout w:type="fixed"/>
      </w:tblPr>
      <w:tblGrid>
        <w:gridCol w:w="4695"/>
        <w:gridCol w:w="1605"/>
        <w:gridCol w:w="75"/>
        <w:gridCol w:w="1605"/>
      </w:tblGrid>
      <w:tr>
        <w:tblPrEx>
          <w:tblW w:w="7980" w:type="dxa"/>
          <w:tblLayout w:type="fixed"/>
        </w:tblPrEx>
        <w:trPr>
          <w:trHeight w:hRule="exact" w:val="285"/>
        </w:trPr>
        <w:tc>
          <w:tcPr>
            <w:tcW w:w="469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605" w:type="dxa"/>
            <w:tcBorders>
              <w:top w:val="nil"/>
              <w:left w:val="nil"/>
              <w:bottom w:val="single" w:sz="8" w:space="0" w:color="000000"/>
              <w:right w:val="nil"/>
            </w:tcBorders>
            <w:shd w:val="clear" w:color="auto" w:fill="CCEEFF"/>
            <w:tcMar>
              <w:top w:w="0" w:type="dxa"/>
              <w:left w:w="53" w:type="dxa"/>
              <w:bottom w:w="0" w:type="dxa"/>
              <w:right w:w="15" w:type="dxa"/>
            </w:tcMar>
            <w:vAlign w:val="bottom"/>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Operating Leases</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605" w:type="dxa"/>
            <w:tcBorders>
              <w:top w:val="nil"/>
              <w:left w:val="nil"/>
              <w:bottom w:val="single" w:sz="8" w:space="0" w:color="000000"/>
              <w:right w:val="nil"/>
            </w:tcBorders>
            <w:shd w:val="clear" w:color="auto" w:fill="CCEEFF"/>
            <w:tcMar>
              <w:top w:w="0" w:type="dxa"/>
              <w:left w:w="53" w:type="dxa"/>
              <w:bottom w:w="0" w:type="dxa"/>
              <w:right w:w="15" w:type="dxa"/>
            </w:tcMar>
            <w:vAlign w:val="bottom"/>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Finance Leases</w:t>
            </w:r>
          </w:p>
        </w:tc>
      </w:tr>
      <w:tr>
        <w:tblPrEx>
          <w:tblW w:w="7980" w:type="dxa"/>
          <w:tblLayout w:type="fixed"/>
        </w:tblPrEx>
        <w:trPr>
          <w:trHeight w:hRule="exact" w:val="285"/>
        </w:trPr>
        <w:tc>
          <w:tcPr>
            <w:tcW w:w="469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2026 (Remaining)</w:t>
            </w:r>
          </w:p>
        </w:tc>
        <w:tc>
          <w:tcPr>
            <w:tcW w:w="1605" w:type="dxa"/>
            <w:tcBorders>
              <w:top w:val="single" w:sz="8" w:space="0" w:color="000000"/>
              <w:left w:val="nil"/>
              <w:bottom w:val="nil"/>
              <w:right w:val="nil"/>
            </w:tcBorders>
            <w:shd w:val="clear" w:color="auto" w:fill="FFFFFF"/>
            <w:tcMar>
              <w:top w:w="0" w:type="dxa"/>
              <w:left w:w="0" w:type="dxa"/>
              <w:bottom w:w="0" w:type="dxa"/>
              <w:right w:w="15" w:type="dxa"/>
            </w:tcMar>
            <w:vAlign w:val="bottom"/>
          </w:tcPr>
          <w:p>
            <w:pPr>
              <w:keepNext/>
              <w:pageBreakBefore w:val="0"/>
              <w:tabs>
                <w:tab w:val="left" w:pos="1022"/>
                <w:tab w:val="left" w:pos="1537"/>
              </w:tabs>
              <w:spacing w:before="33" w:after="30" w:line="240" w:lineRule="auto"/>
              <w:jc w:val="right"/>
            </w:pPr>
            <w:r>
              <w:rPr>
                <w:rFonts w:ascii="Times New Roman" w:eastAsia="Times New Roman" w:hAnsi="Times New Roman" w:cs="Times New Roman"/>
                <w:b w:val="0"/>
                <w:i w:val="0"/>
                <w:color w:val="000000"/>
                <w:sz w:val="20"/>
                <w:u w:val="none"/>
              </w:rPr>
              <w:t>$</w:t>
              <w:tab/>
              <w:t>1,925</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605" w:type="dxa"/>
            <w:tcBorders>
              <w:top w:val="single" w:sz="8" w:space="0" w:color="000000"/>
              <w:left w:val="nil"/>
              <w:bottom w:val="nil"/>
              <w:right w:val="nil"/>
            </w:tcBorders>
            <w:shd w:val="clear" w:color="auto" w:fill="FFFFFF"/>
            <w:tcMar>
              <w:top w:w="0" w:type="dxa"/>
              <w:left w:w="0" w:type="dxa"/>
              <w:bottom w:w="0" w:type="dxa"/>
              <w:right w:w="15" w:type="dxa"/>
            </w:tcMar>
            <w:vAlign w:val="bottom"/>
          </w:tcPr>
          <w:p>
            <w:pPr>
              <w:keepNext/>
              <w:pageBreakBefore w:val="0"/>
              <w:tabs>
                <w:tab w:val="left" w:pos="1272"/>
                <w:tab w:val="left" w:pos="1537"/>
              </w:tabs>
              <w:spacing w:before="33" w:after="30" w:line="240" w:lineRule="auto"/>
              <w:jc w:val="right"/>
            </w:pPr>
            <w:r>
              <w:rPr>
                <w:rFonts w:ascii="Times New Roman" w:eastAsia="Times New Roman" w:hAnsi="Times New Roman" w:cs="Times New Roman"/>
                <w:b w:val="0"/>
                <w:i w:val="0"/>
                <w:color w:val="000000"/>
                <w:sz w:val="20"/>
                <w:u w:val="none"/>
              </w:rPr>
              <w:t>$</w:t>
              <w:tab/>
              <w:t>66</w:t>
              <w:tab/>
            </w:r>
          </w:p>
        </w:tc>
      </w:tr>
      <w:tr>
        <w:tblPrEx>
          <w:tblW w:w="7980" w:type="dxa"/>
          <w:tblLayout w:type="fixed"/>
        </w:tblPrEx>
        <w:trPr>
          <w:trHeight w:hRule="exact" w:val="285"/>
        </w:trPr>
        <w:tc>
          <w:tcPr>
            <w:tcW w:w="469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2027</w:t>
            </w:r>
          </w:p>
        </w:tc>
        <w:tc>
          <w:tcPr>
            <w:tcW w:w="16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022"/>
                <w:tab w:val="left" w:pos="1537"/>
              </w:tabs>
              <w:spacing w:before="53" w:after="30" w:line="240" w:lineRule="auto"/>
              <w:jc w:val="right"/>
            </w:pPr>
            <w:r>
              <w:rPr>
                <w:rFonts w:ascii="Times New Roman" w:eastAsia="Times New Roman" w:hAnsi="Times New Roman" w:cs="Times New Roman"/>
                <w:b w:val="0"/>
                <w:i w:val="0"/>
                <w:color w:val="000000"/>
                <w:sz w:val="20"/>
                <w:u w:val="none"/>
              </w:rPr>
              <w:tab/>
              <w:t>2,387</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6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272"/>
                <w:tab w:val="left" w:pos="1537"/>
              </w:tabs>
              <w:spacing w:before="53" w:after="30" w:line="240" w:lineRule="auto"/>
              <w:jc w:val="right"/>
            </w:pPr>
            <w:r>
              <w:rPr>
                <w:rFonts w:ascii="Times New Roman" w:eastAsia="Times New Roman" w:hAnsi="Times New Roman" w:cs="Times New Roman"/>
                <w:b w:val="0"/>
                <w:i w:val="0"/>
                <w:color w:val="000000"/>
                <w:sz w:val="20"/>
                <w:u w:val="none"/>
              </w:rPr>
              <w:tab/>
              <w:t>87</w:t>
              <w:tab/>
            </w:r>
          </w:p>
        </w:tc>
      </w:tr>
      <w:tr>
        <w:tblPrEx>
          <w:tblW w:w="7980" w:type="dxa"/>
          <w:tblLayout w:type="fixed"/>
        </w:tblPrEx>
        <w:trPr>
          <w:trHeight w:hRule="exact" w:val="285"/>
        </w:trPr>
        <w:tc>
          <w:tcPr>
            <w:tcW w:w="469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2028</w:t>
            </w:r>
          </w:p>
        </w:tc>
        <w:tc>
          <w:tcPr>
            <w:tcW w:w="16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022"/>
                <w:tab w:val="left" w:pos="1537"/>
              </w:tabs>
              <w:spacing w:before="53" w:after="30" w:line="240" w:lineRule="auto"/>
              <w:jc w:val="right"/>
            </w:pPr>
            <w:r>
              <w:rPr>
                <w:rFonts w:ascii="Times New Roman" w:eastAsia="Times New Roman" w:hAnsi="Times New Roman" w:cs="Times New Roman"/>
                <w:b w:val="0"/>
                <w:i w:val="0"/>
                <w:color w:val="000000"/>
                <w:sz w:val="20"/>
                <w:u w:val="none"/>
              </w:rPr>
              <w:tab/>
              <w:t>2,110</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6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272"/>
                <w:tab w:val="left" w:pos="1537"/>
              </w:tabs>
              <w:spacing w:before="53" w:after="30" w:line="240" w:lineRule="auto"/>
              <w:jc w:val="right"/>
            </w:pPr>
            <w:r>
              <w:rPr>
                <w:rFonts w:ascii="Times New Roman" w:eastAsia="Times New Roman" w:hAnsi="Times New Roman" w:cs="Times New Roman"/>
                <w:b w:val="0"/>
                <w:i w:val="0"/>
                <w:color w:val="000000"/>
                <w:sz w:val="20"/>
                <w:u w:val="none"/>
              </w:rPr>
              <w:tab/>
              <w:t>88</w:t>
              <w:tab/>
            </w:r>
          </w:p>
        </w:tc>
      </w:tr>
      <w:tr>
        <w:tblPrEx>
          <w:tblW w:w="7980" w:type="dxa"/>
          <w:tblLayout w:type="fixed"/>
        </w:tblPrEx>
        <w:trPr>
          <w:trHeight w:hRule="exact" w:val="285"/>
        </w:trPr>
        <w:tc>
          <w:tcPr>
            <w:tcW w:w="469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2029</w:t>
            </w:r>
          </w:p>
        </w:tc>
        <w:tc>
          <w:tcPr>
            <w:tcW w:w="16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022"/>
                <w:tab w:val="left" w:pos="1537"/>
              </w:tabs>
              <w:spacing w:before="53" w:after="30" w:line="240" w:lineRule="auto"/>
              <w:jc w:val="right"/>
            </w:pPr>
            <w:r>
              <w:rPr>
                <w:rFonts w:ascii="Times New Roman" w:eastAsia="Times New Roman" w:hAnsi="Times New Roman" w:cs="Times New Roman"/>
                <w:b w:val="0"/>
                <w:i w:val="0"/>
                <w:color w:val="000000"/>
                <w:sz w:val="20"/>
                <w:u w:val="none"/>
              </w:rPr>
              <w:tab/>
              <w:t>1,035</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6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272"/>
                <w:tab w:val="left" w:pos="1537"/>
              </w:tabs>
              <w:spacing w:before="53" w:after="30" w:line="240" w:lineRule="auto"/>
              <w:jc w:val="right"/>
            </w:pPr>
            <w:r>
              <w:rPr>
                <w:rFonts w:ascii="Times New Roman" w:eastAsia="Times New Roman" w:hAnsi="Times New Roman" w:cs="Times New Roman"/>
                <w:b w:val="0"/>
                <w:i w:val="0"/>
                <w:color w:val="000000"/>
                <w:sz w:val="20"/>
                <w:u w:val="none"/>
              </w:rPr>
              <w:tab/>
              <w:t>58</w:t>
              <w:tab/>
            </w:r>
          </w:p>
        </w:tc>
      </w:tr>
      <w:tr>
        <w:tblPrEx>
          <w:tblW w:w="7980" w:type="dxa"/>
          <w:tblLayout w:type="fixed"/>
        </w:tblPrEx>
        <w:trPr>
          <w:trHeight w:hRule="exact" w:val="285"/>
        </w:trPr>
        <w:tc>
          <w:tcPr>
            <w:tcW w:w="469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2030</w:t>
            </w:r>
          </w:p>
        </w:tc>
        <w:tc>
          <w:tcPr>
            <w:tcW w:w="16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172"/>
                <w:tab w:val="left" w:pos="1537"/>
              </w:tabs>
              <w:spacing w:before="53" w:after="30" w:line="240" w:lineRule="auto"/>
              <w:jc w:val="right"/>
            </w:pPr>
            <w:r>
              <w:rPr>
                <w:rFonts w:ascii="Times New Roman" w:eastAsia="Times New Roman" w:hAnsi="Times New Roman" w:cs="Times New Roman"/>
                <w:b w:val="0"/>
                <w:i w:val="0"/>
                <w:color w:val="000000"/>
                <w:sz w:val="20"/>
                <w:u w:val="none"/>
              </w:rPr>
              <w:tab/>
              <w:t>208</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6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272"/>
                <w:tab w:val="left" w:pos="1537"/>
              </w:tabs>
              <w:spacing w:before="53" w:after="30" w:line="240" w:lineRule="auto"/>
              <w:jc w:val="right"/>
            </w:pPr>
            <w:r>
              <w:rPr>
                <w:rFonts w:ascii="Times New Roman" w:eastAsia="Times New Roman" w:hAnsi="Times New Roman" w:cs="Times New Roman"/>
                <w:b w:val="0"/>
                <w:i w:val="0"/>
                <w:color w:val="000000"/>
                <w:sz w:val="20"/>
                <w:u w:val="none"/>
              </w:rPr>
              <w:tab/>
              <w:t>—</w:t>
              <w:tab/>
            </w:r>
          </w:p>
        </w:tc>
      </w:tr>
      <w:tr>
        <w:tblPrEx>
          <w:tblW w:w="7980" w:type="dxa"/>
          <w:tblLayout w:type="fixed"/>
        </w:tblPrEx>
        <w:trPr>
          <w:trHeight w:hRule="exact" w:val="285"/>
        </w:trPr>
        <w:tc>
          <w:tcPr>
            <w:tcW w:w="469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2031</w:t>
            </w:r>
          </w:p>
        </w:tc>
        <w:tc>
          <w:tcPr>
            <w:tcW w:w="16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272"/>
                <w:tab w:val="left" w:pos="1537"/>
              </w:tabs>
              <w:spacing w:before="53" w:after="30" w:line="240" w:lineRule="auto"/>
              <w:jc w:val="right"/>
            </w:pPr>
            <w:r>
              <w:rPr>
                <w:rFonts w:ascii="Times New Roman" w:eastAsia="Times New Roman" w:hAnsi="Times New Roman" w:cs="Times New Roman"/>
                <w:b w:val="0"/>
                <w:i w:val="0"/>
                <w:color w:val="000000"/>
                <w:sz w:val="20"/>
                <w:u w:val="none"/>
              </w:rPr>
              <w:tab/>
              <w:t>27</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6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272"/>
                <w:tab w:val="left" w:pos="1537"/>
              </w:tabs>
              <w:spacing w:before="53" w:after="30" w:line="240" w:lineRule="auto"/>
              <w:jc w:val="right"/>
            </w:pPr>
            <w:r>
              <w:rPr>
                <w:rFonts w:ascii="Times New Roman" w:eastAsia="Times New Roman" w:hAnsi="Times New Roman" w:cs="Times New Roman"/>
                <w:b w:val="0"/>
                <w:i w:val="0"/>
                <w:color w:val="000000"/>
                <w:sz w:val="20"/>
                <w:u w:val="none"/>
              </w:rPr>
              <w:tab/>
              <w:t>—</w:t>
              <w:tab/>
            </w:r>
          </w:p>
        </w:tc>
      </w:tr>
      <w:tr>
        <w:tblPrEx>
          <w:tblW w:w="7980" w:type="dxa"/>
          <w:tblLayout w:type="fixed"/>
        </w:tblPrEx>
        <w:trPr>
          <w:trHeight w:hRule="exact" w:val="285"/>
        </w:trPr>
        <w:tc>
          <w:tcPr>
            <w:tcW w:w="469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Thereafter</w:t>
            </w:r>
          </w:p>
        </w:tc>
        <w:tc>
          <w:tcPr>
            <w:tcW w:w="160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1272"/>
                <w:tab w:val="left" w:pos="1537"/>
              </w:tabs>
              <w:spacing w:before="53" w:after="3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60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1272"/>
                <w:tab w:val="left" w:pos="1537"/>
              </w:tabs>
              <w:spacing w:before="53" w:after="30" w:line="240" w:lineRule="auto"/>
              <w:jc w:val="right"/>
            </w:pPr>
            <w:r>
              <w:rPr>
                <w:rFonts w:ascii="Times New Roman" w:eastAsia="Times New Roman" w:hAnsi="Times New Roman" w:cs="Times New Roman"/>
                <w:b w:val="0"/>
                <w:i w:val="0"/>
                <w:color w:val="000000"/>
                <w:sz w:val="20"/>
                <w:u w:val="none"/>
              </w:rPr>
              <w:tab/>
              <w:t>—</w:t>
              <w:tab/>
            </w:r>
          </w:p>
        </w:tc>
      </w:tr>
      <w:tr>
        <w:tblPrEx>
          <w:tblW w:w="7980" w:type="dxa"/>
          <w:tblLayout w:type="fixed"/>
        </w:tblPrEx>
        <w:trPr>
          <w:trHeight w:hRule="exact" w:val="285"/>
        </w:trPr>
        <w:tc>
          <w:tcPr>
            <w:tcW w:w="469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Total minimum lease payments</w:t>
            </w:r>
          </w:p>
        </w:tc>
        <w:tc>
          <w:tcPr>
            <w:tcW w:w="160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1022"/>
                <w:tab w:val="left" w:pos="1537"/>
              </w:tabs>
              <w:spacing w:before="33" w:after="30" w:line="240" w:lineRule="auto"/>
              <w:jc w:val="right"/>
            </w:pPr>
            <w:r>
              <w:rPr>
                <w:rFonts w:ascii="Times New Roman" w:eastAsia="Times New Roman" w:hAnsi="Times New Roman" w:cs="Times New Roman"/>
                <w:b w:val="0"/>
                <w:i w:val="0"/>
                <w:color w:val="000000"/>
                <w:sz w:val="20"/>
                <w:u w:val="none"/>
              </w:rPr>
              <w:tab/>
              <w:t>7,692</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60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1172"/>
                <w:tab w:val="left" w:pos="1537"/>
              </w:tabs>
              <w:spacing w:before="33" w:after="30" w:line="240" w:lineRule="auto"/>
              <w:jc w:val="right"/>
            </w:pPr>
            <w:r>
              <w:rPr>
                <w:rFonts w:ascii="Times New Roman" w:eastAsia="Times New Roman" w:hAnsi="Times New Roman" w:cs="Times New Roman"/>
                <w:b w:val="0"/>
                <w:i w:val="0"/>
                <w:color w:val="000000"/>
                <w:sz w:val="20"/>
                <w:u w:val="none"/>
              </w:rPr>
              <w:tab/>
              <w:t>299</w:t>
              <w:tab/>
            </w:r>
          </w:p>
        </w:tc>
      </w:tr>
      <w:tr>
        <w:tblPrEx>
          <w:tblW w:w="7980" w:type="dxa"/>
          <w:tblLayout w:type="fixed"/>
        </w:tblPrEx>
        <w:trPr>
          <w:trHeight w:hRule="exact" w:val="285"/>
        </w:trPr>
        <w:tc>
          <w:tcPr>
            <w:tcW w:w="469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Less: imputed interest</w:t>
            </w:r>
          </w:p>
        </w:tc>
        <w:tc>
          <w:tcPr>
            <w:tcW w:w="160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936"/>
              </w:tabs>
              <w:spacing w:before="53" w:after="30" w:line="240" w:lineRule="auto"/>
              <w:jc w:val="right"/>
            </w:pPr>
            <w:r>
              <w:rPr>
                <w:rFonts w:ascii="Times New Roman" w:eastAsia="Times New Roman" w:hAnsi="Times New Roman" w:cs="Times New Roman"/>
                <w:b w:val="0"/>
                <w:i w:val="0"/>
                <w:color w:val="000000"/>
                <w:sz w:val="20"/>
                <w:u w:val="none"/>
              </w:rPr>
              <w:tab/>
              <w:t>(1,188)</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60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1186"/>
              </w:tabs>
              <w:spacing w:before="53" w:after="30" w:line="240" w:lineRule="auto"/>
              <w:jc w:val="right"/>
            </w:pPr>
            <w:r>
              <w:rPr>
                <w:rFonts w:ascii="Times New Roman" w:eastAsia="Times New Roman" w:hAnsi="Times New Roman" w:cs="Times New Roman"/>
                <w:b w:val="0"/>
                <w:i w:val="0"/>
                <w:color w:val="000000"/>
                <w:sz w:val="20"/>
                <w:u w:val="none"/>
              </w:rPr>
              <w:tab/>
              <w:t>(49)</w:t>
            </w:r>
          </w:p>
        </w:tc>
      </w:tr>
      <w:tr>
        <w:tblPrEx>
          <w:tblW w:w="7980" w:type="dxa"/>
          <w:tblLayout w:type="fixed"/>
        </w:tblPrEx>
        <w:trPr>
          <w:trHeight w:hRule="exact" w:val="285"/>
        </w:trPr>
        <w:tc>
          <w:tcPr>
            <w:tcW w:w="4695" w:type="dxa"/>
            <w:tcBorders>
              <w:top w:val="nil"/>
              <w:left w:val="nil"/>
              <w:bottom w:val="nil"/>
              <w:right w:val="nil"/>
            </w:tcBorders>
            <w:shd w:val="clear" w:color="auto" w:fill="CCEEFF"/>
            <w:tcMar>
              <w:top w:w="0" w:type="dxa"/>
              <w:left w:w="53" w:type="dxa"/>
              <w:bottom w:w="0" w:type="dxa"/>
              <w:right w:w="53" w:type="dxa"/>
            </w:tcMar>
            <w:vAlign w:val="bottom"/>
          </w:tcPr>
          <w:p>
            <w:pPr>
              <w:pageBreakBefore w:val="0"/>
              <w:spacing w:before="33" w:after="30" w:line="240" w:lineRule="auto"/>
              <w:jc w:val="left"/>
            </w:pPr>
            <w:r>
              <w:rPr>
                <w:rFonts w:ascii="Times New Roman" w:eastAsia="Times New Roman" w:hAnsi="Times New Roman" w:cs="Times New Roman"/>
                <w:b w:val="0"/>
                <w:i w:val="0"/>
                <w:color w:val="000000"/>
                <w:sz w:val="20"/>
                <w:u w:val="none"/>
              </w:rPr>
              <w:t>Total lease liabilities</w:t>
            </w:r>
          </w:p>
        </w:tc>
        <w:tc>
          <w:tcPr>
            <w:tcW w:w="160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1022"/>
                <w:tab w:val="left" w:pos="1537"/>
              </w:tabs>
              <w:spacing w:before="33" w:after="30" w:line="240" w:lineRule="auto"/>
              <w:jc w:val="right"/>
            </w:pPr>
            <w:r>
              <w:rPr>
                <w:rFonts w:ascii="Times New Roman" w:eastAsia="Times New Roman" w:hAnsi="Times New Roman" w:cs="Times New Roman"/>
                <w:b w:val="0"/>
                <w:i w:val="0"/>
                <w:color w:val="000000"/>
                <w:sz w:val="20"/>
                <w:u w:val="none"/>
              </w:rPr>
              <w:t>$</w:t>
              <w:tab/>
              <w:t>6,504</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pPr>
          </w:p>
        </w:tc>
        <w:tc>
          <w:tcPr>
            <w:tcW w:w="160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1172"/>
                <w:tab w:val="left" w:pos="1537"/>
              </w:tabs>
              <w:spacing w:before="33" w:after="30" w:line="240" w:lineRule="auto"/>
              <w:jc w:val="right"/>
            </w:pPr>
            <w:r>
              <w:rPr>
                <w:rFonts w:ascii="Times New Roman" w:eastAsia="Times New Roman" w:hAnsi="Times New Roman" w:cs="Times New Roman"/>
                <w:b w:val="0"/>
                <w:i w:val="0"/>
                <w:color w:val="000000"/>
                <w:sz w:val="20"/>
                <w:u w:val="none"/>
              </w:rPr>
              <w:t>$</w:t>
              <w:tab/>
              <w:t>250</w:t>
              <w:tab/>
            </w:r>
          </w:p>
        </w:tc>
      </w:tr>
    </w:tbl>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val="0"/>
          <w:i w:val="0"/>
          <w:color w:val="000000"/>
          <w:sz w:val="20"/>
          <w:u w:val="none"/>
        </w:rPr>
      </w:pPr>
    </w:p>
    <w:p>
      <w:pPr>
        <w:keepNext/>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i/>
          <w:color w:val="000000"/>
          <w:sz w:val="20"/>
          <w:u w:val="none"/>
        </w:rPr>
      </w:pPr>
      <w:r>
        <w:rPr>
          <w:rFonts w:ascii="Times New Roman" w:eastAsia="Times New Roman" w:hAnsi="Times New Roman" w:cs="Times New Roman"/>
          <w:b/>
          <w:i/>
          <w:color w:val="000000"/>
          <w:sz w:val="20"/>
          <w:u w:val="none"/>
        </w:rPr>
        <w:t>Contingencies</w:t>
      </w:r>
    </w:p>
    <w:p>
      <w:pPr>
        <w:keepNext/>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i/>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 xml:space="preserve">Although we have been, are, and in the future may be, the defendant or plaintiff in various actions arising in the normal course of business, as of </w:t>
      </w:r>
      <w:r>
        <w:rPr>
          <w:rFonts w:ascii="Times New Roman" w:eastAsia="Times New Roman" w:hAnsi="Times New Roman" w:cs="Times New Roman"/>
          <w:b w:val="0"/>
          <w:i w:val="0"/>
          <w:color w:val="000000"/>
          <w:sz w:val="20"/>
          <w:u w:val="none"/>
        </w:rPr>
        <w:t>March 31, 2026</w:t>
      </w:r>
      <w:r>
        <w:rPr>
          <w:rFonts w:ascii="Times New Roman" w:eastAsia="Times New Roman" w:hAnsi="Times New Roman" w:cs="Times New Roman"/>
          <w:b w:val="0"/>
          <w:i w:val="0"/>
          <w:color w:val="000000"/>
          <w:sz w:val="20"/>
          <w:u w:val="none"/>
        </w:rPr>
        <w:t>, we were not currently a party to any material legal proceedings.</w:t>
      </w:r>
    </w:p>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val="0"/>
          <w:i w:val="0"/>
          <w:color w:val="000000"/>
          <w:sz w:val="20"/>
          <w:u w:val="none"/>
        </w:rPr>
      </w:pPr>
    </w:p>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val="0"/>
          <w:i w:val="0"/>
          <w:color w:val="000000"/>
          <w:sz w:val="20"/>
          <w:u w:val="none"/>
        </w:rPr>
        <w:sectPr>
          <w:type w:val="continuous"/>
          <w:pgSz w:w="12240" w:h="15840"/>
          <w:pgMar w:top="855" w:right="990" w:bottom="855" w:left="990" w:header="270" w:footer="270"/>
          <w:cols w:space="708"/>
        </w:sectPr>
      </w:pPr>
    </w:p>
    <w:p>
      <w:pPr>
        <w:keepNext/>
        <w:keepLines/>
        <w:pageBreakBefore w:val="0"/>
        <w:widowControl w:val="0"/>
        <w:numPr>
          <w:ilvl w:val="0"/>
          <w:numId w:val="0"/>
        </w:numPr>
        <w:spacing w:before="0" w:after="0" w:line="288" w:lineRule="auto"/>
        <w:ind w:left="0" w:right="0" w:firstLine="0"/>
        <w:jc w:val="both"/>
        <w:outlineLvl w:val="3"/>
        <w:rPr>
          <w:rFonts w:ascii="Times New Roman" w:eastAsia="Times New Roman" w:hAnsi="Times New Roman" w:cs="Times New Roman"/>
          <w:b/>
          <w:i w:val="0"/>
          <w:sz w:val="20"/>
        </w:rPr>
      </w:pPr>
      <w:bookmarkStart w:id="17" w:name="Section18"/>
      <w:bookmarkEnd w:id="17"/>
      <w:r>
        <w:rPr>
          <w:rFonts w:ascii="Times New Roman" w:eastAsia="Times New Roman" w:hAnsi="Times New Roman" w:cs="Times New Roman"/>
          <w:b/>
          <w:i w:val="0"/>
          <w:color w:val="000000"/>
          <w:sz w:val="20"/>
          <w:highlight w:val="white"/>
          <w:u w:val="none"/>
        </w:rPr>
        <w:t xml:space="preserve">NOTE 9 - </w:t>
      </w:r>
      <w:r>
        <w:rPr>
          <w:rFonts w:ascii="Times New Roman" w:eastAsia="Times New Roman" w:hAnsi="Times New Roman" w:cs="Times New Roman"/>
          <w:b/>
          <w:i w:val="0"/>
          <w:color w:val="000000"/>
          <w:sz w:val="20"/>
          <w:highlight w:val="white"/>
          <w:u w:val="none"/>
        </w:rPr>
        <w:t>SHARE-BASED COMPENSATION</w:t>
      </w:r>
    </w:p>
    <w:p>
      <w:pPr>
        <w:keepNext/>
        <w:keepLines/>
        <w:pageBreakBefore w:val="0"/>
        <w:widowControl w:val="0"/>
        <w:numPr>
          <w:ilvl w:val="0"/>
          <w:numId w:val="0"/>
        </w:numPr>
        <w:spacing w:before="0" w:after="0" w:line="288" w:lineRule="auto"/>
        <w:ind w:left="900" w:right="0" w:hanging="900"/>
        <w:jc w:val="both"/>
        <w:outlineLvl w:val="9"/>
        <w:rPr>
          <w:rFonts w:ascii="Times New Roman" w:eastAsia="Times New Roman" w:hAnsi="Times New Roman" w:cs="Times New Roman"/>
          <w:b/>
          <w:i w:val="0"/>
          <w:color w:val="000000"/>
          <w:sz w:val="20"/>
          <w:u w:val="none"/>
        </w:rPr>
      </w:pP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i w:val="0"/>
          <w:color w:val="000000"/>
          <w:sz w:val="20"/>
          <w:u w:val="none"/>
        </w:rPr>
      </w:pPr>
      <w:r>
        <w:rPr>
          <w:rFonts w:ascii="Times New Roman" w:eastAsia="Times New Roman" w:hAnsi="Times New Roman" w:cs="Times New Roman"/>
          <w:b w:val="0"/>
          <w:i w:val="0"/>
          <w:color w:val="000000"/>
          <w:sz w:val="20"/>
          <w:u w:val="none"/>
        </w:rPr>
        <w:t xml:space="preserve">We have one active equity plan, the 2018 Incentive Award Plan (the “2018 Plan”). The 2018 Plan, approved by our stockholders, replaced our 2009 Equity Incentive Plan, as amended (the “2009 Plan”); however, the terms and conditions of the 2009 Plan will continue to govern any outstanding awards granted thereunder. </w:t>
      </w: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 xml:space="preserve">The number of shares reserved for issuance under the 2018 Plan is </w:t>
      </w:r>
      <w:r>
        <w:rPr>
          <w:rFonts w:ascii="Times New Roman" w:eastAsia="Times New Roman" w:hAnsi="Times New Roman" w:cs="Times New Roman"/>
          <w:b w:val="0"/>
          <w:i w:val="0"/>
          <w:color w:val="000000"/>
          <w:sz w:val="20"/>
          <w:u w:val="none"/>
        </w:rPr>
        <w:t>6,998</w:t>
      </w:r>
      <w:r>
        <w:rPr>
          <w:rFonts w:ascii="Times New Roman" w:eastAsia="Times New Roman" w:hAnsi="Times New Roman" w:cs="Times New Roman"/>
          <w:b w:val="0"/>
          <w:i w:val="0"/>
          <w:color w:val="000000"/>
          <w:sz w:val="20"/>
          <w:u w:val="none"/>
        </w:rPr>
        <w:t xml:space="preserve"> shares. We have an aggregate of </w:t>
      </w:r>
      <w:r>
        <w:rPr>
          <w:rFonts w:ascii="Times New Roman" w:eastAsia="Times New Roman" w:hAnsi="Times New Roman" w:cs="Times New Roman"/>
          <w:b w:val="0"/>
          <w:i w:val="0"/>
          <w:color w:val="000000"/>
          <w:sz w:val="20"/>
          <w:u w:val="none"/>
        </w:rPr>
        <w:t>2,519</w:t>
      </w:r>
      <w:r>
        <w:rPr>
          <w:rFonts w:ascii="Times New Roman" w:eastAsia="Times New Roman" w:hAnsi="Times New Roman" w:cs="Times New Roman"/>
          <w:b w:val="0"/>
          <w:i w:val="0"/>
          <w:color w:val="000000"/>
          <w:sz w:val="20"/>
          <w:u w:val="none"/>
        </w:rPr>
        <w:t xml:space="preserve"> options, restricted stock units (“RSUs”) and performance stock units (“PSUs”) granted and outstanding pursuant to the 2018 Plan as of </w:t>
      </w:r>
      <w:r>
        <w:rPr>
          <w:rFonts w:ascii="Times New Roman" w:eastAsia="Times New Roman" w:hAnsi="Times New Roman" w:cs="Times New Roman"/>
          <w:b w:val="0"/>
          <w:i w:val="0"/>
          <w:color w:val="000000"/>
          <w:sz w:val="20"/>
          <w:u w:val="none"/>
        </w:rPr>
        <w:t>March 31, 2026</w:t>
      </w:r>
      <w:r>
        <w:rPr>
          <w:rFonts w:ascii="Times New Roman" w:eastAsia="Times New Roman" w:hAnsi="Times New Roman" w:cs="Times New Roman"/>
          <w:b w:val="0"/>
          <w:i w:val="0"/>
          <w:color w:val="000000"/>
          <w:sz w:val="20"/>
          <w:u w:val="none"/>
        </w:rPr>
        <w:t xml:space="preserve">. As of </w:t>
      </w:r>
      <w:r>
        <w:rPr>
          <w:rFonts w:ascii="Times New Roman" w:eastAsia="Times New Roman" w:hAnsi="Times New Roman" w:cs="Times New Roman"/>
          <w:b w:val="0"/>
          <w:i w:val="0"/>
          <w:color w:val="000000"/>
          <w:sz w:val="20"/>
          <w:u w:val="none"/>
        </w:rPr>
        <w:t>March 31, 2026</w:t>
      </w:r>
      <w:r>
        <w:rPr>
          <w:rFonts w:ascii="Times New Roman" w:eastAsia="Times New Roman" w:hAnsi="Times New Roman" w:cs="Times New Roman"/>
          <w:b w:val="0"/>
          <w:i w:val="0"/>
          <w:color w:val="000000"/>
          <w:sz w:val="20"/>
          <w:u w:val="none"/>
        </w:rPr>
        <w:t>, the number of shares available for future grant under the 2018 Plan</w:t>
      </w:r>
      <w:r>
        <w:rPr>
          <w:rFonts w:ascii="Times New Roman" w:eastAsia="Times New Roman" w:hAnsi="Times New Roman" w:cs="Times New Roman"/>
          <w:b w:val="0"/>
          <w:i w:val="0"/>
          <w:color w:val="000000"/>
          <w:sz w:val="20"/>
          <w:highlight w:val="white"/>
          <w:u w:val="none"/>
        </w:rPr>
        <w:t xml:space="preserve"> is</w:t>
      </w:r>
      <w:r>
        <w:rPr>
          <w:rFonts w:ascii="Times New Roman" w:eastAsia="Times New Roman" w:hAnsi="Times New Roman" w:cs="Times New Roman"/>
          <w:b w:val="0"/>
          <w:i w:val="0"/>
          <w:color w:val="000000"/>
          <w:sz w:val="20"/>
          <w:u w:val="none"/>
        </w:rPr>
        <w:t xml:space="preserve"> </w:t>
      </w:r>
      <w:r>
        <w:rPr>
          <w:rFonts w:ascii="Times New Roman" w:eastAsia="Times New Roman" w:hAnsi="Times New Roman" w:cs="Times New Roman"/>
          <w:b w:val="0"/>
          <w:i w:val="0"/>
          <w:color w:val="000000"/>
          <w:sz w:val="20"/>
          <w:u w:val="none"/>
        </w:rPr>
        <w:t>1,811</w:t>
      </w:r>
      <w:r>
        <w:rPr>
          <w:rFonts w:ascii="Times New Roman" w:eastAsia="Times New Roman" w:hAnsi="Times New Roman" w:cs="Times New Roman"/>
          <w:b w:val="0"/>
          <w:i w:val="0"/>
          <w:color w:val="000000"/>
          <w:sz w:val="20"/>
          <w:u w:val="none"/>
        </w:rPr>
        <w:t xml:space="preserve">. </w:t>
      </w: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 xml:space="preserve">Share-based compensation for our stock option plans for the </w:t>
      </w:r>
      <w:r>
        <w:rPr>
          <w:rFonts w:ascii="Times New Roman" w:eastAsia="Times New Roman" w:hAnsi="Times New Roman" w:cs="Times New Roman"/>
          <w:b w:val="0"/>
          <w:i w:val="0"/>
          <w:color w:val="000000"/>
          <w:sz w:val="20"/>
          <w:u w:val="none"/>
        </w:rPr>
        <w:t>three months ended March 31, 2026</w:t>
      </w:r>
      <w:r>
        <w:rPr>
          <w:rFonts w:ascii="Times New Roman" w:eastAsia="Times New Roman" w:hAnsi="Times New Roman" w:cs="Times New Roman"/>
          <w:b w:val="0"/>
          <w:i w:val="0"/>
          <w:color w:val="000000"/>
          <w:sz w:val="20"/>
          <w:u w:val="none"/>
        </w:rPr>
        <w:t xml:space="preserve">, and </w:t>
      </w:r>
      <w:r>
        <w:rPr>
          <w:rFonts w:ascii="Times New Roman" w:eastAsia="Times New Roman" w:hAnsi="Times New Roman" w:cs="Times New Roman"/>
          <w:b w:val="0"/>
          <w:i w:val="0"/>
          <w:color w:val="000000"/>
          <w:sz w:val="20"/>
          <w:u w:val="none"/>
        </w:rPr>
        <w:t>March 31, 2025</w:t>
      </w:r>
      <w:r>
        <w:rPr>
          <w:rFonts w:ascii="Times New Roman" w:eastAsia="Times New Roman" w:hAnsi="Times New Roman" w:cs="Times New Roman"/>
          <w:b w:val="0"/>
          <w:i w:val="0"/>
          <w:color w:val="000000"/>
          <w:sz w:val="20"/>
          <w:u w:val="none"/>
        </w:rPr>
        <w:t xml:space="preserve">, was </w:t>
      </w:r>
      <w:r>
        <w:rPr>
          <w:rFonts w:ascii="Times New Roman" w:eastAsia="Times New Roman" w:hAnsi="Times New Roman" w:cs="Times New Roman"/>
          <w:b w:val="0"/>
          <w:i w:val="0"/>
          <w:color w:val="000000"/>
          <w:sz w:val="20"/>
          <w:u w:val="none"/>
        </w:rPr>
        <w:t>$2,150</w:t>
      </w:r>
      <w:r>
        <w:rPr>
          <w:rFonts w:ascii="Times New Roman" w:eastAsia="Times New Roman" w:hAnsi="Times New Roman" w:cs="Times New Roman"/>
          <w:b w:val="0"/>
          <w:i w:val="0"/>
          <w:color w:val="000000"/>
          <w:sz w:val="20"/>
          <w:u w:val="none"/>
        </w:rPr>
        <w:t xml:space="preserve"> and </w:t>
      </w:r>
      <w:r>
        <w:rPr>
          <w:rFonts w:ascii="Times New Roman" w:eastAsia="Times New Roman" w:hAnsi="Times New Roman" w:cs="Times New Roman"/>
          <w:b w:val="0"/>
          <w:i w:val="0"/>
          <w:color w:val="000000"/>
          <w:sz w:val="20"/>
          <w:u w:val="none"/>
        </w:rPr>
        <w:t>$1,863</w:t>
      </w:r>
      <w:r>
        <w:rPr>
          <w:rFonts w:ascii="Times New Roman" w:eastAsia="Times New Roman" w:hAnsi="Times New Roman" w:cs="Times New Roman"/>
          <w:b w:val="0"/>
          <w:i w:val="0"/>
          <w:color w:val="000000"/>
          <w:sz w:val="20"/>
          <w:u w:val="none"/>
        </w:rPr>
        <w:t xml:space="preserve">, respectively. </w:t>
      </w:r>
      <w:r>
        <w:rPr>
          <w:rFonts w:ascii="Times New Roman" w:eastAsia="Times New Roman" w:hAnsi="Times New Roman" w:cs="Times New Roman"/>
          <w:b w:val="0"/>
          <w:i w:val="0"/>
          <w:color w:val="000000"/>
          <w:sz w:val="20"/>
          <w:u w:val="none"/>
        </w:rPr>
        <w:t>Issuance of common stock related to the exercise of stock options and the vesting of restricted stock units (including restricted stock units that converted from performance stock units) are as follows for the period presented below (in thousands):</w:t>
      </w:r>
    </w:p>
    <w:tbl>
      <w:tblPr>
        <w:tblStyle w:val="TableNormal0"/>
        <w:tblW w:w="10020" w:type="dxa"/>
        <w:jc w:val="center"/>
        <w:tblLayout w:type="fixed"/>
      </w:tblPr>
      <w:tblGrid>
        <w:gridCol w:w="4140"/>
        <w:gridCol w:w="1425"/>
        <w:gridCol w:w="60"/>
        <w:gridCol w:w="1425"/>
        <w:gridCol w:w="60"/>
        <w:gridCol w:w="1425"/>
        <w:gridCol w:w="60"/>
        <w:gridCol w:w="1425"/>
      </w:tblGrid>
      <w:tr>
        <w:tblPrEx>
          <w:tblW w:w="10020" w:type="dxa"/>
          <w:tblLayout w:type="fixed"/>
        </w:tblPrEx>
        <w:trPr>
          <w:trHeight w:hRule="exact" w:val="285"/>
        </w:trPr>
        <w:tc>
          <w:tcPr>
            <w:tcW w:w="414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2910" w:type="dxa"/>
            <w:gridSpan w:val="3"/>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6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2910" w:type="dxa"/>
            <w:gridSpan w:val="3"/>
            <w:tcBorders>
              <w:top w:val="nil"/>
              <w:left w:val="nil"/>
              <w:bottom w:val="nil"/>
              <w:right w:val="nil"/>
            </w:tcBorders>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Three Months Ended March 31,</w:t>
            </w:r>
          </w:p>
        </w:tc>
      </w:tr>
      <w:tr>
        <w:tblPrEx>
          <w:tblW w:w="10020" w:type="dxa"/>
          <w:tblLayout w:type="fixed"/>
        </w:tblPrEx>
        <w:trPr>
          <w:trHeight w:hRule="exact" w:val="285"/>
        </w:trPr>
        <w:tc>
          <w:tcPr>
            <w:tcW w:w="414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42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6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42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6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425" w:type="dxa"/>
            <w:tcBorders>
              <w:top w:val="single" w:sz="8" w:space="0" w:color="000000"/>
              <w:left w:val="nil"/>
              <w:bottom w:val="single" w:sz="8" w:space="0" w:color="000000"/>
              <w:right w:val="nil"/>
            </w:tcBorders>
            <w:tcMar>
              <w:top w:w="0" w:type="dxa"/>
              <w:left w:w="53" w:type="dxa"/>
              <w:bottom w:w="0" w:type="dxa"/>
              <w:right w:w="53" w:type="dxa"/>
            </w:tcMar>
            <w:vAlign w:val="bottom"/>
          </w:tcPr>
          <w:p>
            <w:pPr>
              <w:keepNext/>
              <w:pageBreakBefore w:val="0"/>
              <w:spacing w:before="33" w:after="30" w:line="240" w:lineRule="auto"/>
              <w:jc w:val="center"/>
            </w:pPr>
            <w:r>
              <w:rPr>
                <w:rFonts w:ascii="Times New Roman" w:eastAsia="Times New Roman" w:hAnsi="Times New Roman" w:cs="Times New Roman"/>
                <w:b/>
                <w:i w:val="0"/>
                <w:color w:val="000000"/>
                <w:sz w:val="20"/>
                <w:u w:val="none"/>
              </w:rPr>
              <w:t>2026</w:t>
            </w:r>
          </w:p>
        </w:tc>
        <w:tc>
          <w:tcPr>
            <w:tcW w:w="6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425" w:type="dxa"/>
            <w:tcBorders>
              <w:top w:val="single" w:sz="8" w:space="0" w:color="000000"/>
              <w:left w:val="nil"/>
              <w:bottom w:val="single" w:sz="8" w:space="0" w:color="000000"/>
              <w:right w:val="nil"/>
            </w:tcBorders>
            <w:tcMar>
              <w:top w:w="0" w:type="dxa"/>
              <w:left w:w="53" w:type="dxa"/>
              <w:bottom w:w="0" w:type="dxa"/>
              <w:right w:w="53" w:type="dxa"/>
            </w:tcMar>
            <w:vAlign w:val="bottom"/>
          </w:tcPr>
          <w:p>
            <w:pPr>
              <w:keepNext/>
              <w:pageBreakBefore w:val="0"/>
              <w:spacing w:before="33" w:after="30" w:line="240" w:lineRule="auto"/>
              <w:jc w:val="center"/>
            </w:pPr>
            <w:r>
              <w:rPr>
                <w:rFonts w:ascii="Times New Roman" w:eastAsia="Times New Roman" w:hAnsi="Times New Roman" w:cs="Times New Roman"/>
                <w:b/>
                <w:i w:val="0"/>
                <w:color w:val="000000"/>
                <w:sz w:val="20"/>
                <w:u w:val="none"/>
              </w:rPr>
              <w:t>2025</w:t>
            </w:r>
          </w:p>
        </w:tc>
      </w:tr>
      <w:tr>
        <w:tblPrEx>
          <w:tblW w:w="10020" w:type="dxa"/>
          <w:tblLayout w:type="fixed"/>
        </w:tblPrEx>
        <w:trPr>
          <w:trHeight w:hRule="exact" w:val="285"/>
        </w:trPr>
        <w:tc>
          <w:tcPr>
            <w:tcW w:w="414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Common stock issued - options</w:t>
            </w:r>
          </w:p>
        </w:tc>
        <w:tc>
          <w:tcPr>
            <w:tcW w:w="142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60"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2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60"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2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1092"/>
                <w:tab w:val="left" w:pos="1357"/>
              </w:tabs>
              <w:spacing w:before="33" w:after="30" w:line="240" w:lineRule="auto"/>
              <w:jc w:val="right"/>
            </w:pPr>
            <w:r>
              <w:rPr>
                <w:rFonts w:ascii="Times New Roman" w:eastAsia="Times New Roman" w:hAnsi="Times New Roman" w:cs="Times New Roman"/>
                <w:b w:val="0"/>
                <w:i w:val="0"/>
                <w:color w:val="000000"/>
                <w:sz w:val="20"/>
                <w:u w:val="none"/>
              </w:rPr>
              <w:tab/>
              <w:t>31</w:t>
              <w:tab/>
            </w:r>
          </w:p>
        </w:tc>
        <w:tc>
          <w:tcPr>
            <w:tcW w:w="60"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2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1092"/>
                <w:tab w:val="left" w:pos="1357"/>
              </w:tabs>
              <w:spacing w:before="33" w:after="30" w:line="240" w:lineRule="auto"/>
              <w:jc w:val="right"/>
            </w:pPr>
            <w:r>
              <w:rPr>
                <w:rFonts w:ascii="Times New Roman" w:eastAsia="Times New Roman" w:hAnsi="Times New Roman" w:cs="Times New Roman"/>
                <w:b w:val="0"/>
                <w:i w:val="0"/>
                <w:color w:val="000000"/>
                <w:sz w:val="20"/>
                <w:u w:val="none"/>
              </w:rPr>
              <w:tab/>
              <w:t>69</w:t>
              <w:tab/>
            </w:r>
          </w:p>
        </w:tc>
      </w:tr>
      <w:tr>
        <w:tblPrEx>
          <w:tblW w:w="10020" w:type="dxa"/>
          <w:tblLayout w:type="fixed"/>
        </w:tblPrEx>
        <w:trPr>
          <w:trHeight w:hRule="exact" w:val="285"/>
        </w:trPr>
        <w:tc>
          <w:tcPr>
            <w:tcW w:w="4140" w:type="dxa"/>
            <w:tcBorders>
              <w:top w:val="nil"/>
              <w:left w:val="nil"/>
              <w:bottom w:val="nil"/>
              <w:right w:val="nil"/>
            </w:tcBorders>
            <w:tcMar>
              <w:top w:w="0" w:type="dxa"/>
              <w:left w:w="53" w:type="dxa"/>
              <w:bottom w:w="0" w:type="dxa"/>
              <w:right w:w="53" w:type="dxa"/>
            </w:tcMar>
            <w:vAlign w:val="bottom"/>
          </w:tcPr>
          <w:p>
            <w:pPr>
              <w:keepNext/>
              <w:pageBreakBefore w:val="0"/>
              <w:numPr>
                <w:ilvl w:val="0"/>
                <w:numId w:val="0"/>
              </w:numPr>
              <w:spacing w:before="53" w:after="30" w:line="240" w:lineRule="auto"/>
              <w:ind w:left="0" w:right="0" w:firstLine="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Common stock issued - RSU</w:t>
            </w:r>
            <w:r>
              <w:rPr>
                <w:rFonts w:ascii="Times New Roman" w:eastAsia="Times New Roman" w:hAnsi="Times New Roman" w:cs="Times New Roman"/>
                <w:b w:val="0"/>
                <w:i w:val="0"/>
                <w:sz w:val="20"/>
                <w:vertAlign w:val="superscript"/>
              </w:rPr>
              <w:t>(1)</w:t>
            </w:r>
          </w:p>
        </w:tc>
        <w:tc>
          <w:tcPr>
            <w:tcW w:w="142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6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2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6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425" w:type="dxa"/>
            <w:tcBorders>
              <w:top w:val="nil"/>
              <w:left w:val="nil"/>
              <w:bottom w:val="nil"/>
              <w:right w:val="nil"/>
            </w:tcBorders>
            <w:tcMar>
              <w:top w:w="0" w:type="dxa"/>
              <w:left w:w="0" w:type="dxa"/>
              <w:bottom w:w="0" w:type="dxa"/>
              <w:right w:w="15" w:type="dxa"/>
            </w:tcMar>
            <w:vAlign w:val="bottom"/>
          </w:tcPr>
          <w:p>
            <w:pPr>
              <w:keepNext/>
              <w:pageBreakBefore w:val="0"/>
              <w:tabs>
                <w:tab w:val="left" w:pos="992"/>
                <w:tab w:val="left" w:pos="1357"/>
              </w:tabs>
              <w:spacing w:before="53" w:after="30" w:line="240" w:lineRule="auto"/>
              <w:jc w:val="right"/>
            </w:pPr>
            <w:r>
              <w:rPr>
                <w:rFonts w:ascii="Times New Roman" w:eastAsia="Times New Roman" w:hAnsi="Times New Roman" w:cs="Times New Roman"/>
                <w:b w:val="0"/>
                <w:i w:val="0"/>
                <w:color w:val="000000"/>
                <w:sz w:val="20"/>
                <w:u w:val="none"/>
              </w:rPr>
              <w:tab/>
              <w:t>542</w:t>
              <w:tab/>
            </w:r>
          </w:p>
        </w:tc>
        <w:tc>
          <w:tcPr>
            <w:tcW w:w="6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425" w:type="dxa"/>
            <w:tcBorders>
              <w:top w:val="nil"/>
              <w:left w:val="nil"/>
              <w:bottom w:val="nil"/>
              <w:right w:val="nil"/>
            </w:tcBorders>
            <w:tcMar>
              <w:top w:w="0" w:type="dxa"/>
              <w:left w:w="0" w:type="dxa"/>
              <w:bottom w:w="0" w:type="dxa"/>
              <w:right w:w="15" w:type="dxa"/>
            </w:tcMar>
            <w:vAlign w:val="bottom"/>
          </w:tcPr>
          <w:p>
            <w:pPr>
              <w:keepNext/>
              <w:pageBreakBefore w:val="0"/>
              <w:tabs>
                <w:tab w:val="left" w:pos="992"/>
                <w:tab w:val="left" w:pos="1357"/>
              </w:tabs>
              <w:spacing w:before="53" w:after="30" w:line="240" w:lineRule="auto"/>
              <w:jc w:val="right"/>
            </w:pPr>
            <w:r>
              <w:rPr>
                <w:rFonts w:ascii="Times New Roman" w:eastAsia="Times New Roman" w:hAnsi="Times New Roman" w:cs="Times New Roman"/>
                <w:b w:val="0"/>
                <w:i w:val="0"/>
                <w:color w:val="000000"/>
                <w:sz w:val="20"/>
                <w:u w:val="none"/>
              </w:rPr>
              <w:tab/>
              <w:t>382</w:t>
              <w:tab/>
            </w:r>
          </w:p>
        </w:tc>
      </w:tr>
      <w:tr>
        <w:tblPrEx>
          <w:tblW w:w="10020" w:type="dxa"/>
          <w:tblLayout w:type="fixed"/>
        </w:tblPrEx>
        <w:trPr>
          <w:trHeight w:hRule="exact" w:val="405"/>
        </w:trPr>
        <w:tc>
          <w:tcPr>
            <w:tcW w:w="10020" w:type="dxa"/>
            <w:gridSpan w:val="8"/>
            <w:tcBorders>
              <w:top w:val="nil"/>
              <w:left w:val="nil"/>
              <w:bottom w:val="nil"/>
              <w:right w:val="nil"/>
            </w:tcBorders>
            <w:tcMar>
              <w:top w:w="0" w:type="dxa"/>
              <w:left w:w="53" w:type="dxa"/>
              <w:bottom w:w="0" w:type="dxa"/>
              <w:right w:w="53" w:type="dxa"/>
            </w:tcMar>
            <w:vAlign w:val="bottom"/>
          </w:tcPr>
          <w:p>
            <w:pPr>
              <w:pageBreakBefore w:val="0"/>
              <w:numPr>
                <w:ilvl w:val="0"/>
                <w:numId w:val="0"/>
              </w:numPr>
              <w:spacing w:before="53" w:after="30" w:line="240" w:lineRule="auto"/>
              <w:ind w:left="0" w:right="0" w:firstLine="0"/>
              <w:jc w:val="left"/>
              <w:outlineLvl w:val="9"/>
              <w:rPr>
                <w:rFonts w:ascii="Times New Roman" w:eastAsia="Times New Roman" w:hAnsi="Times New Roman" w:cs="Times New Roman"/>
                <w:b w:val="0"/>
                <w:i w:val="0"/>
                <w:sz w:val="16"/>
              </w:rPr>
            </w:pPr>
            <w:r>
              <w:rPr>
                <w:rFonts w:ascii="Times New Roman" w:eastAsia="Times New Roman" w:hAnsi="Times New Roman" w:cs="Times New Roman"/>
                <w:b w:val="0"/>
                <w:i w:val="0"/>
                <w:sz w:val="16"/>
              </w:rPr>
              <w:t xml:space="preserve">(1) </w:t>
            </w:r>
            <w:r>
              <w:rPr>
                <w:rFonts w:ascii="Times New Roman" w:eastAsia="Times New Roman" w:hAnsi="Times New Roman" w:cs="Times New Roman"/>
                <w:b w:val="0"/>
                <w:i w:val="0"/>
                <w:sz w:val="16"/>
              </w:rPr>
              <w:t xml:space="preserve">Included in these amounts are </w:t>
            </w:r>
            <w:r>
              <w:rPr>
                <w:rFonts w:ascii="Times New Roman" w:eastAsia="Times New Roman" w:hAnsi="Times New Roman" w:cs="Times New Roman"/>
                <w:b w:val="0"/>
                <w:i w:val="0"/>
                <w:color w:val="000000"/>
                <w:sz w:val="16"/>
                <w:u w:val="none"/>
              </w:rPr>
              <w:t>297</w:t>
            </w:r>
            <w:r>
              <w:rPr>
                <w:rFonts w:ascii="Times New Roman" w:eastAsia="Times New Roman" w:hAnsi="Times New Roman" w:cs="Times New Roman"/>
                <w:b w:val="0"/>
                <w:i w:val="0"/>
                <w:sz w:val="16"/>
              </w:rPr>
              <w:t xml:space="preserve"> and </w:t>
            </w:r>
            <w:r>
              <w:rPr>
                <w:rFonts w:ascii="Times New Roman" w:eastAsia="Times New Roman" w:hAnsi="Times New Roman" w:cs="Times New Roman"/>
                <w:b w:val="0"/>
                <w:i w:val="0"/>
                <w:color w:val="000000"/>
                <w:sz w:val="16"/>
                <w:u w:val="none"/>
              </w:rPr>
              <w:t>159</w:t>
            </w:r>
            <w:r>
              <w:rPr>
                <w:rFonts w:ascii="Times New Roman" w:eastAsia="Times New Roman" w:hAnsi="Times New Roman" w:cs="Times New Roman"/>
                <w:b w:val="0"/>
                <w:i w:val="0"/>
                <w:sz w:val="16"/>
              </w:rPr>
              <w:t xml:space="preserve"> of restricted stock units that were converted from performance stock units which vested during the </w:t>
            </w:r>
            <w:r>
              <w:rPr>
                <w:rFonts w:ascii="Times New Roman" w:eastAsia="Times New Roman" w:hAnsi="Times New Roman" w:cs="Times New Roman"/>
                <w:b w:val="0"/>
                <w:i w:val="0"/>
                <w:color w:val="000000"/>
                <w:sz w:val="16"/>
                <w:u w:val="none"/>
              </w:rPr>
              <w:t>three months ended March 31, 2026</w:t>
            </w:r>
            <w:r>
              <w:rPr>
                <w:rFonts w:ascii="Times New Roman" w:eastAsia="Times New Roman" w:hAnsi="Times New Roman" w:cs="Times New Roman"/>
                <w:b w:val="0"/>
                <w:i w:val="0"/>
                <w:sz w:val="16"/>
              </w:rPr>
              <w:t xml:space="preserve"> and </w:t>
            </w:r>
            <w:r>
              <w:rPr>
                <w:rFonts w:ascii="Times New Roman" w:eastAsia="Times New Roman" w:hAnsi="Times New Roman" w:cs="Times New Roman"/>
                <w:b w:val="0"/>
                <w:i w:val="0"/>
                <w:color w:val="000000"/>
                <w:sz w:val="16"/>
                <w:u w:val="none"/>
              </w:rPr>
              <w:t>2025</w:t>
            </w:r>
            <w:r>
              <w:rPr>
                <w:rFonts w:ascii="Times New Roman" w:eastAsia="Times New Roman" w:hAnsi="Times New Roman" w:cs="Times New Roman"/>
                <w:b w:val="0"/>
                <w:i w:val="0"/>
                <w:sz w:val="16"/>
              </w:rPr>
              <w:t>, respectively.</w:t>
            </w:r>
          </w:p>
        </w:tc>
      </w:tr>
    </w:tbl>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 xml:space="preserve">Effective January 1, 2026, the Compensation Committee approved the grant of PSUs pursuant to a PSU Award Grant Notice and PSU Award Agreement (the “2026 PSU Award Agreement”) under the 2018 Plan to our executive officers payable in the form of RSUs. The number of RSUs into which the PSUs convert for each executive officer is a sliding scale between </w:t>
      </w:r>
      <w:r>
        <w:rPr>
          <w:rFonts w:ascii="Times New Roman" w:eastAsia="Times New Roman" w:hAnsi="Times New Roman" w:cs="Times New Roman"/>
          <w:b w:val="0"/>
          <w:i w:val="0"/>
          <w:color w:val="000000"/>
          <w:sz w:val="20"/>
          <w:u w:val="none"/>
        </w:rPr>
        <w:t>0%</w:t>
      </w:r>
      <w:r>
        <w:rPr>
          <w:rFonts w:ascii="Times New Roman" w:eastAsia="Times New Roman" w:hAnsi="Times New Roman" w:cs="Times New Roman"/>
          <w:b w:val="0"/>
          <w:i w:val="0"/>
          <w:color w:val="000000"/>
          <w:sz w:val="20"/>
          <w:u w:val="none"/>
        </w:rPr>
        <w:t xml:space="preserve"> to </w:t>
      </w:r>
      <w:r>
        <w:rPr>
          <w:rFonts w:ascii="Times New Roman" w:eastAsia="Times New Roman" w:hAnsi="Times New Roman" w:cs="Times New Roman"/>
          <w:b w:val="0"/>
          <w:i w:val="0"/>
          <w:color w:val="000000"/>
          <w:sz w:val="20"/>
          <w:u w:val="none"/>
        </w:rPr>
        <w:t>200%</w:t>
      </w:r>
      <w:r>
        <w:rPr>
          <w:rFonts w:ascii="Times New Roman" w:eastAsia="Times New Roman" w:hAnsi="Times New Roman" w:cs="Times New Roman"/>
          <w:b w:val="0"/>
          <w:i w:val="0"/>
          <w:color w:val="000000"/>
          <w:sz w:val="20"/>
          <w:u w:val="none"/>
        </w:rPr>
        <w:t xml:space="preserve"> of the target amount based on our achievement of certain performance metrics tied to our recurring revenue and gross profit for 2026. </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 xml:space="preserve">Effective January 1, 2025, the Compensation Committee approved the grant of PSUs pursuant to a PSU Award Grant Notice and PSU Award Agreement (the “2025 PSU Award Agreement”) under the 2018 Plan to our executive officers payable in the form of RSUs. The number of RSUs into which the PSUs convert for each executive officer is a sliding scale between </w:t>
      </w:r>
      <w:r>
        <w:rPr>
          <w:rFonts w:ascii="Times New Roman" w:eastAsia="Times New Roman" w:hAnsi="Times New Roman" w:cs="Times New Roman"/>
          <w:b w:val="0"/>
          <w:i w:val="0"/>
          <w:color w:val="000000"/>
          <w:sz w:val="20"/>
          <w:u w:val="none"/>
        </w:rPr>
        <w:t>0%</w:t>
      </w:r>
      <w:r>
        <w:rPr>
          <w:rFonts w:ascii="Times New Roman" w:eastAsia="Times New Roman" w:hAnsi="Times New Roman" w:cs="Times New Roman"/>
          <w:b w:val="0"/>
          <w:i w:val="0"/>
          <w:color w:val="000000"/>
          <w:sz w:val="20"/>
          <w:u w:val="none"/>
        </w:rPr>
        <w:t xml:space="preserve"> to </w:t>
      </w:r>
      <w:r>
        <w:rPr>
          <w:rFonts w:ascii="Times New Roman" w:eastAsia="Times New Roman" w:hAnsi="Times New Roman" w:cs="Times New Roman"/>
          <w:b w:val="0"/>
          <w:i w:val="0"/>
          <w:color w:val="000000"/>
          <w:sz w:val="20"/>
          <w:u w:val="none"/>
        </w:rPr>
        <w:t>200%</w:t>
      </w:r>
      <w:r>
        <w:rPr>
          <w:rFonts w:ascii="Times New Roman" w:eastAsia="Times New Roman" w:hAnsi="Times New Roman" w:cs="Times New Roman"/>
          <w:b w:val="0"/>
          <w:i w:val="0"/>
          <w:color w:val="000000"/>
          <w:sz w:val="20"/>
          <w:u w:val="none"/>
        </w:rPr>
        <w:t xml:space="preserve"> of the target amount based on our achievement of certain performance metrics tied to our recurring revenue and gross profit for 2025. On February 26, 2026, the PSUs converted to RSUs at </w:t>
      </w:r>
      <w:r>
        <w:rPr>
          <w:rFonts w:ascii="Times New Roman" w:eastAsia="Times New Roman" w:hAnsi="Times New Roman" w:cs="Times New Roman"/>
          <w:b w:val="0"/>
          <w:i w:val="0"/>
          <w:color w:val="000000"/>
          <w:sz w:val="20"/>
          <w:u w:val="none"/>
        </w:rPr>
        <w:t>100%</w:t>
      </w:r>
      <w:r>
        <w:rPr>
          <w:rFonts w:ascii="Times New Roman" w:eastAsia="Times New Roman" w:hAnsi="Times New Roman" w:cs="Times New Roman"/>
          <w:b w:val="0"/>
          <w:i w:val="0"/>
          <w:color w:val="000000"/>
          <w:sz w:val="20"/>
          <w:u w:val="none"/>
        </w:rPr>
        <w:t xml:space="preserve"> of target based on the achievement of set performance metrics, and we paid out a total of </w:t>
      </w:r>
      <w:r>
        <w:rPr>
          <w:rFonts w:ascii="Times New Roman" w:eastAsia="Times New Roman" w:hAnsi="Times New Roman" w:cs="Times New Roman"/>
          <w:b w:val="0"/>
          <w:i w:val="0"/>
          <w:color w:val="000000"/>
          <w:sz w:val="20"/>
          <w:u w:val="none"/>
        </w:rPr>
        <w:t>348</w:t>
      </w:r>
      <w:r>
        <w:rPr>
          <w:rFonts w:ascii="Times New Roman" w:eastAsia="Times New Roman" w:hAnsi="Times New Roman" w:cs="Times New Roman"/>
          <w:b w:val="0"/>
          <w:i w:val="0"/>
          <w:color w:val="000000"/>
          <w:sz w:val="20"/>
          <w:u w:val="none"/>
        </w:rPr>
        <w:t xml:space="preserve"> RSUs to our executive officers.</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sectPr>
          <w:type w:val="continuous"/>
          <w:pgSz w:w="12240" w:h="15840"/>
          <w:pgMar w:top="855" w:right="990" w:bottom="855" w:left="990" w:header="270" w:footer="270"/>
          <w:cols w:space="708"/>
        </w:sectPr>
      </w:pPr>
    </w:p>
    <w:p>
      <w:pPr>
        <w:keepNext/>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i w:val="0"/>
          <w:sz w:val="20"/>
        </w:rPr>
      </w:pPr>
      <w:bookmarkStart w:id="18" w:name="Section19"/>
      <w:bookmarkEnd w:id="18"/>
    </w:p>
    <w:p>
      <w:pPr>
        <w:keepNext/>
        <w:keepLines/>
        <w:pageBreakBefore w:val="0"/>
        <w:widowControl w:val="0"/>
        <w:numPr>
          <w:ilvl w:val="0"/>
          <w:numId w:val="0"/>
        </w:numPr>
        <w:spacing w:before="0" w:after="0" w:line="288" w:lineRule="auto"/>
        <w:ind w:left="0" w:right="0" w:firstLine="0"/>
        <w:jc w:val="left"/>
        <w:outlineLvl w:val="3"/>
        <w:rPr>
          <w:rFonts w:ascii="Times New Roman" w:eastAsia="Times New Roman" w:hAnsi="Times New Roman" w:cs="Times New Roman"/>
          <w:b/>
          <w:i w:val="0"/>
          <w:sz w:val="20"/>
        </w:rPr>
      </w:pPr>
      <w:r>
        <w:rPr>
          <w:rFonts w:ascii="Times New Roman" w:eastAsia="Times New Roman" w:hAnsi="Times New Roman" w:cs="Times New Roman"/>
          <w:b/>
          <w:i w:val="0"/>
          <w:sz w:val="20"/>
        </w:rPr>
        <w:t xml:space="preserve">NOTE 10 - </w:t>
      </w:r>
      <w:r>
        <w:rPr>
          <w:rFonts w:ascii="Times New Roman" w:eastAsia="Times New Roman" w:hAnsi="Times New Roman" w:cs="Times New Roman"/>
          <w:b/>
          <w:i w:val="0"/>
          <w:color w:val="000000"/>
          <w:sz w:val="20"/>
          <w:u w:val="none"/>
        </w:rPr>
        <w:t>NET EARNINGS (LOSS) PER SHARE</w:t>
      </w:r>
    </w:p>
    <w:p>
      <w:pPr>
        <w:keepNext/>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 xml:space="preserve">We compute net earnings or loss per share based on the weighted average number of common shares outstanding for the period. Diluted net earnings per share reflects the maximum dilution that would have resulted from incremental common shares issuable upon the exercise of stock options or vesting of RSUs and in some cases PSUs. In periods of net income, we compute the adjustment to the denominator of our dilutive net earnings per share calculation to include these stock options, RSUs, and PSUs, as applicable, using the treasury stock method. Regardless of the period resulting in net income or net loss, we exclude the adjustment to the denominator of our dilutive net loss per share calculation to the extent that they are anti-dilutive. For the </w:t>
      </w:r>
      <w:r>
        <w:rPr>
          <w:rFonts w:ascii="Times New Roman" w:eastAsia="Times New Roman" w:hAnsi="Times New Roman" w:cs="Times New Roman"/>
          <w:b w:val="0"/>
          <w:i w:val="0"/>
          <w:color w:val="000000"/>
          <w:sz w:val="20"/>
          <w:u w:val="none"/>
        </w:rPr>
        <w:t>three months ended March 31, 2026</w:t>
      </w:r>
      <w:r>
        <w:rPr>
          <w:rFonts w:ascii="Times New Roman" w:eastAsia="Times New Roman" w:hAnsi="Times New Roman" w:cs="Times New Roman"/>
          <w:b w:val="0"/>
          <w:i w:val="0"/>
          <w:color w:val="000000"/>
          <w:sz w:val="20"/>
          <w:u w:val="none"/>
        </w:rPr>
        <w:t xml:space="preserve">, </w:t>
      </w:r>
      <w:r>
        <w:rPr>
          <w:rFonts w:ascii="Times New Roman" w:eastAsia="Times New Roman" w:hAnsi="Times New Roman" w:cs="Times New Roman"/>
          <w:b w:val="0"/>
          <w:i w:val="0"/>
          <w:color w:val="000000"/>
          <w:sz w:val="20"/>
          <w:u w:val="none"/>
        </w:rPr>
        <w:t>450</w:t>
      </w:r>
      <w:r>
        <w:rPr>
          <w:rFonts w:ascii="Times New Roman" w:eastAsia="Times New Roman" w:hAnsi="Times New Roman" w:cs="Times New Roman"/>
          <w:b w:val="0"/>
          <w:i w:val="0"/>
          <w:color w:val="000000"/>
          <w:sz w:val="20"/>
          <w:u w:val="none"/>
        </w:rPr>
        <w:t xml:space="preserve"> share awards were excluded from the computation of diluted earnings per share because their effect would have been antidilutive.</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 xml:space="preserve">The following table sets forth the computation of basic and diluted net </w:t>
      </w:r>
      <w:r>
        <w:rPr>
          <w:rFonts w:ascii="Times New Roman" w:eastAsia="Times New Roman" w:hAnsi="Times New Roman" w:cs="Times New Roman"/>
          <w:b w:val="0"/>
          <w:i w:val="0"/>
          <w:color w:val="000000"/>
          <w:sz w:val="20"/>
          <w:u w:val="none"/>
        </w:rPr>
        <w:t>income (loss)</w:t>
      </w:r>
      <w:r>
        <w:rPr>
          <w:rFonts w:ascii="Times New Roman" w:eastAsia="Times New Roman" w:hAnsi="Times New Roman" w:cs="Times New Roman"/>
          <w:b w:val="0"/>
          <w:i w:val="0"/>
          <w:color w:val="000000"/>
          <w:sz w:val="20"/>
          <w:u w:val="none"/>
        </w:rPr>
        <w:t xml:space="preserve"> per common share for the periods presented below (in thousands, except per share amounts):</w:t>
      </w:r>
    </w:p>
    <w:tbl>
      <w:tblPr>
        <w:tblStyle w:val="TableNormal0"/>
        <w:tblW w:w="9915" w:type="dxa"/>
        <w:jc w:val="center"/>
        <w:tblLayout w:type="fixed"/>
      </w:tblPr>
      <w:tblGrid>
        <w:gridCol w:w="7500"/>
        <w:gridCol w:w="1170"/>
        <w:gridCol w:w="75"/>
        <w:gridCol w:w="1170"/>
      </w:tblGrid>
      <w:tr>
        <w:tblPrEx>
          <w:tblW w:w="9915" w:type="dxa"/>
          <w:tblLayout w:type="fixed"/>
        </w:tblPrEx>
        <w:trPr>
          <w:trHeight w:hRule="exact" w:val="525"/>
        </w:trPr>
        <w:tc>
          <w:tcPr>
            <w:tcW w:w="750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2415" w:type="dxa"/>
            <w:gridSpan w:val="3"/>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Three Months Ended March 31,</w:t>
            </w:r>
          </w:p>
        </w:tc>
      </w:tr>
      <w:tr>
        <w:tblPrEx>
          <w:tblW w:w="9915" w:type="dxa"/>
          <w:tblLayout w:type="fixed"/>
        </w:tblPrEx>
        <w:trPr>
          <w:trHeight w:hRule="exact" w:val="345"/>
        </w:trPr>
        <w:tc>
          <w:tcPr>
            <w:tcW w:w="750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170"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33" w:after="30" w:line="240" w:lineRule="auto"/>
              <w:jc w:val="center"/>
            </w:pPr>
            <w:r>
              <w:rPr>
                <w:rFonts w:ascii="Times New Roman" w:eastAsia="Times New Roman" w:hAnsi="Times New Roman" w:cs="Times New Roman"/>
                <w:b/>
                <w:i w:val="0"/>
                <w:color w:val="000000"/>
                <w:sz w:val="20"/>
                <w:u w:val="none"/>
              </w:rPr>
              <w:t>2026</w:t>
            </w:r>
          </w:p>
        </w:tc>
        <w:tc>
          <w:tcPr>
            <w:tcW w:w="75" w:type="dxa"/>
            <w:tcBorders>
              <w:top w:val="single" w:sz="8" w:space="0" w:color="000000"/>
              <w:left w:val="nil"/>
              <w:bottom w:val="nil"/>
              <w:right w:val="nil"/>
            </w:tcBorders>
            <w:tcMar>
              <w:top w:w="0" w:type="dxa"/>
              <w:left w:w="0" w:type="dxa"/>
              <w:bottom w:w="0" w:type="dxa"/>
              <w:right w:w="0" w:type="dxa"/>
            </w:tcMar>
            <w:vAlign w:val="bottom"/>
          </w:tcPr>
          <w:p>
            <w:pPr>
              <w:keepNext/>
              <w:pageBreakBefore w:val="0"/>
              <w:spacing w:before="0" w:after="0"/>
            </w:pPr>
          </w:p>
        </w:tc>
        <w:tc>
          <w:tcPr>
            <w:tcW w:w="1170" w:type="dxa"/>
            <w:tcBorders>
              <w:top w:val="single" w:sz="8" w:space="0" w:color="000000"/>
              <w:left w:val="nil"/>
              <w:bottom w:val="single" w:sz="8" w:space="0" w:color="000000"/>
              <w:right w:val="nil"/>
            </w:tcBorders>
            <w:tcMar>
              <w:top w:w="0" w:type="dxa"/>
              <w:left w:w="53" w:type="dxa"/>
              <w:bottom w:w="0" w:type="dxa"/>
              <w:right w:w="53" w:type="dxa"/>
            </w:tcMar>
            <w:vAlign w:val="bottom"/>
          </w:tcPr>
          <w:p>
            <w:pPr>
              <w:keepNext/>
              <w:pageBreakBefore w:val="0"/>
              <w:spacing w:before="33" w:after="30" w:line="240" w:lineRule="auto"/>
              <w:jc w:val="center"/>
            </w:pPr>
            <w:r>
              <w:rPr>
                <w:rFonts w:ascii="Times New Roman" w:eastAsia="Times New Roman" w:hAnsi="Times New Roman" w:cs="Times New Roman"/>
                <w:b/>
                <w:i w:val="0"/>
                <w:color w:val="000000"/>
                <w:sz w:val="20"/>
                <w:u w:val="none"/>
              </w:rPr>
              <w:t>2025</w:t>
            </w:r>
          </w:p>
        </w:tc>
      </w:tr>
      <w:tr>
        <w:tblPrEx>
          <w:tblW w:w="9915" w:type="dxa"/>
          <w:tblLayout w:type="fixed"/>
        </w:tblPrEx>
        <w:trPr>
          <w:trHeight w:hRule="exact" w:val="285"/>
        </w:trPr>
        <w:tc>
          <w:tcPr>
            <w:tcW w:w="750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Numerator:</w:t>
            </w:r>
          </w:p>
        </w:tc>
        <w:tc>
          <w:tcPr>
            <w:tcW w:w="1170" w:type="dxa"/>
            <w:tcBorders>
              <w:top w:val="sing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170" w:type="dxa"/>
            <w:tcBorders>
              <w:top w:val="sing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r>
      <w:tr>
        <w:tblPrEx>
          <w:tblW w:w="9915" w:type="dxa"/>
          <w:tblLayout w:type="fixed"/>
        </w:tblPrEx>
        <w:trPr>
          <w:trHeight w:hRule="exact" w:val="285"/>
        </w:trPr>
        <w:tc>
          <w:tcPr>
            <w:tcW w:w="750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ind w:left="120"/>
              <w:jc w:val="left"/>
            </w:pPr>
            <w:r>
              <w:rPr>
                <w:rFonts w:ascii="Times New Roman" w:eastAsia="Times New Roman" w:hAnsi="Times New Roman" w:cs="Times New Roman"/>
                <w:b w:val="0"/>
                <w:i w:val="0"/>
                <w:color w:val="000000"/>
                <w:sz w:val="20"/>
                <w:u w:val="none"/>
              </w:rPr>
              <w:t>Net income (loss)</w:t>
            </w:r>
          </w:p>
        </w:tc>
        <w:tc>
          <w:tcPr>
            <w:tcW w:w="117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37"/>
                <w:tab w:val="left" w:pos="1102"/>
              </w:tabs>
              <w:spacing w:before="53" w:after="30" w:line="240" w:lineRule="auto"/>
              <w:jc w:val="right"/>
            </w:pPr>
            <w:r>
              <w:rPr>
                <w:rFonts w:ascii="Times New Roman" w:eastAsia="Times New Roman" w:hAnsi="Times New Roman" w:cs="Times New Roman"/>
                <w:b w:val="0"/>
                <w:i w:val="0"/>
                <w:color w:val="000000"/>
                <w:sz w:val="20"/>
                <w:u w:val="none"/>
              </w:rPr>
              <w:t>$</w:t>
              <w:tab/>
              <w:t>625</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17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501"/>
              </w:tabs>
              <w:spacing w:before="53" w:after="30" w:line="240" w:lineRule="auto"/>
              <w:jc w:val="right"/>
            </w:pPr>
            <w:r>
              <w:rPr>
                <w:rFonts w:ascii="Times New Roman" w:eastAsia="Times New Roman" w:hAnsi="Times New Roman" w:cs="Times New Roman"/>
                <w:b w:val="0"/>
                <w:i w:val="0"/>
                <w:color w:val="000000"/>
                <w:sz w:val="20"/>
                <w:u w:val="none"/>
              </w:rPr>
              <w:t>$</w:t>
              <w:tab/>
              <w:t>(2,398)</w:t>
            </w:r>
          </w:p>
        </w:tc>
      </w:tr>
      <w:tr>
        <w:tblPrEx>
          <w:tblW w:w="9915" w:type="dxa"/>
          <w:tblLayout w:type="fixed"/>
        </w:tblPrEx>
        <w:trPr>
          <w:trHeight w:hRule="exact" w:val="285"/>
        </w:trPr>
        <w:tc>
          <w:tcPr>
            <w:tcW w:w="7500"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170"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170"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r>
      <w:tr>
        <w:tblPrEx>
          <w:tblW w:w="9915" w:type="dxa"/>
          <w:tblLayout w:type="fixed"/>
        </w:tblPrEx>
        <w:trPr>
          <w:trHeight w:hRule="exact" w:val="285"/>
        </w:trPr>
        <w:tc>
          <w:tcPr>
            <w:tcW w:w="750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Denominator:</w:t>
            </w:r>
          </w:p>
        </w:tc>
        <w:tc>
          <w:tcPr>
            <w:tcW w:w="117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17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r>
      <w:tr>
        <w:tblPrEx>
          <w:tblW w:w="9915" w:type="dxa"/>
          <w:tblLayout w:type="fixed"/>
        </w:tblPrEx>
        <w:trPr>
          <w:trHeight w:hRule="exact" w:val="285"/>
        </w:trPr>
        <w:tc>
          <w:tcPr>
            <w:tcW w:w="750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ind w:left="120"/>
              <w:jc w:val="left"/>
            </w:pPr>
            <w:r>
              <w:rPr>
                <w:rFonts w:ascii="Times New Roman" w:eastAsia="Times New Roman" w:hAnsi="Times New Roman" w:cs="Times New Roman"/>
                <w:b w:val="0"/>
                <w:i w:val="0"/>
                <w:color w:val="000000"/>
                <w:sz w:val="20"/>
                <w:u w:val="none"/>
              </w:rPr>
              <w:t>Weighted-average basic shares outstanding</w:t>
            </w:r>
          </w:p>
        </w:tc>
        <w:tc>
          <w:tcPr>
            <w:tcW w:w="117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487"/>
                <w:tab w:val="left" w:pos="1102"/>
              </w:tabs>
              <w:spacing w:before="53" w:after="30" w:line="240" w:lineRule="auto"/>
              <w:jc w:val="right"/>
            </w:pPr>
            <w:r>
              <w:rPr>
                <w:rFonts w:ascii="Times New Roman" w:eastAsia="Times New Roman" w:hAnsi="Times New Roman" w:cs="Times New Roman"/>
                <w:b w:val="0"/>
                <w:i w:val="0"/>
                <w:color w:val="000000"/>
                <w:sz w:val="20"/>
                <w:u w:val="none"/>
              </w:rPr>
              <w:tab/>
              <w:t>28,420</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17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487"/>
                <w:tab w:val="left" w:pos="1102"/>
              </w:tabs>
              <w:spacing w:before="53" w:after="30" w:line="240" w:lineRule="auto"/>
              <w:jc w:val="right"/>
            </w:pPr>
            <w:r>
              <w:rPr>
                <w:rFonts w:ascii="Times New Roman" w:eastAsia="Times New Roman" w:hAnsi="Times New Roman" w:cs="Times New Roman"/>
                <w:b w:val="0"/>
                <w:i w:val="0"/>
                <w:color w:val="000000"/>
                <w:sz w:val="20"/>
                <w:u w:val="none"/>
              </w:rPr>
              <w:tab/>
              <w:t>26,961</w:t>
              <w:tab/>
            </w:r>
          </w:p>
        </w:tc>
      </w:tr>
      <w:tr>
        <w:tblPrEx>
          <w:tblW w:w="9915" w:type="dxa"/>
          <w:tblLayout w:type="fixed"/>
        </w:tblPrEx>
        <w:trPr>
          <w:trHeight w:hRule="exact" w:val="285"/>
        </w:trPr>
        <w:tc>
          <w:tcPr>
            <w:tcW w:w="750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ind w:left="120"/>
              <w:jc w:val="left"/>
            </w:pPr>
            <w:r>
              <w:rPr>
                <w:rFonts w:ascii="Times New Roman" w:eastAsia="Times New Roman" w:hAnsi="Times New Roman" w:cs="Times New Roman"/>
                <w:b w:val="0"/>
                <w:i w:val="0"/>
                <w:color w:val="000000"/>
                <w:sz w:val="20"/>
                <w:u w:val="none"/>
              </w:rPr>
              <w:t>Effect of dilutive share-based awards</w:t>
            </w:r>
          </w:p>
        </w:tc>
        <w:tc>
          <w:tcPr>
            <w:tcW w:w="117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37"/>
                <w:tab w:val="left" w:pos="1102"/>
              </w:tabs>
              <w:spacing w:before="53" w:after="30" w:line="240" w:lineRule="auto"/>
              <w:jc w:val="right"/>
            </w:pPr>
            <w:r>
              <w:rPr>
                <w:rFonts w:ascii="Times New Roman" w:eastAsia="Times New Roman" w:hAnsi="Times New Roman" w:cs="Times New Roman"/>
                <w:b w:val="0"/>
                <w:i w:val="0"/>
                <w:color w:val="000000"/>
                <w:sz w:val="20"/>
                <w:u w:val="none"/>
              </w:rPr>
              <w:tab/>
              <w:t>451</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17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837"/>
                <w:tab w:val="left" w:pos="1102"/>
              </w:tabs>
              <w:spacing w:before="53" w:after="30" w:line="240" w:lineRule="auto"/>
              <w:jc w:val="right"/>
            </w:pPr>
            <w:r>
              <w:rPr>
                <w:rFonts w:ascii="Times New Roman" w:eastAsia="Times New Roman" w:hAnsi="Times New Roman" w:cs="Times New Roman"/>
                <w:b w:val="0"/>
                <w:i w:val="0"/>
                <w:color w:val="000000"/>
                <w:sz w:val="20"/>
                <w:u w:val="none"/>
              </w:rPr>
              <w:tab/>
              <w:t>—</w:t>
              <w:tab/>
            </w:r>
          </w:p>
        </w:tc>
      </w:tr>
      <w:tr>
        <w:tblPrEx>
          <w:tblW w:w="9915" w:type="dxa"/>
          <w:tblLayout w:type="fixed"/>
        </w:tblPrEx>
        <w:trPr>
          <w:trHeight w:hRule="exact" w:val="285"/>
        </w:trPr>
        <w:tc>
          <w:tcPr>
            <w:tcW w:w="750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ind w:left="120"/>
              <w:jc w:val="left"/>
            </w:pPr>
            <w:r>
              <w:rPr>
                <w:rFonts w:ascii="Times New Roman" w:eastAsia="Times New Roman" w:hAnsi="Times New Roman" w:cs="Times New Roman"/>
                <w:b w:val="0"/>
                <w:i w:val="0"/>
                <w:color w:val="000000"/>
                <w:sz w:val="20"/>
                <w:u w:val="none"/>
              </w:rPr>
              <w:t>Weighted-average diluted shares</w:t>
            </w:r>
          </w:p>
        </w:tc>
        <w:tc>
          <w:tcPr>
            <w:tcW w:w="1170" w:type="dxa"/>
            <w:tcBorders>
              <w:top w:val="nil"/>
              <w:left w:val="nil"/>
              <w:bottom w:val="double" w:sz="8" w:space="0" w:color="000000"/>
              <w:right w:val="nil"/>
            </w:tcBorders>
            <w:shd w:val="clear" w:color="auto" w:fill="CCEEFF"/>
            <w:tcMar>
              <w:top w:w="0" w:type="dxa"/>
              <w:left w:w="0" w:type="dxa"/>
              <w:bottom w:w="0" w:type="dxa"/>
              <w:right w:w="15" w:type="dxa"/>
            </w:tcMar>
            <w:vAlign w:val="bottom"/>
          </w:tcPr>
          <w:p>
            <w:pPr>
              <w:keepNext/>
              <w:pageBreakBefore w:val="0"/>
              <w:tabs>
                <w:tab w:val="left" w:pos="487"/>
                <w:tab w:val="left" w:pos="1102"/>
              </w:tabs>
              <w:spacing w:before="53" w:after="30" w:line="240" w:lineRule="auto"/>
              <w:jc w:val="right"/>
            </w:pPr>
            <w:r>
              <w:rPr>
                <w:rFonts w:ascii="Times New Roman" w:eastAsia="Times New Roman" w:hAnsi="Times New Roman" w:cs="Times New Roman"/>
                <w:b w:val="0"/>
                <w:i w:val="0"/>
                <w:color w:val="000000"/>
                <w:sz w:val="20"/>
                <w:u w:val="none"/>
              </w:rPr>
              <w:tab/>
              <w:t>28,871</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170" w:type="dxa"/>
            <w:tcBorders>
              <w:top w:val="nil"/>
              <w:left w:val="nil"/>
              <w:bottom w:val="double" w:sz="8" w:space="0" w:color="000000"/>
              <w:right w:val="nil"/>
            </w:tcBorders>
            <w:shd w:val="clear" w:color="auto" w:fill="CCEEFF"/>
            <w:tcMar>
              <w:top w:w="0" w:type="dxa"/>
              <w:left w:w="0" w:type="dxa"/>
              <w:bottom w:w="0" w:type="dxa"/>
              <w:right w:w="15" w:type="dxa"/>
            </w:tcMar>
            <w:vAlign w:val="bottom"/>
          </w:tcPr>
          <w:p>
            <w:pPr>
              <w:keepNext/>
              <w:pageBreakBefore w:val="0"/>
              <w:tabs>
                <w:tab w:val="left" w:pos="487"/>
                <w:tab w:val="left" w:pos="1102"/>
              </w:tabs>
              <w:spacing w:before="53" w:after="30" w:line="240" w:lineRule="auto"/>
              <w:jc w:val="right"/>
            </w:pPr>
            <w:r>
              <w:rPr>
                <w:rFonts w:ascii="Times New Roman" w:eastAsia="Times New Roman" w:hAnsi="Times New Roman" w:cs="Times New Roman"/>
                <w:b w:val="0"/>
                <w:i w:val="0"/>
                <w:color w:val="000000"/>
                <w:sz w:val="20"/>
                <w:u w:val="none"/>
              </w:rPr>
              <w:tab/>
              <w:t>26,961</w:t>
              <w:tab/>
            </w:r>
          </w:p>
        </w:tc>
      </w:tr>
      <w:tr>
        <w:tblPrEx>
          <w:tblW w:w="9915" w:type="dxa"/>
          <w:tblLayout w:type="fixed"/>
        </w:tblPrEx>
        <w:trPr>
          <w:trHeight w:hRule="exact" w:val="285"/>
        </w:trPr>
        <w:tc>
          <w:tcPr>
            <w:tcW w:w="750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170" w:type="dxa"/>
            <w:tcBorders>
              <w:top w:val="double" w:sz="8" w:space="0" w:color="000000"/>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170" w:type="dxa"/>
            <w:tcBorders>
              <w:top w:val="double" w:sz="8" w:space="0" w:color="000000"/>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r>
      <w:tr>
        <w:tblPrEx>
          <w:tblW w:w="9915" w:type="dxa"/>
          <w:tblLayout w:type="fixed"/>
        </w:tblPrEx>
        <w:trPr>
          <w:trHeight w:hRule="exact" w:val="285"/>
        </w:trPr>
        <w:tc>
          <w:tcPr>
            <w:tcW w:w="750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Basic earnings (loss) per share</w:t>
            </w:r>
          </w:p>
        </w:tc>
        <w:tc>
          <w:tcPr>
            <w:tcW w:w="117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687"/>
                <w:tab w:val="left" w:pos="1102"/>
              </w:tabs>
              <w:spacing w:before="53" w:after="30" w:line="240" w:lineRule="auto"/>
              <w:jc w:val="right"/>
            </w:pPr>
            <w:r>
              <w:rPr>
                <w:rFonts w:ascii="Times New Roman" w:eastAsia="Times New Roman" w:hAnsi="Times New Roman" w:cs="Times New Roman"/>
                <w:b w:val="0"/>
                <w:i w:val="0"/>
                <w:color w:val="000000"/>
                <w:sz w:val="20"/>
                <w:u w:val="none"/>
              </w:rPr>
              <w:t>$</w:t>
              <w:tab/>
              <w:t>0.02</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17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601"/>
              </w:tabs>
              <w:spacing w:before="53" w:after="30" w:line="240" w:lineRule="auto"/>
              <w:jc w:val="right"/>
            </w:pPr>
            <w:r>
              <w:rPr>
                <w:rFonts w:ascii="Times New Roman" w:eastAsia="Times New Roman" w:hAnsi="Times New Roman" w:cs="Times New Roman"/>
                <w:b w:val="0"/>
                <w:i w:val="0"/>
                <w:color w:val="000000"/>
                <w:sz w:val="20"/>
                <w:u w:val="none"/>
              </w:rPr>
              <w:t>$</w:t>
              <w:tab/>
              <w:t>(0.09)</w:t>
            </w:r>
          </w:p>
        </w:tc>
      </w:tr>
      <w:tr>
        <w:tblPrEx>
          <w:tblW w:w="9915" w:type="dxa"/>
          <w:tblLayout w:type="fixed"/>
        </w:tblPrEx>
        <w:trPr>
          <w:trHeight w:hRule="exact" w:val="285"/>
        </w:trPr>
        <w:tc>
          <w:tcPr>
            <w:tcW w:w="7500" w:type="dxa"/>
            <w:tcBorders>
              <w:top w:val="nil"/>
              <w:left w:val="nil"/>
              <w:bottom w:val="nil"/>
              <w:right w:val="nil"/>
            </w:tcBorders>
            <w:shd w:val="clear" w:color="auto" w:fill="FFFFFF"/>
            <w:tcMar>
              <w:top w:w="0" w:type="dxa"/>
              <w:left w:w="53" w:type="dxa"/>
              <w:bottom w:w="0" w:type="dxa"/>
              <w:right w:w="53" w:type="dxa"/>
            </w:tcMar>
            <w:vAlign w:val="bottom"/>
          </w:tcPr>
          <w:p>
            <w:pPr>
              <w:pageBreakBefore w:val="0"/>
              <w:spacing w:before="53" w:after="30" w:line="240" w:lineRule="auto"/>
              <w:jc w:val="left"/>
            </w:pPr>
            <w:r>
              <w:rPr>
                <w:rFonts w:ascii="Times New Roman" w:eastAsia="Times New Roman" w:hAnsi="Times New Roman" w:cs="Times New Roman"/>
                <w:b w:val="0"/>
                <w:i w:val="0"/>
                <w:color w:val="000000"/>
                <w:sz w:val="20"/>
                <w:u w:val="none"/>
              </w:rPr>
              <w:t>Diluted earnings (loss) per share</w:t>
            </w:r>
          </w:p>
        </w:tc>
        <w:tc>
          <w:tcPr>
            <w:tcW w:w="1170" w:type="dxa"/>
            <w:tcBorders>
              <w:top w:val="nil"/>
              <w:left w:val="nil"/>
              <w:bottom w:val="nil"/>
              <w:right w:val="nil"/>
            </w:tcBorders>
            <w:shd w:val="clear" w:color="auto" w:fill="FFFFFF"/>
            <w:tcMar>
              <w:top w:w="0" w:type="dxa"/>
              <w:left w:w="0" w:type="dxa"/>
              <w:bottom w:w="0" w:type="dxa"/>
              <w:right w:w="15" w:type="dxa"/>
            </w:tcMar>
            <w:vAlign w:val="bottom"/>
          </w:tcPr>
          <w:p>
            <w:pPr>
              <w:pageBreakBefore w:val="0"/>
              <w:tabs>
                <w:tab w:val="left" w:pos="687"/>
                <w:tab w:val="left" w:pos="1102"/>
              </w:tabs>
              <w:spacing w:before="53" w:after="30" w:line="240" w:lineRule="auto"/>
              <w:jc w:val="right"/>
            </w:pPr>
            <w:r>
              <w:rPr>
                <w:rFonts w:ascii="Times New Roman" w:eastAsia="Times New Roman" w:hAnsi="Times New Roman" w:cs="Times New Roman"/>
                <w:b w:val="0"/>
                <w:i w:val="0"/>
                <w:color w:val="000000"/>
                <w:sz w:val="20"/>
                <w:u w:val="none"/>
              </w:rPr>
              <w:t>$</w:t>
              <w:tab/>
              <w:t>0.02</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1170" w:type="dxa"/>
            <w:tcBorders>
              <w:top w:val="nil"/>
              <w:left w:val="nil"/>
              <w:bottom w:val="nil"/>
              <w:right w:val="nil"/>
            </w:tcBorders>
            <w:shd w:val="clear" w:color="auto" w:fill="FFFFFF"/>
            <w:tcMar>
              <w:top w:w="0" w:type="dxa"/>
              <w:left w:w="0" w:type="dxa"/>
              <w:bottom w:w="0" w:type="dxa"/>
              <w:right w:w="15" w:type="dxa"/>
            </w:tcMar>
            <w:vAlign w:val="bottom"/>
          </w:tcPr>
          <w:p>
            <w:pPr>
              <w:pageBreakBefore w:val="0"/>
              <w:tabs>
                <w:tab w:val="left" w:pos="601"/>
              </w:tabs>
              <w:spacing w:before="53" w:after="30" w:line="240" w:lineRule="auto"/>
              <w:jc w:val="right"/>
            </w:pPr>
            <w:r>
              <w:rPr>
                <w:rFonts w:ascii="Times New Roman" w:eastAsia="Times New Roman" w:hAnsi="Times New Roman" w:cs="Times New Roman"/>
                <w:b w:val="0"/>
                <w:i w:val="0"/>
                <w:color w:val="000000"/>
                <w:sz w:val="20"/>
                <w:u w:val="none"/>
              </w:rPr>
              <w:t>$</w:t>
              <w:tab/>
              <w:t>(0.09)</w:t>
            </w:r>
          </w:p>
        </w:tc>
      </w:tr>
    </w:tbl>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val="0"/>
          <w:i w:val="0"/>
          <w:color w:val="000000"/>
          <w:sz w:val="20"/>
          <w:u w:val="none"/>
        </w:rPr>
      </w:pPr>
    </w:p>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val="0"/>
          <w:i w:val="0"/>
          <w:color w:val="000000"/>
          <w:sz w:val="20"/>
          <w:u w:val="none"/>
        </w:rPr>
        <w:sectPr>
          <w:pgSz w:w="12240" w:h="15840"/>
          <w:pgMar w:top="855" w:right="990" w:bottom="855" w:left="990" w:header="270" w:footer="270"/>
          <w:cols w:space="708"/>
        </w:sectPr>
      </w:pPr>
    </w:p>
    <w:p>
      <w:pPr>
        <w:keepNext/>
        <w:keepLines/>
        <w:pageBreakBefore w:val="0"/>
        <w:widowControl w:val="0"/>
        <w:numPr>
          <w:ilvl w:val="0"/>
          <w:numId w:val="0"/>
        </w:numPr>
        <w:spacing w:before="0" w:after="0" w:line="288" w:lineRule="auto"/>
        <w:ind w:left="0" w:right="0" w:firstLine="0"/>
        <w:jc w:val="left"/>
        <w:outlineLvl w:val="3"/>
        <w:rPr>
          <w:rFonts w:ascii="Times New Roman" w:eastAsia="Times New Roman" w:hAnsi="Times New Roman" w:cs="Times New Roman"/>
          <w:b/>
          <w:i w:val="0"/>
          <w:color w:val="000000"/>
          <w:sz w:val="20"/>
          <w:highlight w:val="white"/>
          <w:u w:val="none"/>
        </w:rPr>
      </w:pPr>
      <w:bookmarkStart w:id="19" w:name="Section20"/>
      <w:bookmarkEnd w:id="19"/>
      <w:r>
        <w:rPr>
          <w:rFonts w:ascii="Times New Roman" w:eastAsia="Times New Roman" w:hAnsi="Times New Roman" w:cs="Times New Roman"/>
          <w:b/>
          <w:i w:val="0"/>
          <w:color w:val="000000"/>
          <w:sz w:val="20"/>
          <w:highlight w:val="white"/>
          <w:u w:val="none"/>
        </w:rPr>
        <w:t xml:space="preserve">NOTE 11 - </w:t>
      </w:r>
      <w:r>
        <w:rPr>
          <w:rFonts w:ascii="Times New Roman" w:eastAsia="Times New Roman" w:hAnsi="Times New Roman" w:cs="Times New Roman"/>
          <w:b/>
          <w:i w:val="0"/>
          <w:color w:val="000000"/>
          <w:sz w:val="20"/>
          <w:highlight w:val="white"/>
          <w:u w:val="none"/>
        </w:rPr>
        <w:t>SEGMENT INFORMATION</w:t>
      </w:r>
    </w:p>
    <w:p>
      <w:pPr>
        <w:keepNext/>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i w:val="0"/>
          <w:color w:val="000000"/>
          <w:sz w:val="20"/>
          <w:u w:val="none"/>
        </w:rPr>
      </w:pP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i w:val="0"/>
          <w:color w:val="000000"/>
          <w:sz w:val="20"/>
          <w:u w:val="none"/>
        </w:rPr>
      </w:pPr>
      <w:r>
        <w:rPr>
          <w:rFonts w:ascii="Times New Roman" w:eastAsia="Times New Roman" w:hAnsi="Times New Roman" w:cs="Times New Roman"/>
          <w:b w:val="0"/>
          <w:i w:val="0"/>
          <w:color w:val="000000"/>
          <w:sz w:val="20"/>
          <w:u w:val="none"/>
        </w:rPr>
        <w:t xml:space="preserve">We manage our business activities on a consolidated basis and operate as </w:t>
      </w:r>
      <w:r>
        <w:rPr>
          <w:rFonts w:ascii="Times New Roman" w:eastAsia="Times New Roman" w:hAnsi="Times New Roman" w:cs="Times New Roman"/>
          <w:b w:val="0"/>
          <w:i w:val="0"/>
          <w:color w:val="000000"/>
          <w:sz w:val="20"/>
          <w:u w:val="none"/>
        </w:rPr>
        <w:t>one</w:t>
      </w:r>
      <w:r>
        <w:rPr>
          <w:rFonts w:ascii="Times New Roman" w:eastAsia="Times New Roman" w:hAnsi="Times New Roman" w:cs="Times New Roman"/>
          <w:b w:val="0"/>
          <w:i w:val="0"/>
          <w:color w:val="000000"/>
          <w:sz w:val="20"/>
          <w:u w:val="none"/>
        </w:rPr>
        <w:t xml:space="preserve"> reportable segment. Our chief operating decision maker (“CODM”) is the Chairman and Chief Executive Officer, who reviews financial information presented on a consolidated basis. The CODM uses consolidated net income (loss), as reported on our Consolidated Statements of Comprehensive </w:t>
      </w:r>
      <w:r>
        <w:rPr>
          <w:rFonts w:ascii="Times New Roman" w:eastAsia="Times New Roman" w:hAnsi="Times New Roman" w:cs="Times New Roman"/>
          <w:b w:val="0"/>
          <w:i w:val="0"/>
          <w:color w:val="000000"/>
          <w:sz w:val="20"/>
          <w:u w:val="none"/>
        </w:rPr>
        <w:t>Income and Loss</w:t>
      </w:r>
      <w:r>
        <w:rPr>
          <w:rFonts w:ascii="Times New Roman" w:eastAsia="Times New Roman" w:hAnsi="Times New Roman" w:cs="Times New Roman"/>
          <w:b w:val="0"/>
          <w:i w:val="0"/>
          <w:color w:val="000000"/>
          <w:sz w:val="20"/>
          <w:u w:val="none"/>
        </w:rPr>
        <w:t xml:space="preserve">, to assess financial performance and allocate resources. These financial metrics are used by the CODM to make key operating decisions, such as the allocation of budget between cost of sales, sales and marketing, general and administrative, and research and development expenses. </w:t>
      </w:r>
      <w:r>
        <w:rPr>
          <w:rFonts w:ascii="Times New Roman" w:eastAsia="Times New Roman" w:hAnsi="Times New Roman" w:cs="Times New Roman"/>
          <w:b w:val="0"/>
          <w:i w:val="0"/>
          <w:color w:val="000000"/>
          <w:sz w:val="20"/>
          <w:u w:val="none"/>
        </w:rPr>
        <w:t>The CODM does not review assets in evaluating the results of the segment, and therefore, such information is not presented.</w:t>
      </w: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 xml:space="preserve">The operating financial results of our single reportable segment for </w:t>
      </w:r>
      <w:r>
        <w:rPr>
          <w:rFonts w:ascii="Times New Roman" w:eastAsia="Times New Roman" w:hAnsi="Times New Roman" w:cs="Times New Roman"/>
          <w:b w:val="0"/>
          <w:i w:val="0"/>
          <w:color w:val="000000"/>
          <w:sz w:val="20"/>
          <w:u w:val="none"/>
        </w:rPr>
        <w:t>three months ended March 31, 2026</w:t>
      </w:r>
      <w:r>
        <w:rPr>
          <w:rFonts w:ascii="Times New Roman" w:eastAsia="Times New Roman" w:hAnsi="Times New Roman" w:cs="Times New Roman"/>
          <w:b w:val="0"/>
          <w:i w:val="0"/>
          <w:color w:val="000000"/>
          <w:sz w:val="20"/>
          <w:u w:val="none"/>
        </w:rPr>
        <w:t xml:space="preserve">, and </w:t>
      </w:r>
      <w:r>
        <w:rPr>
          <w:rFonts w:ascii="Times New Roman" w:eastAsia="Times New Roman" w:hAnsi="Times New Roman" w:cs="Times New Roman"/>
          <w:b w:val="0"/>
          <w:i w:val="0"/>
          <w:color w:val="000000"/>
          <w:sz w:val="20"/>
          <w:u w:val="none"/>
        </w:rPr>
        <w:t>March 31, 2025</w:t>
      </w:r>
      <w:r>
        <w:rPr>
          <w:rFonts w:ascii="Times New Roman" w:eastAsia="Times New Roman" w:hAnsi="Times New Roman" w:cs="Times New Roman"/>
          <w:b w:val="0"/>
          <w:i w:val="0"/>
          <w:color w:val="000000"/>
          <w:sz w:val="20"/>
          <w:u w:val="none"/>
        </w:rPr>
        <w:t>, are as follows (in thousands):</w:t>
      </w:r>
    </w:p>
    <w:tbl>
      <w:tblPr>
        <w:tblStyle w:val="TableNormal0"/>
        <w:tblW w:w="7830" w:type="dxa"/>
        <w:jc w:val="center"/>
        <w:tblLayout w:type="fixed"/>
      </w:tblPr>
      <w:tblGrid>
        <w:gridCol w:w="4785"/>
        <w:gridCol w:w="1485"/>
        <w:gridCol w:w="75"/>
        <w:gridCol w:w="1485"/>
      </w:tblGrid>
      <w:tr>
        <w:tblPrEx>
          <w:tblW w:w="7830" w:type="dxa"/>
          <w:tblLayout w:type="fixed"/>
        </w:tblPrEx>
        <w:trPr>
          <w:trHeight w:hRule="exact" w:val="285"/>
        </w:trPr>
        <w:tc>
          <w:tcPr>
            <w:tcW w:w="4785" w:type="dxa"/>
            <w:tcBorders>
              <w:top w:val="nil"/>
              <w:left w:val="nil"/>
              <w:bottom w:val="nil"/>
              <w:right w:val="nil"/>
            </w:tcBorders>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val="0"/>
                <w:i w:val="0"/>
                <w:color w:val="000000"/>
                <w:sz w:val="20"/>
                <w:u w:val="none"/>
              </w:rPr>
              <w:t> </w:t>
            </w:r>
          </w:p>
        </w:tc>
        <w:tc>
          <w:tcPr>
            <w:tcW w:w="148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2026</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2025</w:t>
            </w:r>
          </w:p>
        </w:tc>
      </w:tr>
      <w:tr>
        <w:tblPrEx>
          <w:tblW w:w="7830" w:type="dxa"/>
          <w:tblLayout w:type="fixed"/>
        </w:tblPrEx>
        <w:trPr>
          <w:trHeight w:hRule="exact" w:val="285"/>
        </w:trPr>
        <w:tc>
          <w:tcPr>
            <w:tcW w:w="478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Total revenues</w:t>
            </w:r>
          </w:p>
        </w:tc>
        <w:tc>
          <w:tcPr>
            <w:tcW w:w="148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802"/>
                <w:tab w:val="left" w:pos="1417"/>
              </w:tabs>
              <w:spacing w:before="33" w:after="30" w:line="240" w:lineRule="auto"/>
              <w:jc w:val="right"/>
            </w:pPr>
            <w:r>
              <w:rPr>
                <w:rFonts w:ascii="Times New Roman" w:eastAsia="Times New Roman" w:hAnsi="Times New Roman" w:cs="Times New Roman"/>
                <w:b w:val="0"/>
                <w:i w:val="0"/>
                <w:color w:val="000000"/>
                <w:sz w:val="20"/>
                <w:u w:val="none"/>
              </w:rPr>
              <w:t>$</w:t>
              <w:tab/>
              <w:t>42,757</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802"/>
                <w:tab w:val="left" w:pos="1417"/>
              </w:tabs>
              <w:spacing w:before="33" w:after="30" w:line="240" w:lineRule="auto"/>
              <w:jc w:val="right"/>
            </w:pPr>
            <w:r>
              <w:rPr>
                <w:rFonts w:ascii="Times New Roman" w:eastAsia="Times New Roman" w:hAnsi="Times New Roman" w:cs="Times New Roman"/>
                <w:b w:val="0"/>
                <w:i w:val="0"/>
                <w:color w:val="000000"/>
                <w:sz w:val="20"/>
                <w:u w:val="none"/>
              </w:rPr>
              <w:t>$</w:t>
              <w:tab/>
              <w:t>34,854</w:t>
              <w:tab/>
            </w:r>
          </w:p>
        </w:tc>
      </w:tr>
      <w:tr>
        <w:tblPrEx>
          <w:tblW w:w="7830" w:type="dxa"/>
          <w:tblLayout w:type="fixed"/>
        </w:tblPrEx>
        <w:trPr>
          <w:trHeight w:hRule="exact" w:val="285"/>
        </w:trPr>
        <w:tc>
          <w:tcPr>
            <w:tcW w:w="478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r>
      <w:tr>
        <w:tblPrEx>
          <w:tblW w:w="7830" w:type="dxa"/>
          <w:tblLayout w:type="fixed"/>
        </w:tblPrEx>
        <w:trPr>
          <w:trHeight w:hRule="exact" w:val="285"/>
        </w:trPr>
        <w:tc>
          <w:tcPr>
            <w:tcW w:w="478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Significant segment expenses</w:t>
            </w:r>
          </w:p>
        </w:tc>
        <w:tc>
          <w:tcPr>
            <w:tcW w:w="148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r>
      <w:tr>
        <w:tblPrEx>
          <w:tblW w:w="7830" w:type="dxa"/>
          <w:tblLayout w:type="fixed"/>
        </w:tblPrEx>
        <w:trPr>
          <w:trHeight w:hRule="exact" w:val="285"/>
        </w:trPr>
        <w:tc>
          <w:tcPr>
            <w:tcW w:w="478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ind w:left="120"/>
              <w:jc w:val="left"/>
            </w:pPr>
            <w:r>
              <w:rPr>
                <w:rFonts w:ascii="Times New Roman" w:eastAsia="Times New Roman" w:hAnsi="Times New Roman" w:cs="Times New Roman"/>
                <w:b w:val="0"/>
                <w:i w:val="0"/>
                <w:color w:val="000000"/>
                <w:sz w:val="20"/>
                <w:u w:val="none"/>
              </w:rPr>
              <w:t>Compensation</w:t>
            </w:r>
          </w:p>
        </w:tc>
        <w:tc>
          <w:tcPr>
            <w:tcW w:w="148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802"/>
                <w:tab w:val="left" w:pos="1417"/>
              </w:tabs>
              <w:spacing w:before="53" w:after="30" w:line="240" w:lineRule="auto"/>
              <w:jc w:val="right"/>
            </w:pPr>
            <w:r>
              <w:rPr>
                <w:rFonts w:ascii="Times New Roman" w:eastAsia="Times New Roman" w:hAnsi="Times New Roman" w:cs="Times New Roman"/>
                <w:b w:val="0"/>
                <w:i w:val="0"/>
                <w:color w:val="000000"/>
                <w:sz w:val="20"/>
                <w:u w:val="none"/>
              </w:rPr>
              <w:tab/>
              <w:t>23,917</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802"/>
                <w:tab w:val="left" w:pos="1417"/>
              </w:tabs>
              <w:spacing w:before="53" w:after="30" w:line="240" w:lineRule="auto"/>
              <w:jc w:val="right"/>
            </w:pPr>
            <w:r>
              <w:rPr>
                <w:rFonts w:ascii="Times New Roman" w:eastAsia="Times New Roman" w:hAnsi="Times New Roman" w:cs="Times New Roman"/>
                <w:b w:val="0"/>
                <w:i w:val="0"/>
                <w:color w:val="000000"/>
                <w:sz w:val="20"/>
                <w:u w:val="none"/>
              </w:rPr>
              <w:tab/>
              <w:t>22,788</w:t>
              <w:tab/>
            </w:r>
          </w:p>
        </w:tc>
      </w:tr>
      <w:tr>
        <w:tblPrEx>
          <w:tblW w:w="7830" w:type="dxa"/>
          <w:tblLayout w:type="fixed"/>
        </w:tblPrEx>
        <w:trPr>
          <w:trHeight w:hRule="exact" w:val="285"/>
        </w:trPr>
        <w:tc>
          <w:tcPr>
            <w:tcW w:w="478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ind w:left="120"/>
              <w:jc w:val="left"/>
            </w:pPr>
            <w:r>
              <w:rPr>
                <w:rFonts w:ascii="Times New Roman" w:eastAsia="Times New Roman" w:hAnsi="Times New Roman" w:cs="Times New Roman"/>
                <w:b w:val="0"/>
                <w:i w:val="0"/>
                <w:color w:val="000000"/>
                <w:sz w:val="20"/>
                <w:u w:val="none"/>
              </w:rPr>
              <w:t>Non-compensation</w:t>
            </w:r>
          </w:p>
        </w:tc>
        <w:tc>
          <w:tcPr>
            <w:tcW w:w="148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802"/>
                <w:tab w:val="left" w:pos="1417"/>
              </w:tabs>
              <w:spacing w:before="53" w:after="30" w:line="240" w:lineRule="auto"/>
              <w:jc w:val="right"/>
            </w:pPr>
            <w:r>
              <w:rPr>
                <w:rFonts w:ascii="Times New Roman" w:eastAsia="Times New Roman" w:hAnsi="Times New Roman" w:cs="Times New Roman"/>
                <w:b w:val="0"/>
                <w:i w:val="0"/>
                <w:color w:val="000000"/>
                <w:sz w:val="20"/>
                <w:u w:val="none"/>
              </w:rPr>
              <w:tab/>
              <w:t>11,040</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902"/>
                <w:tab w:val="left" w:pos="1417"/>
              </w:tabs>
              <w:spacing w:before="53" w:after="30" w:line="240" w:lineRule="auto"/>
              <w:jc w:val="right"/>
            </w:pPr>
            <w:r>
              <w:rPr>
                <w:rFonts w:ascii="Times New Roman" w:eastAsia="Times New Roman" w:hAnsi="Times New Roman" w:cs="Times New Roman"/>
                <w:b w:val="0"/>
                <w:i w:val="0"/>
                <w:color w:val="000000"/>
                <w:sz w:val="20"/>
                <w:u w:val="none"/>
              </w:rPr>
              <w:tab/>
              <w:t>9,617</w:t>
              <w:tab/>
            </w:r>
          </w:p>
        </w:tc>
      </w:tr>
      <w:tr>
        <w:tblPrEx>
          <w:tblW w:w="7830" w:type="dxa"/>
          <w:tblLayout w:type="fixed"/>
        </w:tblPrEx>
        <w:trPr>
          <w:trHeight w:hRule="exact" w:val="285"/>
        </w:trPr>
        <w:tc>
          <w:tcPr>
            <w:tcW w:w="478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ind w:left="120"/>
              <w:jc w:val="left"/>
            </w:pPr>
            <w:r>
              <w:rPr>
                <w:rFonts w:ascii="Times New Roman" w:eastAsia="Times New Roman" w:hAnsi="Times New Roman" w:cs="Times New Roman"/>
                <w:b w:val="0"/>
                <w:i w:val="0"/>
                <w:color w:val="000000"/>
                <w:sz w:val="20"/>
                <w:u w:val="none"/>
              </w:rPr>
              <w:t>Deferred software and commission costs</w:t>
            </w:r>
          </w:p>
        </w:tc>
        <w:tc>
          <w:tcPr>
            <w:tcW w:w="148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816"/>
              </w:tabs>
              <w:spacing w:before="53" w:after="30" w:line="240" w:lineRule="auto"/>
              <w:jc w:val="right"/>
            </w:pPr>
            <w:r>
              <w:rPr>
                <w:rFonts w:ascii="Times New Roman" w:eastAsia="Times New Roman" w:hAnsi="Times New Roman" w:cs="Times New Roman"/>
                <w:b w:val="0"/>
                <w:i w:val="0"/>
                <w:color w:val="000000"/>
                <w:sz w:val="20"/>
                <w:u w:val="none"/>
              </w:rPr>
              <w:tab/>
              <w:t>(3,755)</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816"/>
              </w:tabs>
              <w:spacing w:before="53" w:after="30" w:line="240" w:lineRule="auto"/>
              <w:jc w:val="right"/>
            </w:pPr>
            <w:r>
              <w:rPr>
                <w:rFonts w:ascii="Times New Roman" w:eastAsia="Times New Roman" w:hAnsi="Times New Roman" w:cs="Times New Roman"/>
                <w:b w:val="0"/>
                <w:i w:val="0"/>
                <w:color w:val="000000"/>
                <w:sz w:val="20"/>
                <w:u w:val="none"/>
              </w:rPr>
              <w:tab/>
              <w:t>(3,372)</w:t>
            </w:r>
          </w:p>
        </w:tc>
      </w:tr>
      <w:tr>
        <w:tblPrEx>
          <w:tblW w:w="7830" w:type="dxa"/>
          <w:tblLayout w:type="fixed"/>
        </w:tblPrEx>
        <w:trPr>
          <w:trHeight w:hRule="exact" w:val="285"/>
        </w:trPr>
        <w:tc>
          <w:tcPr>
            <w:tcW w:w="478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ind w:left="120"/>
              <w:jc w:val="left"/>
            </w:pPr>
            <w:r>
              <w:rPr>
                <w:rFonts w:ascii="Times New Roman" w:eastAsia="Times New Roman" w:hAnsi="Times New Roman" w:cs="Times New Roman"/>
                <w:b w:val="0"/>
                <w:i w:val="0"/>
                <w:color w:val="000000"/>
                <w:sz w:val="20"/>
                <w:u w:val="none"/>
              </w:rPr>
              <w:t>Amortization, depreciation, and other non-cash expenses</w:t>
            </w:r>
          </w:p>
        </w:tc>
        <w:tc>
          <w:tcPr>
            <w:tcW w:w="148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902"/>
                <w:tab w:val="left" w:pos="1417"/>
              </w:tabs>
              <w:spacing w:before="53" w:after="30" w:line="240" w:lineRule="auto"/>
              <w:jc w:val="right"/>
            </w:pPr>
            <w:r>
              <w:rPr>
                <w:rFonts w:ascii="Times New Roman" w:eastAsia="Times New Roman" w:hAnsi="Times New Roman" w:cs="Times New Roman"/>
                <w:b w:val="0"/>
                <w:i w:val="0"/>
                <w:color w:val="000000"/>
                <w:sz w:val="20"/>
                <w:u w:val="none"/>
              </w:rPr>
              <w:tab/>
              <w:t>9,368</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902"/>
                <w:tab w:val="left" w:pos="1417"/>
              </w:tabs>
              <w:spacing w:before="53" w:after="30" w:line="240" w:lineRule="auto"/>
              <w:jc w:val="right"/>
            </w:pPr>
            <w:r>
              <w:rPr>
                <w:rFonts w:ascii="Times New Roman" w:eastAsia="Times New Roman" w:hAnsi="Times New Roman" w:cs="Times New Roman"/>
                <w:b w:val="0"/>
                <w:i w:val="0"/>
                <w:color w:val="000000"/>
                <w:sz w:val="20"/>
                <w:u w:val="none"/>
              </w:rPr>
              <w:tab/>
              <w:t>8,128</w:t>
              <w:tab/>
            </w:r>
          </w:p>
        </w:tc>
      </w:tr>
      <w:tr>
        <w:tblPrEx>
          <w:tblW w:w="7830" w:type="dxa"/>
          <w:tblLayout w:type="fixed"/>
        </w:tblPrEx>
        <w:trPr>
          <w:trHeight w:hRule="exact" w:val="285"/>
        </w:trPr>
        <w:tc>
          <w:tcPr>
            <w:tcW w:w="478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numPr>
                <w:ilvl w:val="0"/>
                <w:numId w:val="0"/>
              </w:numPr>
              <w:spacing w:before="53" w:after="30" w:line="240" w:lineRule="auto"/>
              <w:ind w:left="120" w:right="0" w:firstLine="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Other segment expenses</w:t>
            </w:r>
            <w:r>
              <w:rPr>
                <w:rFonts w:ascii="Times New Roman" w:eastAsia="Times New Roman" w:hAnsi="Times New Roman" w:cs="Times New Roman"/>
                <w:b w:val="0"/>
                <w:i w:val="0"/>
                <w:sz w:val="20"/>
                <w:vertAlign w:val="superscript"/>
              </w:rPr>
              <w:t>(1)</w:t>
            </w:r>
          </w:p>
        </w:tc>
        <w:tc>
          <w:tcPr>
            <w:tcW w:w="148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902"/>
                <w:tab w:val="left" w:pos="1417"/>
              </w:tabs>
              <w:spacing w:before="53" w:after="30" w:line="240" w:lineRule="auto"/>
              <w:jc w:val="right"/>
            </w:pPr>
            <w:r>
              <w:rPr>
                <w:rFonts w:ascii="Times New Roman" w:eastAsia="Times New Roman" w:hAnsi="Times New Roman" w:cs="Times New Roman"/>
                <w:b w:val="0"/>
                <w:i w:val="0"/>
                <w:color w:val="000000"/>
                <w:sz w:val="20"/>
                <w:u w:val="none"/>
              </w:rPr>
              <w:tab/>
              <w:t>1,562</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1152"/>
                <w:tab w:val="left" w:pos="1417"/>
              </w:tabs>
              <w:spacing w:before="53" w:after="30" w:line="240" w:lineRule="auto"/>
              <w:jc w:val="right"/>
            </w:pPr>
            <w:r>
              <w:rPr>
                <w:rFonts w:ascii="Times New Roman" w:eastAsia="Times New Roman" w:hAnsi="Times New Roman" w:cs="Times New Roman"/>
                <w:b w:val="0"/>
                <w:i w:val="0"/>
                <w:color w:val="000000"/>
                <w:sz w:val="20"/>
                <w:u w:val="none"/>
              </w:rPr>
              <w:tab/>
              <w:t>91</w:t>
              <w:tab/>
            </w:r>
          </w:p>
        </w:tc>
      </w:tr>
      <w:tr>
        <w:tblPrEx>
          <w:tblW w:w="7830" w:type="dxa"/>
          <w:tblLayout w:type="fixed"/>
        </w:tblPrEx>
        <w:trPr>
          <w:trHeight w:hRule="exact" w:val="285"/>
        </w:trPr>
        <w:tc>
          <w:tcPr>
            <w:tcW w:w="478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Total expenses</w:t>
            </w:r>
          </w:p>
        </w:tc>
        <w:tc>
          <w:tcPr>
            <w:tcW w:w="1485" w:type="dxa"/>
            <w:tcBorders>
              <w:top w:val="single" w:sz="8" w:space="0" w:color="000000"/>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802"/>
                <w:tab w:val="left" w:pos="1417"/>
              </w:tabs>
              <w:spacing w:before="33" w:after="30" w:line="240" w:lineRule="auto"/>
              <w:jc w:val="right"/>
            </w:pPr>
            <w:r>
              <w:rPr>
                <w:rFonts w:ascii="Times New Roman" w:eastAsia="Times New Roman" w:hAnsi="Times New Roman" w:cs="Times New Roman"/>
                <w:b w:val="0"/>
                <w:i w:val="0"/>
                <w:color w:val="000000"/>
                <w:sz w:val="20"/>
                <w:u w:val="none"/>
              </w:rPr>
              <w:tab/>
              <w:t>42,132</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single" w:sz="8" w:space="0" w:color="000000"/>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802"/>
                <w:tab w:val="left" w:pos="1417"/>
              </w:tabs>
              <w:spacing w:before="33" w:after="30" w:line="240" w:lineRule="auto"/>
              <w:jc w:val="right"/>
            </w:pPr>
            <w:r>
              <w:rPr>
                <w:rFonts w:ascii="Times New Roman" w:eastAsia="Times New Roman" w:hAnsi="Times New Roman" w:cs="Times New Roman"/>
                <w:b w:val="0"/>
                <w:i w:val="0"/>
                <w:color w:val="000000"/>
                <w:sz w:val="20"/>
                <w:u w:val="none"/>
              </w:rPr>
              <w:tab/>
              <w:t>37,252</w:t>
              <w:tab/>
            </w:r>
          </w:p>
        </w:tc>
      </w:tr>
      <w:tr>
        <w:tblPrEx>
          <w:tblW w:w="7830" w:type="dxa"/>
          <w:tblLayout w:type="fixed"/>
        </w:tblPrEx>
        <w:trPr>
          <w:trHeight w:hRule="exact" w:val="285"/>
        </w:trPr>
        <w:tc>
          <w:tcPr>
            <w:tcW w:w="4785" w:type="dxa"/>
            <w:tcBorders>
              <w:top w:val="nil"/>
              <w:left w:val="nil"/>
              <w:bottom w:val="nil"/>
              <w:right w:val="nil"/>
            </w:tcBorders>
            <w:shd w:val="clear" w:color="auto" w:fill="FFFFFF"/>
            <w:tcMar>
              <w:top w:w="0" w:type="dxa"/>
              <w:left w:w="53" w:type="dxa"/>
              <w:bottom w:w="0" w:type="dxa"/>
              <w:right w:w="53" w:type="dxa"/>
            </w:tcMar>
            <w:vAlign w:val="bottom"/>
          </w:tcPr>
          <w:p>
            <w:pPr>
              <w:pageBreakBefore w:val="0"/>
              <w:spacing w:before="33" w:after="30" w:line="240" w:lineRule="auto"/>
              <w:jc w:val="left"/>
            </w:pPr>
            <w:r>
              <w:rPr>
                <w:rFonts w:ascii="Times New Roman" w:eastAsia="Times New Roman" w:hAnsi="Times New Roman" w:cs="Times New Roman"/>
                <w:b w:val="0"/>
                <w:i w:val="0"/>
                <w:color w:val="000000"/>
                <w:sz w:val="20"/>
                <w:u w:val="none"/>
              </w:rPr>
              <w:t>Net income (loss)</w:t>
            </w:r>
          </w:p>
        </w:tc>
        <w:tc>
          <w:tcPr>
            <w:tcW w:w="148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pageBreakBefore w:val="0"/>
              <w:tabs>
                <w:tab w:val="left" w:pos="1052"/>
                <w:tab w:val="left" w:pos="1417"/>
              </w:tabs>
              <w:spacing w:before="33" w:after="30" w:line="240" w:lineRule="auto"/>
              <w:jc w:val="right"/>
            </w:pPr>
            <w:r>
              <w:rPr>
                <w:rFonts w:ascii="Times New Roman" w:eastAsia="Times New Roman" w:hAnsi="Times New Roman" w:cs="Times New Roman"/>
                <w:b w:val="0"/>
                <w:i w:val="0"/>
                <w:color w:val="000000"/>
                <w:sz w:val="20"/>
                <w:u w:val="none"/>
              </w:rPr>
              <w:t>$</w:t>
              <w:tab/>
              <w:t>625</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148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pageBreakBefore w:val="0"/>
              <w:tabs>
                <w:tab w:val="left" w:pos="816"/>
              </w:tabs>
              <w:spacing w:before="33" w:after="30" w:line="240" w:lineRule="auto"/>
              <w:jc w:val="right"/>
            </w:pPr>
            <w:r>
              <w:rPr>
                <w:rFonts w:ascii="Times New Roman" w:eastAsia="Times New Roman" w:hAnsi="Times New Roman" w:cs="Times New Roman"/>
                <w:b w:val="0"/>
                <w:i w:val="0"/>
                <w:color w:val="000000"/>
                <w:sz w:val="20"/>
                <w:u w:val="none"/>
              </w:rPr>
              <w:t>$</w:t>
              <w:tab/>
              <w:t>(2,398)</w:t>
            </w:r>
          </w:p>
        </w:tc>
      </w:tr>
    </w:tbl>
    <w:p>
      <w:pPr>
        <w:keepNext w:val="0"/>
        <w:keepLines/>
        <w:pageBreakBefore w:val="0"/>
        <w:widowControl w:val="0"/>
        <w:numPr>
          <w:ilvl w:val="0"/>
          <w:numId w:val="16"/>
        </w:numPr>
        <w:spacing w:before="0" w:after="0" w:line="288" w:lineRule="auto"/>
        <w:ind w:left="720" w:right="0" w:hanging="720"/>
        <w:jc w:val="center"/>
        <w:outlineLvl w:val="9"/>
        <w:rPr>
          <w:rFonts w:ascii="Times New Roman" w:eastAsia="Times New Roman" w:hAnsi="Times New Roman" w:cs="Times New Roman"/>
          <w:b w:val="0"/>
          <w:i w:val="0"/>
          <w:color w:val="000000"/>
          <w:sz w:val="18"/>
          <w:u w:val="none"/>
        </w:rPr>
      </w:pPr>
      <w:r>
        <w:rPr>
          <w:rFonts w:ascii="Times New Roman" w:eastAsia="Times New Roman" w:hAnsi="Times New Roman" w:cs="Times New Roman"/>
          <w:b w:val="0"/>
          <w:i w:val="0"/>
          <w:color w:val="000000"/>
          <w:sz w:val="18"/>
          <w:u w:val="none"/>
        </w:rPr>
        <w:t>Other segment expenses include interest expense, net of interest income, and other business expense</w:t>
      </w:r>
    </w:p>
    <w:p>
      <w:pPr>
        <w:keepNext w:val="0"/>
        <w:keepLines/>
        <w:pageBreakBefore w:val="0"/>
        <w:widowControl w:val="0"/>
        <w:numPr>
          <w:ilvl w:val="0"/>
          <w:numId w:val="16"/>
        </w:numPr>
        <w:spacing w:before="0" w:after="0" w:line="288" w:lineRule="auto"/>
        <w:ind w:left="720" w:right="0" w:hanging="720"/>
        <w:jc w:val="center"/>
        <w:outlineLvl w:val="9"/>
        <w:rPr>
          <w:rFonts w:ascii="Times New Roman" w:eastAsia="Times New Roman" w:hAnsi="Times New Roman" w:cs="Times New Roman"/>
          <w:b w:val="0"/>
          <w:i w:val="0"/>
          <w:color w:val="000000"/>
          <w:sz w:val="18"/>
          <w:u w:val="none"/>
        </w:rPr>
        <w:sectPr>
          <w:type w:val="continuous"/>
          <w:pgSz w:w="12240" w:h="15840"/>
          <w:pgMar w:top="855" w:right="990" w:bottom="855" w:left="990" w:header="270" w:footer="270"/>
          <w:cols w:space="708"/>
        </w:sectPr>
      </w:pPr>
    </w:p>
    <w:p>
      <w:pPr>
        <w:keepNext/>
        <w:keepLines/>
        <w:pageBreakBefore w:val="0"/>
        <w:widowControl w:val="0"/>
        <w:numPr>
          <w:ilvl w:val="0"/>
          <w:numId w:val="0"/>
        </w:numPr>
        <w:spacing w:before="0" w:after="0" w:line="288" w:lineRule="auto"/>
        <w:ind w:left="0" w:right="0" w:firstLine="0"/>
        <w:jc w:val="left"/>
        <w:outlineLvl w:val="1"/>
        <w:rPr>
          <w:rFonts w:ascii="Times New Roman" w:eastAsia="Times New Roman" w:hAnsi="Times New Roman" w:cs="Times New Roman"/>
          <w:b/>
          <w:i w:val="0"/>
          <w:sz w:val="20"/>
        </w:rPr>
      </w:pPr>
      <w:bookmarkStart w:id="20" w:name="Section21"/>
      <w:bookmarkEnd w:id="20"/>
      <w:r>
        <w:rPr>
          <w:rFonts w:ascii="Times New Roman" w:eastAsia="Times New Roman" w:hAnsi="Times New Roman" w:cs="Times New Roman"/>
          <w:b/>
          <w:i w:val="0"/>
          <w:sz w:val="20"/>
        </w:rPr>
        <w:t>ITEM 2. MANAGEMENT’S DISCUSSION AND ANALYSIS OF FINANCIAL CONDITION AND RESULTS OF OPERATIONS</w:t>
      </w:r>
    </w:p>
    <w:p>
      <w:pPr>
        <w:keepNext/>
        <w:keepLines/>
        <w:pageBreakBefore w:val="0"/>
        <w:widowControl w:val="0"/>
        <w:numPr>
          <w:ilvl w:val="0"/>
          <w:numId w:val="0"/>
        </w:numPr>
        <w:spacing w:before="0" w:after="0" w:line="288" w:lineRule="auto"/>
        <w:ind w:left="0" w:right="0" w:firstLine="0"/>
        <w:jc w:val="left"/>
        <w:outlineLvl w:val="1"/>
        <w:sectPr>
          <w:pgSz w:w="12240" w:h="15840"/>
          <w:pgMar w:top="855" w:right="990" w:bottom="855" w:left="990" w:header="270" w:footer="270"/>
          <w:cols w:space="708"/>
        </w:sectPr>
      </w:pPr>
    </w:p>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i w:val="0"/>
          <w:sz w:val="20"/>
        </w:rPr>
      </w:pPr>
      <w:bookmarkStart w:id="21" w:name="Section22"/>
      <w:bookmarkEnd w:id="21"/>
    </w:p>
    <w:p>
      <w:pPr>
        <w:keepNext/>
        <w:keepLines/>
        <w:pageBreakBefore w:val="0"/>
        <w:widowControl w:val="0"/>
        <w:numPr>
          <w:ilvl w:val="0"/>
          <w:numId w:val="0"/>
        </w:numPr>
        <w:spacing w:before="0" w:after="0" w:line="288" w:lineRule="auto"/>
        <w:ind w:left="0" w:right="0" w:firstLine="0"/>
        <w:jc w:val="both"/>
        <w:outlineLvl w:val="2"/>
        <w:rPr>
          <w:rFonts w:ascii="Times New Roman" w:eastAsia="Times New Roman" w:hAnsi="Times New Roman" w:cs="Times New Roman"/>
          <w:b/>
          <w:i w:val="0"/>
          <w:sz w:val="20"/>
        </w:rPr>
      </w:pPr>
      <w:r>
        <w:rPr>
          <w:rFonts w:ascii="Times New Roman" w:eastAsia="Times New Roman" w:hAnsi="Times New Roman" w:cs="Times New Roman"/>
          <w:b/>
          <w:i w:val="0"/>
          <w:sz w:val="20"/>
        </w:rPr>
        <w:t>CAUTIONARY STATEMENT REGARDING FORWARD-LOOKING STATEMENTS</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highlight w:val="yellow"/>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This Quarterly Report on Form 10-Q contains certain statements made by management that may constitute “forward-looking” statements within the meaning of the safe harbor provisions of the U.S. Private Securities Litigation Reform Act of 1995. These forward-looking statements about our financial results may include expected or projected U.S GAAP and other operating and non-operating results. The words “believe,” “may,” “will,” “estimate,” “projects,” “anticipate,” “intend,” “expect,” “should,” “plan,” and similar expressions are intended to identify forward-looking statements. Examples of forward-looking statements include statements we make regarding our operating performance, future results of operations and financial position, revenue growth, earnings or other projections. We have based these forward-looking statements largely on our current expectations and projections about future events and trends that we believe may affect our financial condition, results of operations, business strategy, short-term and long-term business operations and objectives, and financial needs. The achievement or success of the matters covered by such forward-looking statements involves risks, uncertainties and assumptions, over many of which we have no control. If any such risks or uncertainties materialize or if any of the assumptions prove incorrect, our results could differ materially from the results expressed or implied by the forward-looking statements we make. The risks and uncertainties referred to above include—but are not limited to—risks associated with breaches of our security measures; possible fluctuations in our financial and operating results; potential financing needed to meet future capital requirements; access to additional capital; volatility and weakness in bank and capital markets; the financial and other impact of any previous and future acquisitions; privacy concerns and laws and other regulations that may limit the effectiveness of our applications; inability to adopt new or correctly interpret existing money service and money transmitter business status;  risk of our software and solutions not functioning adequately; interruptions, delays or changes in our services or our Web hosting; significant costs as a result of operating as a public company; economic and governmental interruptions to supply chains; risks related to weaknesses in internal control; the inability to continue to release timely updates for changes in laws; the inability to develop new and improved versions of our services and technological developments; customer’s nonrenewal of their agreements and other similar changes; the exposure of market, interest, credit and liquidity risk on client funds held in trust; our operations in highly competitive markets; risks that our clients could have insufficient funds, limitations in the ability to transmit ACH transactions; the nature of our business model; impairment of intangible assets; litigation and any related claims, negotiations and settlements, including with respect to intellectual property matters or industry-specific regulations; market demand of our Software-as-a-Service offerings; adverse effects to our business a result of claims, lawsuits, and other proceedings; adverse material effects caused by advancements and adoption of artificial intelligence; issues in the use of artificial intelligence in our HCM products and services; adverse changes to financial accounting standards to us; intellectual property risks associated with the use of open source software; failures of our service providers; factors affecting our deferred tax assets and ability to value and utilize them; inability to maintain third-party licensed software; evolving regulation of the Internet, changes in the infrastructure underlying the Internet or interruptions in Internet services; the expiration of Employee Retention Tax Credits (“ERTC”) and the impact of recent regulatory and other measures by governmental authorities-regarding ERTC claims and the corresponding cash collections of existing receivables; our ability to hire, retain and motivate employees and manage our growth; potential enactment of adverse tax laws, regulation, political, economic and social factors; potential sales of a substantial number of shares of our common stock along with its volatility; and risks associated with potential equity-related transactions including dividends, rights under the stockholder plan to discourage certain actions and other impacts as a result of actions of our stockholders.</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highlight w:val="green"/>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Further information on these and other factors that could affect our financial results is included in the reports on Forms 10-K, 10-Q and 8-K, and in other filings we make with the Securities and Exchange Commission (the “SEC”) from time to time. These documents are available on the SEC Filings section of the Investor Information section of our website at investor.asuresoftware.com. Asure assumes no obligation and does not intend to update these forward-looking statements, except as required by law.</w:t>
      </w:r>
    </w:p>
    <w:p>
      <w:pPr>
        <w:keepNext w:val="0"/>
        <w:keepLines/>
        <w:pageBreakBefore w:val="0"/>
        <w:widowControl w:val="0"/>
        <w:numPr>
          <w:ilvl w:val="0"/>
          <w:numId w:val="0"/>
        </w:numPr>
        <w:spacing w:before="0" w:after="0" w:line="288" w:lineRule="auto"/>
        <w:ind w:left="0" w:right="0" w:firstLine="720"/>
        <w:jc w:val="both"/>
        <w:outlineLvl w:val="9"/>
        <w:sectPr>
          <w:type w:val="continuous"/>
          <w:pgSz w:w="12240" w:h="15840"/>
          <w:pgMar w:top="855" w:right="990" w:bottom="855" w:left="990" w:header="270" w:footer="270"/>
          <w:cols w:space="708"/>
        </w:sect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sz w:val="20"/>
        </w:rPr>
      </w:pPr>
      <w:bookmarkStart w:id="22" w:name="Section23"/>
      <w:bookmarkEnd w:id="22"/>
    </w:p>
    <w:p>
      <w:pPr>
        <w:keepNext/>
        <w:keepLines/>
        <w:pageBreakBefore w:val="0"/>
        <w:widowControl w:val="0"/>
        <w:numPr>
          <w:ilvl w:val="0"/>
          <w:numId w:val="0"/>
        </w:numPr>
        <w:spacing w:before="0" w:after="0" w:line="288" w:lineRule="auto"/>
        <w:ind w:left="0" w:right="0" w:firstLine="0"/>
        <w:jc w:val="both"/>
        <w:outlineLvl w:val="2"/>
        <w:rPr>
          <w:rFonts w:ascii="Times New Roman" w:eastAsia="Times New Roman" w:hAnsi="Times New Roman" w:cs="Times New Roman"/>
          <w:b/>
          <w:i w:val="0"/>
          <w:color w:val="000000"/>
          <w:sz w:val="20"/>
          <w:highlight w:val="white"/>
          <w:u w:val="none"/>
        </w:rPr>
      </w:pPr>
      <w:r>
        <w:rPr>
          <w:rFonts w:ascii="Times New Roman" w:eastAsia="Times New Roman" w:hAnsi="Times New Roman" w:cs="Times New Roman"/>
          <w:b/>
          <w:i w:val="0"/>
          <w:color w:val="000000"/>
          <w:sz w:val="20"/>
          <w:highlight w:val="white"/>
          <w:u w:val="none"/>
        </w:rPr>
        <w:t>OVERVIEW</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highlight w:val="white"/>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 xml:space="preserve">The following review of Asure’s financial position as of </w:t>
      </w:r>
      <w:r>
        <w:rPr>
          <w:rFonts w:ascii="Times New Roman" w:eastAsia="Times New Roman" w:hAnsi="Times New Roman" w:cs="Times New Roman"/>
          <w:b w:val="0"/>
          <w:i w:val="0"/>
          <w:color w:val="000000"/>
          <w:sz w:val="20"/>
          <w:u w:val="none"/>
        </w:rPr>
        <w:t>March 31, 2026</w:t>
      </w:r>
      <w:r>
        <w:rPr>
          <w:rFonts w:ascii="Times New Roman" w:eastAsia="Times New Roman" w:hAnsi="Times New Roman" w:cs="Times New Roman"/>
          <w:b w:val="0"/>
          <w:i w:val="0"/>
          <w:sz w:val="20"/>
        </w:rPr>
        <w:t xml:space="preserve"> and </w:t>
      </w:r>
      <w:r>
        <w:rPr>
          <w:rFonts w:ascii="Times New Roman" w:eastAsia="Times New Roman" w:hAnsi="Times New Roman" w:cs="Times New Roman"/>
          <w:b w:val="0"/>
          <w:i w:val="0"/>
          <w:color w:val="000000"/>
          <w:sz w:val="20"/>
          <w:u w:val="none"/>
        </w:rPr>
        <w:t>December 31, 2025</w:t>
      </w:r>
      <w:r>
        <w:rPr>
          <w:rFonts w:ascii="Times New Roman" w:eastAsia="Times New Roman" w:hAnsi="Times New Roman" w:cs="Times New Roman"/>
          <w:b w:val="0"/>
          <w:i w:val="0"/>
          <w:sz w:val="20"/>
        </w:rPr>
        <w:t xml:space="preserve">, and results of operations for the </w:t>
      </w:r>
      <w:r>
        <w:rPr>
          <w:rFonts w:ascii="Times New Roman" w:eastAsia="Times New Roman" w:hAnsi="Times New Roman" w:cs="Times New Roman"/>
          <w:b w:val="0"/>
          <w:i w:val="0"/>
          <w:color w:val="000000"/>
          <w:sz w:val="20"/>
          <w:u w:val="none"/>
        </w:rPr>
        <w:t>three months ended March 31, 2026</w:t>
      </w:r>
      <w:r>
        <w:rPr>
          <w:rFonts w:ascii="Times New Roman" w:eastAsia="Times New Roman" w:hAnsi="Times New Roman" w:cs="Times New Roman"/>
          <w:b w:val="0"/>
          <w:i w:val="0"/>
          <w:sz w:val="20"/>
        </w:rPr>
        <w:t xml:space="preserve"> and </w:t>
      </w:r>
      <w:r>
        <w:rPr>
          <w:rFonts w:ascii="Times New Roman" w:eastAsia="Times New Roman" w:hAnsi="Times New Roman" w:cs="Times New Roman"/>
          <w:b w:val="0"/>
          <w:i w:val="0"/>
          <w:color w:val="000000"/>
          <w:sz w:val="20"/>
          <w:u w:val="none"/>
        </w:rPr>
        <w:t>2025</w:t>
      </w:r>
      <w:r>
        <w:rPr>
          <w:rFonts w:ascii="Times New Roman" w:eastAsia="Times New Roman" w:hAnsi="Times New Roman" w:cs="Times New Roman"/>
          <w:b w:val="0"/>
          <w:i w:val="0"/>
          <w:sz w:val="20"/>
        </w:rPr>
        <w:t xml:space="preserve"> should be read in conjunction with our </w:t>
      </w:r>
      <w:r>
        <w:rPr>
          <w:rFonts w:ascii="Times New Roman" w:eastAsia="Times New Roman" w:hAnsi="Times New Roman" w:cs="Times New Roman"/>
          <w:b w:val="0"/>
          <w:i w:val="0"/>
          <w:color w:val="000000"/>
          <w:sz w:val="20"/>
          <w:u w:val="none"/>
        </w:rPr>
        <w:t>2025</w:t>
      </w:r>
      <w:r>
        <w:rPr>
          <w:rFonts w:ascii="Times New Roman" w:eastAsia="Times New Roman" w:hAnsi="Times New Roman" w:cs="Times New Roman"/>
          <w:b w:val="0"/>
          <w:i w:val="0"/>
          <w:sz w:val="20"/>
        </w:rPr>
        <w:t xml:space="preserve"> Annual Report on Form 10-K filed with the SEC on </w:t>
      </w:r>
      <w:r>
        <w:rPr>
          <w:rFonts w:ascii="Times New Roman" w:eastAsia="Times New Roman" w:hAnsi="Times New Roman" w:cs="Times New Roman"/>
          <w:b w:val="0"/>
          <w:i w:val="0"/>
          <w:color w:val="000000"/>
          <w:sz w:val="20"/>
          <w:u w:val="none"/>
        </w:rPr>
        <w:t>February 26, 2026</w:t>
      </w:r>
      <w:r>
        <w:rPr>
          <w:rFonts w:ascii="Times New Roman" w:eastAsia="Times New Roman" w:hAnsi="Times New Roman" w:cs="Times New Roman"/>
          <w:b w:val="0"/>
          <w:i w:val="0"/>
          <w:sz w:val="20"/>
        </w:rPr>
        <w:t>. Our annual reports on Form 10-K, quarterly reports on Form 10-Q, current reports on Form 8-K and amendments to those reports filed or furnished pursuant to Section 13(a) or 15(d) of the Securities Exchange Act of 1934, as amended (the “Exchange Act”) are available through the investor relations page of our internet website free of charge as soon as reasonably practicable after they are electronically filed, or furnished to, the SEC. Asure’s internet website and the information contained in our website or connected to our website are not incorporated into this Quarterly Report on Form 10-Q. However, we do post information on the investor relations page of our website that we believe may be of interest to our investors. Asure’s internet website address is www.asuresoftware.com.</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sz w:val="20"/>
        </w:rPr>
      </w:pPr>
      <w:r>
        <w:rPr>
          <w:rFonts w:ascii="Times New Roman" w:eastAsia="Times New Roman" w:hAnsi="Times New Roman" w:cs="Times New Roman"/>
          <w:b/>
          <w:i w:val="0"/>
          <w:sz w:val="20"/>
        </w:rPr>
        <w:t>Our Business</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 xml:space="preserve">We are a </w:t>
      </w:r>
      <w:r>
        <w:rPr>
          <w:rFonts w:ascii="Times New Roman" w:eastAsia="Times New Roman" w:hAnsi="Times New Roman" w:cs="Times New Roman"/>
          <w:b w:val="0"/>
          <w:i w:val="0"/>
          <w:color w:val="000000"/>
          <w:sz w:val="20"/>
          <w:u w:val="none"/>
        </w:rPr>
        <w:t>provider of cloud-based Human Capital Management (“HCM”) software solutions delivered as Software-as-a-Service (“SaaS”) to businesses of all sizes. We offer human resources (“HR”) tools necessary to build a thriving workforce, provide the resources to stay compliant with dynamic federal, state, and local tax jurisdictions and their respective labor laws, freeing cash flows so these businesses can spend their financial capital on growing their businesses rather than administrative overhead that can impede growth. Our solutions also provide new ways for employers to connect with their employees and strengthen relationships with their talent. At the core of our offering is the Asure HCM platform—a SaaS-based system that includes Payroll &amp; Tax filing, HR management tools, Time &amp; Attendance software,  Recruiting, and Benefits Administration. This platform serves as the foundation for delivering both our core software and a range of complementary, technology-enabled services. These include AsureMarketplace™, which automates data exchange between our HCM system and third-party providers to increase efficiency, accuracy, and breadth of services. Our HR Compliance services combine expert guidance with scalable digital delivery. AsurePay™, our payroll card, which we provide in association with our partners, offers employees fast, secure access to earned wages. Additionally, through our licensed brokerage, we offer Insurance Services that help employers manage benefits and reduce administrative costs. We deliver our solutions directly and through a national network of Reseller Partners.</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color w:val="000000"/>
          <w:sz w:val="20"/>
          <w:u w:val="none"/>
        </w:rPr>
        <w:t>We strive to be the most trusted HCM resource.</w:t>
      </w:r>
      <w:r>
        <w:rPr>
          <w:rFonts w:ascii="Times New Roman" w:eastAsia="Times New Roman" w:hAnsi="Times New Roman" w:cs="Times New Roman"/>
          <w:b w:val="0"/>
          <w:i w:val="0"/>
          <w:sz w:val="20"/>
        </w:rPr>
        <w:t xml:space="preserve"> </w:t>
      </w:r>
      <w:r>
        <w:rPr>
          <w:rFonts w:ascii="Times New Roman" w:eastAsia="Times New Roman" w:hAnsi="Times New Roman" w:cs="Times New Roman"/>
          <w:b w:val="0"/>
          <w:i w:val="0"/>
          <w:color w:val="000000"/>
          <w:sz w:val="20"/>
          <w:u w:val="none"/>
        </w:rPr>
        <w:t>Our solutions solve three primary challenges that prevent businesses from growing: HR complexity, allocation of human and financial capital, and the ability to build great teams. We sell our solutions through both direct and partner channels. We supplement our direct sales efforts with partner programs that afford us access to opportunities in various geographic and industry niches. Asure has two types of partners: Reseller Partners that white label our products while providing value-added services to their clients (our indirect clients) and Referral Partners that provide us with client leads but do not resell our solutions. We have and will continue to invest in research and development to expand our solutions. Our solutions reduce the administrative burden on employers and increase employee productivity while managing the employment lifecycle. The Asure HCM suite includes eight product lines: Asure Payroll &amp; Tax, Asure HR Compliance, Asure Time &amp; Attendance, AsureRecruiting™, Asure Insurance and Benefits Administration, AsurePay™, Asure Tax Management Solutions,  and AsureMarketplace™ .</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 xml:space="preserve">From recruitment to retirement, our solutions help more than </w:t>
      </w:r>
      <w:r>
        <w:rPr>
          <w:rFonts w:ascii="Times New Roman" w:eastAsia="Times New Roman" w:hAnsi="Times New Roman" w:cs="Times New Roman"/>
          <w:b w:val="0"/>
          <w:i w:val="0"/>
          <w:color w:val="000000"/>
          <w:sz w:val="20"/>
          <w:u w:val="none"/>
        </w:rPr>
        <w:t>100,000</w:t>
      </w:r>
      <w:r>
        <w:rPr>
          <w:rFonts w:ascii="Times New Roman" w:eastAsia="Times New Roman" w:hAnsi="Times New Roman" w:cs="Times New Roman"/>
          <w:b w:val="0"/>
          <w:i w:val="0"/>
          <w:sz w:val="20"/>
        </w:rPr>
        <w:t xml:space="preserve"> clients across the United States. Approximately </w:t>
      </w:r>
      <w:r>
        <w:rPr>
          <w:rFonts w:ascii="Times New Roman" w:eastAsia="Times New Roman" w:hAnsi="Times New Roman" w:cs="Times New Roman"/>
          <w:b w:val="0"/>
          <w:i w:val="0"/>
          <w:color w:val="000000"/>
          <w:sz w:val="20"/>
          <w:u w:val="none"/>
        </w:rPr>
        <w:t>36%</w:t>
      </w:r>
      <w:r>
        <w:rPr>
          <w:rFonts w:ascii="Times New Roman" w:eastAsia="Times New Roman" w:hAnsi="Times New Roman" w:cs="Times New Roman"/>
          <w:b w:val="0"/>
          <w:i w:val="0"/>
          <w:sz w:val="20"/>
        </w:rPr>
        <w:t xml:space="preserve"> of our clients are direct and the remaining clients are indirect, as they have contracts with reseller partners who white label our solutions.</w:t>
      </w: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i w:val="0"/>
          <w:color w:val="000000"/>
          <w:sz w:val="20"/>
          <w:highlight w:val="white"/>
          <w:u w:val="none"/>
        </w:rPr>
      </w:pP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i w:val="0"/>
          <w:color w:val="000000"/>
          <w:sz w:val="20"/>
          <w:highlight w:val="yellow"/>
          <w:u w:val="none"/>
        </w:rPr>
      </w:pPr>
      <w:r>
        <w:rPr>
          <w:rFonts w:ascii="Times New Roman" w:eastAsia="Times New Roman" w:hAnsi="Times New Roman" w:cs="Times New Roman"/>
          <w:b w:val="0"/>
          <w:i w:val="0"/>
          <w:sz w:val="20"/>
        </w:rPr>
        <w:t>During the</w:t>
      </w:r>
      <w:r>
        <w:rPr>
          <w:rFonts w:ascii="Times New Roman" w:eastAsia="Times New Roman" w:hAnsi="Times New Roman" w:cs="Times New Roman"/>
          <w:b w:val="0"/>
          <w:i w:val="0"/>
          <w:color w:val="000000"/>
          <w:sz w:val="20"/>
          <w:highlight w:val="white"/>
          <w:u w:val="none"/>
        </w:rPr>
        <w:t xml:space="preserve"> </w:t>
      </w:r>
      <w:r>
        <w:rPr>
          <w:rFonts w:ascii="Times New Roman" w:eastAsia="Times New Roman" w:hAnsi="Times New Roman" w:cs="Times New Roman"/>
          <w:b w:val="0"/>
          <w:i w:val="0"/>
          <w:color w:val="000000"/>
          <w:sz w:val="20"/>
          <w:u w:val="none"/>
        </w:rPr>
        <w:t>three months ended March 31, 2026</w:t>
      </w:r>
      <w:r>
        <w:rPr>
          <w:rFonts w:ascii="Times New Roman" w:eastAsia="Times New Roman" w:hAnsi="Times New Roman" w:cs="Times New Roman"/>
          <w:b w:val="0"/>
          <w:i w:val="0"/>
          <w:sz w:val="20"/>
        </w:rPr>
        <w:t xml:space="preserve">, we completed </w:t>
      </w:r>
      <w:r>
        <w:rPr>
          <w:rFonts w:ascii="Times New Roman" w:eastAsia="Times New Roman" w:hAnsi="Times New Roman" w:cs="Times New Roman"/>
          <w:b w:val="0"/>
          <w:i w:val="0"/>
          <w:color w:val="000000"/>
          <w:sz w:val="20"/>
          <w:u w:val="none"/>
        </w:rPr>
        <w:t>one</w:t>
      </w:r>
      <w:r>
        <w:rPr>
          <w:rFonts w:ascii="Times New Roman" w:eastAsia="Times New Roman" w:hAnsi="Times New Roman" w:cs="Times New Roman"/>
          <w:b w:val="0"/>
          <w:i w:val="0"/>
          <w:sz w:val="20"/>
        </w:rPr>
        <w:t xml:space="preserve"> customer relationship asset acquisition. The total purchase price of this acquisition was </w:t>
      </w:r>
      <w:r>
        <w:rPr>
          <w:rFonts w:ascii="Times New Roman" w:eastAsia="Times New Roman" w:hAnsi="Times New Roman" w:cs="Times New Roman"/>
          <w:b w:val="0"/>
          <w:i w:val="0"/>
          <w:color w:val="000000"/>
          <w:sz w:val="20"/>
          <w:u w:val="none"/>
        </w:rPr>
        <w:t>$6,172</w:t>
      </w:r>
      <w:r>
        <w:rPr>
          <w:rFonts w:ascii="Times New Roman" w:eastAsia="Times New Roman" w:hAnsi="Times New Roman" w:cs="Times New Roman"/>
          <w:b w:val="0"/>
          <w:i w:val="0"/>
          <w:sz w:val="20"/>
        </w:rPr>
        <w:t xml:space="preserve">, which consisted of </w:t>
      </w:r>
      <w:r>
        <w:rPr>
          <w:rFonts w:ascii="Times New Roman" w:eastAsia="Times New Roman" w:hAnsi="Times New Roman" w:cs="Times New Roman"/>
          <w:b w:val="0"/>
          <w:i w:val="0"/>
          <w:color w:val="000000"/>
          <w:sz w:val="20"/>
          <w:u w:val="none"/>
        </w:rPr>
        <w:t>$4,721</w:t>
      </w:r>
      <w:r>
        <w:rPr>
          <w:rFonts w:ascii="Times New Roman" w:eastAsia="Times New Roman" w:hAnsi="Times New Roman" w:cs="Times New Roman"/>
          <w:b w:val="0"/>
          <w:i w:val="0"/>
          <w:sz w:val="20"/>
        </w:rPr>
        <w:t xml:space="preserve"> of cash paid during the </w:t>
      </w:r>
      <w:r>
        <w:rPr>
          <w:rFonts w:ascii="Times New Roman" w:eastAsia="Times New Roman" w:hAnsi="Times New Roman" w:cs="Times New Roman"/>
          <w:b w:val="0"/>
          <w:i w:val="0"/>
          <w:color w:val="000000"/>
          <w:sz w:val="20"/>
          <w:u w:val="none"/>
        </w:rPr>
        <w:t>three months ended March 31, 2026</w:t>
      </w:r>
      <w:r>
        <w:rPr>
          <w:rFonts w:ascii="Times New Roman" w:eastAsia="Times New Roman" w:hAnsi="Times New Roman" w:cs="Times New Roman"/>
          <w:b w:val="0"/>
          <w:i w:val="0"/>
          <w:color w:val="000000"/>
          <w:sz w:val="20"/>
          <w:highlight w:val="white"/>
          <w:u w:val="none"/>
        </w:rPr>
        <w:t xml:space="preserve">, </w:t>
      </w:r>
      <w:r>
        <w:rPr>
          <w:rFonts w:ascii="Times New Roman" w:eastAsia="Times New Roman" w:hAnsi="Times New Roman" w:cs="Times New Roman"/>
          <w:b w:val="0"/>
          <w:i w:val="0"/>
          <w:color w:val="000000"/>
          <w:sz w:val="20"/>
          <w:u w:val="none"/>
        </w:rPr>
        <w:t>$127</w:t>
      </w:r>
      <w:r>
        <w:rPr>
          <w:rFonts w:ascii="Times New Roman" w:eastAsia="Times New Roman" w:hAnsi="Times New Roman" w:cs="Times New Roman"/>
          <w:b w:val="0"/>
          <w:i w:val="0"/>
          <w:sz w:val="20"/>
        </w:rPr>
        <w:t xml:space="preserve"> of cash to be paid over the next 12 months, the delivery of promissory notes in the amount of </w:t>
      </w:r>
      <w:r>
        <w:rPr>
          <w:rFonts w:ascii="Times New Roman" w:eastAsia="Times New Roman" w:hAnsi="Times New Roman" w:cs="Times New Roman"/>
          <w:b w:val="0"/>
          <w:i w:val="0"/>
          <w:color w:val="000000"/>
          <w:sz w:val="20"/>
          <w:u w:val="none"/>
        </w:rPr>
        <w:t>$879</w:t>
      </w:r>
      <w:r>
        <w:rPr>
          <w:rFonts w:ascii="Times New Roman" w:eastAsia="Times New Roman" w:hAnsi="Times New Roman" w:cs="Times New Roman"/>
          <w:b w:val="0"/>
          <w:i w:val="0"/>
          <w:sz w:val="20"/>
        </w:rPr>
        <w:t xml:space="preserve">, net of discounts, and the delivery of </w:t>
      </w:r>
      <w:r>
        <w:rPr>
          <w:rFonts w:ascii="Times New Roman" w:eastAsia="Times New Roman" w:hAnsi="Times New Roman" w:cs="Times New Roman"/>
          <w:b w:val="0"/>
          <w:i w:val="0"/>
          <w:color w:val="000000"/>
          <w:sz w:val="20"/>
          <w:u w:val="none"/>
        </w:rPr>
        <w:t>49</w:t>
      </w:r>
      <w:r>
        <w:rPr>
          <w:rFonts w:ascii="Times New Roman" w:eastAsia="Times New Roman" w:hAnsi="Times New Roman" w:cs="Times New Roman"/>
          <w:b w:val="0"/>
          <w:i w:val="0"/>
          <w:sz w:val="20"/>
        </w:rPr>
        <w:t xml:space="preserve"> shares of Asure common stock, which had an aggregate fair value of </w:t>
      </w:r>
      <w:r>
        <w:rPr>
          <w:rFonts w:ascii="Times New Roman" w:eastAsia="Times New Roman" w:hAnsi="Times New Roman" w:cs="Times New Roman"/>
          <w:b w:val="0"/>
          <w:i w:val="0"/>
          <w:color w:val="000000"/>
          <w:sz w:val="20"/>
          <w:u w:val="none"/>
        </w:rPr>
        <w:t>$445</w:t>
      </w:r>
      <w:r>
        <w:rPr>
          <w:rFonts w:ascii="Times New Roman" w:eastAsia="Times New Roman" w:hAnsi="Times New Roman" w:cs="Times New Roman"/>
          <w:b w:val="0"/>
          <w:i w:val="0"/>
          <w:sz w:val="20"/>
        </w:rPr>
        <w:t xml:space="preserve"> at the acquisition date.</w:t>
      </w:r>
    </w:p>
    <w:p>
      <w:pPr>
        <w:keepNext/>
        <w:keepLines/>
        <w:pageBreakBefore w:val="0"/>
        <w:widowControl w:val="0"/>
        <w:numPr>
          <w:ilvl w:val="0"/>
          <w:numId w:val="0"/>
        </w:numPr>
        <w:spacing w:before="0" w:after="0" w:line="288" w:lineRule="auto"/>
        <w:ind w:left="0" w:right="0" w:firstLine="720"/>
        <w:jc w:val="both"/>
        <w:outlineLvl w:val="9"/>
        <w:sectPr>
          <w:type w:val="continuous"/>
          <w:pgSz w:w="12240" w:h="15840"/>
          <w:pgMar w:top="855" w:right="990" w:bottom="855" w:left="990" w:header="270" w:footer="270"/>
          <w:cols w:space="708"/>
        </w:sectPr>
      </w:pPr>
    </w:p>
    <w:p>
      <w:pPr>
        <w:keepNext w:val="0"/>
        <w:keepLines/>
        <w:pageBreakBefore w:val="0"/>
        <w:widowControl w:val="0"/>
        <w:numPr>
          <w:ilvl w:val="0"/>
          <w:numId w:val="0"/>
        </w:numPr>
        <w:spacing w:before="0" w:after="0" w:line="288" w:lineRule="auto"/>
        <w:ind w:left="0" w:right="0" w:firstLine="0"/>
        <w:jc w:val="left"/>
        <w:outlineLvl w:val="2"/>
        <w:rPr>
          <w:rFonts w:ascii="Times New Roman" w:eastAsia="Times New Roman" w:hAnsi="Times New Roman" w:cs="Times New Roman"/>
          <w:b/>
          <w:i w:val="0"/>
          <w:sz w:val="20"/>
        </w:rPr>
      </w:pPr>
      <w:bookmarkStart w:id="23" w:name="Section24"/>
      <w:bookmarkEnd w:id="23"/>
      <w:r>
        <w:rPr>
          <w:rFonts w:ascii="Times New Roman" w:eastAsia="Times New Roman" w:hAnsi="Times New Roman" w:cs="Times New Roman"/>
          <w:b/>
          <w:i w:val="0"/>
          <w:sz w:val="20"/>
        </w:rPr>
        <w:t xml:space="preserve">RESULTS OF OPERATIONS </w:t>
      </w:r>
      <w:r>
        <w:rPr>
          <w:rFonts w:ascii="Times New Roman" w:eastAsia="Times New Roman" w:hAnsi="Times New Roman" w:cs="Times New Roman"/>
          <w:b w:val="0"/>
          <w:i w:val="0"/>
          <w:sz w:val="20"/>
        </w:rPr>
        <w:t>(in thousands)</w:t>
      </w:r>
    </w:p>
    <w:p>
      <w:pPr>
        <w:keepNext/>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i w:val="0"/>
          <w:sz w:val="20"/>
        </w:rPr>
      </w:pPr>
      <w:r>
        <w:rPr>
          <w:rFonts w:ascii="Times New Roman" w:eastAsia="Times New Roman" w:hAnsi="Times New Roman" w:cs="Times New Roman"/>
          <w:b w:val="0"/>
          <w:i w:val="0"/>
          <w:sz w:val="20"/>
        </w:rPr>
        <w:t xml:space="preserve">The following table sets forth, for the fiscal periods indicated, the percentage of total revenue represented by certain items in our Condensed Consolidated Statements of Comprehensive </w:t>
      </w:r>
      <w:r>
        <w:rPr>
          <w:rFonts w:ascii="Times New Roman" w:eastAsia="Times New Roman" w:hAnsi="Times New Roman" w:cs="Times New Roman"/>
          <w:b w:val="0"/>
          <w:i w:val="0"/>
          <w:color w:val="000000"/>
          <w:sz w:val="20"/>
          <w:u w:val="none"/>
        </w:rPr>
        <w:t>Income and Loss</w:t>
      </w:r>
      <w:r>
        <w:rPr>
          <w:rFonts w:ascii="Times New Roman" w:eastAsia="Times New Roman" w:hAnsi="Times New Roman" w:cs="Times New Roman"/>
          <w:b w:val="0"/>
          <w:i w:val="0"/>
          <w:sz w:val="20"/>
        </w:rPr>
        <w:t>:</w:t>
      </w:r>
    </w:p>
    <w:tbl>
      <w:tblPr>
        <w:tblStyle w:val="TableNormal0"/>
        <w:tblW w:w="7785" w:type="dxa"/>
        <w:jc w:val="center"/>
        <w:tblLayout w:type="fixed"/>
      </w:tblPr>
      <w:tblGrid>
        <w:gridCol w:w="5205"/>
        <w:gridCol w:w="105"/>
        <w:gridCol w:w="1200"/>
        <w:gridCol w:w="75"/>
        <w:gridCol w:w="1200"/>
      </w:tblGrid>
      <w:tr>
        <w:tblPrEx>
          <w:tblW w:w="7785" w:type="dxa"/>
          <w:tblLayout w:type="fixed"/>
        </w:tblPrEx>
        <w:trPr>
          <w:trHeight w:hRule="exact" w:val="525"/>
        </w:trPr>
        <w:tc>
          <w:tcPr>
            <w:tcW w:w="5205" w:type="dxa"/>
            <w:tcBorders>
              <w:top w:val="nil"/>
              <w:left w:val="nil"/>
              <w:bottom w:val="nil"/>
              <w:right w:val="nil"/>
            </w:tcBorders>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 </w:t>
            </w:r>
          </w:p>
        </w:tc>
        <w:tc>
          <w:tcPr>
            <w:tcW w:w="10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2475" w:type="dxa"/>
            <w:gridSpan w:val="3"/>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Three Months Ended March 31,</w:t>
            </w:r>
          </w:p>
        </w:tc>
      </w:tr>
      <w:tr>
        <w:tblPrEx>
          <w:tblW w:w="7785" w:type="dxa"/>
          <w:tblLayout w:type="fixed"/>
        </w:tblPrEx>
        <w:trPr>
          <w:trHeight w:hRule="exact" w:val="300"/>
        </w:trPr>
        <w:tc>
          <w:tcPr>
            <w:tcW w:w="5205" w:type="dxa"/>
            <w:tcBorders>
              <w:top w:val="nil"/>
              <w:left w:val="nil"/>
              <w:bottom w:val="nil"/>
              <w:right w:val="nil"/>
            </w:tcBorders>
            <w:tcMar>
              <w:top w:w="0" w:type="dxa"/>
              <w:left w:w="53" w:type="dxa"/>
              <w:bottom w:w="0" w:type="dxa"/>
              <w:right w:w="53" w:type="dxa"/>
            </w:tcMar>
            <w:vAlign w:val="bottom"/>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 </w:t>
            </w:r>
          </w:p>
        </w:tc>
        <w:tc>
          <w:tcPr>
            <w:tcW w:w="10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200"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33" w:after="30" w:line="240" w:lineRule="auto"/>
              <w:jc w:val="center"/>
            </w:pPr>
            <w:r>
              <w:rPr>
                <w:rFonts w:ascii="Times New Roman" w:eastAsia="Times New Roman" w:hAnsi="Times New Roman" w:cs="Times New Roman"/>
                <w:b/>
                <w:i w:val="0"/>
                <w:color w:val="000000"/>
                <w:sz w:val="20"/>
                <w:u w:val="none"/>
              </w:rPr>
              <w:t>2026</w:t>
            </w:r>
          </w:p>
        </w:tc>
        <w:tc>
          <w:tcPr>
            <w:tcW w:w="75" w:type="dxa"/>
            <w:tcBorders>
              <w:top w:val="single" w:sz="8" w:space="0" w:color="000000"/>
              <w:left w:val="nil"/>
              <w:bottom w:val="nil"/>
              <w:right w:val="nil"/>
            </w:tcBorders>
            <w:tcMar>
              <w:top w:w="0" w:type="dxa"/>
              <w:left w:w="0" w:type="dxa"/>
              <w:bottom w:w="0" w:type="dxa"/>
              <w:right w:w="0" w:type="dxa"/>
            </w:tcMar>
            <w:vAlign w:val="bottom"/>
          </w:tcPr>
          <w:p>
            <w:pPr>
              <w:keepNext/>
              <w:pageBreakBefore w:val="0"/>
              <w:spacing w:before="0" w:after="0"/>
            </w:pPr>
          </w:p>
        </w:tc>
        <w:tc>
          <w:tcPr>
            <w:tcW w:w="1200" w:type="dxa"/>
            <w:tcBorders>
              <w:top w:val="single" w:sz="8" w:space="0" w:color="000000"/>
              <w:left w:val="nil"/>
              <w:bottom w:val="single" w:sz="8" w:space="0" w:color="000000"/>
              <w:right w:val="nil"/>
            </w:tcBorders>
            <w:tcMar>
              <w:top w:w="0" w:type="dxa"/>
              <w:left w:w="53" w:type="dxa"/>
              <w:bottom w:w="0" w:type="dxa"/>
              <w:right w:w="53" w:type="dxa"/>
            </w:tcMar>
            <w:vAlign w:val="bottom"/>
          </w:tcPr>
          <w:p>
            <w:pPr>
              <w:keepNext/>
              <w:pageBreakBefore w:val="0"/>
              <w:spacing w:before="33" w:after="30" w:line="240" w:lineRule="auto"/>
              <w:jc w:val="center"/>
            </w:pPr>
            <w:r>
              <w:rPr>
                <w:rFonts w:ascii="Times New Roman" w:eastAsia="Times New Roman" w:hAnsi="Times New Roman" w:cs="Times New Roman"/>
                <w:b/>
                <w:i w:val="0"/>
                <w:color w:val="000000"/>
                <w:sz w:val="20"/>
                <w:u w:val="none"/>
              </w:rPr>
              <w:t>2025</w:t>
            </w:r>
          </w:p>
        </w:tc>
      </w:tr>
      <w:tr>
        <w:tblPrEx>
          <w:tblW w:w="7785" w:type="dxa"/>
          <w:tblLayout w:type="fixed"/>
        </w:tblPrEx>
        <w:trPr>
          <w:trHeight w:hRule="exact" w:val="300"/>
        </w:trPr>
        <w:tc>
          <w:tcPr>
            <w:tcW w:w="520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Revenue</w:t>
            </w:r>
          </w:p>
        </w:tc>
        <w:tc>
          <w:tcPr>
            <w:tcW w:w="10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1"/>
                <w:tab w:val="left" w:pos="369"/>
              </w:tabs>
              <w:spacing w:before="33" w:after="30" w:line="240" w:lineRule="auto"/>
              <w:jc w:val="right"/>
            </w:pPr>
            <w:r>
              <w:rPr>
                <w:rFonts w:ascii="Times New Roman" w:eastAsia="Times New Roman" w:hAnsi="Times New Roman" w:cs="Times New Roman"/>
                <w:b w:val="0"/>
                <w:i w:val="0"/>
                <w:color w:val="000000"/>
                <w:sz w:val="20"/>
                <w:u w:val="none"/>
              </w:rPr>
              <w:tab/>
              <w:t>100</w:t>
              <w:tab/>
              <w:t>%</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1"/>
                <w:tab w:val="left" w:pos="369"/>
              </w:tabs>
              <w:spacing w:before="33" w:after="30" w:line="240" w:lineRule="auto"/>
              <w:jc w:val="right"/>
            </w:pPr>
            <w:r>
              <w:rPr>
                <w:rFonts w:ascii="Times New Roman" w:eastAsia="Times New Roman" w:hAnsi="Times New Roman" w:cs="Times New Roman"/>
                <w:b w:val="0"/>
                <w:i w:val="0"/>
                <w:color w:val="000000"/>
                <w:sz w:val="20"/>
                <w:u w:val="none"/>
              </w:rPr>
              <w:tab/>
              <w:t>100</w:t>
              <w:tab/>
              <w:t>%</w:t>
            </w:r>
          </w:p>
        </w:tc>
      </w:tr>
      <w:tr>
        <w:tblPrEx>
          <w:tblW w:w="7785" w:type="dxa"/>
          <w:tblLayout w:type="fixed"/>
        </w:tblPrEx>
        <w:trPr>
          <w:trHeight w:hRule="exact" w:val="300"/>
        </w:trPr>
        <w:tc>
          <w:tcPr>
            <w:tcW w:w="520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Gross profit</w:t>
            </w:r>
          </w:p>
        </w:tc>
        <w:tc>
          <w:tcPr>
            <w:tcW w:w="10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
                <w:tab w:val="left" w:pos="269"/>
              </w:tabs>
              <w:spacing w:before="53" w:after="30" w:line="240" w:lineRule="auto"/>
              <w:jc w:val="right"/>
            </w:pPr>
            <w:r>
              <w:rPr>
                <w:rFonts w:ascii="Times New Roman" w:eastAsia="Times New Roman" w:hAnsi="Times New Roman" w:cs="Times New Roman"/>
                <w:b w:val="0"/>
                <w:i w:val="0"/>
                <w:color w:val="000000"/>
                <w:sz w:val="20"/>
                <w:u w:val="none"/>
              </w:rPr>
              <w:tab/>
              <w:t>71</w:t>
              <w:tab/>
              <w:t>%</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
                <w:tab w:val="left" w:pos="269"/>
              </w:tabs>
              <w:spacing w:before="53" w:after="30" w:line="240" w:lineRule="auto"/>
              <w:jc w:val="right"/>
            </w:pPr>
            <w:r>
              <w:rPr>
                <w:rFonts w:ascii="Times New Roman" w:eastAsia="Times New Roman" w:hAnsi="Times New Roman" w:cs="Times New Roman"/>
                <w:b w:val="0"/>
                <w:i w:val="0"/>
                <w:color w:val="000000"/>
                <w:sz w:val="20"/>
                <w:u w:val="none"/>
              </w:rPr>
              <w:tab/>
              <w:t>71</w:t>
              <w:tab/>
              <w:t>%</w:t>
            </w:r>
          </w:p>
        </w:tc>
      </w:tr>
      <w:tr>
        <w:tblPrEx>
          <w:tblW w:w="7785" w:type="dxa"/>
          <w:tblLayout w:type="fixed"/>
        </w:tblPrEx>
        <w:trPr>
          <w:trHeight w:hRule="exact" w:val="300"/>
        </w:trPr>
        <w:tc>
          <w:tcPr>
            <w:tcW w:w="520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Sales and marketing</w:t>
            </w:r>
          </w:p>
        </w:tc>
        <w:tc>
          <w:tcPr>
            <w:tcW w:w="10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0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
                <w:tab w:val="left" w:pos="269"/>
              </w:tabs>
              <w:spacing w:before="53" w:after="30" w:line="240" w:lineRule="auto"/>
              <w:jc w:val="right"/>
            </w:pPr>
            <w:r>
              <w:rPr>
                <w:rFonts w:ascii="Times New Roman" w:eastAsia="Times New Roman" w:hAnsi="Times New Roman" w:cs="Times New Roman"/>
                <w:b w:val="0"/>
                <w:i w:val="0"/>
                <w:color w:val="000000"/>
                <w:sz w:val="20"/>
                <w:u w:val="none"/>
              </w:rPr>
              <w:tab/>
              <w:t>20</w:t>
              <w:tab/>
              <w:t>%</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0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
                <w:tab w:val="left" w:pos="269"/>
              </w:tabs>
              <w:spacing w:before="53" w:after="30" w:line="240" w:lineRule="auto"/>
              <w:jc w:val="right"/>
            </w:pPr>
            <w:r>
              <w:rPr>
                <w:rFonts w:ascii="Times New Roman" w:eastAsia="Times New Roman" w:hAnsi="Times New Roman" w:cs="Times New Roman"/>
                <w:b w:val="0"/>
                <w:i w:val="0"/>
                <w:color w:val="000000"/>
                <w:sz w:val="20"/>
                <w:u w:val="none"/>
              </w:rPr>
              <w:tab/>
              <w:t>24</w:t>
              <w:tab/>
              <w:t>%</w:t>
            </w:r>
          </w:p>
        </w:tc>
      </w:tr>
      <w:tr>
        <w:tblPrEx>
          <w:tblW w:w="7785" w:type="dxa"/>
          <w:tblLayout w:type="fixed"/>
        </w:tblPrEx>
        <w:trPr>
          <w:trHeight w:hRule="exact" w:val="300"/>
        </w:trPr>
        <w:tc>
          <w:tcPr>
            <w:tcW w:w="520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General and administrative</w:t>
            </w:r>
          </w:p>
        </w:tc>
        <w:tc>
          <w:tcPr>
            <w:tcW w:w="10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
                <w:tab w:val="left" w:pos="269"/>
              </w:tabs>
              <w:spacing w:before="53" w:after="30" w:line="240" w:lineRule="auto"/>
              <w:jc w:val="right"/>
            </w:pPr>
            <w:r>
              <w:rPr>
                <w:rFonts w:ascii="Times New Roman" w:eastAsia="Times New Roman" w:hAnsi="Times New Roman" w:cs="Times New Roman"/>
                <w:b w:val="0"/>
                <w:i w:val="0"/>
                <w:color w:val="000000"/>
                <w:sz w:val="20"/>
                <w:u w:val="none"/>
              </w:rPr>
              <w:tab/>
              <w:t>30</w:t>
              <w:tab/>
              <w:t>%</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
                <w:tab w:val="left" w:pos="269"/>
              </w:tabs>
              <w:spacing w:before="53" w:after="30" w:line="240" w:lineRule="auto"/>
              <w:jc w:val="right"/>
            </w:pPr>
            <w:r>
              <w:rPr>
                <w:rFonts w:ascii="Times New Roman" w:eastAsia="Times New Roman" w:hAnsi="Times New Roman" w:cs="Times New Roman"/>
                <w:b w:val="0"/>
                <w:i w:val="0"/>
                <w:color w:val="000000"/>
                <w:sz w:val="20"/>
                <w:u w:val="none"/>
              </w:rPr>
              <w:tab/>
              <w:t>34</w:t>
              <w:tab/>
              <w:t>%</w:t>
            </w:r>
          </w:p>
        </w:tc>
      </w:tr>
      <w:tr>
        <w:tblPrEx>
          <w:tblW w:w="7785" w:type="dxa"/>
          <w:tblLayout w:type="fixed"/>
        </w:tblPrEx>
        <w:trPr>
          <w:trHeight w:hRule="exact" w:val="300"/>
        </w:trPr>
        <w:tc>
          <w:tcPr>
            <w:tcW w:w="520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Research and development</w:t>
            </w:r>
          </w:p>
        </w:tc>
        <w:tc>
          <w:tcPr>
            <w:tcW w:w="10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0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
                <w:tab w:val="left" w:pos="169"/>
              </w:tabs>
              <w:spacing w:before="53" w:after="30" w:line="240" w:lineRule="auto"/>
              <w:jc w:val="right"/>
            </w:pPr>
            <w:r>
              <w:rPr>
                <w:rFonts w:ascii="Times New Roman" w:eastAsia="Times New Roman" w:hAnsi="Times New Roman" w:cs="Times New Roman"/>
                <w:b w:val="0"/>
                <w:i w:val="0"/>
                <w:color w:val="000000"/>
                <w:sz w:val="20"/>
                <w:u w:val="none"/>
              </w:rPr>
              <w:tab/>
              <w:t>4</w:t>
              <w:tab/>
              <w:t>%</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0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
                <w:tab w:val="left" w:pos="169"/>
              </w:tabs>
              <w:spacing w:before="53" w:after="30" w:line="240" w:lineRule="auto"/>
              <w:jc w:val="right"/>
            </w:pPr>
            <w:r>
              <w:rPr>
                <w:rFonts w:ascii="Times New Roman" w:eastAsia="Times New Roman" w:hAnsi="Times New Roman" w:cs="Times New Roman"/>
                <w:b w:val="0"/>
                <w:i w:val="0"/>
                <w:color w:val="000000"/>
                <w:sz w:val="20"/>
                <w:u w:val="none"/>
              </w:rPr>
              <w:tab/>
              <w:t>6</w:t>
              <w:tab/>
              <w:t>%</w:t>
            </w:r>
          </w:p>
        </w:tc>
      </w:tr>
      <w:tr>
        <w:tblPrEx>
          <w:tblW w:w="7785" w:type="dxa"/>
          <w:tblLayout w:type="fixed"/>
        </w:tblPrEx>
        <w:trPr>
          <w:trHeight w:hRule="exact" w:val="300"/>
        </w:trPr>
        <w:tc>
          <w:tcPr>
            <w:tcW w:w="520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Amortization of intangible assets</w:t>
            </w:r>
          </w:p>
        </w:tc>
        <w:tc>
          <w:tcPr>
            <w:tcW w:w="10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
                <w:tab w:val="left" w:pos="269"/>
              </w:tabs>
              <w:spacing w:before="53" w:after="30" w:line="240" w:lineRule="auto"/>
              <w:jc w:val="right"/>
            </w:pPr>
            <w:r>
              <w:rPr>
                <w:rFonts w:ascii="Times New Roman" w:eastAsia="Times New Roman" w:hAnsi="Times New Roman" w:cs="Times New Roman"/>
                <w:b w:val="0"/>
                <w:i w:val="0"/>
                <w:color w:val="000000"/>
                <w:sz w:val="20"/>
                <w:u w:val="none"/>
              </w:rPr>
              <w:tab/>
              <w:t>12</w:t>
              <w:tab/>
              <w:t>%</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
                <w:tab w:val="left" w:pos="269"/>
              </w:tabs>
              <w:spacing w:before="53" w:after="30" w:line="240" w:lineRule="auto"/>
              <w:jc w:val="right"/>
            </w:pPr>
            <w:r>
              <w:rPr>
                <w:rFonts w:ascii="Times New Roman" w:eastAsia="Times New Roman" w:hAnsi="Times New Roman" w:cs="Times New Roman"/>
                <w:b w:val="0"/>
                <w:i w:val="0"/>
                <w:color w:val="000000"/>
                <w:sz w:val="20"/>
                <w:u w:val="none"/>
              </w:rPr>
              <w:tab/>
              <w:t>12</w:t>
              <w:tab/>
              <w:t>%</w:t>
            </w:r>
          </w:p>
        </w:tc>
      </w:tr>
      <w:tr>
        <w:tblPrEx>
          <w:tblW w:w="7785" w:type="dxa"/>
          <w:tblLayout w:type="fixed"/>
        </w:tblPrEx>
        <w:trPr>
          <w:trHeight w:hRule="exact" w:val="300"/>
        </w:trPr>
        <w:tc>
          <w:tcPr>
            <w:tcW w:w="520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Total operating expenses</w:t>
            </w:r>
          </w:p>
        </w:tc>
        <w:tc>
          <w:tcPr>
            <w:tcW w:w="10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0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
                <w:tab w:val="left" w:pos="269"/>
              </w:tabs>
              <w:spacing w:before="53" w:after="30" w:line="240" w:lineRule="auto"/>
              <w:jc w:val="right"/>
            </w:pPr>
            <w:r>
              <w:rPr>
                <w:rFonts w:ascii="Times New Roman" w:eastAsia="Times New Roman" w:hAnsi="Times New Roman" w:cs="Times New Roman"/>
                <w:b w:val="0"/>
                <w:i w:val="0"/>
                <w:color w:val="000000"/>
                <w:sz w:val="20"/>
                <w:u w:val="none"/>
              </w:rPr>
              <w:tab/>
              <w:t>66</w:t>
              <w:tab/>
              <w:t>%</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0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
                <w:tab w:val="left" w:pos="269"/>
              </w:tabs>
              <w:spacing w:before="53" w:after="30" w:line="240" w:lineRule="auto"/>
              <w:jc w:val="right"/>
            </w:pPr>
            <w:r>
              <w:rPr>
                <w:rFonts w:ascii="Times New Roman" w:eastAsia="Times New Roman" w:hAnsi="Times New Roman" w:cs="Times New Roman"/>
                <w:b w:val="0"/>
                <w:i w:val="0"/>
                <w:color w:val="000000"/>
                <w:sz w:val="20"/>
                <w:u w:val="none"/>
              </w:rPr>
              <w:tab/>
              <w:t>76</w:t>
              <w:tab/>
              <w:t>%</w:t>
            </w:r>
          </w:p>
        </w:tc>
      </w:tr>
      <w:tr>
        <w:tblPrEx>
          <w:tblW w:w="7785" w:type="dxa"/>
          <w:tblLayout w:type="fixed"/>
        </w:tblPrEx>
        <w:trPr>
          <w:trHeight w:hRule="exact" w:val="300"/>
        </w:trPr>
        <w:tc>
          <w:tcPr>
            <w:tcW w:w="520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Interest income</w:t>
            </w:r>
          </w:p>
        </w:tc>
        <w:tc>
          <w:tcPr>
            <w:tcW w:w="10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
                <w:tab w:val="left" w:pos="269"/>
              </w:tabs>
              <w:spacing w:before="53" w:after="30" w:line="240" w:lineRule="auto"/>
              <w:jc w:val="right"/>
            </w:pPr>
            <w:r>
              <w:rPr>
                <w:rFonts w:ascii="Times New Roman" w:eastAsia="Times New Roman" w:hAnsi="Times New Roman" w:cs="Times New Roman"/>
                <w:b w:val="0"/>
                <w:i w:val="0"/>
                <w:color w:val="000000"/>
                <w:sz w:val="20"/>
                <w:u w:val="none"/>
              </w:rPr>
              <w:tab/>
              <w:t>—</w:t>
              <w:tab/>
              <w:t>%</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
                <w:tab w:val="left" w:pos="269"/>
              </w:tabs>
              <w:spacing w:before="53" w:after="30" w:line="240" w:lineRule="auto"/>
              <w:jc w:val="right"/>
            </w:pPr>
            <w:r>
              <w:rPr>
                <w:rFonts w:ascii="Times New Roman" w:eastAsia="Times New Roman" w:hAnsi="Times New Roman" w:cs="Times New Roman"/>
                <w:b w:val="0"/>
                <w:i w:val="0"/>
                <w:color w:val="000000"/>
                <w:sz w:val="20"/>
                <w:u w:val="none"/>
              </w:rPr>
              <w:tab/>
              <w:t>—</w:t>
              <w:tab/>
              <w:t>%</w:t>
            </w:r>
          </w:p>
        </w:tc>
      </w:tr>
      <w:tr>
        <w:tblPrEx>
          <w:tblW w:w="7785" w:type="dxa"/>
          <w:tblLayout w:type="fixed"/>
        </w:tblPrEx>
        <w:trPr>
          <w:trHeight w:hRule="exact" w:val="300"/>
        </w:trPr>
        <w:tc>
          <w:tcPr>
            <w:tcW w:w="520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Interest expense</w:t>
            </w:r>
          </w:p>
        </w:tc>
        <w:tc>
          <w:tcPr>
            <w:tcW w:w="10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0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
                <w:tab w:val="left" w:pos="236"/>
              </w:tabs>
              <w:spacing w:before="53" w:after="30" w:line="240" w:lineRule="auto"/>
              <w:jc w:val="right"/>
            </w:pPr>
            <w:r>
              <w:rPr>
                <w:rFonts w:ascii="Times New Roman" w:eastAsia="Times New Roman" w:hAnsi="Times New Roman" w:cs="Times New Roman"/>
                <w:b w:val="0"/>
                <w:i w:val="0"/>
                <w:color w:val="000000"/>
                <w:sz w:val="20"/>
                <w:u w:val="none"/>
              </w:rPr>
              <w:tab/>
              <w:t>(4)</w:t>
              <w:tab/>
              <w:t>%</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0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
                <w:tab w:val="left" w:pos="236"/>
              </w:tabs>
              <w:spacing w:before="53" w:after="30" w:line="240" w:lineRule="auto"/>
              <w:jc w:val="right"/>
            </w:pPr>
            <w:r>
              <w:rPr>
                <w:rFonts w:ascii="Times New Roman" w:eastAsia="Times New Roman" w:hAnsi="Times New Roman" w:cs="Times New Roman"/>
                <w:b w:val="0"/>
                <w:i w:val="0"/>
                <w:color w:val="000000"/>
                <w:sz w:val="20"/>
                <w:u w:val="none"/>
              </w:rPr>
              <w:tab/>
              <w:t>(1)</w:t>
              <w:tab/>
              <w:t>%</w:t>
            </w:r>
          </w:p>
        </w:tc>
      </w:tr>
      <w:tr>
        <w:tblPrEx>
          <w:tblW w:w="7785" w:type="dxa"/>
          <w:tblLayout w:type="fixed"/>
        </w:tblPrEx>
        <w:trPr>
          <w:trHeight w:hRule="exact" w:val="300"/>
        </w:trPr>
        <w:tc>
          <w:tcPr>
            <w:tcW w:w="520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Other income, net</w:t>
            </w:r>
          </w:p>
        </w:tc>
        <w:tc>
          <w:tcPr>
            <w:tcW w:w="10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
                <w:tab w:val="left" w:pos="269"/>
              </w:tabs>
              <w:spacing w:before="53" w:after="30" w:line="240" w:lineRule="auto"/>
              <w:jc w:val="right"/>
            </w:pPr>
            <w:r>
              <w:rPr>
                <w:rFonts w:ascii="Times New Roman" w:eastAsia="Times New Roman" w:hAnsi="Times New Roman" w:cs="Times New Roman"/>
                <w:b w:val="0"/>
                <w:i w:val="0"/>
                <w:color w:val="000000"/>
                <w:sz w:val="20"/>
                <w:u w:val="none"/>
              </w:rPr>
              <w:tab/>
              <w:t>—</w:t>
              <w:tab/>
              <w:t>%</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
                <w:tab w:val="left" w:pos="169"/>
              </w:tabs>
              <w:spacing w:before="53" w:after="30" w:line="240" w:lineRule="auto"/>
              <w:jc w:val="right"/>
            </w:pPr>
            <w:r>
              <w:rPr>
                <w:rFonts w:ascii="Times New Roman" w:eastAsia="Times New Roman" w:hAnsi="Times New Roman" w:cs="Times New Roman"/>
                <w:b w:val="0"/>
                <w:i w:val="0"/>
                <w:color w:val="000000"/>
                <w:sz w:val="20"/>
                <w:u w:val="none"/>
              </w:rPr>
              <w:tab/>
              <w:t>1</w:t>
              <w:tab/>
              <w:t>%</w:t>
            </w:r>
          </w:p>
        </w:tc>
      </w:tr>
      <w:tr>
        <w:tblPrEx>
          <w:tblW w:w="7785" w:type="dxa"/>
          <w:tblLayout w:type="fixed"/>
        </w:tblPrEx>
        <w:trPr>
          <w:trHeight w:hRule="exact" w:val="285"/>
        </w:trPr>
        <w:tc>
          <w:tcPr>
            <w:tcW w:w="520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Income (loss) from operations before income taxes</w:t>
            </w:r>
          </w:p>
        </w:tc>
        <w:tc>
          <w:tcPr>
            <w:tcW w:w="10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0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
                <w:tab w:val="left" w:pos="169"/>
              </w:tabs>
              <w:spacing w:before="53" w:after="30" w:line="240" w:lineRule="auto"/>
              <w:jc w:val="right"/>
            </w:pPr>
            <w:r>
              <w:rPr>
                <w:rFonts w:ascii="Times New Roman" w:eastAsia="Times New Roman" w:hAnsi="Times New Roman" w:cs="Times New Roman"/>
                <w:b w:val="0"/>
                <w:i w:val="0"/>
                <w:color w:val="000000"/>
                <w:sz w:val="20"/>
                <w:u w:val="none"/>
              </w:rPr>
              <w:tab/>
              <w:t>2</w:t>
              <w:tab/>
              <w:t>%</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0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
                <w:tab w:val="left" w:pos="236"/>
              </w:tabs>
              <w:spacing w:before="53" w:after="30" w:line="240" w:lineRule="auto"/>
              <w:jc w:val="right"/>
            </w:pPr>
            <w:r>
              <w:rPr>
                <w:rFonts w:ascii="Times New Roman" w:eastAsia="Times New Roman" w:hAnsi="Times New Roman" w:cs="Times New Roman"/>
                <w:b w:val="0"/>
                <w:i w:val="0"/>
                <w:color w:val="000000"/>
                <w:sz w:val="20"/>
                <w:u w:val="none"/>
              </w:rPr>
              <w:tab/>
              <w:t>(6)</w:t>
              <w:tab/>
              <w:t>%</w:t>
            </w:r>
          </w:p>
        </w:tc>
      </w:tr>
      <w:tr>
        <w:tblPrEx>
          <w:tblW w:w="7785" w:type="dxa"/>
          <w:tblLayout w:type="fixed"/>
        </w:tblPrEx>
        <w:trPr>
          <w:trHeight w:hRule="exact" w:val="300"/>
        </w:trPr>
        <w:tc>
          <w:tcPr>
            <w:tcW w:w="5205" w:type="dxa"/>
            <w:tcBorders>
              <w:top w:val="nil"/>
              <w:left w:val="nil"/>
              <w:bottom w:val="nil"/>
              <w:right w:val="nil"/>
            </w:tcBorders>
            <w:shd w:val="clear" w:color="auto" w:fill="FFFFFF"/>
            <w:tcMar>
              <w:top w:w="0" w:type="dxa"/>
              <w:left w:w="53" w:type="dxa"/>
              <w:bottom w:w="0" w:type="dxa"/>
              <w:right w:w="53" w:type="dxa"/>
            </w:tcMar>
            <w:vAlign w:val="bottom"/>
          </w:tcPr>
          <w:p>
            <w:pPr>
              <w:pageBreakBefore w:val="0"/>
              <w:spacing w:before="53" w:after="30" w:line="240" w:lineRule="auto"/>
              <w:jc w:val="left"/>
            </w:pPr>
            <w:r>
              <w:rPr>
                <w:rFonts w:ascii="Times New Roman" w:eastAsia="Times New Roman" w:hAnsi="Times New Roman" w:cs="Times New Roman"/>
                <w:b w:val="0"/>
                <w:i w:val="0"/>
                <w:color w:val="000000"/>
                <w:sz w:val="20"/>
                <w:u w:val="none"/>
              </w:rPr>
              <w:t>Net income (loss)</w:t>
            </w:r>
          </w:p>
        </w:tc>
        <w:tc>
          <w:tcPr>
            <w:tcW w:w="10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pPr>
              <w:pageBreakBefore w:val="0"/>
              <w:tabs>
                <w:tab w:val="left" w:pos="1"/>
                <w:tab w:val="left" w:pos="169"/>
              </w:tabs>
              <w:spacing w:before="53" w:after="30" w:line="240" w:lineRule="auto"/>
              <w:jc w:val="right"/>
            </w:pPr>
            <w:r>
              <w:rPr>
                <w:rFonts w:ascii="Times New Roman" w:eastAsia="Times New Roman" w:hAnsi="Times New Roman" w:cs="Times New Roman"/>
                <w:b w:val="0"/>
                <w:i w:val="0"/>
                <w:color w:val="000000"/>
                <w:sz w:val="20"/>
                <w:u w:val="none"/>
              </w:rPr>
              <w:tab/>
              <w:t>1</w:t>
              <w:tab/>
              <w:t>%</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pPr>
              <w:pageBreakBefore w:val="0"/>
              <w:tabs>
                <w:tab w:val="left" w:pos="1"/>
                <w:tab w:val="left" w:pos="236"/>
              </w:tabs>
              <w:spacing w:before="53" w:after="30" w:line="240" w:lineRule="auto"/>
              <w:jc w:val="right"/>
            </w:pPr>
            <w:r>
              <w:rPr>
                <w:rFonts w:ascii="Times New Roman" w:eastAsia="Times New Roman" w:hAnsi="Times New Roman" w:cs="Times New Roman"/>
                <w:b w:val="0"/>
                <w:i w:val="0"/>
                <w:color w:val="000000"/>
                <w:sz w:val="20"/>
                <w:u w:val="none"/>
              </w:rPr>
              <w:tab/>
              <w:t>(7)</w:t>
              <w:tab/>
              <w:t>%</w:t>
            </w:r>
          </w:p>
        </w:tc>
      </w:tr>
    </w:tbl>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sz w:val="20"/>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sz w:val="20"/>
        </w:rPr>
      </w:pPr>
      <w:r>
        <w:rPr>
          <w:rFonts w:ascii="Times New Roman" w:eastAsia="Times New Roman" w:hAnsi="Times New Roman" w:cs="Times New Roman"/>
          <w:b/>
          <w:i w:val="0"/>
          <w:sz w:val="20"/>
        </w:rPr>
        <w:t>Revenue</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 xml:space="preserve">Revenue is comprised of recurring revenue, professional services, hardware, and other revenue. We expect our revenue to increase as we introduce new applications, expand our client base and renew and expand relationships with existing clients. As a percentage of total revenue, we expect our mix of recurring revenue, and professional services, hardware and other revenue to remain relatively constant. While revenue mix varies by product, recurring revenue represented over </w:t>
      </w:r>
      <w:r>
        <w:rPr>
          <w:rFonts w:ascii="Times New Roman" w:eastAsia="Times New Roman" w:hAnsi="Times New Roman" w:cs="Times New Roman"/>
          <w:b w:val="0"/>
          <w:i w:val="0"/>
          <w:color w:val="000000"/>
          <w:sz w:val="20"/>
          <w:u w:val="none"/>
        </w:rPr>
        <w:t>88%</w:t>
      </w:r>
      <w:r>
        <w:rPr>
          <w:rFonts w:ascii="Times New Roman" w:eastAsia="Times New Roman" w:hAnsi="Times New Roman" w:cs="Times New Roman"/>
          <w:b w:val="0"/>
          <w:i w:val="0"/>
          <w:sz w:val="20"/>
        </w:rPr>
        <w:t xml:space="preserve"> of total revenue in the </w:t>
      </w:r>
      <w:r>
        <w:rPr>
          <w:rFonts w:ascii="Times New Roman" w:eastAsia="Times New Roman" w:hAnsi="Times New Roman" w:cs="Times New Roman"/>
          <w:b w:val="0"/>
          <w:i w:val="0"/>
          <w:color w:val="000000"/>
          <w:sz w:val="20"/>
          <w:u w:val="none"/>
        </w:rPr>
        <w:t>three months ended March 31, 2026</w:t>
      </w:r>
      <w:r>
        <w:rPr>
          <w:rFonts w:ascii="Times New Roman" w:eastAsia="Times New Roman" w:hAnsi="Times New Roman" w:cs="Times New Roman"/>
          <w:b w:val="0"/>
          <w:i w:val="0"/>
          <w:sz w:val="20"/>
        </w:rPr>
        <w:t xml:space="preserve">, compared to </w:t>
      </w:r>
      <w:r>
        <w:rPr>
          <w:rFonts w:ascii="Times New Roman" w:eastAsia="Times New Roman" w:hAnsi="Times New Roman" w:cs="Times New Roman"/>
          <w:b w:val="0"/>
          <w:i w:val="0"/>
          <w:color w:val="000000"/>
          <w:sz w:val="20"/>
          <w:u w:val="none"/>
        </w:rPr>
        <w:t>95%</w:t>
      </w:r>
      <w:r>
        <w:rPr>
          <w:rFonts w:ascii="Times New Roman" w:eastAsia="Times New Roman" w:hAnsi="Times New Roman" w:cs="Times New Roman"/>
          <w:b w:val="0"/>
          <w:i w:val="0"/>
          <w:sz w:val="20"/>
        </w:rPr>
        <w:t xml:space="preserve"> in the </w:t>
      </w:r>
      <w:r>
        <w:rPr>
          <w:rFonts w:ascii="Times New Roman" w:eastAsia="Times New Roman" w:hAnsi="Times New Roman" w:cs="Times New Roman"/>
          <w:b w:val="0"/>
          <w:i w:val="0"/>
          <w:color w:val="000000"/>
          <w:sz w:val="20"/>
          <w:u w:val="none"/>
        </w:rPr>
        <w:t>three months ended March 31, 2025</w:t>
      </w:r>
      <w:r>
        <w:rPr>
          <w:rFonts w:ascii="Times New Roman" w:eastAsia="Times New Roman" w:hAnsi="Times New Roman" w:cs="Times New Roman"/>
          <w:b w:val="0"/>
          <w:i w:val="0"/>
          <w:sz w:val="20"/>
        </w:rPr>
        <w:t>. This decrease was primarily due to the increase in hardware sales as a result of time and attendance business growth.</w:t>
      </w: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Our revenue was derived from the following sources (in thousands):</w:t>
      </w: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p>
    <w:tbl>
      <w:tblPr>
        <w:tblStyle w:val="TableNormal0"/>
        <w:tblW w:w="10245" w:type="dxa"/>
        <w:tblInd w:w="0" w:type="dxa"/>
        <w:tblLayout w:type="fixed"/>
      </w:tblPr>
      <w:tblGrid>
        <w:gridCol w:w="4605"/>
        <w:gridCol w:w="1365"/>
        <w:gridCol w:w="60"/>
        <w:gridCol w:w="1365"/>
        <w:gridCol w:w="60"/>
        <w:gridCol w:w="1365"/>
        <w:gridCol w:w="60"/>
        <w:gridCol w:w="1365"/>
      </w:tblGrid>
      <w:tr>
        <w:tblPrEx>
          <w:tblW w:w="10245" w:type="dxa"/>
          <w:tblInd w:w="0" w:type="dxa"/>
          <w:tblLayout w:type="fixed"/>
        </w:tblPrEx>
        <w:trPr>
          <w:trHeight w:hRule="exact" w:val="435"/>
        </w:trPr>
        <w:tc>
          <w:tcPr>
            <w:tcW w:w="460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2790" w:type="dxa"/>
            <w:gridSpan w:val="3"/>
            <w:tcBorders>
              <w:top w:val="nil"/>
              <w:left w:val="nil"/>
              <w:bottom w:val="nil"/>
              <w:right w:val="nil"/>
            </w:tcBorders>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Three Months Ended March 31,</w:t>
            </w:r>
          </w:p>
        </w:tc>
        <w:tc>
          <w:tcPr>
            <w:tcW w:w="6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2790" w:type="dxa"/>
            <w:gridSpan w:val="3"/>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Variance</w:t>
            </w:r>
          </w:p>
        </w:tc>
      </w:tr>
      <w:tr>
        <w:tblPrEx>
          <w:tblW w:w="10245" w:type="dxa"/>
          <w:tblInd w:w="0" w:type="dxa"/>
          <w:tblLayout w:type="fixed"/>
        </w:tblPrEx>
        <w:trPr>
          <w:trHeight w:hRule="exact" w:val="285"/>
        </w:trPr>
        <w:tc>
          <w:tcPr>
            <w:tcW w:w="460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365" w:type="dxa"/>
            <w:tcBorders>
              <w:top w:val="single" w:sz="8" w:space="0" w:color="000000"/>
              <w:left w:val="nil"/>
              <w:bottom w:val="single" w:sz="8" w:space="0" w:color="000000"/>
              <w:right w:val="nil"/>
            </w:tcBorders>
            <w:tcMar>
              <w:top w:w="0" w:type="dxa"/>
              <w:left w:w="53" w:type="dxa"/>
              <w:bottom w:w="0" w:type="dxa"/>
              <w:right w:w="53" w:type="dxa"/>
            </w:tcMar>
            <w:vAlign w:val="bottom"/>
          </w:tcPr>
          <w:p>
            <w:pPr>
              <w:keepNext/>
              <w:pageBreakBefore w:val="0"/>
              <w:spacing w:before="33" w:after="30" w:line="240" w:lineRule="auto"/>
              <w:jc w:val="center"/>
            </w:pPr>
            <w:r>
              <w:rPr>
                <w:rFonts w:ascii="Times New Roman" w:eastAsia="Times New Roman" w:hAnsi="Times New Roman" w:cs="Times New Roman"/>
                <w:b/>
                <w:i w:val="0"/>
                <w:color w:val="000000"/>
                <w:sz w:val="20"/>
                <w:u w:val="none"/>
              </w:rPr>
              <w:t>2026</w:t>
            </w:r>
          </w:p>
        </w:tc>
        <w:tc>
          <w:tcPr>
            <w:tcW w:w="60" w:type="dxa"/>
            <w:tcBorders>
              <w:top w:val="single" w:sz="8" w:space="0" w:color="000000"/>
              <w:left w:val="nil"/>
              <w:bottom w:val="nil"/>
              <w:right w:val="nil"/>
            </w:tcBorders>
            <w:tcMar>
              <w:top w:w="0" w:type="dxa"/>
              <w:left w:w="0" w:type="dxa"/>
              <w:bottom w:w="0" w:type="dxa"/>
              <w:right w:w="0" w:type="dxa"/>
            </w:tcMar>
            <w:vAlign w:val="bottom"/>
          </w:tcPr>
          <w:p>
            <w:pPr>
              <w:keepNext/>
              <w:pageBreakBefore w:val="0"/>
              <w:spacing w:before="0" w:after="0"/>
            </w:pPr>
          </w:p>
        </w:tc>
        <w:tc>
          <w:tcPr>
            <w:tcW w:w="1365" w:type="dxa"/>
            <w:tcBorders>
              <w:top w:val="single" w:sz="8" w:space="0" w:color="000000"/>
              <w:left w:val="nil"/>
              <w:bottom w:val="single" w:sz="8" w:space="0" w:color="000000"/>
              <w:right w:val="nil"/>
            </w:tcBorders>
            <w:tcMar>
              <w:top w:w="0" w:type="dxa"/>
              <w:left w:w="53" w:type="dxa"/>
              <w:bottom w:w="0" w:type="dxa"/>
              <w:right w:w="53" w:type="dxa"/>
            </w:tcMar>
            <w:vAlign w:val="bottom"/>
          </w:tcPr>
          <w:p>
            <w:pPr>
              <w:keepNext/>
              <w:pageBreakBefore w:val="0"/>
              <w:spacing w:before="33" w:after="30" w:line="240" w:lineRule="auto"/>
              <w:jc w:val="center"/>
            </w:pPr>
            <w:r>
              <w:rPr>
                <w:rFonts w:ascii="Times New Roman" w:eastAsia="Times New Roman" w:hAnsi="Times New Roman" w:cs="Times New Roman"/>
                <w:b/>
                <w:i w:val="0"/>
                <w:color w:val="000000"/>
                <w:sz w:val="20"/>
                <w:u w:val="none"/>
              </w:rPr>
              <w:t>2025</w:t>
            </w:r>
          </w:p>
        </w:tc>
        <w:tc>
          <w:tcPr>
            <w:tcW w:w="6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36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33" w:after="30" w:line="240" w:lineRule="auto"/>
              <w:jc w:val="center"/>
            </w:pPr>
            <w:r>
              <w:rPr>
                <w:rFonts w:ascii="Times New Roman" w:eastAsia="Times New Roman" w:hAnsi="Times New Roman" w:cs="Times New Roman"/>
                <w:b/>
                <w:i w:val="0"/>
                <w:color w:val="000000"/>
                <w:sz w:val="20"/>
                <w:u w:val="none"/>
              </w:rPr>
              <w:t>$</w:t>
            </w:r>
          </w:p>
        </w:tc>
        <w:tc>
          <w:tcPr>
            <w:tcW w:w="60" w:type="dxa"/>
            <w:tcBorders>
              <w:top w:val="single" w:sz="8" w:space="0" w:color="000000"/>
              <w:left w:val="nil"/>
              <w:bottom w:val="nil"/>
              <w:right w:val="nil"/>
            </w:tcBorders>
            <w:tcMar>
              <w:top w:w="0" w:type="dxa"/>
              <w:left w:w="0" w:type="dxa"/>
              <w:bottom w:w="0" w:type="dxa"/>
              <w:right w:w="0" w:type="dxa"/>
            </w:tcMar>
            <w:vAlign w:val="bottom"/>
          </w:tcPr>
          <w:p>
            <w:pPr>
              <w:keepNext/>
              <w:pageBreakBefore w:val="0"/>
              <w:spacing w:before="0" w:after="0"/>
            </w:pPr>
          </w:p>
        </w:tc>
        <w:tc>
          <w:tcPr>
            <w:tcW w:w="1365" w:type="dxa"/>
            <w:tcBorders>
              <w:top w:val="single" w:sz="8" w:space="0" w:color="000000"/>
              <w:left w:val="nil"/>
              <w:bottom w:val="single" w:sz="8" w:space="0" w:color="000000"/>
              <w:right w:val="nil"/>
            </w:tcBorders>
            <w:tcMar>
              <w:top w:w="0" w:type="dxa"/>
              <w:left w:w="53" w:type="dxa"/>
              <w:bottom w:w="0" w:type="dxa"/>
              <w:right w:w="53" w:type="dxa"/>
            </w:tcMar>
            <w:vAlign w:val="bottom"/>
          </w:tcPr>
          <w:p>
            <w:pPr>
              <w:keepNext/>
              <w:pageBreakBefore w:val="0"/>
              <w:spacing w:before="33" w:after="30" w:line="240" w:lineRule="auto"/>
              <w:jc w:val="center"/>
            </w:pPr>
            <w:r>
              <w:rPr>
                <w:rFonts w:ascii="Times New Roman" w:eastAsia="Times New Roman" w:hAnsi="Times New Roman" w:cs="Times New Roman"/>
                <w:b/>
                <w:i w:val="0"/>
                <w:color w:val="000000"/>
                <w:sz w:val="20"/>
                <w:u w:val="none"/>
              </w:rPr>
              <w:t>%</w:t>
            </w:r>
          </w:p>
        </w:tc>
      </w:tr>
      <w:tr>
        <w:tblPrEx>
          <w:tblW w:w="10245" w:type="dxa"/>
          <w:tblInd w:w="0" w:type="dxa"/>
          <w:tblLayout w:type="fixed"/>
        </w:tblPrEx>
        <w:trPr>
          <w:trHeight w:hRule="exact" w:val="285"/>
        </w:trPr>
        <w:tc>
          <w:tcPr>
            <w:tcW w:w="460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Recurring</w:t>
            </w:r>
          </w:p>
        </w:tc>
        <w:tc>
          <w:tcPr>
            <w:tcW w:w="136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682"/>
                <w:tab w:val="left" w:pos="1297"/>
              </w:tabs>
              <w:spacing w:before="33" w:after="30" w:line="240" w:lineRule="auto"/>
              <w:jc w:val="right"/>
            </w:pPr>
            <w:r>
              <w:rPr>
                <w:rFonts w:ascii="Times New Roman" w:eastAsia="Times New Roman" w:hAnsi="Times New Roman" w:cs="Times New Roman"/>
                <w:b w:val="0"/>
                <w:i w:val="0"/>
                <w:color w:val="000000"/>
                <w:sz w:val="20"/>
                <w:u w:val="none"/>
              </w:rPr>
              <w:t>$</w:t>
              <w:tab/>
              <w:t>37,757</w:t>
              <w:tab/>
            </w:r>
          </w:p>
        </w:tc>
        <w:tc>
          <w:tcPr>
            <w:tcW w:w="60"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6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682"/>
                <w:tab w:val="left" w:pos="1297"/>
              </w:tabs>
              <w:spacing w:before="33" w:after="30" w:line="240" w:lineRule="auto"/>
              <w:jc w:val="right"/>
            </w:pPr>
            <w:r>
              <w:rPr>
                <w:rFonts w:ascii="Times New Roman" w:eastAsia="Times New Roman" w:hAnsi="Times New Roman" w:cs="Times New Roman"/>
                <w:b w:val="0"/>
                <w:i w:val="0"/>
                <w:color w:val="000000"/>
                <w:sz w:val="20"/>
                <w:u w:val="none"/>
              </w:rPr>
              <w:t>$</w:t>
              <w:tab/>
              <w:t>33,187</w:t>
              <w:tab/>
            </w:r>
          </w:p>
        </w:tc>
        <w:tc>
          <w:tcPr>
            <w:tcW w:w="60"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6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782"/>
                <w:tab w:val="left" w:pos="1297"/>
              </w:tabs>
              <w:spacing w:before="33" w:after="30" w:line="240" w:lineRule="auto"/>
              <w:jc w:val="right"/>
            </w:pPr>
            <w:r>
              <w:rPr>
                <w:rFonts w:ascii="Times New Roman" w:eastAsia="Times New Roman" w:hAnsi="Times New Roman" w:cs="Times New Roman"/>
                <w:b w:val="0"/>
                <w:i w:val="0"/>
                <w:color w:val="000000"/>
                <w:sz w:val="20"/>
                <w:u w:val="none"/>
              </w:rPr>
              <w:t>$</w:t>
              <w:tab/>
              <w:t>4,570</w:t>
              <w:tab/>
            </w:r>
          </w:p>
        </w:tc>
        <w:tc>
          <w:tcPr>
            <w:tcW w:w="60"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6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1"/>
                <w:tab w:val="left" w:pos="269"/>
              </w:tabs>
              <w:spacing w:before="33" w:after="30" w:line="240" w:lineRule="auto"/>
              <w:jc w:val="right"/>
            </w:pPr>
            <w:r>
              <w:rPr>
                <w:rFonts w:ascii="Times New Roman" w:eastAsia="Times New Roman" w:hAnsi="Times New Roman" w:cs="Times New Roman"/>
                <w:b w:val="0"/>
                <w:i w:val="0"/>
                <w:color w:val="000000"/>
                <w:sz w:val="20"/>
                <w:u w:val="none"/>
              </w:rPr>
              <w:tab/>
              <w:t>14</w:t>
              <w:tab/>
              <w:t>%</w:t>
            </w:r>
          </w:p>
        </w:tc>
      </w:tr>
      <w:tr>
        <w:tblPrEx>
          <w:tblW w:w="10245" w:type="dxa"/>
          <w:tblInd w:w="0" w:type="dxa"/>
          <w:tblLayout w:type="fixed"/>
        </w:tblPrEx>
        <w:trPr>
          <w:trHeight w:hRule="exact" w:val="285"/>
        </w:trPr>
        <w:tc>
          <w:tcPr>
            <w:tcW w:w="4605" w:type="dxa"/>
            <w:tcBorders>
              <w:top w:val="nil"/>
              <w:left w:val="nil"/>
              <w:bottom w:val="nil"/>
              <w:right w:val="nil"/>
            </w:tcBorders>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Professional services, hardware and other</w:t>
            </w:r>
          </w:p>
        </w:tc>
        <w:tc>
          <w:tcPr>
            <w:tcW w:w="1365" w:type="dxa"/>
            <w:tcBorders>
              <w:top w:val="nil"/>
              <w:left w:val="nil"/>
              <w:bottom w:val="single" w:sz="8" w:space="0" w:color="000000"/>
              <w:right w:val="nil"/>
            </w:tcBorders>
            <w:tcMar>
              <w:top w:w="0" w:type="dxa"/>
              <w:left w:w="0" w:type="dxa"/>
              <w:bottom w:w="0" w:type="dxa"/>
              <w:right w:w="15" w:type="dxa"/>
            </w:tcMar>
            <w:vAlign w:val="bottom"/>
          </w:tcPr>
          <w:p>
            <w:pPr>
              <w:keepNext/>
              <w:pageBreakBefore w:val="0"/>
              <w:tabs>
                <w:tab w:val="left" w:pos="782"/>
                <w:tab w:val="left" w:pos="1297"/>
              </w:tabs>
              <w:spacing w:before="53" w:after="30" w:line="240" w:lineRule="auto"/>
              <w:jc w:val="right"/>
            </w:pPr>
            <w:r>
              <w:rPr>
                <w:rFonts w:ascii="Times New Roman" w:eastAsia="Times New Roman" w:hAnsi="Times New Roman" w:cs="Times New Roman"/>
                <w:b w:val="0"/>
                <w:i w:val="0"/>
                <w:color w:val="000000"/>
                <w:sz w:val="20"/>
                <w:u w:val="none"/>
              </w:rPr>
              <w:tab/>
              <w:t>5,000</w:t>
              <w:tab/>
            </w:r>
          </w:p>
        </w:tc>
        <w:tc>
          <w:tcPr>
            <w:tcW w:w="6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365" w:type="dxa"/>
            <w:tcBorders>
              <w:top w:val="nil"/>
              <w:left w:val="nil"/>
              <w:bottom w:val="single" w:sz="8" w:space="0" w:color="000000"/>
              <w:right w:val="nil"/>
            </w:tcBorders>
            <w:tcMar>
              <w:top w:w="0" w:type="dxa"/>
              <w:left w:w="0" w:type="dxa"/>
              <w:bottom w:w="0" w:type="dxa"/>
              <w:right w:w="15" w:type="dxa"/>
            </w:tcMar>
            <w:vAlign w:val="bottom"/>
          </w:tcPr>
          <w:p>
            <w:pPr>
              <w:keepNext/>
              <w:pageBreakBefore w:val="0"/>
              <w:tabs>
                <w:tab w:val="left" w:pos="782"/>
                <w:tab w:val="left" w:pos="1297"/>
              </w:tabs>
              <w:spacing w:before="53" w:after="30" w:line="240" w:lineRule="auto"/>
              <w:jc w:val="right"/>
            </w:pPr>
            <w:r>
              <w:rPr>
                <w:rFonts w:ascii="Times New Roman" w:eastAsia="Times New Roman" w:hAnsi="Times New Roman" w:cs="Times New Roman"/>
                <w:b w:val="0"/>
                <w:i w:val="0"/>
                <w:color w:val="000000"/>
                <w:sz w:val="20"/>
                <w:u w:val="none"/>
              </w:rPr>
              <w:tab/>
              <w:t>1,667</w:t>
              <w:tab/>
            </w:r>
          </w:p>
        </w:tc>
        <w:tc>
          <w:tcPr>
            <w:tcW w:w="6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365" w:type="dxa"/>
            <w:tcBorders>
              <w:top w:val="nil"/>
              <w:left w:val="nil"/>
              <w:bottom w:val="single" w:sz="8" w:space="0" w:color="000000"/>
              <w:right w:val="nil"/>
            </w:tcBorders>
            <w:tcMar>
              <w:top w:w="0" w:type="dxa"/>
              <w:left w:w="0" w:type="dxa"/>
              <w:bottom w:w="0" w:type="dxa"/>
              <w:right w:w="15" w:type="dxa"/>
            </w:tcMar>
            <w:vAlign w:val="bottom"/>
          </w:tcPr>
          <w:p>
            <w:pPr>
              <w:keepNext/>
              <w:pageBreakBefore w:val="0"/>
              <w:tabs>
                <w:tab w:val="left" w:pos="782"/>
                <w:tab w:val="left" w:pos="1297"/>
              </w:tabs>
              <w:spacing w:before="53" w:after="30" w:line="240" w:lineRule="auto"/>
              <w:jc w:val="right"/>
            </w:pPr>
            <w:r>
              <w:rPr>
                <w:rFonts w:ascii="Times New Roman" w:eastAsia="Times New Roman" w:hAnsi="Times New Roman" w:cs="Times New Roman"/>
                <w:b w:val="0"/>
                <w:i w:val="0"/>
                <w:color w:val="000000"/>
                <w:sz w:val="20"/>
                <w:u w:val="none"/>
              </w:rPr>
              <w:tab/>
              <w:t>3,333</w:t>
              <w:tab/>
            </w:r>
          </w:p>
        </w:tc>
        <w:tc>
          <w:tcPr>
            <w:tcW w:w="6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365" w:type="dxa"/>
            <w:tcBorders>
              <w:top w:val="nil"/>
              <w:left w:val="nil"/>
              <w:bottom w:val="single" w:sz="8" w:space="0" w:color="000000"/>
              <w:right w:val="nil"/>
            </w:tcBorders>
            <w:tcMar>
              <w:top w:w="0" w:type="dxa"/>
              <w:left w:w="0" w:type="dxa"/>
              <w:bottom w:w="0" w:type="dxa"/>
              <w:right w:w="15" w:type="dxa"/>
            </w:tcMar>
            <w:vAlign w:val="bottom"/>
          </w:tcPr>
          <w:p>
            <w:pPr>
              <w:keepNext/>
              <w:pageBreakBefore w:val="0"/>
              <w:tabs>
                <w:tab w:val="left" w:pos="1"/>
                <w:tab w:val="left" w:pos="369"/>
              </w:tabs>
              <w:spacing w:before="53" w:after="30" w:line="240" w:lineRule="auto"/>
              <w:jc w:val="right"/>
            </w:pPr>
            <w:r>
              <w:rPr>
                <w:rFonts w:ascii="Times New Roman" w:eastAsia="Times New Roman" w:hAnsi="Times New Roman" w:cs="Times New Roman"/>
                <w:b w:val="0"/>
                <w:i w:val="0"/>
                <w:color w:val="000000"/>
                <w:sz w:val="20"/>
                <w:u w:val="none"/>
              </w:rPr>
              <w:tab/>
              <w:t>200</w:t>
              <w:tab/>
              <w:t>%</w:t>
            </w:r>
          </w:p>
        </w:tc>
      </w:tr>
      <w:tr>
        <w:tblPrEx>
          <w:tblW w:w="10245" w:type="dxa"/>
          <w:tblInd w:w="0" w:type="dxa"/>
          <w:tblLayout w:type="fixed"/>
        </w:tblPrEx>
        <w:trPr>
          <w:trHeight w:hRule="exact" w:val="285"/>
        </w:trPr>
        <w:tc>
          <w:tcPr>
            <w:tcW w:w="4605" w:type="dxa"/>
            <w:tcBorders>
              <w:top w:val="nil"/>
              <w:left w:val="nil"/>
              <w:bottom w:val="nil"/>
              <w:right w:val="nil"/>
            </w:tcBorders>
            <w:shd w:val="clear" w:color="auto" w:fill="CCEEFF"/>
            <w:tcMar>
              <w:top w:w="0" w:type="dxa"/>
              <w:left w:w="53" w:type="dxa"/>
              <w:bottom w:w="0" w:type="dxa"/>
              <w:right w:w="53" w:type="dxa"/>
            </w:tcMar>
            <w:vAlign w:val="bottom"/>
          </w:tcPr>
          <w:p>
            <w:pPr>
              <w:pageBreakBefore w:val="0"/>
              <w:spacing w:before="33" w:after="30" w:line="240" w:lineRule="auto"/>
              <w:jc w:val="left"/>
            </w:pPr>
            <w:r>
              <w:rPr>
                <w:rFonts w:ascii="Times New Roman" w:eastAsia="Times New Roman" w:hAnsi="Times New Roman" w:cs="Times New Roman"/>
                <w:b w:val="0"/>
                <w:i w:val="0"/>
                <w:color w:val="000000"/>
                <w:sz w:val="20"/>
                <w:u w:val="none"/>
              </w:rPr>
              <w:t>Total</w:t>
            </w:r>
          </w:p>
        </w:tc>
        <w:tc>
          <w:tcPr>
            <w:tcW w:w="136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682"/>
                <w:tab w:val="left" w:pos="1297"/>
              </w:tabs>
              <w:spacing w:before="33" w:after="30" w:line="240" w:lineRule="auto"/>
              <w:jc w:val="right"/>
            </w:pPr>
            <w:r>
              <w:rPr>
                <w:rFonts w:ascii="Times New Roman" w:eastAsia="Times New Roman" w:hAnsi="Times New Roman" w:cs="Times New Roman"/>
                <w:b w:val="0"/>
                <w:i w:val="0"/>
                <w:color w:val="000000"/>
                <w:sz w:val="20"/>
                <w:u w:val="none"/>
              </w:rPr>
              <w:t>$</w:t>
              <w:tab/>
              <w:t>42,757</w:t>
              <w:tab/>
            </w:r>
          </w:p>
        </w:tc>
        <w:tc>
          <w:tcPr>
            <w:tcW w:w="60"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pPr>
          </w:p>
        </w:tc>
        <w:tc>
          <w:tcPr>
            <w:tcW w:w="136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682"/>
                <w:tab w:val="left" w:pos="1297"/>
              </w:tabs>
              <w:spacing w:before="33" w:after="30" w:line="240" w:lineRule="auto"/>
              <w:jc w:val="right"/>
            </w:pPr>
            <w:r>
              <w:rPr>
                <w:rFonts w:ascii="Times New Roman" w:eastAsia="Times New Roman" w:hAnsi="Times New Roman" w:cs="Times New Roman"/>
                <w:b w:val="0"/>
                <w:i w:val="0"/>
                <w:color w:val="000000"/>
                <w:sz w:val="20"/>
                <w:u w:val="none"/>
              </w:rPr>
              <w:t>$</w:t>
              <w:tab/>
              <w:t>34,854</w:t>
              <w:tab/>
            </w:r>
          </w:p>
        </w:tc>
        <w:tc>
          <w:tcPr>
            <w:tcW w:w="60"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pPr>
          </w:p>
        </w:tc>
        <w:tc>
          <w:tcPr>
            <w:tcW w:w="136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782"/>
                <w:tab w:val="left" w:pos="1297"/>
              </w:tabs>
              <w:spacing w:before="33" w:after="30" w:line="240" w:lineRule="auto"/>
              <w:jc w:val="right"/>
            </w:pPr>
            <w:r>
              <w:rPr>
                <w:rFonts w:ascii="Times New Roman" w:eastAsia="Times New Roman" w:hAnsi="Times New Roman" w:cs="Times New Roman"/>
                <w:b w:val="0"/>
                <w:i w:val="0"/>
                <w:color w:val="000000"/>
                <w:sz w:val="20"/>
                <w:u w:val="none"/>
              </w:rPr>
              <w:t>$</w:t>
              <w:tab/>
              <w:t>7,903</w:t>
              <w:tab/>
            </w:r>
          </w:p>
        </w:tc>
        <w:tc>
          <w:tcPr>
            <w:tcW w:w="60"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pPr>
          </w:p>
        </w:tc>
        <w:tc>
          <w:tcPr>
            <w:tcW w:w="136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1"/>
                <w:tab w:val="left" w:pos="269"/>
              </w:tabs>
              <w:spacing w:before="33" w:after="30" w:line="240" w:lineRule="auto"/>
              <w:jc w:val="right"/>
            </w:pPr>
            <w:r>
              <w:rPr>
                <w:rFonts w:ascii="Times New Roman" w:eastAsia="Times New Roman" w:hAnsi="Times New Roman" w:cs="Times New Roman"/>
                <w:b w:val="0"/>
                <w:i w:val="0"/>
                <w:color w:val="000000"/>
                <w:sz w:val="20"/>
                <w:u w:val="none"/>
              </w:rPr>
              <w:tab/>
              <w:t>23</w:t>
              <w:tab/>
              <w:t>%</w:t>
            </w:r>
          </w:p>
        </w:tc>
      </w:tr>
    </w:tbl>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color w:val="000000"/>
          <w:sz w:val="20"/>
          <w:highlight w:val="white"/>
          <w:u w:val="none"/>
        </w:rPr>
        <w:t>Recurring Revenue</w:t>
      </w:r>
    </w:p>
    <w:p>
      <w:pPr>
        <w:keepNext/>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Recurring revenues include fees for our payroll and tax management, recruiting services, HR compliance, time and labor management, insurance and benefits administration, AsureMarketplace™ and other Asure solutions as well as fees charged for form filings and delivery of client payroll checks and reports. These revenues are derived from fixed amounts charged per billing period and sometimes an additional fee per employee or transaction processed. We do not require clients to enter into long-term contractual commitments for our services. Our billing period varies by client based on when each client pays its employees, which may be weekly, bi-weekly, semi-monthly or monthly. We also generate recurring revenues from our Reseller Partners that license our solutions. Because recurring revenues are based, in part, on fees for use of our applications and the delivery of checks and reports that are levied on a per-employee basis, our recurring revenues increase as our clients hire more employees. Recurring revenues are recognized in the period services are rendered.</w:t>
      </w:r>
    </w:p>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Recurring revenues include revenues relating to the annual processing of payroll forms, such as Form W-2 and Form 1099, and revenues from processing unscheduled payroll runs (such as bonuses) for our clients. Because payroll forms are typically processed in the first quarter of the year and many of our clients are subject to form filing requirements mandated by the Affordable Care Act (“ACA”), first quarter revenues and margins are generally higher than in subsequent quarters. We anticipate our revenues will continue to exhibit this seasonal pattern related to ACA form filings for so long as the ACA (or replacement legislation) includes employer reporting requirements. In addition, we often experience increased revenues during the fourth quarter due to unscheduled payroll runs for our clients that occur before the end of the year. We expect the seasonality of our revenue cycle to decrease to the extent clients utilize more of our non-payroll applications.</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This revenue line also includes interest earned on funds held for clients. Interest earned is generated from funds we collect from clients in advance of either the applicable due date for payroll tax submissions or the applicable disbursement date for employee payment services. These collections from clients are typically disbursed from one to 30 days after receipt, with some funds being held for up to 120 days. We typically invest funds held for clients in money market funds, demand deposit accounts, commercial paper, fixed income securities and certificates of deposit until they are paid to the applicable tax or regulatory agencies or to client employees. The amount of interest we earn from the investment of client funds is also impacted by changes in interest rates.</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 xml:space="preserve">Recurring revenue for the </w:t>
      </w:r>
      <w:r>
        <w:rPr>
          <w:rFonts w:ascii="Times New Roman" w:eastAsia="Times New Roman" w:hAnsi="Times New Roman" w:cs="Times New Roman"/>
          <w:b w:val="0"/>
          <w:i w:val="0"/>
          <w:color w:val="000000"/>
          <w:sz w:val="20"/>
          <w:u w:val="none"/>
        </w:rPr>
        <w:t>three months ended March 31, 2026</w:t>
      </w:r>
      <w:r>
        <w:rPr>
          <w:rFonts w:ascii="Times New Roman" w:eastAsia="Times New Roman" w:hAnsi="Times New Roman" w:cs="Times New Roman"/>
          <w:b w:val="0"/>
          <w:i w:val="0"/>
          <w:sz w:val="20"/>
        </w:rPr>
        <w:t>,</w:t>
      </w:r>
      <w:r>
        <w:rPr>
          <w:rFonts w:ascii="Times New Roman" w:eastAsia="Times New Roman" w:hAnsi="Times New Roman" w:cs="Times New Roman"/>
          <w:b w:val="0"/>
          <w:i w:val="0"/>
          <w:color w:val="000000"/>
          <w:sz w:val="20"/>
          <w:highlight w:val="white"/>
          <w:u w:val="none"/>
        </w:rPr>
        <w:t xml:space="preserve"> was </w:t>
      </w:r>
      <w:r>
        <w:rPr>
          <w:rFonts w:ascii="Times New Roman" w:eastAsia="Times New Roman" w:hAnsi="Times New Roman" w:cs="Times New Roman"/>
          <w:b w:val="0"/>
          <w:i w:val="0"/>
          <w:color w:val="000000"/>
          <w:sz w:val="20"/>
          <w:highlight w:val="white"/>
          <w:u w:val="none"/>
        </w:rPr>
        <w:t>$37,757</w:t>
      </w:r>
      <w:r>
        <w:rPr>
          <w:rFonts w:ascii="Times New Roman" w:eastAsia="Times New Roman" w:hAnsi="Times New Roman" w:cs="Times New Roman"/>
          <w:b w:val="0"/>
          <w:i w:val="0"/>
          <w:color w:val="000000"/>
          <w:sz w:val="20"/>
          <w:highlight w:val="white"/>
          <w:u w:val="none"/>
        </w:rPr>
        <w:t>, an increase of $4,570, or 14%, from $33,187 for</w:t>
      </w:r>
      <w:r>
        <w:rPr>
          <w:rFonts w:ascii="Times New Roman" w:eastAsia="Times New Roman" w:hAnsi="Times New Roman" w:cs="Times New Roman"/>
          <w:b w:val="0"/>
          <w:i w:val="0"/>
          <w:color w:val="000000"/>
          <w:sz w:val="20"/>
          <w:highlight w:val="white"/>
          <w:u w:val="none"/>
        </w:rPr>
        <w:t xml:space="preserve"> the </w:t>
      </w:r>
      <w:r>
        <w:rPr>
          <w:rFonts w:ascii="Times New Roman" w:eastAsia="Times New Roman" w:hAnsi="Times New Roman" w:cs="Times New Roman"/>
          <w:b w:val="0"/>
          <w:i w:val="0"/>
          <w:color w:val="000000"/>
          <w:sz w:val="20"/>
          <w:highlight w:val="white"/>
          <w:u w:val="none"/>
        </w:rPr>
        <w:t>three months ended March 31, 2025</w:t>
      </w:r>
      <w:r>
        <w:rPr>
          <w:rFonts w:ascii="Times New Roman" w:eastAsia="Times New Roman" w:hAnsi="Times New Roman" w:cs="Times New Roman"/>
          <w:b w:val="0"/>
          <w:i w:val="0"/>
          <w:color w:val="000000"/>
          <w:sz w:val="20"/>
          <w:highlight w:val="white"/>
          <w:u w:val="none"/>
        </w:rPr>
        <w:t xml:space="preserve">. The </w:t>
      </w:r>
      <w:r>
        <w:rPr>
          <w:rFonts w:ascii="Times New Roman" w:eastAsia="Times New Roman" w:hAnsi="Times New Roman" w:cs="Times New Roman"/>
          <w:b w:val="0"/>
          <w:i w:val="0"/>
          <w:color w:val="000000"/>
          <w:sz w:val="20"/>
          <w:highlight w:val="white"/>
          <w:u w:val="none"/>
        </w:rPr>
        <w:t>increase</w:t>
      </w:r>
      <w:r>
        <w:rPr>
          <w:rFonts w:ascii="Times New Roman" w:eastAsia="Times New Roman" w:hAnsi="Times New Roman" w:cs="Times New Roman"/>
          <w:b w:val="0"/>
          <w:i w:val="0"/>
          <w:sz w:val="20"/>
        </w:rPr>
        <w:t xml:space="preserve"> is primarily due to an increase in payroll services related to our timekeeping solutions business.</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 xml:space="preserve"> </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sz w:val="20"/>
        </w:rPr>
      </w:pPr>
      <w:r>
        <w:rPr>
          <w:rFonts w:ascii="Times New Roman" w:eastAsia="Times New Roman" w:hAnsi="Times New Roman" w:cs="Times New Roman"/>
          <w:b w:val="0"/>
          <w:i/>
          <w:sz w:val="20"/>
        </w:rPr>
        <w:t>Professional Services, Hardware and Other Revenue</w:t>
      </w: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 xml:space="preserve">Professional Services, Hardware and Other Revenues represents implementation fees, one-time consulting projects, on-premise maintenance, hardware devices to enhance our software products. </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highlight w:val="white"/>
          <w:u w:val="none"/>
        </w:rPr>
      </w:pPr>
      <w:r>
        <w:rPr>
          <w:rFonts w:ascii="Times New Roman" w:eastAsia="Times New Roman" w:hAnsi="Times New Roman" w:cs="Times New Roman"/>
          <w:b w:val="0"/>
          <w:i w:val="0"/>
          <w:sz w:val="20"/>
        </w:rPr>
        <w:t>Professional services, hardw</w:t>
      </w:r>
      <w:r>
        <w:rPr>
          <w:rFonts w:ascii="Times New Roman" w:eastAsia="Times New Roman" w:hAnsi="Times New Roman" w:cs="Times New Roman"/>
          <w:b w:val="0"/>
          <w:i w:val="0"/>
          <w:color w:val="000000"/>
          <w:sz w:val="20"/>
          <w:highlight w:val="white"/>
          <w:u w:val="none"/>
        </w:rPr>
        <w:t xml:space="preserve">are and other revenue </w:t>
      </w:r>
      <w:r>
        <w:rPr>
          <w:rFonts w:ascii="Times New Roman" w:eastAsia="Times New Roman" w:hAnsi="Times New Roman" w:cs="Times New Roman"/>
          <w:b w:val="0"/>
          <w:i w:val="0"/>
          <w:color w:val="000000"/>
          <w:sz w:val="20"/>
          <w:highlight w:val="white"/>
          <w:u w:val="none"/>
        </w:rPr>
        <w:t>increased</w:t>
      </w:r>
      <w:r>
        <w:rPr>
          <w:rFonts w:ascii="Times New Roman" w:eastAsia="Times New Roman" w:hAnsi="Times New Roman" w:cs="Times New Roman"/>
          <w:b w:val="0"/>
          <w:i w:val="0"/>
          <w:color w:val="000000"/>
          <w:sz w:val="20"/>
          <w:highlight w:val="white"/>
          <w:u w:val="none"/>
        </w:rPr>
        <w:t xml:space="preserve"> </w:t>
      </w:r>
      <w:r>
        <w:rPr>
          <w:rFonts w:ascii="Times New Roman" w:eastAsia="Times New Roman" w:hAnsi="Times New Roman" w:cs="Times New Roman"/>
          <w:b w:val="0"/>
          <w:i w:val="0"/>
          <w:color w:val="000000"/>
          <w:sz w:val="20"/>
          <w:highlight w:val="white"/>
          <w:u w:val="none"/>
        </w:rPr>
        <w:t>$3,333</w:t>
      </w:r>
      <w:r>
        <w:rPr>
          <w:rFonts w:ascii="Times New Roman" w:eastAsia="Times New Roman" w:hAnsi="Times New Roman" w:cs="Times New Roman"/>
          <w:b w:val="0"/>
          <w:i w:val="0"/>
          <w:color w:val="000000"/>
          <w:sz w:val="20"/>
          <w:highlight w:val="white"/>
          <w:u w:val="none"/>
        </w:rPr>
        <w:t xml:space="preserve">, or </w:t>
      </w:r>
      <w:r>
        <w:rPr>
          <w:rFonts w:ascii="Times New Roman" w:eastAsia="Times New Roman" w:hAnsi="Times New Roman" w:cs="Times New Roman"/>
          <w:b w:val="0"/>
          <w:i w:val="0"/>
          <w:color w:val="000000"/>
          <w:sz w:val="20"/>
          <w:highlight w:val="white"/>
          <w:u w:val="none"/>
        </w:rPr>
        <w:t>200%</w:t>
      </w:r>
      <w:r>
        <w:rPr>
          <w:rFonts w:ascii="Times New Roman" w:eastAsia="Times New Roman" w:hAnsi="Times New Roman" w:cs="Times New Roman"/>
          <w:b w:val="0"/>
          <w:i w:val="0"/>
          <w:color w:val="000000"/>
          <w:sz w:val="20"/>
          <w:highlight w:val="white"/>
          <w:u w:val="none"/>
        </w:rPr>
        <w:t xml:space="preserve">, for the </w:t>
      </w:r>
      <w:r>
        <w:rPr>
          <w:rFonts w:ascii="Times New Roman" w:eastAsia="Times New Roman" w:hAnsi="Times New Roman" w:cs="Times New Roman"/>
          <w:b w:val="0"/>
          <w:i w:val="0"/>
          <w:color w:val="000000"/>
          <w:sz w:val="20"/>
          <w:highlight w:val="white"/>
          <w:u w:val="none"/>
        </w:rPr>
        <w:t>three months ended March 31, 2026</w:t>
      </w:r>
      <w:r>
        <w:rPr>
          <w:rFonts w:ascii="Times New Roman" w:eastAsia="Times New Roman" w:hAnsi="Times New Roman" w:cs="Times New Roman"/>
          <w:b w:val="0"/>
          <w:i w:val="0"/>
          <w:color w:val="000000"/>
          <w:sz w:val="20"/>
          <w:highlight w:val="white"/>
          <w:u w:val="none"/>
        </w:rPr>
        <w:t xml:space="preserve">, from the similar period in </w:t>
      </w:r>
      <w:r>
        <w:rPr>
          <w:rFonts w:ascii="Times New Roman" w:eastAsia="Times New Roman" w:hAnsi="Times New Roman" w:cs="Times New Roman"/>
          <w:b w:val="0"/>
          <w:i w:val="0"/>
          <w:color w:val="000000"/>
          <w:sz w:val="20"/>
          <w:highlight w:val="white"/>
          <w:u w:val="none"/>
        </w:rPr>
        <w:t>2025</w:t>
      </w:r>
      <w:r>
        <w:rPr>
          <w:rFonts w:ascii="Times New Roman" w:eastAsia="Times New Roman" w:hAnsi="Times New Roman" w:cs="Times New Roman"/>
          <w:b w:val="0"/>
          <w:i w:val="0"/>
          <w:color w:val="000000"/>
          <w:sz w:val="20"/>
          <w:highlight w:val="white"/>
          <w:u w:val="none"/>
        </w:rPr>
        <w:t xml:space="preserve">, </w:t>
      </w:r>
      <w:r>
        <w:rPr>
          <w:rFonts w:ascii="Times New Roman" w:eastAsia="Times New Roman" w:hAnsi="Times New Roman" w:cs="Times New Roman"/>
          <w:b w:val="0"/>
          <w:i w:val="0"/>
          <w:sz w:val="20"/>
        </w:rPr>
        <w:t>primarily due to an increase in hardware sales related to our time and attendance solutions.</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Our total customer base is widely spread across industries and sizes. Geographically, we sell our products primarily in the United States.</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In addition to continuing to develop our workforce solutions and release of new software updates and enhancements, we continue to actively explore other opportunities to acquire additional products or technologies to complement our current software and services.</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sz w:val="20"/>
        </w:rPr>
      </w:pPr>
      <w:r>
        <w:rPr>
          <w:rFonts w:ascii="Times New Roman" w:eastAsia="Times New Roman" w:hAnsi="Times New Roman" w:cs="Times New Roman"/>
          <w:b/>
          <w:i w:val="0"/>
          <w:sz w:val="20"/>
        </w:rPr>
        <w:t>Gross Profit and Gross Margin</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 xml:space="preserve">Consolidated gross profit for the </w:t>
      </w:r>
      <w:r>
        <w:rPr>
          <w:rFonts w:ascii="Times New Roman" w:eastAsia="Times New Roman" w:hAnsi="Times New Roman" w:cs="Times New Roman"/>
          <w:b w:val="0"/>
          <w:i w:val="0"/>
          <w:color w:val="000000"/>
          <w:sz w:val="20"/>
          <w:u w:val="none"/>
        </w:rPr>
        <w:t>three months ended March 31, 2026</w:t>
      </w:r>
      <w:r>
        <w:rPr>
          <w:rFonts w:ascii="Times New Roman" w:eastAsia="Times New Roman" w:hAnsi="Times New Roman" w:cs="Times New Roman"/>
          <w:b w:val="0"/>
          <w:i w:val="0"/>
          <w:sz w:val="20"/>
        </w:rPr>
        <w:t xml:space="preserve">, was </w:t>
      </w:r>
      <w:r>
        <w:rPr>
          <w:rFonts w:ascii="Times New Roman" w:eastAsia="Times New Roman" w:hAnsi="Times New Roman" w:cs="Times New Roman"/>
          <w:b w:val="0"/>
          <w:i w:val="0"/>
          <w:color w:val="000000"/>
          <w:sz w:val="20"/>
          <w:u w:val="none"/>
        </w:rPr>
        <w:t>$30,470</w:t>
      </w:r>
      <w:r>
        <w:rPr>
          <w:rFonts w:ascii="Times New Roman" w:eastAsia="Times New Roman" w:hAnsi="Times New Roman" w:cs="Times New Roman"/>
          <w:b w:val="0"/>
          <w:i w:val="0"/>
          <w:color w:val="000000"/>
          <w:sz w:val="20"/>
          <w:u w:val="none"/>
        </w:rPr>
        <w:t>, an increase of $5,862, or 24%, from $24,608 for</w:t>
      </w:r>
      <w:r>
        <w:rPr>
          <w:rFonts w:ascii="Times New Roman" w:eastAsia="Times New Roman" w:hAnsi="Times New Roman" w:cs="Times New Roman"/>
          <w:b w:val="0"/>
          <w:i w:val="0"/>
          <w:sz w:val="20"/>
        </w:rPr>
        <w:t xml:space="preserve"> the </w:t>
      </w:r>
      <w:r>
        <w:rPr>
          <w:rFonts w:ascii="Times New Roman" w:eastAsia="Times New Roman" w:hAnsi="Times New Roman" w:cs="Times New Roman"/>
          <w:b w:val="0"/>
          <w:i w:val="0"/>
          <w:color w:val="000000"/>
          <w:sz w:val="20"/>
          <w:u w:val="none"/>
        </w:rPr>
        <w:t>three months ended March 31, 2025</w:t>
      </w:r>
      <w:r>
        <w:rPr>
          <w:rFonts w:ascii="Times New Roman" w:eastAsia="Times New Roman" w:hAnsi="Times New Roman" w:cs="Times New Roman"/>
          <w:b w:val="0"/>
          <w:i w:val="0"/>
          <w:sz w:val="20"/>
        </w:rPr>
        <w:t xml:space="preserve">. Gross margin as a percentage of revenue remained consistent at </w:t>
      </w:r>
      <w:r>
        <w:rPr>
          <w:rFonts w:ascii="Times New Roman" w:eastAsia="Times New Roman" w:hAnsi="Times New Roman" w:cs="Times New Roman"/>
          <w:b w:val="0"/>
          <w:i w:val="0"/>
          <w:color w:val="000000"/>
          <w:sz w:val="20"/>
          <w:u w:val="none"/>
        </w:rPr>
        <w:t>71%</w:t>
      </w:r>
      <w:r>
        <w:rPr>
          <w:rFonts w:ascii="Times New Roman" w:eastAsia="Times New Roman" w:hAnsi="Times New Roman" w:cs="Times New Roman"/>
          <w:b w:val="0"/>
          <w:i w:val="0"/>
          <w:sz w:val="20"/>
        </w:rPr>
        <w:t xml:space="preserve"> for the </w:t>
      </w:r>
      <w:r>
        <w:rPr>
          <w:rFonts w:ascii="Times New Roman" w:eastAsia="Times New Roman" w:hAnsi="Times New Roman" w:cs="Times New Roman"/>
          <w:b w:val="0"/>
          <w:i w:val="0"/>
          <w:color w:val="000000"/>
          <w:sz w:val="20"/>
          <w:u w:val="none"/>
        </w:rPr>
        <w:t>three months ended March 31, 2026</w:t>
      </w:r>
      <w:r>
        <w:rPr>
          <w:rFonts w:ascii="Times New Roman" w:eastAsia="Times New Roman" w:hAnsi="Times New Roman" w:cs="Times New Roman"/>
          <w:b w:val="0"/>
          <w:i w:val="0"/>
          <w:sz w:val="20"/>
        </w:rPr>
        <w:t xml:space="preserve">, and </w:t>
      </w:r>
      <w:r>
        <w:rPr>
          <w:rFonts w:ascii="Times New Roman" w:eastAsia="Times New Roman" w:hAnsi="Times New Roman" w:cs="Times New Roman"/>
          <w:b w:val="0"/>
          <w:i w:val="0"/>
          <w:color w:val="000000"/>
          <w:sz w:val="20"/>
          <w:u w:val="none"/>
        </w:rPr>
        <w:t>2025</w:t>
      </w:r>
      <w:r>
        <w:rPr>
          <w:rFonts w:ascii="Times New Roman" w:eastAsia="Times New Roman" w:hAnsi="Times New Roman" w:cs="Times New Roman"/>
          <w:b w:val="0"/>
          <w:i w:val="0"/>
          <w:sz w:val="20"/>
        </w:rPr>
        <w:t>.</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Our cost of sales relates primarily to direct product costs, compensation for operations and related consulting expenses, hardware expenses, cloud hosting expenses and the amortization of our capitalized software development costs. We include intangible amortization related to developed and acquired technology within cost of sales.</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highlight w:val="white"/>
          <w:u w:val="none"/>
        </w:rPr>
      </w:pPr>
      <w:r>
        <w:rPr>
          <w:rFonts w:ascii="Times New Roman" w:eastAsia="Times New Roman" w:hAnsi="Times New Roman" w:cs="Times New Roman"/>
          <w:b/>
          <w:i w:val="0"/>
          <w:color w:val="000000"/>
          <w:sz w:val="20"/>
          <w:highlight w:val="white"/>
          <w:u w:val="none"/>
        </w:rPr>
        <w:t>Sales and Marketing Expenses</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Sales and marketing expenses primarily consist of salaries and related expenses for sales and marketing staff, including share-based compensation, commissions, as well as marketing programs, which include events, corporate communications and product marketing activities.</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highlight w:val="white"/>
          <w:u w:val="none"/>
        </w:rPr>
      </w:pPr>
      <w:r>
        <w:rPr>
          <w:rFonts w:ascii="Times New Roman" w:eastAsia="Times New Roman" w:hAnsi="Times New Roman" w:cs="Times New Roman"/>
          <w:b w:val="0"/>
          <w:i w:val="0"/>
          <w:sz w:val="20"/>
        </w:rPr>
        <w:t xml:space="preserve">Sales and marketing expenses for the </w:t>
      </w:r>
      <w:r>
        <w:rPr>
          <w:rFonts w:ascii="Times New Roman" w:eastAsia="Times New Roman" w:hAnsi="Times New Roman" w:cs="Times New Roman"/>
          <w:b w:val="0"/>
          <w:i w:val="0"/>
          <w:color w:val="000000"/>
          <w:sz w:val="20"/>
          <w:u w:val="none"/>
        </w:rPr>
        <w:t>three months ended March 31, 2026</w:t>
      </w:r>
      <w:r>
        <w:rPr>
          <w:rFonts w:ascii="Times New Roman" w:eastAsia="Times New Roman" w:hAnsi="Times New Roman" w:cs="Times New Roman"/>
          <w:b w:val="0"/>
          <w:i w:val="0"/>
          <w:sz w:val="20"/>
        </w:rPr>
        <w:t xml:space="preserve">, were </w:t>
      </w:r>
      <w:r>
        <w:rPr>
          <w:rFonts w:ascii="Times New Roman" w:eastAsia="Times New Roman" w:hAnsi="Times New Roman" w:cs="Times New Roman"/>
          <w:b w:val="0"/>
          <w:i w:val="0"/>
          <w:color w:val="000000"/>
          <w:sz w:val="20"/>
          <w:u w:val="none"/>
        </w:rPr>
        <w:t>$8,764</w:t>
      </w:r>
      <w:r>
        <w:rPr>
          <w:rFonts w:ascii="Times New Roman" w:eastAsia="Times New Roman" w:hAnsi="Times New Roman" w:cs="Times New Roman"/>
          <w:b w:val="0"/>
          <w:i w:val="0"/>
          <w:color w:val="000000"/>
          <w:sz w:val="20"/>
          <w:u w:val="none"/>
        </w:rPr>
        <w:t>, an increase of $378, or 5%, from $8,386 for</w:t>
      </w:r>
      <w:r>
        <w:rPr>
          <w:rFonts w:ascii="Times New Roman" w:eastAsia="Times New Roman" w:hAnsi="Times New Roman" w:cs="Times New Roman"/>
          <w:b w:val="0"/>
          <w:i w:val="0"/>
          <w:sz w:val="20"/>
        </w:rPr>
        <w:t xml:space="preserve"> the </w:t>
      </w:r>
      <w:r>
        <w:rPr>
          <w:rFonts w:ascii="Times New Roman" w:eastAsia="Times New Roman" w:hAnsi="Times New Roman" w:cs="Times New Roman"/>
          <w:b w:val="0"/>
          <w:i w:val="0"/>
          <w:color w:val="000000"/>
          <w:sz w:val="20"/>
          <w:u w:val="none"/>
        </w:rPr>
        <w:t>three months ended March 31, 2025</w:t>
      </w:r>
      <w:r>
        <w:rPr>
          <w:rFonts w:ascii="Times New Roman" w:eastAsia="Times New Roman" w:hAnsi="Times New Roman" w:cs="Times New Roman"/>
          <w:b w:val="0"/>
          <w:i w:val="0"/>
          <w:sz w:val="20"/>
        </w:rPr>
        <w:t>.</w:t>
      </w:r>
      <w:r>
        <w:rPr>
          <w:rFonts w:ascii="Times New Roman" w:eastAsia="Times New Roman" w:hAnsi="Times New Roman" w:cs="Times New Roman"/>
          <w:b w:val="0"/>
          <w:i w:val="0"/>
          <w:color w:val="000000"/>
          <w:sz w:val="20"/>
          <w:highlight w:val="white"/>
          <w:u w:val="none"/>
        </w:rPr>
        <w:t xml:space="preserve"> The </w:t>
      </w:r>
      <w:r>
        <w:rPr>
          <w:rFonts w:ascii="Times New Roman" w:eastAsia="Times New Roman" w:hAnsi="Times New Roman" w:cs="Times New Roman"/>
          <w:b w:val="0"/>
          <w:i w:val="0"/>
          <w:color w:val="000000"/>
          <w:sz w:val="20"/>
          <w:highlight w:val="white"/>
          <w:u w:val="none"/>
        </w:rPr>
        <w:t>increase</w:t>
      </w:r>
      <w:r>
        <w:rPr>
          <w:rFonts w:ascii="Times New Roman" w:eastAsia="Times New Roman" w:hAnsi="Times New Roman" w:cs="Times New Roman"/>
          <w:b w:val="0"/>
          <w:i w:val="0"/>
          <w:sz w:val="20"/>
        </w:rPr>
        <w:t xml:space="preserve"> is primarily due to an increase in expenditures for lead generation. Sal</w:t>
      </w:r>
      <w:r>
        <w:rPr>
          <w:rFonts w:ascii="Times New Roman" w:eastAsia="Times New Roman" w:hAnsi="Times New Roman" w:cs="Times New Roman"/>
          <w:b w:val="0"/>
          <w:i w:val="0"/>
          <w:color w:val="000000"/>
          <w:sz w:val="20"/>
          <w:highlight w:val="white"/>
          <w:u w:val="none"/>
        </w:rPr>
        <w:t xml:space="preserve">es and marketing expenses as a percentage of revenue </w:t>
      </w:r>
      <w:r>
        <w:rPr>
          <w:rFonts w:ascii="Times New Roman" w:eastAsia="Times New Roman" w:hAnsi="Times New Roman" w:cs="Times New Roman"/>
          <w:b w:val="0"/>
          <w:i w:val="0"/>
          <w:color w:val="000000"/>
          <w:sz w:val="20"/>
          <w:highlight w:val="white"/>
          <w:u w:val="none"/>
        </w:rPr>
        <w:t>decreased to 20%</w:t>
      </w:r>
      <w:r>
        <w:rPr>
          <w:rFonts w:ascii="Times New Roman" w:eastAsia="Times New Roman" w:hAnsi="Times New Roman" w:cs="Times New Roman"/>
          <w:b w:val="0"/>
          <w:i w:val="0"/>
          <w:color w:val="000000"/>
          <w:sz w:val="20"/>
          <w:highlight w:val="white"/>
          <w:u w:val="none"/>
        </w:rPr>
        <w:t xml:space="preserve"> for the </w:t>
      </w:r>
      <w:r>
        <w:rPr>
          <w:rFonts w:ascii="Times New Roman" w:eastAsia="Times New Roman" w:hAnsi="Times New Roman" w:cs="Times New Roman"/>
          <w:b w:val="0"/>
          <w:i w:val="0"/>
          <w:color w:val="000000"/>
          <w:sz w:val="20"/>
          <w:highlight w:val="white"/>
          <w:u w:val="none"/>
        </w:rPr>
        <w:t>three months ended March 31, 2026</w:t>
      </w:r>
      <w:r>
        <w:rPr>
          <w:rFonts w:ascii="Times New Roman" w:eastAsia="Times New Roman" w:hAnsi="Times New Roman" w:cs="Times New Roman"/>
          <w:b w:val="0"/>
          <w:i w:val="0"/>
          <w:color w:val="000000"/>
          <w:sz w:val="20"/>
          <w:highlight w:val="white"/>
          <w:u w:val="none"/>
        </w:rPr>
        <w:t xml:space="preserve">, from </w:t>
      </w:r>
      <w:r>
        <w:rPr>
          <w:rFonts w:ascii="Times New Roman" w:eastAsia="Times New Roman" w:hAnsi="Times New Roman" w:cs="Times New Roman"/>
          <w:b w:val="0"/>
          <w:i w:val="0"/>
          <w:color w:val="000000"/>
          <w:sz w:val="20"/>
          <w:highlight w:val="white"/>
          <w:u w:val="none"/>
        </w:rPr>
        <w:t>24%</w:t>
      </w:r>
      <w:r>
        <w:rPr>
          <w:rFonts w:ascii="Times New Roman" w:eastAsia="Times New Roman" w:hAnsi="Times New Roman" w:cs="Times New Roman"/>
          <w:b w:val="0"/>
          <w:i w:val="0"/>
          <w:color w:val="000000"/>
          <w:sz w:val="20"/>
          <w:highlight w:val="white"/>
          <w:u w:val="none"/>
        </w:rPr>
        <w:t xml:space="preserve"> for the same period in </w:t>
      </w:r>
      <w:r>
        <w:rPr>
          <w:rFonts w:ascii="Times New Roman" w:eastAsia="Times New Roman" w:hAnsi="Times New Roman" w:cs="Times New Roman"/>
          <w:b w:val="0"/>
          <w:i w:val="0"/>
          <w:color w:val="000000"/>
          <w:sz w:val="20"/>
          <w:highlight w:val="white"/>
          <w:u w:val="none"/>
        </w:rPr>
        <w:t>2025</w:t>
      </w:r>
      <w:r>
        <w:rPr>
          <w:rFonts w:ascii="Times New Roman" w:eastAsia="Times New Roman" w:hAnsi="Times New Roman" w:cs="Times New Roman"/>
          <w:b w:val="0"/>
          <w:i w:val="0"/>
          <w:color w:val="000000"/>
          <w:sz w:val="20"/>
          <w:highlight w:val="white"/>
          <w:u w:val="none"/>
        </w:rPr>
        <w:t>.</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We expect to continue to expand and increase selling costs as we focus on hiring direct sales personnel, expanding recognition of our brand, and lead generation.</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highlight w:val="white"/>
          <w:u w:val="none"/>
        </w:rPr>
      </w:pPr>
      <w:r>
        <w:rPr>
          <w:rFonts w:ascii="Times New Roman" w:eastAsia="Times New Roman" w:hAnsi="Times New Roman" w:cs="Times New Roman"/>
          <w:b/>
          <w:i w:val="0"/>
          <w:color w:val="000000"/>
          <w:sz w:val="20"/>
          <w:highlight w:val="white"/>
          <w:u w:val="none"/>
        </w:rPr>
        <w:t>General and Administrative Expenses</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General and administrative expenses primarily consist of salaries and related expenses, including share-based compensation for finance and accounting, legal, internal audit, human resources and management information systems personnel, legal costs, professional fees, and other corporate expenses such as transaction costs for acquisitions.</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highlight w:val="white"/>
          <w:u w:val="none"/>
        </w:rPr>
      </w:pPr>
      <w:r>
        <w:rPr>
          <w:rFonts w:ascii="Times New Roman" w:eastAsia="Times New Roman" w:hAnsi="Times New Roman" w:cs="Times New Roman"/>
          <w:b w:val="0"/>
          <w:i w:val="0"/>
          <w:sz w:val="20"/>
        </w:rPr>
        <w:t xml:space="preserve">General and administrative expenses for the </w:t>
      </w:r>
      <w:r>
        <w:rPr>
          <w:rFonts w:ascii="Times New Roman" w:eastAsia="Times New Roman" w:hAnsi="Times New Roman" w:cs="Times New Roman"/>
          <w:b w:val="0"/>
          <w:i w:val="0"/>
          <w:color w:val="000000"/>
          <w:sz w:val="20"/>
          <w:u w:val="none"/>
        </w:rPr>
        <w:t>three months ended March 31, 2026</w:t>
      </w:r>
      <w:r>
        <w:rPr>
          <w:rFonts w:ascii="Times New Roman" w:eastAsia="Times New Roman" w:hAnsi="Times New Roman" w:cs="Times New Roman"/>
          <w:b w:val="0"/>
          <w:i w:val="0"/>
          <w:sz w:val="20"/>
        </w:rPr>
        <w:t xml:space="preserve">, were </w:t>
      </w:r>
      <w:r>
        <w:rPr>
          <w:rFonts w:ascii="Times New Roman" w:eastAsia="Times New Roman" w:hAnsi="Times New Roman" w:cs="Times New Roman"/>
          <w:b w:val="0"/>
          <w:i w:val="0"/>
          <w:color w:val="000000"/>
          <w:sz w:val="20"/>
          <w:u w:val="none"/>
        </w:rPr>
        <w:t>$12,748</w:t>
      </w:r>
      <w:r>
        <w:rPr>
          <w:rFonts w:ascii="Times New Roman" w:eastAsia="Times New Roman" w:hAnsi="Times New Roman" w:cs="Times New Roman"/>
          <w:b w:val="0"/>
          <w:i w:val="0"/>
          <w:color w:val="000000"/>
          <w:sz w:val="20"/>
          <w:u w:val="none"/>
        </w:rPr>
        <w:t>, an increase of $848, or 7%, from $11,900 for</w:t>
      </w:r>
      <w:r>
        <w:rPr>
          <w:rFonts w:ascii="Times New Roman" w:eastAsia="Times New Roman" w:hAnsi="Times New Roman" w:cs="Times New Roman"/>
          <w:b w:val="0"/>
          <w:i w:val="0"/>
          <w:sz w:val="20"/>
        </w:rPr>
        <w:t xml:space="preserve"> the </w:t>
      </w:r>
      <w:r>
        <w:rPr>
          <w:rFonts w:ascii="Times New Roman" w:eastAsia="Times New Roman" w:hAnsi="Times New Roman" w:cs="Times New Roman"/>
          <w:b w:val="0"/>
          <w:i w:val="0"/>
          <w:color w:val="000000"/>
          <w:sz w:val="20"/>
          <w:u w:val="none"/>
        </w:rPr>
        <w:t>three months ended March 31, 2025</w:t>
      </w:r>
      <w:r>
        <w:rPr>
          <w:rFonts w:ascii="Times New Roman" w:eastAsia="Times New Roman" w:hAnsi="Times New Roman" w:cs="Times New Roman"/>
          <w:b w:val="0"/>
          <w:i w:val="0"/>
          <w:sz w:val="20"/>
        </w:rPr>
        <w:t>. The increase is primarily attributable to an increased compensation-related expenses and contractors due to changes in headcount associated with administrative functions. Ge</w:t>
      </w:r>
      <w:r>
        <w:rPr>
          <w:rFonts w:ascii="Times New Roman" w:eastAsia="Times New Roman" w:hAnsi="Times New Roman" w:cs="Times New Roman"/>
          <w:b w:val="0"/>
          <w:i w:val="0"/>
          <w:color w:val="000000"/>
          <w:sz w:val="20"/>
          <w:highlight w:val="white"/>
          <w:u w:val="none"/>
        </w:rPr>
        <w:t xml:space="preserve">neral and administrative expenses as a percentage of revenue </w:t>
      </w:r>
      <w:r>
        <w:rPr>
          <w:rFonts w:ascii="Times New Roman" w:eastAsia="Times New Roman" w:hAnsi="Times New Roman" w:cs="Times New Roman"/>
          <w:b w:val="0"/>
          <w:i w:val="0"/>
          <w:color w:val="000000"/>
          <w:sz w:val="20"/>
          <w:highlight w:val="white"/>
          <w:u w:val="none"/>
        </w:rPr>
        <w:t>decreased to 30%</w:t>
      </w:r>
      <w:r>
        <w:rPr>
          <w:rFonts w:ascii="Times New Roman" w:eastAsia="Times New Roman" w:hAnsi="Times New Roman" w:cs="Times New Roman"/>
          <w:b w:val="0"/>
          <w:i w:val="0"/>
          <w:color w:val="000000"/>
          <w:sz w:val="20"/>
          <w:highlight w:val="white"/>
          <w:u w:val="none"/>
        </w:rPr>
        <w:t xml:space="preserve"> for the </w:t>
      </w:r>
      <w:r>
        <w:rPr>
          <w:rFonts w:ascii="Times New Roman" w:eastAsia="Times New Roman" w:hAnsi="Times New Roman" w:cs="Times New Roman"/>
          <w:b w:val="0"/>
          <w:i w:val="0"/>
          <w:color w:val="000000"/>
          <w:sz w:val="20"/>
          <w:highlight w:val="white"/>
          <w:u w:val="none"/>
        </w:rPr>
        <w:t>three months ended March 31, 2026</w:t>
      </w:r>
      <w:r>
        <w:rPr>
          <w:rFonts w:ascii="Times New Roman" w:eastAsia="Times New Roman" w:hAnsi="Times New Roman" w:cs="Times New Roman"/>
          <w:b w:val="0"/>
          <w:i w:val="0"/>
          <w:color w:val="000000"/>
          <w:sz w:val="20"/>
          <w:highlight w:val="white"/>
          <w:u w:val="none"/>
        </w:rPr>
        <w:t xml:space="preserve">, from </w:t>
      </w:r>
      <w:r>
        <w:rPr>
          <w:rFonts w:ascii="Times New Roman" w:eastAsia="Times New Roman" w:hAnsi="Times New Roman" w:cs="Times New Roman"/>
          <w:b w:val="0"/>
          <w:i w:val="0"/>
          <w:color w:val="000000"/>
          <w:sz w:val="20"/>
          <w:highlight w:val="white"/>
          <w:u w:val="none"/>
        </w:rPr>
        <w:t>34%</w:t>
      </w:r>
      <w:r>
        <w:rPr>
          <w:rFonts w:ascii="Times New Roman" w:eastAsia="Times New Roman" w:hAnsi="Times New Roman" w:cs="Times New Roman"/>
          <w:b w:val="0"/>
          <w:i w:val="0"/>
          <w:color w:val="000000"/>
          <w:sz w:val="20"/>
          <w:highlight w:val="white"/>
          <w:u w:val="none"/>
        </w:rPr>
        <w:t xml:space="preserve"> for the same period in </w:t>
      </w:r>
      <w:r>
        <w:rPr>
          <w:rFonts w:ascii="Times New Roman" w:eastAsia="Times New Roman" w:hAnsi="Times New Roman" w:cs="Times New Roman"/>
          <w:b w:val="0"/>
          <w:i w:val="0"/>
          <w:color w:val="000000"/>
          <w:sz w:val="20"/>
          <w:highlight w:val="white"/>
          <w:u w:val="none"/>
        </w:rPr>
        <w:t>2025</w:t>
      </w:r>
      <w:r>
        <w:rPr>
          <w:rFonts w:ascii="Times New Roman" w:eastAsia="Times New Roman" w:hAnsi="Times New Roman" w:cs="Times New Roman"/>
          <w:b w:val="0"/>
          <w:i w:val="0"/>
          <w:color w:val="000000"/>
          <w:sz w:val="20"/>
          <w:highlight w:val="white"/>
          <w:u w:val="none"/>
        </w:rPr>
        <w:t>.</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highlight w:val="white"/>
          <w:u w:val="none"/>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highlight w:val="white"/>
          <w:u w:val="none"/>
        </w:rPr>
      </w:pPr>
      <w:r>
        <w:rPr>
          <w:rFonts w:ascii="Times New Roman" w:eastAsia="Times New Roman" w:hAnsi="Times New Roman" w:cs="Times New Roman"/>
          <w:b/>
          <w:i w:val="0"/>
          <w:color w:val="000000"/>
          <w:sz w:val="20"/>
          <w:highlight w:val="white"/>
          <w:u w:val="none"/>
        </w:rPr>
        <w:t>Research and Development Expenses</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Research and development (“R&amp;D”) expenses consist primarily of salaries and related expenses, including share-based compensation for employees supporting our R&amp;D activities.</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highlight w:val="white"/>
          <w:u w:val="none"/>
        </w:rPr>
      </w:pPr>
      <w:r>
        <w:rPr>
          <w:rFonts w:ascii="Times New Roman" w:eastAsia="Times New Roman" w:hAnsi="Times New Roman" w:cs="Times New Roman"/>
          <w:b w:val="0"/>
          <w:i w:val="0"/>
          <w:sz w:val="20"/>
        </w:rPr>
        <w:t xml:space="preserve">R&amp;D expenses for the </w:t>
      </w:r>
      <w:r>
        <w:rPr>
          <w:rFonts w:ascii="Times New Roman" w:eastAsia="Times New Roman" w:hAnsi="Times New Roman" w:cs="Times New Roman"/>
          <w:b w:val="0"/>
          <w:i w:val="0"/>
          <w:color w:val="000000"/>
          <w:sz w:val="20"/>
          <w:u w:val="none"/>
        </w:rPr>
        <w:t>three months ended March 31, 2026</w:t>
      </w:r>
      <w:r>
        <w:rPr>
          <w:rFonts w:ascii="Times New Roman" w:eastAsia="Times New Roman" w:hAnsi="Times New Roman" w:cs="Times New Roman"/>
          <w:b w:val="0"/>
          <w:i w:val="0"/>
          <w:sz w:val="20"/>
        </w:rPr>
        <w:t xml:space="preserve">, were </w:t>
      </w:r>
      <w:r>
        <w:rPr>
          <w:rFonts w:ascii="Times New Roman" w:eastAsia="Times New Roman" w:hAnsi="Times New Roman" w:cs="Times New Roman"/>
          <w:b w:val="0"/>
          <w:i w:val="0"/>
          <w:color w:val="000000"/>
          <w:sz w:val="20"/>
          <w:u w:val="none"/>
        </w:rPr>
        <w:t>$1,657</w:t>
      </w:r>
      <w:r>
        <w:rPr>
          <w:rFonts w:ascii="Times New Roman" w:eastAsia="Times New Roman" w:hAnsi="Times New Roman" w:cs="Times New Roman"/>
          <w:b w:val="0"/>
          <w:i w:val="0"/>
          <w:color w:val="000000"/>
          <w:sz w:val="20"/>
          <w:u w:val="none"/>
        </w:rPr>
        <w:t>, a decrease of $372, or 18%, from $2,029 for</w:t>
      </w:r>
      <w:r>
        <w:rPr>
          <w:rFonts w:ascii="Times New Roman" w:eastAsia="Times New Roman" w:hAnsi="Times New Roman" w:cs="Times New Roman"/>
          <w:b w:val="0"/>
          <w:i w:val="0"/>
          <w:sz w:val="20"/>
        </w:rPr>
        <w:t xml:space="preserve"> the </w:t>
      </w:r>
      <w:r>
        <w:rPr>
          <w:rFonts w:ascii="Times New Roman" w:eastAsia="Times New Roman" w:hAnsi="Times New Roman" w:cs="Times New Roman"/>
          <w:b w:val="0"/>
          <w:i w:val="0"/>
          <w:color w:val="000000"/>
          <w:sz w:val="20"/>
          <w:u w:val="none"/>
        </w:rPr>
        <w:t>three months ended March 31, 2025</w:t>
      </w:r>
      <w:r>
        <w:rPr>
          <w:rFonts w:ascii="Times New Roman" w:eastAsia="Times New Roman" w:hAnsi="Times New Roman" w:cs="Times New Roman"/>
          <w:b w:val="0"/>
          <w:i w:val="0"/>
          <w:sz w:val="20"/>
        </w:rPr>
        <w:t xml:space="preserve">. The </w:t>
      </w:r>
      <w:r>
        <w:rPr>
          <w:rFonts w:ascii="Times New Roman" w:eastAsia="Times New Roman" w:hAnsi="Times New Roman" w:cs="Times New Roman"/>
          <w:b w:val="0"/>
          <w:i w:val="0"/>
          <w:color w:val="000000"/>
          <w:sz w:val="20"/>
          <w:u w:val="none"/>
        </w:rPr>
        <w:t>decrease</w:t>
      </w:r>
      <w:r>
        <w:rPr>
          <w:rFonts w:ascii="Times New Roman" w:eastAsia="Times New Roman" w:hAnsi="Times New Roman" w:cs="Times New Roman"/>
          <w:b w:val="0"/>
          <w:i w:val="0"/>
          <w:sz w:val="20"/>
        </w:rPr>
        <w:t xml:space="preserve"> is primarily attributable to an increase in the capitalization of software expenses for continued investment in the development of our products and partially offset by an increase in personnel compensation expenses. R&amp;D expenses as a percentage of</w:t>
      </w:r>
      <w:r>
        <w:rPr>
          <w:rFonts w:ascii="Times New Roman" w:eastAsia="Times New Roman" w:hAnsi="Times New Roman" w:cs="Times New Roman"/>
          <w:b w:val="0"/>
          <w:i w:val="0"/>
          <w:color w:val="000000"/>
          <w:sz w:val="20"/>
          <w:highlight w:val="white"/>
          <w:u w:val="none"/>
        </w:rPr>
        <w:t xml:space="preserve"> revenue </w:t>
      </w:r>
      <w:r>
        <w:rPr>
          <w:rFonts w:ascii="Times New Roman" w:eastAsia="Times New Roman" w:hAnsi="Times New Roman" w:cs="Times New Roman"/>
          <w:b w:val="0"/>
          <w:i w:val="0"/>
          <w:color w:val="000000"/>
          <w:sz w:val="20"/>
          <w:highlight w:val="white"/>
          <w:u w:val="none"/>
        </w:rPr>
        <w:t>decreased to 4%</w:t>
      </w:r>
      <w:r>
        <w:rPr>
          <w:rFonts w:ascii="Times New Roman" w:eastAsia="Times New Roman" w:hAnsi="Times New Roman" w:cs="Times New Roman"/>
          <w:b w:val="0"/>
          <w:i w:val="0"/>
          <w:color w:val="000000"/>
          <w:sz w:val="20"/>
          <w:highlight w:val="white"/>
          <w:u w:val="none"/>
        </w:rPr>
        <w:t xml:space="preserve"> for the </w:t>
      </w:r>
      <w:r>
        <w:rPr>
          <w:rFonts w:ascii="Times New Roman" w:eastAsia="Times New Roman" w:hAnsi="Times New Roman" w:cs="Times New Roman"/>
          <w:b w:val="0"/>
          <w:i w:val="0"/>
          <w:color w:val="000000"/>
          <w:sz w:val="20"/>
          <w:highlight w:val="white"/>
          <w:u w:val="none"/>
        </w:rPr>
        <w:t>three months ended March 31, 2026</w:t>
      </w:r>
      <w:r>
        <w:rPr>
          <w:rFonts w:ascii="Times New Roman" w:eastAsia="Times New Roman" w:hAnsi="Times New Roman" w:cs="Times New Roman"/>
          <w:b w:val="0"/>
          <w:i w:val="0"/>
          <w:color w:val="000000"/>
          <w:sz w:val="20"/>
          <w:highlight w:val="white"/>
          <w:u w:val="none"/>
        </w:rPr>
        <w:t xml:space="preserve">, from </w:t>
      </w:r>
      <w:r>
        <w:rPr>
          <w:rFonts w:ascii="Times New Roman" w:eastAsia="Times New Roman" w:hAnsi="Times New Roman" w:cs="Times New Roman"/>
          <w:b w:val="0"/>
          <w:i w:val="0"/>
          <w:color w:val="000000"/>
          <w:sz w:val="20"/>
          <w:u w:val="none"/>
        </w:rPr>
        <w:t>6%</w:t>
      </w:r>
      <w:r>
        <w:rPr>
          <w:rFonts w:ascii="Times New Roman" w:eastAsia="Times New Roman" w:hAnsi="Times New Roman" w:cs="Times New Roman"/>
          <w:b w:val="0"/>
          <w:i w:val="0"/>
          <w:sz w:val="20"/>
        </w:rPr>
        <w:t xml:space="preserve"> for </w:t>
      </w:r>
      <w:r>
        <w:rPr>
          <w:rFonts w:ascii="Times New Roman" w:eastAsia="Times New Roman" w:hAnsi="Times New Roman" w:cs="Times New Roman"/>
          <w:b w:val="0"/>
          <w:i w:val="0"/>
          <w:color w:val="000000"/>
          <w:sz w:val="20"/>
          <w:highlight w:val="white"/>
          <w:u w:val="none"/>
        </w:rPr>
        <w:t xml:space="preserve">the same period in </w:t>
      </w:r>
      <w:r>
        <w:rPr>
          <w:rFonts w:ascii="Times New Roman" w:eastAsia="Times New Roman" w:hAnsi="Times New Roman" w:cs="Times New Roman"/>
          <w:b w:val="0"/>
          <w:i w:val="0"/>
          <w:color w:val="000000"/>
          <w:sz w:val="20"/>
          <w:highlight w:val="white"/>
          <w:u w:val="none"/>
        </w:rPr>
        <w:t>2025</w:t>
      </w:r>
      <w:r>
        <w:rPr>
          <w:rFonts w:ascii="Times New Roman" w:eastAsia="Times New Roman" w:hAnsi="Times New Roman" w:cs="Times New Roman"/>
          <w:b w:val="0"/>
          <w:i w:val="0"/>
          <w:color w:val="000000"/>
          <w:sz w:val="20"/>
          <w:highlight w:val="white"/>
          <w:u w:val="none"/>
        </w:rPr>
        <w:t xml:space="preserve">. </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color w:val="000000"/>
          <w:sz w:val="20"/>
          <w:highlight w:val="yellow"/>
          <w:u w:val="none"/>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highlight w:val="white"/>
          <w:u w:val="none"/>
        </w:rPr>
      </w:pPr>
      <w:r>
        <w:rPr>
          <w:rFonts w:ascii="Times New Roman" w:eastAsia="Times New Roman" w:hAnsi="Times New Roman" w:cs="Times New Roman"/>
          <w:b/>
          <w:i w:val="0"/>
          <w:color w:val="000000"/>
          <w:sz w:val="20"/>
          <w:highlight w:val="white"/>
          <w:u w:val="none"/>
        </w:rPr>
        <w:t>Amortization of Intangible Assets</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sz w:val="20"/>
        </w:rPr>
      </w:pP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 xml:space="preserve">Amortization expense for the </w:t>
      </w:r>
      <w:r>
        <w:rPr>
          <w:rFonts w:ascii="Times New Roman" w:eastAsia="Times New Roman" w:hAnsi="Times New Roman" w:cs="Times New Roman"/>
          <w:b w:val="0"/>
          <w:i w:val="0"/>
          <w:color w:val="000000"/>
          <w:sz w:val="20"/>
          <w:u w:val="none"/>
        </w:rPr>
        <w:t>three months ended March 31, 2026</w:t>
      </w:r>
      <w:r>
        <w:rPr>
          <w:rFonts w:ascii="Times New Roman" w:eastAsia="Times New Roman" w:hAnsi="Times New Roman" w:cs="Times New Roman"/>
          <w:b w:val="0"/>
          <w:i w:val="0"/>
          <w:sz w:val="20"/>
        </w:rPr>
        <w:t xml:space="preserve">, was </w:t>
      </w:r>
      <w:r>
        <w:rPr>
          <w:rFonts w:ascii="Times New Roman" w:eastAsia="Times New Roman" w:hAnsi="Times New Roman" w:cs="Times New Roman"/>
          <w:b w:val="0"/>
          <w:i w:val="0"/>
          <w:color w:val="000000"/>
          <w:sz w:val="20"/>
          <w:u w:val="none"/>
        </w:rPr>
        <w:t>$4,972</w:t>
      </w:r>
      <w:r>
        <w:rPr>
          <w:rFonts w:ascii="Times New Roman" w:eastAsia="Times New Roman" w:hAnsi="Times New Roman" w:cs="Times New Roman"/>
          <w:b w:val="0"/>
          <w:i w:val="0"/>
          <w:color w:val="000000"/>
          <w:sz w:val="20"/>
          <w:u w:val="none"/>
        </w:rPr>
        <w:t>, an increase of $664, or 15%, from $4,308 for</w:t>
      </w:r>
      <w:r>
        <w:rPr>
          <w:rFonts w:ascii="Times New Roman" w:eastAsia="Times New Roman" w:hAnsi="Times New Roman" w:cs="Times New Roman"/>
          <w:b w:val="0"/>
          <w:i w:val="0"/>
          <w:sz w:val="20"/>
        </w:rPr>
        <w:t xml:space="preserve"> the </w:t>
      </w:r>
      <w:r>
        <w:rPr>
          <w:rFonts w:ascii="Times New Roman" w:eastAsia="Times New Roman" w:hAnsi="Times New Roman" w:cs="Times New Roman"/>
          <w:b w:val="0"/>
          <w:i w:val="0"/>
          <w:color w:val="000000"/>
          <w:sz w:val="20"/>
          <w:u w:val="none"/>
        </w:rPr>
        <w:t>three months ended March 31, 2025</w:t>
      </w:r>
      <w:r>
        <w:rPr>
          <w:rFonts w:ascii="Times New Roman" w:eastAsia="Times New Roman" w:hAnsi="Times New Roman" w:cs="Times New Roman"/>
          <w:b w:val="0"/>
          <w:i w:val="0"/>
          <w:sz w:val="20"/>
        </w:rPr>
        <w:t xml:space="preserve">. </w:t>
      </w:r>
      <w:r>
        <w:rPr>
          <w:rFonts w:ascii="Times New Roman" w:eastAsia="Times New Roman" w:hAnsi="Times New Roman" w:cs="Times New Roman"/>
          <w:b w:val="0"/>
          <w:i w:val="0"/>
          <w:color w:val="000000"/>
          <w:sz w:val="20"/>
          <w:highlight w:val="white"/>
          <w:u w:val="none"/>
        </w:rPr>
        <w:t xml:space="preserve">The increase in amortization expense is primarily attributable to </w:t>
      </w:r>
      <w:r>
        <w:rPr>
          <w:rFonts w:ascii="Times New Roman" w:eastAsia="Times New Roman" w:hAnsi="Times New Roman" w:cs="Times New Roman"/>
          <w:b w:val="0"/>
          <w:i w:val="0"/>
          <w:sz w:val="20"/>
        </w:rPr>
        <w:t>our continuing acquisitions strategy, with additional acquisitions occurring each quarter</w:t>
      </w:r>
      <w:r>
        <w:rPr>
          <w:rFonts w:ascii="Times New Roman" w:eastAsia="Times New Roman" w:hAnsi="Times New Roman" w:cs="Times New Roman"/>
          <w:b w:val="0"/>
          <w:i w:val="0"/>
          <w:color w:val="000000"/>
          <w:sz w:val="20"/>
          <w:highlight w:val="white"/>
          <w:u w:val="none"/>
        </w:rPr>
        <w:t xml:space="preserve">. </w:t>
      </w:r>
      <w:r>
        <w:rPr>
          <w:rFonts w:ascii="Times New Roman" w:eastAsia="Times New Roman" w:hAnsi="Times New Roman" w:cs="Times New Roman"/>
          <w:b w:val="0"/>
          <w:i w:val="0"/>
          <w:sz w:val="20"/>
        </w:rPr>
        <w:t xml:space="preserve">Amortization expense as a percentage of revenue </w:t>
      </w:r>
      <w:r>
        <w:rPr>
          <w:rFonts w:ascii="Times New Roman" w:eastAsia="Times New Roman" w:hAnsi="Times New Roman" w:cs="Times New Roman"/>
          <w:b w:val="0"/>
          <w:i w:val="0"/>
          <w:color w:val="000000"/>
          <w:sz w:val="20"/>
          <w:u w:val="none"/>
        </w:rPr>
        <w:t>remained flat at 12%</w:t>
      </w:r>
      <w:r>
        <w:rPr>
          <w:rFonts w:ascii="Times New Roman" w:eastAsia="Times New Roman" w:hAnsi="Times New Roman" w:cs="Times New Roman"/>
          <w:b w:val="0"/>
          <w:i w:val="0"/>
          <w:sz w:val="20"/>
        </w:rPr>
        <w:t xml:space="preserve"> for the </w:t>
      </w:r>
      <w:r>
        <w:rPr>
          <w:rFonts w:ascii="Times New Roman" w:eastAsia="Times New Roman" w:hAnsi="Times New Roman" w:cs="Times New Roman"/>
          <w:b w:val="0"/>
          <w:i w:val="0"/>
          <w:color w:val="000000"/>
          <w:sz w:val="20"/>
          <w:u w:val="none"/>
        </w:rPr>
        <w:t>three months ended March 31, 2026</w:t>
      </w:r>
      <w:r>
        <w:rPr>
          <w:rFonts w:ascii="Times New Roman" w:eastAsia="Times New Roman" w:hAnsi="Times New Roman" w:cs="Times New Roman"/>
          <w:b w:val="0"/>
          <w:i w:val="0"/>
          <w:sz w:val="20"/>
        </w:rPr>
        <w:t xml:space="preserve"> and </w:t>
      </w:r>
      <w:r>
        <w:rPr>
          <w:rFonts w:ascii="Times New Roman" w:eastAsia="Times New Roman" w:hAnsi="Times New Roman" w:cs="Times New Roman"/>
          <w:b w:val="0"/>
          <w:i w:val="0"/>
          <w:color w:val="000000"/>
          <w:sz w:val="20"/>
          <w:u w:val="none"/>
        </w:rPr>
        <w:t>2025</w:t>
      </w:r>
      <w:r>
        <w:rPr>
          <w:rFonts w:ascii="Times New Roman" w:eastAsia="Times New Roman" w:hAnsi="Times New Roman" w:cs="Times New Roman"/>
          <w:b w:val="0"/>
          <w:i w:val="0"/>
          <w:sz w:val="20"/>
        </w:rPr>
        <w:t>.</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highlight w:val="white"/>
          <w:u w:val="none"/>
        </w:rPr>
      </w:pPr>
      <w:r>
        <w:rPr>
          <w:rFonts w:ascii="Times New Roman" w:eastAsia="Times New Roman" w:hAnsi="Times New Roman" w:cs="Times New Roman"/>
          <w:b/>
          <w:i w:val="0"/>
          <w:color w:val="000000"/>
          <w:sz w:val="20"/>
          <w:highlight w:val="white"/>
          <w:u w:val="none"/>
        </w:rPr>
        <w:t>Interest Income and Expense</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 xml:space="preserve">Interest income for the </w:t>
      </w:r>
      <w:r>
        <w:rPr>
          <w:rFonts w:ascii="Times New Roman" w:eastAsia="Times New Roman" w:hAnsi="Times New Roman" w:cs="Times New Roman"/>
          <w:b w:val="0"/>
          <w:i w:val="0"/>
          <w:color w:val="000000"/>
          <w:sz w:val="20"/>
          <w:u w:val="none"/>
        </w:rPr>
        <w:t>three months ended March 31, 2026</w:t>
      </w:r>
      <w:r>
        <w:rPr>
          <w:rFonts w:ascii="Times New Roman" w:eastAsia="Times New Roman" w:hAnsi="Times New Roman" w:cs="Times New Roman"/>
          <w:b w:val="0"/>
          <w:i w:val="0"/>
          <w:sz w:val="20"/>
        </w:rPr>
        <w:t xml:space="preserve">, was </w:t>
      </w:r>
      <w:r>
        <w:rPr>
          <w:rFonts w:ascii="Times New Roman" w:eastAsia="Times New Roman" w:hAnsi="Times New Roman" w:cs="Times New Roman"/>
          <w:b w:val="0"/>
          <w:i w:val="0"/>
          <w:color w:val="000000"/>
          <w:sz w:val="20"/>
          <w:u w:val="none"/>
        </w:rPr>
        <w:t>$188</w:t>
      </w:r>
      <w:r>
        <w:rPr>
          <w:rFonts w:ascii="Times New Roman" w:eastAsia="Times New Roman" w:hAnsi="Times New Roman" w:cs="Times New Roman"/>
          <w:b w:val="0"/>
          <w:i w:val="0"/>
          <w:sz w:val="20"/>
        </w:rPr>
        <w:t xml:space="preserve"> compared to interest income of </w:t>
      </w:r>
      <w:r>
        <w:rPr>
          <w:rFonts w:ascii="Times New Roman" w:eastAsia="Times New Roman" w:hAnsi="Times New Roman" w:cs="Times New Roman"/>
          <w:b w:val="0"/>
          <w:i w:val="0"/>
          <w:color w:val="000000"/>
          <w:sz w:val="20"/>
          <w:u w:val="none"/>
        </w:rPr>
        <w:t>$171</w:t>
      </w:r>
      <w:r>
        <w:rPr>
          <w:rFonts w:ascii="Times New Roman" w:eastAsia="Times New Roman" w:hAnsi="Times New Roman" w:cs="Times New Roman"/>
          <w:b w:val="0"/>
          <w:i w:val="0"/>
          <w:sz w:val="20"/>
        </w:rPr>
        <w:t xml:space="preserve"> for the </w:t>
      </w:r>
      <w:r>
        <w:rPr>
          <w:rFonts w:ascii="Times New Roman" w:eastAsia="Times New Roman" w:hAnsi="Times New Roman" w:cs="Times New Roman"/>
          <w:b w:val="0"/>
          <w:i w:val="0"/>
          <w:color w:val="000000"/>
          <w:sz w:val="20"/>
          <w:u w:val="none"/>
        </w:rPr>
        <w:t>three months ended March 31, 2025</w:t>
      </w:r>
      <w:r>
        <w:rPr>
          <w:rFonts w:ascii="Times New Roman" w:eastAsia="Times New Roman" w:hAnsi="Times New Roman" w:cs="Times New Roman"/>
          <w:b w:val="0"/>
          <w:i w:val="0"/>
          <w:sz w:val="20"/>
        </w:rPr>
        <w:t xml:space="preserve">. Interest income as a percentage of revenue was negligible for the </w:t>
      </w:r>
      <w:r>
        <w:rPr>
          <w:rFonts w:ascii="Times New Roman" w:eastAsia="Times New Roman" w:hAnsi="Times New Roman" w:cs="Times New Roman"/>
          <w:b w:val="0"/>
          <w:i w:val="0"/>
          <w:color w:val="000000"/>
          <w:sz w:val="20"/>
          <w:u w:val="none"/>
        </w:rPr>
        <w:t>three months ended March 31, 2026</w:t>
      </w:r>
      <w:r>
        <w:rPr>
          <w:rFonts w:ascii="Times New Roman" w:eastAsia="Times New Roman" w:hAnsi="Times New Roman" w:cs="Times New Roman"/>
          <w:b w:val="0"/>
          <w:i w:val="0"/>
          <w:sz w:val="20"/>
        </w:rPr>
        <w:t xml:space="preserve"> and </w:t>
      </w:r>
      <w:r>
        <w:rPr>
          <w:rFonts w:ascii="Times New Roman" w:eastAsia="Times New Roman" w:hAnsi="Times New Roman" w:cs="Times New Roman"/>
          <w:b w:val="0"/>
          <w:i w:val="0"/>
          <w:color w:val="000000"/>
          <w:sz w:val="20"/>
          <w:u w:val="none"/>
        </w:rPr>
        <w:t>2025</w:t>
      </w:r>
      <w:r>
        <w:rPr>
          <w:rFonts w:ascii="Times New Roman" w:eastAsia="Times New Roman" w:hAnsi="Times New Roman" w:cs="Times New Roman"/>
          <w:b w:val="0"/>
          <w:i w:val="0"/>
          <w:color w:val="000000"/>
          <w:sz w:val="20"/>
          <w:highlight w:val="white"/>
          <w:u w:val="none"/>
        </w:rPr>
        <w:t xml:space="preserve">. Interest expense for the </w:t>
      </w:r>
      <w:r>
        <w:rPr>
          <w:rFonts w:ascii="Times New Roman" w:eastAsia="Times New Roman" w:hAnsi="Times New Roman" w:cs="Times New Roman"/>
          <w:b w:val="0"/>
          <w:i w:val="0"/>
          <w:color w:val="000000"/>
          <w:sz w:val="20"/>
          <w:u w:val="none"/>
        </w:rPr>
        <w:t>three months ended March 31, 2026</w:t>
      </w:r>
      <w:r>
        <w:rPr>
          <w:rFonts w:ascii="Times New Roman" w:eastAsia="Times New Roman" w:hAnsi="Times New Roman" w:cs="Times New Roman"/>
          <w:b w:val="0"/>
          <w:i w:val="0"/>
          <w:sz w:val="20"/>
        </w:rPr>
        <w:t xml:space="preserve">, was </w:t>
      </w:r>
      <w:r>
        <w:rPr>
          <w:rFonts w:ascii="Times New Roman" w:eastAsia="Times New Roman" w:hAnsi="Times New Roman" w:cs="Times New Roman"/>
          <w:b w:val="0"/>
          <w:i w:val="0"/>
          <w:color w:val="000000"/>
          <w:sz w:val="20"/>
          <w:u w:val="none"/>
        </w:rPr>
        <w:t>$1,748</w:t>
      </w:r>
      <w:r>
        <w:rPr>
          <w:rFonts w:ascii="Times New Roman" w:eastAsia="Times New Roman" w:hAnsi="Times New Roman" w:cs="Times New Roman"/>
          <w:b w:val="0"/>
          <w:i w:val="0"/>
          <w:sz w:val="20"/>
        </w:rPr>
        <w:t xml:space="preserve"> compared to interest expense of </w:t>
      </w:r>
      <w:r>
        <w:rPr>
          <w:rFonts w:ascii="Times New Roman" w:eastAsia="Times New Roman" w:hAnsi="Times New Roman" w:cs="Times New Roman"/>
          <w:b w:val="0"/>
          <w:i w:val="0"/>
          <w:color w:val="000000"/>
          <w:sz w:val="20"/>
          <w:u w:val="none"/>
        </w:rPr>
        <w:t>$451</w:t>
      </w:r>
      <w:r>
        <w:rPr>
          <w:rFonts w:ascii="Times New Roman" w:eastAsia="Times New Roman" w:hAnsi="Times New Roman" w:cs="Times New Roman"/>
          <w:b w:val="0"/>
          <w:i w:val="0"/>
          <w:sz w:val="20"/>
        </w:rPr>
        <w:t xml:space="preserve"> for the </w:t>
      </w:r>
      <w:r>
        <w:rPr>
          <w:rFonts w:ascii="Times New Roman" w:eastAsia="Times New Roman" w:hAnsi="Times New Roman" w:cs="Times New Roman"/>
          <w:b w:val="0"/>
          <w:i w:val="0"/>
          <w:color w:val="000000"/>
          <w:sz w:val="20"/>
          <w:u w:val="none"/>
        </w:rPr>
        <w:t>three months ended March 31, 2025</w:t>
      </w:r>
      <w:r>
        <w:rPr>
          <w:rFonts w:ascii="Times New Roman" w:eastAsia="Times New Roman" w:hAnsi="Times New Roman" w:cs="Times New Roman"/>
          <w:b w:val="0"/>
          <w:i w:val="0"/>
          <w:sz w:val="20"/>
        </w:rPr>
        <w:t xml:space="preserve">. The increase in interest expense relative to the prior year is primarily attributable to interest accrued under our Loan Agreement (defined below) with MidCap Financial Trust (“MidCap”). Interest expense as a percentage of revenue was </w:t>
      </w:r>
      <w:r>
        <w:rPr>
          <w:rFonts w:ascii="Times New Roman" w:eastAsia="Times New Roman" w:hAnsi="Times New Roman" w:cs="Times New Roman"/>
          <w:b w:val="0"/>
          <w:i w:val="0"/>
          <w:color w:val="000000"/>
          <w:sz w:val="20"/>
          <w:u w:val="none"/>
        </w:rPr>
        <w:t>4%</w:t>
      </w:r>
      <w:r>
        <w:rPr>
          <w:rFonts w:ascii="Times New Roman" w:eastAsia="Times New Roman" w:hAnsi="Times New Roman" w:cs="Times New Roman"/>
          <w:b w:val="0"/>
          <w:i w:val="0"/>
          <w:sz w:val="20"/>
        </w:rPr>
        <w:t xml:space="preserve"> for the </w:t>
      </w:r>
      <w:r>
        <w:rPr>
          <w:rFonts w:ascii="Times New Roman" w:eastAsia="Times New Roman" w:hAnsi="Times New Roman" w:cs="Times New Roman"/>
          <w:b w:val="0"/>
          <w:i w:val="0"/>
          <w:color w:val="000000"/>
          <w:sz w:val="20"/>
          <w:u w:val="none"/>
        </w:rPr>
        <w:t>three months ended March 31, 2026</w:t>
      </w:r>
      <w:r>
        <w:rPr>
          <w:rFonts w:ascii="Times New Roman" w:eastAsia="Times New Roman" w:hAnsi="Times New Roman" w:cs="Times New Roman"/>
          <w:b w:val="0"/>
          <w:i w:val="0"/>
          <w:sz w:val="20"/>
        </w:rPr>
        <w:t xml:space="preserve">, compared to </w:t>
      </w:r>
      <w:r>
        <w:rPr>
          <w:rFonts w:ascii="Times New Roman" w:eastAsia="Times New Roman" w:hAnsi="Times New Roman" w:cs="Times New Roman"/>
          <w:b w:val="0"/>
          <w:i w:val="0"/>
          <w:color w:val="000000"/>
          <w:sz w:val="20"/>
          <w:u w:val="none"/>
        </w:rPr>
        <w:t>1%</w:t>
      </w:r>
      <w:r>
        <w:rPr>
          <w:rFonts w:ascii="Times New Roman" w:eastAsia="Times New Roman" w:hAnsi="Times New Roman" w:cs="Times New Roman"/>
          <w:b w:val="0"/>
          <w:i w:val="0"/>
          <w:sz w:val="20"/>
        </w:rPr>
        <w:t xml:space="preserve">  for the </w:t>
      </w:r>
      <w:r>
        <w:rPr>
          <w:rFonts w:ascii="Times New Roman" w:eastAsia="Times New Roman" w:hAnsi="Times New Roman" w:cs="Times New Roman"/>
          <w:b w:val="0"/>
          <w:i w:val="0"/>
          <w:color w:val="000000"/>
          <w:sz w:val="20"/>
          <w:u w:val="none"/>
        </w:rPr>
        <w:t>three months ended March 31, 2025</w:t>
      </w:r>
      <w:r>
        <w:rPr>
          <w:rFonts w:ascii="Times New Roman" w:eastAsia="Times New Roman" w:hAnsi="Times New Roman" w:cs="Times New Roman"/>
          <w:b w:val="0"/>
          <w:i w:val="0"/>
          <w:sz w:val="20"/>
        </w:rPr>
        <w:t>.</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color w:val="000000"/>
          <w:sz w:val="20"/>
          <w:highlight w:val="white"/>
          <w:u w:val="none"/>
        </w:rPr>
      </w:pPr>
      <w:r>
        <w:rPr>
          <w:rFonts w:ascii="Times New Roman" w:eastAsia="Times New Roman" w:hAnsi="Times New Roman" w:cs="Times New Roman"/>
          <w:b/>
          <w:i w:val="0"/>
          <w:color w:val="000000"/>
          <w:sz w:val="20"/>
          <w:highlight w:val="white"/>
          <w:u w:val="none"/>
        </w:rPr>
        <w:t xml:space="preserve">Other </w:t>
      </w:r>
      <w:r>
        <w:rPr>
          <w:rFonts w:ascii="Times New Roman" w:eastAsia="Times New Roman" w:hAnsi="Times New Roman" w:cs="Times New Roman"/>
          <w:b/>
          <w:i w:val="0"/>
          <w:color w:val="000000"/>
          <w:sz w:val="20"/>
          <w:u w:val="none"/>
        </w:rPr>
        <w:t>Income</w:t>
      </w:r>
      <w:r>
        <w:rPr>
          <w:rFonts w:ascii="Times New Roman" w:eastAsia="Times New Roman" w:hAnsi="Times New Roman" w:cs="Times New Roman"/>
          <w:b/>
          <w:i w:val="0"/>
          <w:color w:val="000000"/>
          <w:sz w:val="20"/>
          <w:highlight w:val="white"/>
          <w:u w:val="none"/>
        </w:rPr>
        <w:t>, Net</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 xml:space="preserve">Other </w:t>
      </w:r>
      <w:r>
        <w:rPr>
          <w:rFonts w:ascii="Times New Roman" w:eastAsia="Times New Roman" w:hAnsi="Times New Roman" w:cs="Times New Roman"/>
          <w:b w:val="0"/>
          <w:i w:val="0"/>
          <w:color w:val="000000"/>
          <w:sz w:val="20"/>
          <w:u w:val="none"/>
        </w:rPr>
        <w:t>income</w:t>
      </w:r>
      <w:r>
        <w:rPr>
          <w:rFonts w:ascii="Times New Roman" w:eastAsia="Times New Roman" w:hAnsi="Times New Roman" w:cs="Times New Roman"/>
          <w:b w:val="0"/>
          <w:i w:val="0"/>
          <w:sz w:val="20"/>
        </w:rPr>
        <w:t xml:space="preserve">, net for the </w:t>
      </w:r>
      <w:r>
        <w:rPr>
          <w:rFonts w:ascii="Times New Roman" w:eastAsia="Times New Roman" w:hAnsi="Times New Roman" w:cs="Times New Roman"/>
          <w:b w:val="0"/>
          <w:i w:val="0"/>
          <w:color w:val="000000"/>
          <w:sz w:val="20"/>
          <w:u w:val="none"/>
        </w:rPr>
        <w:t>three months ended March 31, 2026</w:t>
      </w:r>
      <w:r>
        <w:rPr>
          <w:rFonts w:ascii="Times New Roman" w:eastAsia="Times New Roman" w:hAnsi="Times New Roman" w:cs="Times New Roman"/>
          <w:b w:val="0"/>
          <w:i w:val="0"/>
          <w:sz w:val="20"/>
        </w:rPr>
        <w:t xml:space="preserve"> was </w:t>
      </w:r>
      <w:r>
        <w:rPr>
          <w:rFonts w:ascii="Times New Roman" w:eastAsia="Times New Roman" w:hAnsi="Times New Roman" w:cs="Times New Roman"/>
          <w:b w:val="0"/>
          <w:i w:val="0"/>
          <w:color w:val="000000"/>
          <w:sz w:val="20"/>
          <w:u w:val="none"/>
        </w:rPr>
        <w:t>nominal</w:t>
      </w:r>
      <w:r>
        <w:rPr>
          <w:rFonts w:ascii="Times New Roman" w:eastAsia="Times New Roman" w:hAnsi="Times New Roman" w:cs="Times New Roman"/>
          <w:b w:val="0"/>
          <w:i w:val="0"/>
          <w:sz w:val="20"/>
        </w:rPr>
        <w:t xml:space="preserve"> compared to </w:t>
      </w:r>
      <w:r>
        <w:rPr>
          <w:rFonts w:ascii="Times New Roman" w:eastAsia="Times New Roman" w:hAnsi="Times New Roman" w:cs="Times New Roman"/>
          <w:b w:val="0"/>
          <w:i w:val="0"/>
          <w:color w:val="000000"/>
          <w:sz w:val="20"/>
          <w:u w:val="none"/>
        </w:rPr>
        <w:t>$188</w:t>
      </w:r>
      <w:r>
        <w:rPr>
          <w:rFonts w:ascii="Times New Roman" w:eastAsia="Times New Roman" w:hAnsi="Times New Roman" w:cs="Times New Roman"/>
          <w:b w:val="0"/>
          <w:i w:val="0"/>
          <w:sz w:val="20"/>
        </w:rPr>
        <w:t xml:space="preserve"> for the </w:t>
      </w:r>
      <w:r>
        <w:rPr>
          <w:rFonts w:ascii="Times New Roman" w:eastAsia="Times New Roman" w:hAnsi="Times New Roman" w:cs="Times New Roman"/>
          <w:b w:val="0"/>
          <w:i w:val="0"/>
          <w:color w:val="000000"/>
          <w:sz w:val="20"/>
          <w:u w:val="none"/>
        </w:rPr>
        <w:t>three months ended March 31, 2025</w:t>
      </w:r>
      <w:r>
        <w:rPr>
          <w:rFonts w:ascii="Times New Roman" w:eastAsia="Times New Roman" w:hAnsi="Times New Roman" w:cs="Times New Roman"/>
          <w:b w:val="0"/>
          <w:i w:val="0"/>
          <w:sz w:val="20"/>
        </w:rPr>
        <w:t xml:space="preserve">. Other income, net as a percentage of revenue was negligible for the </w:t>
      </w:r>
      <w:r>
        <w:rPr>
          <w:rFonts w:ascii="Times New Roman" w:eastAsia="Times New Roman" w:hAnsi="Times New Roman" w:cs="Times New Roman"/>
          <w:b w:val="0"/>
          <w:i w:val="0"/>
          <w:color w:val="000000"/>
          <w:sz w:val="20"/>
          <w:u w:val="none"/>
        </w:rPr>
        <w:t>three months ended March 31, 2026</w:t>
      </w:r>
      <w:r>
        <w:rPr>
          <w:rFonts w:ascii="Times New Roman" w:eastAsia="Times New Roman" w:hAnsi="Times New Roman" w:cs="Times New Roman"/>
          <w:b w:val="0"/>
          <w:i w:val="0"/>
          <w:sz w:val="20"/>
        </w:rPr>
        <w:t xml:space="preserve">, compared to </w:t>
      </w:r>
      <w:r>
        <w:rPr>
          <w:rFonts w:ascii="Times New Roman" w:eastAsia="Times New Roman" w:hAnsi="Times New Roman" w:cs="Times New Roman"/>
          <w:b w:val="0"/>
          <w:i w:val="0"/>
          <w:color w:val="000000"/>
          <w:sz w:val="20"/>
          <w:u w:val="none"/>
        </w:rPr>
        <w:t>1%</w:t>
      </w:r>
      <w:r>
        <w:rPr>
          <w:rFonts w:ascii="Times New Roman" w:eastAsia="Times New Roman" w:hAnsi="Times New Roman" w:cs="Times New Roman"/>
          <w:b w:val="0"/>
          <w:i w:val="0"/>
          <w:sz w:val="20"/>
        </w:rPr>
        <w:t xml:space="preserve"> for the </w:t>
      </w:r>
      <w:r>
        <w:rPr>
          <w:rFonts w:ascii="Times New Roman" w:eastAsia="Times New Roman" w:hAnsi="Times New Roman" w:cs="Times New Roman"/>
          <w:b w:val="0"/>
          <w:i w:val="0"/>
          <w:color w:val="000000"/>
          <w:sz w:val="20"/>
          <w:u w:val="none"/>
        </w:rPr>
        <w:t>three months ended March 31, 2025</w:t>
      </w:r>
      <w:r>
        <w:rPr>
          <w:rFonts w:ascii="Times New Roman" w:eastAsia="Times New Roman" w:hAnsi="Times New Roman" w:cs="Times New Roman"/>
          <w:b w:val="0"/>
          <w:i w:val="0"/>
          <w:color w:val="000000"/>
          <w:sz w:val="20"/>
          <w:highlight w:val="white"/>
          <w:u w:val="none"/>
        </w:rPr>
        <w:t>.</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sz w:val="20"/>
        </w:rPr>
      </w:pPr>
      <w:r>
        <w:rPr>
          <w:rFonts w:ascii="Times New Roman" w:eastAsia="Times New Roman" w:hAnsi="Times New Roman" w:cs="Times New Roman"/>
          <w:b/>
          <w:i w:val="0"/>
          <w:sz w:val="20"/>
        </w:rPr>
        <w:t>Income Taxes</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highlight w:val="white"/>
          <w:u w:val="none"/>
        </w:rPr>
      </w:pPr>
      <w:r>
        <w:rPr>
          <w:rFonts w:ascii="Times New Roman" w:eastAsia="Times New Roman" w:hAnsi="Times New Roman" w:cs="Times New Roman"/>
          <w:b w:val="0"/>
          <w:i w:val="0"/>
          <w:sz w:val="20"/>
        </w:rPr>
        <w:t xml:space="preserve">For the </w:t>
      </w:r>
      <w:r>
        <w:rPr>
          <w:rFonts w:ascii="Times New Roman" w:eastAsia="Times New Roman" w:hAnsi="Times New Roman" w:cs="Times New Roman"/>
          <w:b w:val="0"/>
          <w:i w:val="0"/>
          <w:color w:val="000000"/>
          <w:sz w:val="20"/>
          <w:u w:val="none"/>
        </w:rPr>
        <w:t>three months ended March 31, 2026</w:t>
      </w:r>
      <w:r>
        <w:rPr>
          <w:rFonts w:ascii="Times New Roman" w:eastAsia="Times New Roman" w:hAnsi="Times New Roman" w:cs="Times New Roman"/>
          <w:b w:val="0"/>
          <w:i w:val="0"/>
          <w:sz w:val="20"/>
        </w:rPr>
        <w:t xml:space="preserve"> </w:t>
      </w:r>
      <w:r>
        <w:rPr>
          <w:rFonts w:ascii="Times New Roman" w:eastAsia="Times New Roman" w:hAnsi="Times New Roman" w:cs="Times New Roman"/>
          <w:b w:val="0"/>
          <w:i w:val="0"/>
          <w:color w:val="000000"/>
          <w:sz w:val="20"/>
          <w:highlight w:val="white"/>
          <w:u w:val="none"/>
        </w:rPr>
        <w:t xml:space="preserve">and </w:t>
      </w:r>
      <w:r>
        <w:rPr>
          <w:rFonts w:ascii="Times New Roman" w:eastAsia="Times New Roman" w:hAnsi="Times New Roman" w:cs="Times New Roman"/>
          <w:b w:val="0"/>
          <w:i w:val="0"/>
          <w:color w:val="000000"/>
          <w:sz w:val="20"/>
          <w:highlight w:val="white"/>
          <w:u w:val="none"/>
        </w:rPr>
        <w:t>2025</w:t>
      </w:r>
      <w:r>
        <w:rPr>
          <w:rFonts w:ascii="Times New Roman" w:eastAsia="Times New Roman" w:hAnsi="Times New Roman" w:cs="Times New Roman"/>
          <w:b w:val="0"/>
          <w:i w:val="0"/>
          <w:color w:val="000000"/>
          <w:sz w:val="20"/>
          <w:highlight w:val="white"/>
          <w:u w:val="none"/>
        </w:rPr>
        <w:t xml:space="preserve">, we recorded income tax expense attributable to continuing operations of </w:t>
      </w:r>
      <w:r>
        <w:rPr>
          <w:rFonts w:ascii="Times New Roman" w:eastAsia="Times New Roman" w:hAnsi="Times New Roman" w:cs="Times New Roman"/>
          <w:b w:val="0"/>
          <w:i w:val="0"/>
          <w:color w:val="000000"/>
          <w:sz w:val="20"/>
          <w:u w:val="none"/>
        </w:rPr>
        <w:t>$144</w:t>
      </w:r>
      <w:r>
        <w:rPr>
          <w:rFonts w:ascii="Times New Roman" w:eastAsia="Times New Roman" w:hAnsi="Times New Roman" w:cs="Times New Roman"/>
          <w:b w:val="0"/>
          <w:i w:val="0"/>
          <w:sz w:val="20"/>
        </w:rPr>
        <w:t xml:space="preserve"> and </w:t>
      </w:r>
      <w:r>
        <w:rPr>
          <w:rFonts w:ascii="Times New Roman" w:eastAsia="Times New Roman" w:hAnsi="Times New Roman" w:cs="Times New Roman"/>
          <w:b w:val="0"/>
          <w:i w:val="0"/>
          <w:color w:val="000000"/>
          <w:sz w:val="20"/>
          <w:highlight w:val="white"/>
          <w:u w:val="none"/>
        </w:rPr>
        <w:t xml:space="preserve"> </w:t>
      </w:r>
      <w:r>
        <w:rPr>
          <w:rFonts w:ascii="Times New Roman" w:eastAsia="Times New Roman" w:hAnsi="Times New Roman" w:cs="Times New Roman"/>
          <w:b w:val="0"/>
          <w:i w:val="0"/>
          <w:color w:val="000000"/>
          <w:sz w:val="20"/>
          <w:u w:val="none"/>
        </w:rPr>
        <w:t>$291</w:t>
      </w:r>
      <w:r>
        <w:rPr>
          <w:rFonts w:ascii="Times New Roman" w:eastAsia="Times New Roman" w:hAnsi="Times New Roman" w:cs="Times New Roman"/>
          <w:b w:val="0"/>
          <w:i w:val="0"/>
          <w:sz w:val="20"/>
        </w:rPr>
        <w:t>, respectively</w:t>
      </w:r>
      <w:r>
        <w:rPr>
          <w:rFonts w:ascii="Times New Roman" w:eastAsia="Times New Roman" w:hAnsi="Times New Roman" w:cs="Times New Roman"/>
          <w:b w:val="0"/>
          <w:i w:val="0"/>
          <w:color w:val="000000"/>
          <w:sz w:val="20"/>
          <w:u w:val="none"/>
        </w:rPr>
        <w:t xml:space="preserve">, a decrease of </w:t>
      </w:r>
      <w:r>
        <w:rPr>
          <w:rFonts w:ascii="Times New Roman" w:eastAsia="Times New Roman" w:hAnsi="Times New Roman" w:cs="Times New Roman"/>
          <w:b w:val="0"/>
          <w:i w:val="0"/>
          <w:color w:val="000000"/>
          <w:sz w:val="20"/>
          <w:u w:val="none"/>
        </w:rPr>
        <w:t>$147</w:t>
      </w:r>
      <w:r>
        <w:rPr>
          <w:rFonts w:ascii="Times New Roman" w:eastAsia="Times New Roman" w:hAnsi="Times New Roman" w:cs="Times New Roman"/>
          <w:b w:val="0"/>
          <w:i w:val="0"/>
          <w:sz w:val="20"/>
        </w:rPr>
        <w:t>.</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highlight w:val="white"/>
          <w:u w:val="none"/>
        </w:rPr>
      </w:pPr>
      <w:r>
        <w:rPr>
          <w:rFonts w:ascii="Times New Roman" w:eastAsia="Times New Roman" w:hAnsi="Times New Roman" w:cs="Times New Roman"/>
          <w:b/>
          <w:i w:val="0"/>
          <w:color w:val="000000"/>
          <w:sz w:val="20"/>
          <w:highlight w:val="white"/>
          <w:u w:val="none"/>
        </w:rPr>
        <w:t xml:space="preserve">Net </w:t>
      </w:r>
      <w:r>
        <w:rPr>
          <w:rFonts w:ascii="Times New Roman" w:eastAsia="Times New Roman" w:hAnsi="Times New Roman" w:cs="Times New Roman"/>
          <w:b/>
          <w:i w:val="0"/>
          <w:color w:val="000000"/>
          <w:sz w:val="20"/>
          <w:u w:val="none"/>
        </w:rPr>
        <w:t>Income (Loss)</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 xml:space="preserve">We </w:t>
      </w:r>
      <w:r>
        <w:rPr>
          <w:rFonts w:ascii="Times New Roman" w:eastAsia="Times New Roman" w:hAnsi="Times New Roman" w:cs="Times New Roman"/>
          <w:b w:val="0"/>
          <w:i w:val="0"/>
          <w:color w:val="000000"/>
          <w:sz w:val="20"/>
          <w:u w:val="none"/>
        </w:rPr>
        <w:t>generated income</w:t>
      </w:r>
      <w:r>
        <w:rPr>
          <w:rFonts w:ascii="Times New Roman" w:eastAsia="Times New Roman" w:hAnsi="Times New Roman" w:cs="Times New Roman"/>
          <w:b w:val="0"/>
          <w:i w:val="0"/>
          <w:sz w:val="20"/>
        </w:rPr>
        <w:t xml:space="preserve"> of </w:t>
      </w:r>
      <w:r>
        <w:rPr>
          <w:rFonts w:ascii="Times New Roman" w:eastAsia="Times New Roman" w:hAnsi="Times New Roman" w:cs="Times New Roman"/>
          <w:b w:val="0"/>
          <w:i w:val="0"/>
          <w:color w:val="000000"/>
          <w:sz w:val="20"/>
          <w:u w:val="none"/>
        </w:rPr>
        <w:t>$625</w:t>
      </w:r>
      <w:r>
        <w:rPr>
          <w:rFonts w:ascii="Times New Roman" w:eastAsia="Times New Roman" w:hAnsi="Times New Roman" w:cs="Times New Roman"/>
          <w:b w:val="0"/>
          <w:i w:val="0"/>
          <w:sz w:val="20"/>
        </w:rPr>
        <w:t xml:space="preserve">, or </w:t>
      </w:r>
      <w:r>
        <w:rPr>
          <w:rFonts w:ascii="Times New Roman" w:eastAsia="Times New Roman" w:hAnsi="Times New Roman" w:cs="Times New Roman"/>
          <w:b w:val="0"/>
          <w:i w:val="0"/>
          <w:color w:val="000000"/>
          <w:sz w:val="20"/>
          <w:u w:val="none"/>
        </w:rPr>
        <w:t>$0.02</w:t>
      </w:r>
      <w:r>
        <w:rPr>
          <w:rFonts w:ascii="Times New Roman" w:eastAsia="Times New Roman" w:hAnsi="Times New Roman" w:cs="Times New Roman"/>
          <w:b w:val="0"/>
          <w:i w:val="0"/>
          <w:sz w:val="20"/>
        </w:rPr>
        <w:t xml:space="preserve"> per share, during the </w:t>
      </w:r>
      <w:r>
        <w:rPr>
          <w:rFonts w:ascii="Times New Roman" w:eastAsia="Times New Roman" w:hAnsi="Times New Roman" w:cs="Times New Roman"/>
          <w:b w:val="0"/>
          <w:i w:val="0"/>
          <w:color w:val="000000"/>
          <w:sz w:val="20"/>
          <w:u w:val="none"/>
        </w:rPr>
        <w:t>three months ended March 31, 2026</w:t>
      </w:r>
      <w:r>
        <w:rPr>
          <w:rFonts w:ascii="Times New Roman" w:eastAsia="Times New Roman" w:hAnsi="Times New Roman" w:cs="Times New Roman"/>
          <w:b w:val="0"/>
          <w:i w:val="0"/>
          <w:sz w:val="20"/>
        </w:rPr>
        <w:t xml:space="preserve">, compared to </w:t>
      </w:r>
      <w:r>
        <w:rPr>
          <w:rFonts w:ascii="Times New Roman" w:eastAsia="Times New Roman" w:hAnsi="Times New Roman" w:cs="Times New Roman"/>
          <w:b w:val="0"/>
          <w:i w:val="0"/>
          <w:color w:val="000000"/>
          <w:sz w:val="20"/>
          <w:u w:val="none"/>
        </w:rPr>
        <w:t>a loss</w:t>
      </w:r>
      <w:r>
        <w:rPr>
          <w:rFonts w:ascii="Times New Roman" w:eastAsia="Times New Roman" w:hAnsi="Times New Roman" w:cs="Times New Roman"/>
          <w:b w:val="0"/>
          <w:i w:val="0"/>
          <w:sz w:val="20"/>
        </w:rPr>
        <w:t xml:space="preserve"> of </w:t>
      </w:r>
      <w:r>
        <w:rPr>
          <w:rFonts w:ascii="Times New Roman" w:eastAsia="Times New Roman" w:hAnsi="Times New Roman" w:cs="Times New Roman"/>
          <w:b w:val="0"/>
          <w:i w:val="0"/>
          <w:color w:val="000000"/>
          <w:sz w:val="20"/>
          <w:u w:val="none"/>
        </w:rPr>
        <w:t>$2,398</w:t>
      </w:r>
      <w:r>
        <w:rPr>
          <w:rFonts w:ascii="Times New Roman" w:eastAsia="Times New Roman" w:hAnsi="Times New Roman" w:cs="Times New Roman"/>
          <w:b w:val="0"/>
          <w:i w:val="0"/>
          <w:sz w:val="20"/>
        </w:rPr>
        <w:t xml:space="preserve">, or </w:t>
      </w:r>
      <w:r>
        <w:rPr>
          <w:rFonts w:ascii="Times New Roman" w:eastAsia="Times New Roman" w:hAnsi="Times New Roman" w:cs="Times New Roman"/>
          <w:b w:val="0"/>
          <w:i w:val="0"/>
          <w:color w:val="000000"/>
          <w:sz w:val="20"/>
          <w:u w:val="none"/>
        </w:rPr>
        <w:t>$(0.09)</w:t>
      </w:r>
      <w:r>
        <w:rPr>
          <w:rFonts w:ascii="Times New Roman" w:eastAsia="Times New Roman" w:hAnsi="Times New Roman" w:cs="Times New Roman"/>
          <w:b w:val="0"/>
          <w:i w:val="0"/>
          <w:sz w:val="20"/>
        </w:rPr>
        <w:t xml:space="preserve"> per share, during the </w:t>
      </w:r>
      <w:r>
        <w:rPr>
          <w:rFonts w:ascii="Times New Roman" w:eastAsia="Times New Roman" w:hAnsi="Times New Roman" w:cs="Times New Roman"/>
          <w:b w:val="0"/>
          <w:i w:val="0"/>
          <w:color w:val="000000"/>
          <w:sz w:val="20"/>
          <w:u w:val="none"/>
        </w:rPr>
        <w:t>three months ended March 31, 2025</w:t>
      </w:r>
      <w:r>
        <w:rPr>
          <w:rFonts w:ascii="Times New Roman" w:eastAsia="Times New Roman" w:hAnsi="Times New Roman" w:cs="Times New Roman"/>
          <w:b w:val="0"/>
          <w:i w:val="0"/>
          <w:sz w:val="20"/>
        </w:rPr>
        <w:t xml:space="preserve">. </w:t>
      </w:r>
      <w:r>
        <w:rPr>
          <w:rFonts w:ascii="Times New Roman" w:eastAsia="Times New Roman" w:hAnsi="Times New Roman" w:cs="Times New Roman"/>
          <w:b w:val="0"/>
          <w:i w:val="0"/>
          <w:color w:val="000000"/>
          <w:sz w:val="20"/>
          <w:u w:val="none"/>
        </w:rPr>
        <w:t>Income and loss</w:t>
      </w:r>
      <w:r>
        <w:rPr>
          <w:rFonts w:ascii="Times New Roman" w:eastAsia="Times New Roman" w:hAnsi="Times New Roman" w:cs="Times New Roman"/>
          <w:b w:val="0"/>
          <w:i w:val="0"/>
          <w:sz w:val="20"/>
        </w:rPr>
        <w:t xml:space="preserve"> as a percentage of total revenue was </w:t>
      </w:r>
      <w:r>
        <w:rPr>
          <w:rFonts w:ascii="Times New Roman" w:eastAsia="Times New Roman" w:hAnsi="Times New Roman" w:cs="Times New Roman"/>
          <w:b w:val="0"/>
          <w:i w:val="0"/>
          <w:color w:val="000000"/>
          <w:sz w:val="20"/>
          <w:u w:val="none"/>
        </w:rPr>
        <w:t>1%</w:t>
      </w:r>
      <w:r>
        <w:rPr>
          <w:rFonts w:ascii="Times New Roman" w:eastAsia="Times New Roman" w:hAnsi="Times New Roman" w:cs="Times New Roman"/>
          <w:b w:val="0"/>
          <w:i w:val="0"/>
          <w:sz w:val="20"/>
        </w:rPr>
        <w:t xml:space="preserve"> and </w:t>
      </w:r>
      <w:r>
        <w:rPr>
          <w:rFonts w:ascii="Times New Roman" w:eastAsia="Times New Roman" w:hAnsi="Times New Roman" w:cs="Times New Roman"/>
          <w:b w:val="0"/>
          <w:i w:val="0"/>
          <w:color w:val="000000"/>
          <w:sz w:val="20"/>
          <w:u w:val="none"/>
        </w:rPr>
        <w:t>(7)%</w:t>
      </w:r>
      <w:r>
        <w:rPr>
          <w:rFonts w:ascii="Times New Roman" w:eastAsia="Times New Roman" w:hAnsi="Times New Roman" w:cs="Times New Roman"/>
          <w:b w:val="0"/>
          <w:i w:val="0"/>
          <w:sz w:val="20"/>
        </w:rPr>
        <w:t xml:space="preserve"> for the </w:t>
      </w:r>
      <w:r>
        <w:rPr>
          <w:rFonts w:ascii="Times New Roman" w:eastAsia="Times New Roman" w:hAnsi="Times New Roman" w:cs="Times New Roman"/>
          <w:b w:val="0"/>
          <w:i w:val="0"/>
          <w:color w:val="000000"/>
          <w:sz w:val="20"/>
          <w:u w:val="none"/>
        </w:rPr>
        <w:t>three months ended March 31, 2026</w:t>
      </w:r>
      <w:r>
        <w:rPr>
          <w:rFonts w:ascii="Times New Roman" w:eastAsia="Times New Roman" w:hAnsi="Times New Roman" w:cs="Times New Roman"/>
          <w:b w:val="0"/>
          <w:i w:val="0"/>
          <w:sz w:val="20"/>
        </w:rPr>
        <w:t xml:space="preserve"> and </w:t>
      </w:r>
      <w:r>
        <w:rPr>
          <w:rFonts w:ascii="Times New Roman" w:eastAsia="Times New Roman" w:hAnsi="Times New Roman" w:cs="Times New Roman"/>
          <w:b w:val="0"/>
          <w:i w:val="0"/>
          <w:color w:val="000000"/>
          <w:sz w:val="20"/>
          <w:u w:val="none"/>
        </w:rPr>
        <w:t>2025</w:t>
      </w:r>
      <w:r>
        <w:rPr>
          <w:rFonts w:ascii="Times New Roman" w:eastAsia="Times New Roman" w:hAnsi="Times New Roman" w:cs="Times New Roman"/>
          <w:b w:val="0"/>
          <w:i w:val="0"/>
          <w:sz w:val="20"/>
        </w:rPr>
        <w:t xml:space="preserve">, respectively. </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sectPr>
          <w:pgSz w:w="12240" w:h="15840"/>
          <w:pgMar w:top="855" w:right="990" w:bottom="855" w:left="990" w:header="270" w:footer="270"/>
          <w:cols w:space="708"/>
        </w:sectPr>
      </w:pP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sz w:val="20"/>
        </w:rPr>
      </w:pPr>
      <w:bookmarkStart w:id="24" w:name="Section25"/>
      <w:bookmarkEnd w:id="24"/>
    </w:p>
    <w:p>
      <w:pPr>
        <w:keepNext/>
        <w:keepLines/>
        <w:pageBreakBefore w:val="0"/>
        <w:widowControl w:val="0"/>
        <w:numPr>
          <w:ilvl w:val="0"/>
          <w:numId w:val="0"/>
        </w:numPr>
        <w:spacing w:before="0" w:after="0" w:line="288" w:lineRule="auto"/>
        <w:ind w:left="0" w:right="0" w:firstLine="0"/>
        <w:jc w:val="both"/>
        <w:outlineLvl w:val="2"/>
        <w:rPr>
          <w:rFonts w:ascii="Times New Roman" w:eastAsia="Times New Roman" w:hAnsi="Times New Roman" w:cs="Times New Roman"/>
          <w:b/>
          <w:i w:val="0"/>
          <w:color w:val="000000"/>
          <w:sz w:val="20"/>
          <w:highlight w:val="white"/>
          <w:u w:val="none"/>
        </w:rPr>
      </w:pPr>
      <w:r>
        <w:rPr>
          <w:rFonts w:ascii="Times New Roman" w:eastAsia="Times New Roman" w:hAnsi="Times New Roman" w:cs="Times New Roman"/>
          <w:b/>
          <w:i w:val="0"/>
          <w:color w:val="000000"/>
          <w:sz w:val="20"/>
          <w:highlight w:val="white"/>
          <w:u w:val="none"/>
        </w:rPr>
        <w:t xml:space="preserve">LIQUIDITY AND CAPITAL RESOURCES </w:t>
      </w:r>
      <w:r>
        <w:rPr>
          <w:rFonts w:ascii="Times New Roman" w:eastAsia="Times New Roman" w:hAnsi="Times New Roman" w:cs="Times New Roman"/>
          <w:b w:val="0"/>
          <w:i w:val="0"/>
          <w:color w:val="000000"/>
          <w:sz w:val="20"/>
          <w:highlight w:val="white"/>
          <w:u w:val="none"/>
        </w:rPr>
        <w:t>(in thousands)</w:t>
      </w:r>
    </w:p>
    <w:tbl>
      <w:tblPr>
        <w:tblStyle w:val="TableNormal0"/>
        <w:tblW w:w="10260" w:type="dxa"/>
        <w:jc w:val="left"/>
        <w:tblInd w:w="0" w:type="dxa"/>
        <w:tblLayout w:type="fixed"/>
      </w:tblPr>
      <w:tblGrid>
        <w:gridCol w:w="6165"/>
        <w:gridCol w:w="2025"/>
        <w:gridCol w:w="60"/>
        <w:gridCol w:w="2010"/>
      </w:tblGrid>
      <w:tr>
        <w:tblPrEx>
          <w:tblW w:w="10260" w:type="dxa"/>
          <w:tblInd w:w="0" w:type="dxa"/>
          <w:tblLayout w:type="fixed"/>
        </w:tblPrEx>
        <w:trPr>
          <w:trHeight w:hRule="exact" w:val="285"/>
        </w:trPr>
        <w:tc>
          <w:tcPr>
            <w:tcW w:w="6165" w:type="dxa"/>
            <w:tcBorders>
              <w:top w:val="nil"/>
              <w:left w:val="nil"/>
              <w:bottom w:val="nil"/>
              <w:right w:val="nil"/>
            </w:tcBorders>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 </w:t>
            </w:r>
          </w:p>
        </w:tc>
        <w:tc>
          <w:tcPr>
            <w:tcW w:w="202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March 31, 2026</w:t>
            </w:r>
          </w:p>
        </w:tc>
        <w:tc>
          <w:tcPr>
            <w:tcW w:w="6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2010"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December 31, 2025</w:t>
            </w:r>
          </w:p>
        </w:tc>
      </w:tr>
      <w:tr>
        <w:tblPrEx>
          <w:tblW w:w="10260" w:type="dxa"/>
          <w:tblInd w:w="0" w:type="dxa"/>
          <w:tblLayout w:type="fixed"/>
        </w:tblPrEx>
        <w:trPr>
          <w:trHeight w:hRule="exact" w:val="300"/>
        </w:trPr>
        <w:tc>
          <w:tcPr>
            <w:tcW w:w="6165" w:type="dxa"/>
            <w:tcBorders>
              <w:top w:val="nil"/>
              <w:left w:val="nil"/>
              <w:bottom w:val="nil"/>
              <w:right w:val="nil"/>
            </w:tcBorders>
            <w:shd w:val="clear" w:color="auto" w:fill="CCEEFF"/>
            <w:tcMar>
              <w:top w:w="0" w:type="dxa"/>
              <w:left w:w="53" w:type="dxa"/>
              <w:bottom w:w="0" w:type="dxa"/>
              <w:right w:w="53" w:type="dxa"/>
            </w:tcMar>
            <w:vAlign w:val="bottom"/>
          </w:tcPr>
          <w:p>
            <w:pPr>
              <w:pageBreakBefore w:val="0"/>
              <w:spacing w:before="33" w:after="30" w:line="240" w:lineRule="auto"/>
              <w:jc w:val="left"/>
            </w:pPr>
            <w:r>
              <w:rPr>
                <w:rFonts w:ascii="Times New Roman" w:eastAsia="Times New Roman" w:hAnsi="Times New Roman" w:cs="Times New Roman"/>
                <w:b w:val="0"/>
                <w:i w:val="0"/>
                <w:color w:val="000000"/>
                <w:sz w:val="20"/>
                <w:u w:val="none"/>
              </w:rPr>
              <w:t xml:space="preserve">Cash and cash equivalents </w:t>
            </w:r>
          </w:p>
        </w:tc>
        <w:tc>
          <w:tcPr>
            <w:tcW w:w="202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pageBreakBefore w:val="0"/>
              <w:tabs>
                <w:tab w:val="left" w:pos="1342"/>
                <w:tab w:val="left" w:pos="1957"/>
              </w:tabs>
              <w:spacing w:before="33" w:after="30" w:line="240" w:lineRule="auto"/>
              <w:jc w:val="right"/>
            </w:pPr>
            <w:r>
              <w:rPr>
                <w:rFonts w:ascii="Times New Roman" w:eastAsia="Times New Roman" w:hAnsi="Times New Roman" w:cs="Times New Roman"/>
                <w:b w:val="0"/>
                <w:i w:val="0"/>
                <w:color w:val="000000"/>
                <w:sz w:val="20"/>
                <w:u w:val="none"/>
              </w:rPr>
              <w:t>$</w:t>
              <w:tab/>
              <w:t>19,221</w:t>
              <w:tab/>
            </w:r>
          </w:p>
        </w:tc>
        <w:tc>
          <w:tcPr>
            <w:tcW w:w="60"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pPr>
          </w:p>
        </w:tc>
        <w:tc>
          <w:tcPr>
            <w:tcW w:w="201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pageBreakBefore w:val="0"/>
              <w:tabs>
                <w:tab w:val="left" w:pos="1327"/>
                <w:tab w:val="left" w:pos="1942"/>
              </w:tabs>
              <w:spacing w:before="33" w:after="30" w:line="240" w:lineRule="auto"/>
              <w:jc w:val="right"/>
            </w:pPr>
            <w:r>
              <w:rPr>
                <w:rFonts w:ascii="Times New Roman" w:eastAsia="Times New Roman" w:hAnsi="Times New Roman" w:cs="Times New Roman"/>
                <w:b w:val="0"/>
                <w:i w:val="0"/>
                <w:color w:val="000000"/>
                <w:sz w:val="20"/>
                <w:u w:val="none"/>
              </w:rPr>
              <w:t>$</w:t>
              <w:tab/>
              <w:t>25,244</w:t>
              <w:tab/>
            </w:r>
          </w:p>
        </w:tc>
      </w:tr>
    </w:tbl>
    <w:p>
      <w:pPr>
        <w:keepNext/>
        <w:keepLines/>
        <w:pageBreakBefore w:val="0"/>
        <w:widowControl w:val="0"/>
        <w:numPr>
          <w:ilvl w:val="0"/>
          <w:numId w:val="17"/>
        </w:numPr>
        <w:spacing w:before="0" w:after="0" w:line="288" w:lineRule="auto"/>
        <w:ind w:left="720" w:right="0" w:hanging="720"/>
        <w:jc w:val="left"/>
        <w:outlineLvl w:val="9"/>
        <w:rPr>
          <w:rFonts w:ascii="Times New Roman" w:eastAsia="Times New Roman" w:hAnsi="Times New Roman" w:cs="Times New Roman"/>
          <w:b w:val="0"/>
          <w:i w:val="0"/>
          <w:sz w:val="18"/>
        </w:rPr>
      </w:pPr>
      <w:r>
        <w:rPr>
          <w:rFonts w:ascii="Times New Roman" w:eastAsia="Times New Roman" w:hAnsi="Times New Roman" w:cs="Times New Roman"/>
          <w:b w:val="0"/>
          <w:i w:val="0"/>
          <w:sz w:val="18"/>
        </w:rPr>
        <w:t>This balance excludes cash equivalents in funds held for clients.</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single"/>
        </w:rPr>
      </w:pPr>
      <w:r>
        <w:rPr>
          <w:rFonts w:ascii="Times New Roman" w:eastAsia="Times New Roman" w:hAnsi="Times New Roman" w:cs="Times New Roman"/>
          <w:b w:val="0"/>
          <w:i w:val="0"/>
          <w:color w:val="000000"/>
          <w:sz w:val="20"/>
          <w:u w:val="single"/>
        </w:rPr>
        <w:t>Working Capital</w:t>
      </w:r>
      <w:r>
        <w:rPr>
          <w:rFonts w:ascii="Times New Roman" w:eastAsia="Times New Roman" w:hAnsi="Times New Roman" w:cs="Times New Roman"/>
          <w:b w:val="0"/>
          <w:i w:val="0"/>
          <w:sz w:val="20"/>
        </w:rPr>
        <w:t xml:space="preserve">. We had working capital of </w:t>
      </w:r>
      <w:r>
        <w:rPr>
          <w:rFonts w:ascii="Times New Roman" w:eastAsia="Times New Roman" w:hAnsi="Times New Roman" w:cs="Times New Roman"/>
          <w:b w:val="0"/>
          <w:i w:val="0"/>
          <w:color w:val="000000"/>
          <w:sz w:val="20"/>
          <w:u w:val="none"/>
        </w:rPr>
        <w:t>$12,818</w:t>
      </w:r>
      <w:r>
        <w:rPr>
          <w:rFonts w:ascii="Times New Roman" w:eastAsia="Times New Roman" w:hAnsi="Times New Roman" w:cs="Times New Roman"/>
          <w:b w:val="0"/>
          <w:i w:val="0"/>
          <w:sz w:val="20"/>
        </w:rPr>
        <w:t xml:space="preserve"> at </w:t>
      </w:r>
      <w:r>
        <w:rPr>
          <w:rFonts w:ascii="Times New Roman" w:eastAsia="Times New Roman" w:hAnsi="Times New Roman" w:cs="Times New Roman"/>
          <w:b w:val="0"/>
          <w:i w:val="0"/>
          <w:color w:val="000000"/>
          <w:sz w:val="20"/>
          <w:u w:val="none"/>
        </w:rPr>
        <w:t>March 31, 2026</w:t>
      </w:r>
      <w:r>
        <w:rPr>
          <w:rFonts w:ascii="Times New Roman" w:eastAsia="Times New Roman" w:hAnsi="Times New Roman" w:cs="Times New Roman"/>
          <w:b w:val="0"/>
          <w:i w:val="0"/>
          <w:sz w:val="20"/>
        </w:rPr>
        <w:t xml:space="preserve">, </w:t>
      </w:r>
      <w:r>
        <w:rPr>
          <w:rFonts w:ascii="Times New Roman" w:eastAsia="Times New Roman" w:hAnsi="Times New Roman" w:cs="Times New Roman"/>
          <w:b w:val="0"/>
          <w:i w:val="0"/>
          <w:color w:val="000000"/>
          <w:sz w:val="20"/>
          <w:u w:val="none"/>
        </w:rPr>
        <w:t>a decrease of $5,828 from working capital of $18,646 at</w:t>
      </w:r>
      <w:r>
        <w:rPr>
          <w:rFonts w:ascii="Times New Roman" w:eastAsia="Times New Roman" w:hAnsi="Times New Roman" w:cs="Times New Roman"/>
          <w:b w:val="0"/>
          <w:i w:val="0"/>
          <w:sz w:val="20"/>
        </w:rPr>
        <w:t xml:space="preserve"> </w:t>
      </w:r>
      <w:r>
        <w:rPr>
          <w:rFonts w:ascii="Times New Roman" w:eastAsia="Times New Roman" w:hAnsi="Times New Roman" w:cs="Times New Roman"/>
          <w:b w:val="0"/>
          <w:i w:val="0"/>
          <w:color w:val="000000"/>
          <w:sz w:val="20"/>
          <w:u w:val="none"/>
        </w:rPr>
        <w:t>December 31, 2025</w:t>
      </w:r>
      <w:r>
        <w:rPr>
          <w:rFonts w:ascii="Times New Roman" w:eastAsia="Times New Roman" w:hAnsi="Times New Roman" w:cs="Times New Roman"/>
          <w:b w:val="0"/>
          <w:i w:val="0"/>
          <w:sz w:val="20"/>
        </w:rPr>
        <w:t xml:space="preserve">. This decrease is primarily attributable to the cash spent on the acquisition of a reseller partner that occurred during the period. Working capital as of </w:t>
      </w:r>
      <w:r>
        <w:rPr>
          <w:rFonts w:ascii="Times New Roman" w:eastAsia="Times New Roman" w:hAnsi="Times New Roman" w:cs="Times New Roman"/>
          <w:b w:val="0"/>
          <w:i w:val="0"/>
          <w:color w:val="000000"/>
          <w:sz w:val="20"/>
          <w:u w:val="none"/>
        </w:rPr>
        <w:t>March 31, 2026</w:t>
      </w:r>
      <w:r>
        <w:rPr>
          <w:rFonts w:ascii="Times New Roman" w:eastAsia="Times New Roman" w:hAnsi="Times New Roman" w:cs="Times New Roman"/>
          <w:b w:val="0"/>
          <w:i w:val="0"/>
          <w:sz w:val="20"/>
        </w:rPr>
        <w:t xml:space="preserve"> and </w:t>
      </w:r>
      <w:r>
        <w:rPr>
          <w:rFonts w:ascii="Times New Roman" w:eastAsia="Times New Roman" w:hAnsi="Times New Roman" w:cs="Times New Roman"/>
          <w:b w:val="0"/>
          <w:i w:val="0"/>
          <w:color w:val="000000"/>
          <w:sz w:val="20"/>
          <w:u w:val="none"/>
        </w:rPr>
        <w:t>December 31, 2025</w:t>
      </w:r>
      <w:r>
        <w:rPr>
          <w:rFonts w:ascii="Times New Roman" w:eastAsia="Times New Roman" w:hAnsi="Times New Roman" w:cs="Times New Roman"/>
          <w:b w:val="0"/>
          <w:i w:val="0"/>
          <w:sz w:val="20"/>
        </w:rPr>
        <w:t xml:space="preserve"> includes </w:t>
      </w:r>
      <w:r>
        <w:rPr>
          <w:rFonts w:ascii="Times New Roman" w:eastAsia="Times New Roman" w:hAnsi="Times New Roman" w:cs="Times New Roman"/>
          <w:b w:val="0"/>
          <w:i w:val="0"/>
          <w:color w:val="000000"/>
          <w:sz w:val="20"/>
          <w:u w:val="none"/>
        </w:rPr>
        <w:t>$7,036</w:t>
      </w:r>
      <w:r>
        <w:rPr>
          <w:rFonts w:ascii="Times New Roman" w:eastAsia="Times New Roman" w:hAnsi="Times New Roman" w:cs="Times New Roman"/>
          <w:b w:val="0"/>
          <w:i w:val="0"/>
          <w:sz w:val="20"/>
        </w:rPr>
        <w:t xml:space="preserve"> and </w:t>
      </w:r>
      <w:r>
        <w:rPr>
          <w:rFonts w:ascii="Times New Roman" w:eastAsia="Times New Roman" w:hAnsi="Times New Roman" w:cs="Times New Roman"/>
          <w:b w:val="0"/>
          <w:i w:val="0"/>
          <w:color w:val="000000"/>
          <w:sz w:val="20"/>
          <w:u w:val="none"/>
        </w:rPr>
        <w:t>$11,622</w:t>
      </w:r>
      <w:r>
        <w:rPr>
          <w:rFonts w:ascii="Times New Roman" w:eastAsia="Times New Roman" w:hAnsi="Times New Roman" w:cs="Times New Roman"/>
          <w:b w:val="0"/>
          <w:i w:val="0"/>
          <w:sz w:val="20"/>
        </w:rPr>
        <w:t> of short-term deferred revenue, respectively. Deferred revenue is an obligation to perform future services. We expect that deferred revenue will convert to future revenue as we perform our services, but this does not represent future payments. Deferred revenue can vary based on seasonality, expiration of initial multi-year contracts and deals that are billed after implementation rather than in advance of service delivery.</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single"/>
        </w:rPr>
      </w:pPr>
      <w:r>
        <w:rPr>
          <w:rFonts w:ascii="Times New Roman" w:eastAsia="Times New Roman" w:hAnsi="Times New Roman" w:cs="Times New Roman"/>
          <w:b w:val="0"/>
          <w:i w:val="0"/>
          <w:color w:val="000000"/>
          <w:sz w:val="20"/>
          <w:u w:val="single"/>
        </w:rPr>
        <w:t>Operating Activities</w:t>
      </w:r>
      <w:r>
        <w:rPr>
          <w:rFonts w:ascii="Times New Roman" w:eastAsia="Times New Roman" w:hAnsi="Times New Roman" w:cs="Times New Roman"/>
          <w:b w:val="0"/>
          <w:i w:val="0"/>
          <w:sz w:val="20"/>
        </w:rPr>
        <w:t xml:space="preserve">. Net cash </w:t>
      </w:r>
      <w:r>
        <w:rPr>
          <w:rFonts w:ascii="Times New Roman" w:eastAsia="Times New Roman" w:hAnsi="Times New Roman" w:cs="Times New Roman"/>
          <w:b w:val="0"/>
          <w:i w:val="0"/>
          <w:color w:val="000000"/>
          <w:sz w:val="20"/>
          <w:u w:val="none"/>
        </w:rPr>
        <w:t>provided by operating activities</w:t>
      </w:r>
      <w:r>
        <w:rPr>
          <w:rFonts w:ascii="Times New Roman" w:eastAsia="Times New Roman" w:hAnsi="Times New Roman" w:cs="Times New Roman"/>
          <w:b w:val="0"/>
          <w:i w:val="0"/>
          <w:sz w:val="20"/>
        </w:rPr>
        <w:t xml:space="preserve"> of </w:t>
      </w:r>
      <w:r>
        <w:rPr>
          <w:rFonts w:ascii="Times New Roman" w:eastAsia="Times New Roman" w:hAnsi="Times New Roman" w:cs="Times New Roman"/>
          <w:b w:val="0"/>
          <w:i w:val="0"/>
          <w:color w:val="000000"/>
          <w:sz w:val="20"/>
          <w:u w:val="none"/>
        </w:rPr>
        <w:t>$2,709</w:t>
      </w:r>
      <w:r>
        <w:rPr>
          <w:rFonts w:ascii="Times New Roman" w:eastAsia="Times New Roman" w:hAnsi="Times New Roman" w:cs="Times New Roman"/>
          <w:b w:val="0"/>
          <w:i w:val="0"/>
          <w:sz w:val="20"/>
        </w:rPr>
        <w:t xml:space="preserve"> for the </w:t>
      </w:r>
      <w:r>
        <w:rPr>
          <w:rFonts w:ascii="Times New Roman" w:eastAsia="Times New Roman" w:hAnsi="Times New Roman" w:cs="Times New Roman"/>
          <w:b w:val="0"/>
          <w:i w:val="0"/>
          <w:color w:val="000000"/>
          <w:sz w:val="20"/>
          <w:u w:val="none"/>
        </w:rPr>
        <w:t>three months ended</w:t>
      </w:r>
      <w:r>
        <w:rPr>
          <w:rFonts w:ascii="Times New Roman" w:eastAsia="Times New Roman" w:hAnsi="Times New Roman" w:cs="Times New Roman"/>
          <w:b w:val="0"/>
          <w:i w:val="0"/>
          <w:sz w:val="20"/>
        </w:rPr>
        <w:t xml:space="preserve"> </w:t>
      </w:r>
      <w:r>
        <w:rPr>
          <w:rFonts w:ascii="Times New Roman" w:eastAsia="Times New Roman" w:hAnsi="Times New Roman" w:cs="Times New Roman"/>
          <w:b w:val="0"/>
          <w:i w:val="0"/>
          <w:color w:val="000000"/>
          <w:sz w:val="20"/>
          <w:u w:val="none"/>
        </w:rPr>
        <w:t>March 31, 2026</w:t>
      </w:r>
      <w:r>
        <w:rPr>
          <w:rFonts w:ascii="Times New Roman" w:eastAsia="Times New Roman" w:hAnsi="Times New Roman" w:cs="Times New Roman"/>
          <w:b w:val="0"/>
          <w:i w:val="0"/>
          <w:sz w:val="20"/>
        </w:rPr>
        <w:t xml:space="preserve">, was primarily driven by non-cash adjustments to our net </w:t>
      </w:r>
      <w:r>
        <w:rPr>
          <w:rFonts w:ascii="Times New Roman" w:eastAsia="Times New Roman" w:hAnsi="Times New Roman" w:cs="Times New Roman"/>
          <w:b w:val="0"/>
          <w:i w:val="0"/>
          <w:color w:val="000000"/>
          <w:sz w:val="20"/>
          <w:u w:val="none"/>
        </w:rPr>
        <w:t>income</w:t>
      </w:r>
      <w:r>
        <w:rPr>
          <w:rFonts w:ascii="Times New Roman" w:eastAsia="Times New Roman" w:hAnsi="Times New Roman" w:cs="Times New Roman"/>
          <w:b w:val="0"/>
          <w:i w:val="0"/>
          <w:sz w:val="20"/>
        </w:rPr>
        <w:t xml:space="preserve"> of approximately </w:t>
      </w:r>
      <w:r>
        <w:rPr>
          <w:rFonts w:ascii="Times New Roman" w:eastAsia="Times New Roman" w:hAnsi="Times New Roman" w:cs="Times New Roman"/>
          <w:b w:val="0"/>
          <w:i w:val="0"/>
          <w:color w:val="000000"/>
          <w:sz w:val="20"/>
          <w:u w:val="none"/>
        </w:rPr>
        <w:t>$10,605</w:t>
      </w:r>
      <w:r>
        <w:rPr>
          <w:rFonts w:ascii="Times New Roman" w:eastAsia="Times New Roman" w:hAnsi="Times New Roman" w:cs="Times New Roman"/>
          <w:b w:val="0"/>
          <w:i w:val="0"/>
          <w:sz w:val="20"/>
        </w:rPr>
        <w:t xml:space="preserve">, primarily due to depreciation and amortization and share-based compensation. This was offset by changes in operating assets and liabilities, which resulted in </w:t>
      </w:r>
      <w:r>
        <w:rPr>
          <w:rFonts w:ascii="Times New Roman" w:eastAsia="Times New Roman" w:hAnsi="Times New Roman" w:cs="Times New Roman"/>
          <w:b w:val="0"/>
          <w:i w:val="0"/>
          <w:color w:val="000000"/>
          <w:sz w:val="20"/>
          <w:u w:val="none"/>
        </w:rPr>
        <w:t>a use of $8,521 in cash.</w:t>
      </w:r>
      <w:r>
        <w:rPr>
          <w:rFonts w:ascii="Times New Roman" w:eastAsia="Times New Roman" w:hAnsi="Times New Roman" w:cs="Times New Roman"/>
          <w:b w:val="0"/>
          <w:i w:val="0"/>
          <w:sz w:val="20"/>
        </w:rPr>
        <w:t xml:space="preserve"> Net cash </w:t>
      </w:r>
      <w:r>
        <w:rPr>
          <w:rFonts w:ascii="Times New Roman" w:eastAsia="Times New Roman" w:hAnsi="Times New Roman" w:cs="Times New Roman"/>
          <w:b w:val="0"/>
          <w:i w:val="0"/>
          <w:color w:val="000000"/>
          <w:sz w:val="20"/>
          <w:u w:val="none"/>
        </w:rPr>
        <w:t>provided by operating activities</w:t>
      </w:r>
      <w:r>
        <w:rPr>
          <w:rFonts w:ascii="Times New Roman" w:eastAsia="Times New Roman" w:hAnsi="Times New Roman" w:cs="Times New Roman"/>
          <w:b w:val="0"/>
          <w:i w:val="0"/>
          <w:sz w:val="20"/>
        </w:rPr>
        <w:t xml:space="preserve"> of </w:t>
      </w:r>
      <w:r>
        <w:rPr>
          <w:rFonts w:ascii="Times New Roman" w:eastAsia="Times New Roman" w:hAnsi="Times New Roman" w:cs="Times New Roman"/>
          <w:b w:val="0"/>
          <w:i w:val="0"/>
          <w:color w:val="000000"/>
          <w:sz w:val="20"/>
          <w:u w:val="none"/>
        </w:rPr>
        <w:t>$1,996</w:t>
      </w:r>
      <w:r>
        <w:rPr>
          <w:rFonts w:ascii="Times New Roman" w:eastAsia="Times New Roman" w:hAnsi="Times New Roman" w:cs="Times New Roman"/>
          <w:b w:val="0"/>
          <w:i w:val="0"/>
          <w:sz w:val="20"/>
        </w:rPr>
        <w:t xml:space="preserve"> for the </w:t>
      </w:r>
      <w:r>
        <w:rPr>
          <w:rFonts w:ascii="Times New Roman" w:eastAsia="Times New Roman" w:hAnsi="Times New Roman" w:cs="Times New Roman"/>
          <w:b w:val="0"/>
          <w:i w:val="0"/>
          <w:color w:val="000000"/>
          <w:sz w:val="20"/>
          <w:u w:val="none"/>
        </w:rPr>
        <w:t>three months ended</w:t>
      </w:r>
      <w:r>
        <w:rPr>
          <w:rFonts w:ascii="Times New Roman" w:eastAsia="Times New Roman" w:hAnsi="Times New Roman" w:cs="Times New Roman"/>
          <w:b w:val="0"/>
          <w:i w:val="0"/>
          <w:sz w:val="20"/>
        </w:rPr>
        <w:t xml:space="preserve"> </w:t>
      </w:r>
      <w:r>
        <w:rPr>
          <w:rFonts w:ascii="Times New Roman" w:eastAsia="Times New Roman" w:hAnsi="Times New Roman" w:cs="Times New Roman"/>
          <w:b w:val="0"/>
          <w:i w:val="0"/>
          <w:color w:val="000000"/>
          <w:sz w:val="20"/>
          <w:u w:val="none"/>
        </w:rPr>
        <w:t>March 31, 2025</w:t>
      </w:r>
      <w:r>
        <w:rPr>
          <w:rFonts w:ascii="Times New Roman" w:eastAsia="Times New Roman" w:hAnsi="Times New Roman" w:cs="Times New Roman"/>
          <w:b w:val="0"/>
          <w:i w:val="0"/>
          <w:sz w:val="20"/>
        </w:rPr>
        <w:t xml:space="preserve">, was driven by non-cash adjustments to our net </w:t>
      </w:r>
      <w:r>
        <w:rPr>
          <w:rFonts w:ascii="Times New Roman" w:eastAsia="Times New Roman" w:hAnsi="Times New Roman" w:cs="Times New Roman"/>
          <w:b w:val="0"/>
          <w:i w:val="0"/>
          <w:color w:val="000000"/>
          <w:sz w:val="20"/>
          <w:u w:val="none"/>
        </w:rPr>
        <w:t>loss</w:t>
      </w:r>
      <w:r>
        <w:rPr>
          <w:rFonts w:ascii="Times New Roman" w:eastAsia="Times New Roman" w:hAnsi="Times New Roman" w:cs="Times New Roman"/>
          <w:b w:val="0"/>
          <w:i w:val="0"/>
          <w:sz w:val="20"/>
        </w:rPr>
        <w:t xml:space="preserve"> of approximately </w:t>
      </w:r>
      <w:r>
        <w:rPr>
          <w:rFonts w:ascii="Times New Roman" w:eastAsia="Times New Roman" w:hAnsi="Times New Roman" w:cs="Times New Roman"/>
          <w:b w:val="0"/>
          <w:i w:val="0"/>
          <w:color w:val="000000"/>
          <w:sz w:val="20"/>
          <w:u w:val="none"/>
        </w:rPr>
        <w:t>$8,277</w:t>
      </w:r>
      <w:r>
        <w:rPr>
          <w:rFonts w:ascii="Times New Roman" w:eastAsia="Times New Roman" w:hAnsi="Times New Roman" w:cs="Times New Roman"/>
          <w:b w:val="0"/>
          <w:i w:val="0"/>
          <w:sz w:val="20"/>
        </w:rPr>
        <w:t xml:space="preserve">, primarily due to depreciation and amortization and share-based compensation. This was offset by changes in operating assets and liabilities, which resulted in </w:t>
      </w:r>
      <w:r>
        <w:rPr>
          <w:rFonts w:ascii="Times New Roman" w:eastAsia="Times New Roman" w:hAnsi="Times New Roman" w:cs="Times New Roman"/>
          <w:b w:val="0"/>
          <w:i w:val="0"/>
          <w:color w:val="000000"/>
          <w:sz w:val="20"/>
          <w:u w:val="none"/>
        </w:rPr>
        <w:t>a use of $3,883 in cash.</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single"/>
        </w:rPr>
      </w:pPr>
      <w:r>
        <w:rPr>
          <w:rFonts w:ascii="Times New Roman" w:eastAsia="Times New Roman" w:hAnsi="Times New Roman" w:cs="Times New Roman"/>
          <w:b w:val="0"/>
          <w:i w:val="0"/>
          <w:color w:val="000000"/>
          <w:sz w:val="20"/>
          <w:u w:val="single"/>
        </w:rPr>
        <w:t>Investing Activities</w:t>
      </w:r>
      <w:r>
        <w:rPr>
          <w:rFonts w:ascii="Times New Roman" w:eastAsia="Times New Roman" w:hAnsi="Times New Roman" w:cs="Times New Roman"/>
          <w:b w:val="0"/>
          <w:i w:val="0"/>
          <w:sz w:val="20"/>
        </w:rPr>
        <w:t xml:space="preserve">. Net cash </w:t>
      </w:r>
      <w:r>
        <w:rPr>
          <w:rFonts w:ascii="Times New Roman" w:eastAsia="Times New Roman" w:hAnsi="Times New Roman" w:cs="Times New Roman"/>
          <w:b w:val="0"/>
          <w:i w:val="0"/>
          <w:color w:val="000000"/>
          <w:sz w:val="20"/>
          <w:u w:val="none"/>
        </w:rPr>
        <w:t>used in investing activities</w:t>
      </w:r>
      <w:r>
        <w:rPr>
          <w:rFonts w:ascii="Times New Roman" w:eastAsia="Times New Roman" w:hAnsi="Times New Roman" w:cs="Times New Roman"/>
          <w:b w:val="0"/>
          <w:i w:val="0"/>
          <w:sz w:val="20"/>
        </w:rPr>
        <w:t xml:space="preserve"> of </w:t>
      </w:r>
      <w:r>
        <w:rPr>
          <w:rFonts w:ascii="Times New Roman" w:eastAsia="Times New Roman" w:hAnsi="Times New Roman" w:cs="Times New Roman"/>
          <w:b w:val="0"/>
          <w:i w:val="0"/>
          <w:color w:val="000000"/>
          <w:sz w:val="20"/>
          <w:u w:val="none"/>
        </w:rPr>
        <w:t>$5,379</w:t>
      </w:r>
      <w:r>
        <w:rPr>
          <w:rFonts w:ascii="Times New Roman" w:eastAsia="Times New Roman" w:hAnsi="Times New Roman" w:cs="Times New Roman"/>
          <w:b w:val="0"/>
          <w:i w:val="0"/>
          <w:sz w:val="20"/>
        </w:rPr>
        <w:t xml:space="preserve"> for the </w:t>
      </w:r>
      <w:r>
        <w:rPr>
          <w:rFonts w:ascii="Times New Roman" w:eastAsia="Times New Roman" w:hAnsi="Times New Roman" w:cs="Times New Roman"/>
          <w:b w:val="0"/>
          <w:i w:val="0"/>
          <w:color w:val="000000"/>
          <w:sz w:val="20"/>
          <w:u w:val="none"/>
        </w:rPr>
        <w:t>three months ended</w:t>
      </w:r>
      <w:r>
        <w:rPr>
          <w:rFonts w:ascii="Times New Roman" w:eastAsia="Times New Roman" w:hAnsi="Times New Roman" w:cs="Times New Roman"/>
          <w:b w:val="0"/>
          <w:i w:val="0"/>
          <w:sz w:val="20"/>
        </w:rPr>
        <w:t xml:space="preserve"> </w:t>
      </w:r>
      <w:r>
        <w:rPr>
          <w:rFonts w:ascii="Times New Roman" w:eastAsia="Times New Roman" w:hAnsi="Times New Roman" w:cs="Times New Roman"/>
          <w:b w:val="0"/>
          <w:i w:val="0"/>
          <w:color w:val="000000"/>
          <w:sz w:val="20"/>
          <w:u w:val="none"/>
        </w:rPr>
        <w:t>March 31, 2026</w:t>
      </w:r>
      <w:r>
        <w:rPr>
          <w:rFonts w:ascii="Times New Roman" w:eastAsia="Times New Roman" w:hAnsi="Times New Roman" w:cs="Times New Roman"/>
          <w:b w:val="0"/>
          <w:i w:val="0"/>
          <w:sz w:val="20"/>
        </w:rPr>
        <w:t xml:space="preserve"> is primarily due to purchases intangible assets of </w:t>
      </w:r>
      <w:r>
        <w:rPr>
          <w:rFonts w:ascii="Times New Roman" w:eastAsia="Times New Roman" w:hAnsi="Times New Roman" w:cs="Times New Roman"/>
          <w:b w:val="0"/>
          <w:i w:val="0"/>
          <w:color w:val="000000"/>
          <w:sz w:val="20"/>
          <w:u w:val="none"/>
        </w:rPr>
        <w:t>$4,721</w:t>
      </w:r>
      <w:r>
        <w:rPr>
          <w:rFonts w:ascii="Times New Roman" w:eastAsia="Times New Roman" w:hAnsi="Times New Roman" w:cs="Times New Roman"/>
          <w:b w:val="0"/>
          <w:i w:val="0"/>
          <w:sz w:val="20"/>
        </w:rPr>
        <w:t xml:space="preserve">, purchases of available-for-sale securities and maturities of </w:t>
      </w:r>
      <w:r>
        <w:rPr>
          <w:rFonts w:ascii="Times New Roman" w:eastAsia="Times New Roman" w:hAnsi="Times New Roman" w:cs="Times New Roman"/>
          <w:b w:val="0"/>
          <w:i w:val="0"/>
          <w:color w:val="000000"/>
          <w:sz w:val="20"/>
          <w:u w:val="none"/>
        </w:rPr>
        <w:t>$4,051</w:t>
      </w:r>
      <w:r>
        <w:rPr>
          <w:rFonts w:ascii="Times New Roman" w:eastAsia="Times New Roman" w:hAnsi="Times New Roman" w:cs="Times New Roman"/>
          <w:b w:val="0"/>
          <w:i w:val="0"/>
          <w:sz w:val="20"/>
        </w:rPr>
        <w:t xml:space="preserve">, and software capitalization costs of </w:t>
      </w:r>
      <w:r>
        <w:rPr>
          <w:rFonts w:ascii="Times New Roman" w:eastAsia="Times New Roman" w:hAnsi="Times New Roman" w:cs="Times New Roman"/>
          <w:b w:val="0"/>
          <w:i w:val="0"/>
          <w:color w:val="000000"/>
          <w:sz w:val="20"/>
          <w:u w:val="none"/>
        </w:rPr>
        <w:t>$3,236</w:t>
      </w:r>
      <w:r>
        <w:rPr>
          <w:rFonts w:ascii="Times New Roman" w:eastAsia="Times New Roman" w:hAnsi="Times New Roman" w:cs="Times New Roman"/>
          <w:b w:val="0"/>
          <w:i w:val="0"/>
          <w:sz w:val="20"/>
        </w:rPr>
        <w:t xml:space="preserve">, offset by proceeds from sales and maturities of available-for-sale securities of </w:t>
      </w:r>
      <w:r>
        <w:rPr>
          <w:rFonts w:ascii="Times New Roman" w:eastAsia="Times New Roman" w:hAnsi="Times New Roman" w:cs="Times New Roman"/>
          <w:b w:val="0"/>
          <w:i w:val="0"/>
          <w:color w:val="000000"/>
          <w:sz w:val="20"/>
          <w:u w:val="none"/>
        </w:rPr>
        <w:t>$6,847</w:t>
      </w:r>
      <w:r>
        <w:rPr>
          <w:rFonts w:ascii="Times New Roman" w:eastAsia="Times New Roman" w:hAnsi="Times New Roman" w:cs="Times New Roman"/>
          <w:b w:val="0"/>
          <w:i w:val="0"/>
          <w:sz w:val="20"/>
        </w:rPr>
        <w:t xml:space="preserve">. Net cash </w:t>
      </w:r>
      <w:r>
        <w:rPr>
          <w:rFonts w:ascii="Times New Roman" w:eastAsia="Times New Roman" w:hAnsi="Times New Roman" w:cs="Times New Roman"/>
          <w:b w:val="0"/>
          <w:i w:val="0"/>
          <w:color w:val="000000"/>
          <w:sz w:val="20"/>
          <w:u w:val="none"/>
        </w:rPr>
        <w:t>used in investing activities</w:t>
      </w:r>
      <w:r>
        <w:rPr>
          <w:rFonts w:ascii="Times New Roman" w:eastAsia="Times New Roman" w:hAnsi="Times New Roman" w:cs="Times New Roman"/>
          <w:b w:val="0"/>
          <w:i w:val="0"/>
          <w:sz w:val="20"/>
        </w:rPr>
        <w:t xml:space="preserve"> of </w:t>
      </w:r>
      <w:r>
        <w:rPr>
          <w:rFonts w:ascii="Times New Roman" w:eastAsia="Times New Roman" w:hAnsi="Times New Roman" w:cs="Times New Roman"/>
          <w:b w:val="0"/>
          <w:i w:val="0"/>
          <w:color w:val="000000"/>
          <w:sz w:val="20"/>
          <w:u w:val="none"/>
        </w:rPr>
        <w:t>$12,630</w:t>
      </w:r>
      <w:r>
        <w:rPr>
          <w:rFonts w:ascii="Times New Roman" w:eastAsia="Times New Roman" w:hAnsi="Times New Roman" w:cs="Times New Roman"/>
          <w:b w:val="0"/>
          <w:i w:val="0"/>
          <w:sz w:val="20"/>
        </w:rPr>
        <w:t xml:space="preserve"> for the </w:t>
      </w:r>
      <w:r>
        <w:rPr>
          <w:rFonts w:ascii="Times New Roman" w:eastAsia="Times New Roman" w:hAnsi="Times New Roman" w:cs="Times New Roman"/>
          <w:b w:val="0"/>
          <w:i w:val="0"/>
          <w:color w:val="000000"/>
          <w:sz w:val="20"/>
          <w:u w:val="none"/>
        </w:rPr>
        <w:t>three months ended</w:t>
      </w:r>
      <w:r>
        <w:rPr>
          <w:rFonts w:ascii="Times New Roman" w:eastAsia="Times New Roman" w:hAnsi="Times New Roman" w:cs="Times New Roman"/>
          <w:b w:val="0"/>
          <w:i w:val="0"/>
          <w:sz w:val="20"/>
        </w:rPr>
        <w:t xml:space="preserve"> </w:t>
      </w:r>
      <w:r>
        <w:rPr>
          <w:rFonts w:ascii="Times New Roman" w:eastAsia="Times New Roman" w:hAnsi="Times New Roman" w:cs="Times New Roman"/>
          <w:b w:val="0"/>
          <w:i w:val="0"/>
          <w:color w:val="000000"/>
          <w:sz w:val="20"/>
          <w:u w:val="none"/>
        </w:rPr>
        <w:t>March 31, 2025</w:t>
      </w:r>
      <w:r>
        <w:rPr>
          <w:rFonts w:ascii="Times New Roman" w:eastAsia="Times New Roman" w:hAnsi="Times New Roman" w:cs="Times New Roman"/>
          <w:b w:val="0"/>
          <w:i w:val="0"/>
          <w:sz w:val="20"/>
        </w:rPr>
        <w:t xml:space="preserve"> is primarily due to purchases intangible assets of </w:t>
      </w:r>
      <w:r>
        <w:rPr>
          <w:rFonts w:ascii="Times New Roman" w:eastAsia="Times New Roman" w:hAnsi="Times New Roman" w:cs="Times New Roman"/>
          <w:b w:val="0"/>
          <w:i w:val="0"/>
          <w:color w:val="000000"/>
          <w:sz w:val="20"/>
          <w:u w:val="none"/>
        </w:rPr>
        <w:t>$6,346</w:t>
      </w:r>
      <w:r>
        <w:rPr>
          <w:rFonts w:ascii="Times New Roman" w:eastAsia="Times New Roman" w:hAnsi="Times New Roman" w:cs="Times New Roman"/>
          <w:b w:val="0"/>
          <w:i w:val="0"/>
          <w:sz w:val="20"/>
        </w:rPr>
        <w:t xml:space="preserve">, purchases of available-for-sale securities and maturities of </w:t>
      </w:r>
      <w:r>
        <w:rPr>
          <w:rFonts w:ascii="Times New Roman" w:eastAsia="Times New Roman" w:hAnsi="Times New Roman" w:cs="Times New Roman"/>
          <w:b w:val="0"/>
          <w:i w:val="0"/>
          <w:color w:val="000000"/>
          <w:sz w:val="20"/>
          <w:u w:val="none"/>
        </w:rPr>
        <w:t>$6,589</w:t>
      </w:r>
      <w:r>
        <w:rPr>
          <w:rFonts w:ascii="Times New Roman" w:eastAsia="Times New Roman" w:hAnsi="Times New Roman" w:cs="Times New Roman"/>
          <w:b w:val="0"/>
          <w:i w:val="0"/>
          <w:sz w:val="20"/>
        </w:rPr>
        <w:t xml:space="preserve">, and software capitalization costs of </w:t>
      </w:r>
      <w:r>
        <w:rPr>
          <w:rFonts w:ascii="Times New Roman" w:eastAsia="Times New Roman" w:hAnsi="Times New Roman" w:cs="Times New Roman"/>
          <w:b w:val="0"/>
          <w:i w:val="0"/>
          <w:color w:val="000000"/>
          <w:sz w:val="20"/>
          <w:u w:val="none"/>
        </w:rPr>
        <w:t>$2,769</w:t>
      </w:r>
      <w:r>
        <w:rPr>
          <w:rFonts w:ascii="Times New Roman" w:eastAsia="Times New Roman" w:hAnsi="Times New Roman" w:cs="Times New Roman"/>
          <w:b w:val="0"/>
          <w:i w:val="0"/>
          <w:sz w:val="20"/>
        </w:rPr>
        <w:t xml:space="preserve">, offset by proceeds from sales and maturities of available-for-sale securities of </w:t>
      </w:r>
      <w:r>
        <w:rPr>
          <w:rFonts w:ascii="Times New Roman" w:eastAsia="Times New Roman" w:hAnsi="Times New Roman" w:cs="Times New Roman"/>
          <w:b w:val="0"/>
          <w:i w:val="0"/>
          <w:color w:val="000000"/>
          <w:sz w:val="20"/>
          <w:u w:val="none"/>
        </w:rPr>
        <w:t>$3,266</w:t>
      </w:r>
      <w:r>
        <w:rPr>
          <w:rFonts w:ascii="Times New Roman" w:eastAsia="Times New Roman" w:hAnsi="Times New Roman" w:cs="Times New Roman"/>
          <w:b w:val="0"/>
          <w:i w:val="0"/>
          <w:sz w:val="20"/>
        </w:rPr>
        <w:t>.</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single"/>
        </w:rPr>
      </w:pPr>
      <w:r>
        <w:rPr>
          <w:rFonts w:ascii="Times New Roman" w:eastAsia="Times New Roman" w:hAnsi="Times New Roman" w:cs="Times New Roman"/>
          <w:b w:val="0"/>
          <w:i w:val="0"/>
          <w:color w:val="000000"/>
          <w:sz w:val="20"/>
          <w:highlight w:val="white"/>
          <w:u w:val="single"/>
        </w:rPr>
        <w:t>Financing Activities</w:t>
      </w:r>
      <w:r>
        <w:rPr>
          <w:rFonts w:ascii="Times New Roman" w:eastAsia="Times New Roman" w:hAnsi="Times New Roman" w:cs="Times New Roman"/>
          <w:b w:val="0"/>
          <w:i w:val="0"/>
          <w:color w:val="000000"/>
          <w:sz w:val="20"/>
          <w:highlight w:val="white"/>
          <w:u w:val="none"/>
        </w:rPr>
        <w:t>.</w:t>
      </w:r>
      <w:r>
        <w:rPr>
          <w:rFonts w:ascii="Times New Roman" w:eastAsia="Times New Roman" w:hAnsi="Times New Roman" w:cs="Times New Roman"/>
          <w:b w:val="0"/>
          <w:i w:val="0"/>
          <w:sz w:val="20"/>
        </w:rPr>
        <w:t xml:space="preserve"> Net cash </w:t>
      </w:r>
      <w:r>
        <w:rPr>
          <w:rFonts w:ascii="Times New Roman" w:eastAsia="Times New Roman" w:hAnsi="Times New Roman" w:cs="Times New Roman"/>
          <w:b w:val="0"/>
          <w:i w:val="0"/>
          <w:color w:val="000000"/>
          <w:sz w:val="20"/>
          <w:u w:val="none"/>
        </w:rPr>
        <w:t>used in financing activities</w:t>
      </w:r>
      <w:r>
        <w:rPr>
          <w:rFonts w:ascii="Times New Roman" w:eastAsia="Times New Roman" w:hAnsi="Times New Roman" w:cs="Times New Roman"/>
          <w:b w:val="0"/>
          <w:i w:val="0"/>
          <w:sz w:val="20"/>
        </w:rPr>
        <w:t xml:space="preserve"> was </w:t>
      </w:r>
      <w:r>
        <w:rPr>
          <w:rFonts w:ascii="Times New Roman" w:eastAsia="Times New Roman" w:hAnsi="Times New Roman" w:cs="Times New Roman"/>
          <w:b w:val="0"/>
          <w:i w:val="0"/>
          <w:color w:val="000000"/>
          <w:sz w:val="20"/>
          <w:u w:val="none"/>
        </w:rPr>
        <w:t>$11,528</w:t>
      </w:r>
      <w:r>
        <w:rPr>
          <w:rFonts w:ascii="Times New Roman" w:eastAsia="Times New Roman" w:hAnsi="Times New Roman" w:cs="Times New Roman"/>
          <w:b w:val="0"/>
          <w:i w:val="0"/>
          <w:sz w:val="20"/>
        </w:rPr>
        <w:t xml:space="preserve"> for the </w:t>
      </w:r>
      <w:r>
        <w:rPr>
          <w:rFonts w:ascii="Times New Roman" w:eastAsia="Times New Roman" w:hAnsi="Times New Roman" w:cs="Times New Roman"/>
          <w:b w:val="0"/>
          <w:i w:val="0"/>
          <w:color w:val="000000"/>
          <w:sz w:val="20"/>
          <w:u w:val="none"/>
        </w:rPr>
        <w:t>three months ended</w:t>
      </w:r>
      <w:r>
        <w:rPr>
          <w:rFonts w:ascii="Times New Roman" w:eastAsia="Times New Roman" w:hAnsi="Times New Roman" w:cs="Times New Roman"/>
          <w:b w:val="0"/>
          <w:i w:val="0"/>
          <w:sz w:val="20"/>
        </w:rPr>
        <w:t xml:space="preserve"> </w:t>
      </w:r>
      <w:r>
        <w:rPr>
          <w:rFonts w:ascii="Times New Roman" w:eastAsia="Times New Roman" w:hAnsi="Times New Roman" w:cs="Times New Roman"/>
          <w:b w:val="0"/>
          <w:i w:val="0"/>
          <w:color w:val="000000"/>
          <w:sz w:val="20"/>
          <w:u w:val="none"/>
        </w:rPr>
        <w:t>March 31, 2026</w:t>
      </w:r>
      <w:r>
        <w:rPr>
          <w:rFonts w:ascii="Times New Roman" w:eastAsia="Times New Roman" w:hAnsi="Times New Roman" w:cs="Times New Roman"/>
          <w:b w:val="0"/>
          <w:i w:val="0"/>
          <w:sz w:val="20"/>
        </w:rPr>
        <w:t xml:space="preserve">, which primarily consisted of a </w:t>
      </w:r>
      <w:r>
        <w:rPr>
          <w:rFonts w:ascii="Times New Roman" w:eastAsia="Times New Roman" w:hAnsi="Times New Roman" w:cs="Times New Roman"/>
          <w:b w:val="0"/>
          <w:i w:val="0"/>
          <w:color w:val="000000"/>
          <w:sz w:val="20"/>
          <w:u w:val="none"/>
        </w:rPr>
        <w:t>net decrease in client fund obligations of $11,177</w:t>
      </w:r>
      <w:r>
        <w:rPr>
          <w:rFonts w:ascii="Times New Roman" w:eastAsia="Times New Roman" w:hAnsi="Times New Roman" w:cs="Times New Roman"/>
          <w:b w:val="0"/>
          <w:i w:val="0"/>
          <w:sz w:val="20"/>
        </w:rPr>
        <w:t xml:space="preserve">. Net cash </w:t>
      </w:r>
      <w:r>
        <w:rPr>
          <w:rFonts w:ascii="Times New Roman" w:eastAsia="Times New Roman" w:hAnsi="Times New Roman" w:cs="Times New Roman"/>
          <w:b w:val="0"/>
          <w:i w:val="0"/>
          <w:color w:val="000000"/>
          <w:sz w:val="20"/>
          <w:u w:val="none"/>
        </w:rPr>
        <w:t>provided by financing activities</w:t>
      </w:r>
      <w:r>
        <w:rPr>
          <w:rFonts w:ascii="Times New Roman" w:eastAsia="Times New Roman" w:hAnsi="Times New Roman" w:cs="Times New Roman"/>
          <w:b w:val="0"/>
          <w:i w:val="0"/>
          <w:sz w:val="20"/>
        </w:rPr>
        <w:t xml:space="preserve"> was </w:t>
      </w:r>
      <w:r>
        <w:rPr>
          <w:rFonts w:ascii="Times New Roman" w:eastAsia="Times New Roman" w:hAnsi="Times New Roman" w:cs="Times New Roman"/>
          <w:b w:val="0"/>
          <w:i w:val="0"/>
          <w:color w:val="000000"/>
          <w:sz w:val="20"/>
          <w:u w:val="none"/>
        </w:rPr>
        <w:t>$63,925</w:t>
      </w:r>
      <w:r>
        <w:rPr>
          <w:rFonts w:ascii="Times New Roman" w:eastAsia="Times New Roman" w:hAnsi="Times New Roman" w:cs="Times New Roman"/>
          <w:b w:val="0"/>
          <w:i w:val="0"/>
          <w:sz w:val="20"/>
        </w:rPr>
        <w:t xml:space="preserve"> for the </w:t>
      </w:r>
      <w:r>
        <w:rPr>
          <w:rFonts w:ascii="Times New Roman" w:eastAsia="Times New Roman" w:hAnsi="Times New Roman" w:cs="Times New Roman"/>
          <w:b w:val="0"/>
          <w:i w:val="0"/>
          <w:color w:val="000000"/>
          <w:sz w:val="20"/>
          <w:u w:val="none"/>
        </w:rPr>
        <w:t>three months ended</w:t>
      </w:r>
      <w:r>
        <w:rPr>
          <w:rFonts w:ascii="Times New Roman" w:eastAsia="Times New Roman" w:hAnsi="Times New Roman" w:cs="Times New Roman"/>
          <w:b w:val="0"/>
          <w:i w:val="0"/>
          <w:sz w:val="20"/>
        </w:rPr>
        <w:t xml:space="preserve"> </w:t>
      </w:r>
      <w:r>
        <w:rPr>
          <w:rFonts w:ascii="Times New Roman" w:eastAsia="Times New Roman" w:hAnsi="Times New Roman" w:cs="Times New Roman"/>
          <w:b w:val="0"/>
          <w:i w:val="0"/>
          <w:color w:val="000000"/>
          <w:sz w:val="20"/>
          <w:u w:val="none"/>
        </w:rPr>
        <w:t>March 31, 2025</w:t>
      </w:r>
      <w:r>
        <w:rPr>
          <w:rFonts w:ascii="Times New Roman" w:eastAsia="Times New Roman" w:hAnsi="Times New Roman" w:cs="Times New Roman"/>
          <w:b w:val="0"/>
          <w:i w:val="0"/>
          <w:sz w:val="20"/>
        </w:rPr>
        <w:t xml:space="preserve">, which primarily consisted of a </w:t>
      </w:r>
      <w:r>
        <w:rPr>
          <w:rFonts w:ascii="Times New Roman" w:eastAsia="Times New Roman" w:hAnsi="Times New Roman" w:cs="Times New Roman"/>
          <w:b w:val="0"/>
          <w:i w:val="0"/>
          <w:color w:val="000000"/>
          <w:sz w:val="20"/>
          <w:u w:val="none"/>
        </w:rPr>
        <w:t>net increase in client fund obligations of $64,207</w:t>
      </w:r>
      <w:r>
        <w:rPr>
          <w:rFonts w:ascii="Times New Roman" w:eastAsia="Times New Roman" w:hAnsi="Times New Roman" w:cs="Times New Roman"/>
          <w:b w:val="0"/>
          <w:i w:val="0"/>
          <w:sz w:val="20"/>
        </w:rPr>
        <w:t>.</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i w:val="0"/>
          <w:color w:val="000000"/>
          <w:sz w:val="20"/>
          <w:highlight w:val="white"/>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highlight w:val="white"/>
          <w:u w:val="none"/>
        </w:rPr>
      </w:pPr>
      <w:r>
        <w:rPr>
          <w:rFonts w:ascii="Times New Roman" w:eastAsia="Times New Roman" w:hAnsi="Times New Roman" w:cs="Times New Roman"/>
          <w:b w:val="0"/>
          <w:i w:val="0"/>
          <w:color w:val="000000"/>
          <w:sz w:val="20"/>
          <w:highlight w:val="white"/>
          <w:u w:val="none"/>
        </w:rPr>
        <w:t xml:space="preserve">As of </w:t>
      </w:r>
      <w:r>
        <w:rPr>
          <w:rFonts w:ascii="Times New Roman" w:eastAsia="Times New Roman" w:hAnsi="Times New Roman" w:cs="Times New Roman"/>
          <w:b w:val="0"/>
          <w:i w:val="0"/>
          <w:color w:val="000000"/>
          <w:sz w:val="20"/>
          <w:u w:val="none"/>
        </w:rPr>
        <w:t>March 31, 2026</w:t>
      </w:r>
      <w:r>
        <w:rPr>
          <w:rFonts w:ascii="Times New Roman" w:eastAsia="Times New Roman" w:hAnsi="Times New Roman" w:cs="Times New Roman"/>
          <w:b w:val="0"/>
          <w:i w:val="0"/>
          <w:sz w:val="20"/>
        </w:rPr>
        <w:t xml:space="preserve">, we have </w:t>
      </w:r>
      <w:r>
        <w:rPr>
          <w:rFonts w:ascii="Times New Roman" w:eastAsia="Times New Roman" w:hAnsi="Times New Roman" w:cs="Times New Roman"/>
          <w:b w:val="0"/>
          <w:i w:val="0"/>
          <w:color w:val="000000"/>
          <w:sz w:val="20"/>
          <w:u w:val="none"/>
        </w:rPr>
        <w:t>nine</w:t>
      </w:r>
      <w:r>
        <w:rPr>
          <w:rFonts w:ascii="Times New Roman" w:eastAsia="Times New Roman" w:hAnsi="Times New Roman" w:cs="Times New Roman"/>
          <w:b w:val="0"/>
          <w:i w:val="0"/>
          <w:sz w:val="20"/>
        </w:rPr>
        <w:t xml:space="preserve"> subordinated promissory notes related to acquisitions that occurred during the </w:t>
      </w:r>
      <w:r>
        <w:rPr>
          <w:rFonts w:ascii="Times New Roman" w:eastAsia="Times New Roman" w:hAnsi="Times New Roman" w:cs="Times New Roman"/>
          <w:b w:val="0"/>
          <w:i w:val="0"/>
          <w:color w:val="000000"/>
          <w:sz w:val="20"/>
          <w:highlight w:val="white"/>
          <w:u w:val="none"/>
        </w:rPr>
        <w:t>three months ended March 31, 2026</w:t>
      </w:r>
      <w:r>
        <w:rPr>
          <w:rFonts w:ascii="Times New Roman" w:eastAsia="Times New Roman" w:hAnsi="Times New Roman" w:cs="Times New Roman"/>
          <w:b w:val="0"/>
          <w:i w:val="0"/>
          <w:sz w:val="20"/>
        </w:rPr>
        <w:t xml:space="preserve"> and prior years with a combined outstanding principal balance of </w:t>
      </w:r>
      <w:r>
        <w:rPr>
          <w:rFonts w:ascii="Times New Roman" w:eastAsia="Times New Roman" w:hAnsi="Times New Roman" w:cs="Times New Roman"/>
          <w:b w:val="0"/>
          <w:i w:val="0"/>
          <w:color w:val="000000"/>
          <w:sz w:val="20"/>
          <w:u w:val="none"/>
        </w:rPr>
        <w:t>$11,701</w:t>
      </w:r>
      <w:r>
        <w:rPr>
          <w:rFonts w:ascii="Times New Roman" w:eastAsia="Times New Roman" w:hAnsi="Times New Roman" w:cs="Times New Roman"/>
          <w:b w:val="0"/>
          <w:i w:val="0"/>
          <w:sz w:val="20"/>
        </w:rPr>
        <w:t xml:space="preserve"> and maturity dates ranging from </w:t>
      </w:r>
      <w:r>
        <w:rPr>
          <w:rFonts w:ascii="Times New Roman" w:eastAsia="Times New Roman" w:hAnsi="Times New Roman" w:cs="Times New Roman"/>
          <w:b w:val="0"/>
          <w:i w:val="0"/>
          <w:color w:val="000000"/>
          <w:sz w:val="20"/>
          <w:u w:val="none"/>
        </w:rPr>
        <w:t>August 1, 2026</w:t>
      </w:r>
      <w:r>
        <w:rPr>
          <w:rFonts w:ascii="Times New Roman" w:eastAsia="Times New Roman" w:hAnsi="Times New Roman" w:cs="Times New Roman"/>
          <w:b w:val="0"/>
          <w:i w:val="0"/>
          <w:sz w:val="20"/>
        </w:rPr>
        <w:t xml:space="preserve">, to </w:t>
      </w:r>
      <w:r>
        <w:rPr>
          <w:rFonts w:ascii="Times New Roman" w:eastAsia="Times New Roman" w:hAnsi="Times New Roman" w:cs="Times New Roman"/>
          <w:b w:val="0"/>
          <w:i w:val="0"/>
          <w:color w:val="000000"/>
          <w:sz w:val="20"/>
          <w:u w:val="none"/>
        </w:rPr>
        <w:t>July 1, 2029</w:t>
      </w:r>
      <w:r>
        <w:rPr>
          <w:rFonts w:ascii="Times New Roman" w:eastAsia="Times New Roman" w:hAnsi="Times New Roman" w:cs="Times New Roman"/>
          <w:b w:val="0"/>
          <w:i w:val="0"/>
          <w:sz w:val="20"/>
        </w:rPr>
        <w:t>.</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highlight w:val="white"/>
          <w:u w:val="none"/>
        </w:rPr>
      </w:pPr>
      <w:r>
        <w:rPr>
          <w:rFonts w:ascii="Times New Roman" w:eastAsia="Times New Roman" w:hAnsi="Times New Roman" w:cs="Times New Roman"/>
          <w:b w:val="0"/>
          <w:i w:val="0"/>
          <w:sz w:val="20"/>
        </w:rPr>
        <w:t xml:space="preserve">On April 10, 2025, we entered into a Credit, Security and Guaranty Agreement (the “Loan Agreement”) with MidCap and the lenders from time to time party thereto (such lenders collectively with MidCap, the “Lenders”). Under the Loan Agreement, we may borrow up to </w:t>
      </w:r>
      <w:r>
        <w:rPr>
          <w:rFonts w:ascii="Times New Roman" w:eastAsia="Times New Roman" w:hAnsi="Times New Roman" w:cs="Times New Roman"/>
          <w:b w:val="0"/>
          <w:i w:val="0"/>
          <w:color w:val="000000"/>
          <w:sz w:val="20"/>
          <w:u w:val="none"/>
        </w:rPr>
        <w:t>$60,000</w:t>
      </w:r>
      <w:r>
        <w:rPr>
          <w:rFonts w:ascii="Times New Roman" w:eastAsia="Times New Roman" w:hAnsi="Times New Roman" w:cs="Times New Roman"/>
          <w:b w:val="0"/>
          <w:i w:val="0"/>
          <w:sz w:val="20"/>
        </w:rPr>
        <w:t xml:space="preserve"> from the Lenders, all of which was funded as of </w:t>
      </w:r>
      <w:r>
        <w:rPr>
          <w:rFonts w:ascii="Times New Roman" w:eastAsia="Times New Roman" w:hAnsi="Times New Roman" w:cs="Times New Roman"/>
          <w:b w:val="0"/>
          <w:i w:val="0"/>
          <w:color w:val="000000"/>
          <w:sz w:val="20"/>
          <w:u w:val="none"/>
        </w:rPr>
        <w:t>June 30, 2025</w:t>
      </w:r>
      <w:r>
        <w:rPr>
          <w:rFonts w:ascii="Times New Roman" w:eastAsia="Times New Roman" w:hAnsi="Times New Roman" w:cs="Times New Roman"/>
          <w:b w:val="0"/>
          <w:i w:val="0"/>
          <w:sz w:val="20"/>
        </w:rPr>
        <w:t xml:space="preserve">. The maturity date of the loan as provided under the Loan Agreement is </w:t>
      </w:r>
      <w:r>
        <w:rPr>
          <w:rFonts w:ascii="Times New Roman" w:eastAsia="Times New Roman" w:hAnsi="Times New Roman" w:cs="Times New Roman"/>
          <w:b w:val="0"/>
          <w:i w:val="0"/>
          <w:color w:val="000000"/>
          <w:sz w:val="20"/>
          <w:u w:val="none"/>
        </w:rPr>
        <w:t>April 1, 2030</w:t>
      </w:r>
      <w:r>
        <w:rPr>
          <w:rFonts w:ascii="Times New Roman" w:eastAsia="Times New Roman" w:hAnsi="Times New Roman" w:cs="Times New Roman"/>
          <w:b w:val="0"/>
          <w:i w:val="0"/>
          <w:sz w:val="20"/>
        </w:rPr>
        <w:t xml:space="preserve"> (the “Maturity Date”).</w:t>
      </w: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 xml:space="preserve">Interest on the outstanding loan balance is payable monthly in arrears at an annual rate of Term Secured Overnight Financing Rate (“SOFR”) plus </w:t>
      </w:r>
      <w:r>
        <w:rPr>
          <w:rFonts w:ascii="Times New Roman" w:eastAsia="Times New Roman" w:hAnsi="Times New Roman" w:cs="Times New Roman"/>
          <w:b w:val="0"/>
          <w:i w:val="0"/>
          <w:color w:val="000000"/>
          <w:sz w:val="20"/>
          <w:u w:val="none"/>
        </w:rPr>
        <w:t>5.00%</w:t>
      </w:r>
      <w:r>
        <w:rPr>
          <w:rFonts w:ascii="Times New Roman" w:eastAsia="Times New Roman" w:hAnsi="Times New Roman" w:cs="Times New Roman"/>
          <w:b w:val="0"/>
          <w:i w:val="0"/>
          <w:sz w:val="20"/>
        </w:rPr>
        <w:t xml:space="preserve">, subject to a SOFR floor of </w:t>
      </w:r>
      <w:r>
        <w:rPr>
          <w:rFonts w:ascii="Times New Roman" w:eastAsia="Times New Roman" w:hAnsi="Times New Roman" w:cs="Times New Roman"/>
          <w:b w:val="0"/>
          <w:i w:val="0"/>
          <w:color w:val="000000"/>
          <w:sz w:val="20"/>
          <w:u w:val="none"/>
        </w:rPr>
        <w:t>2.00%</w:t>
      </w:r>
      <w:r>
        <w:rPr>
          <w:rFonts w:ascii="Times New Roman" w:eastAsia="Times New Roman" w:hAnsi="Times New Roman" w:cs="Times New Roman"/>
          <w:b w:val="0"/>
          <w:i w:val="0"/>
          <w:sz w:val="20"/>
        </w:rPr>
        <w:t xml:space="preserve">. This rate was </w:t>
      </w:r>
      <w:r>
        <w:rPr>
          <w:rFonts w:ascii="Times New Roman" w:eastAsia="Times New Roman" w:hAnsi="Times New Roman" w:cs="Times New Roman"/>
          <w:b w:val="0"/>
          <w:i w:val="0"/>
          <w:color w:val="000000"/>
          <w:sz w:val="20"/>
          <w:u w:val="none"/>
        </w:rPr>
        <w:t>9.04%</w:t>
      </w:r>
      <w:r>
        <w:rPr>
          <w:rFonts w:ascii="Times New Roman" w:eastAsia="Times New Roman" w:hAnsi="Times New Roman" w:cs="Times New Roman"/>
          <w:b w:val="0"/>
          <w:i w:val="0"/>
          <w:sz w:val="20"/>
        </w:rPr>
        <w:t xml:space="preserve"> as of </w:t>
      </w:r>
      <w:r>
        <w:rPr>
          <w:rFonts w:ascii="Times New Roman" w:eastAsia="Times New Roman" w:hAnsi="Times New Roman" w:cs="Times New Roman"/>
          <w:b w:val="0"/>
          <w:i w:val="0"/>
          <w:color w:val="000000"/>
          <w:sz w:val="20"/>
          <w:highlight w:val="white"/>
          <w:u w:val="none"/>
        </w:rPr>
        <w:t>March 31, 2026</w:t>
      </w:r>
      <w:r>
        <w:rPr>
          <w:rFonts w:ascii="Times New Roman" w:eastAsia="Times New Roman" w:hAnsi="Times New Roman" w:cs="Times New Roman"/>
          <w:b w:val="0"/>
          <w:i w:val="0"/>
          <w:sz w:val="20"/>
        </w:rPr>
        <w:t>. Prior to April 1, 2029 (the “Amortization Start Date”), we must make interest-only payments on the outstanding loan balance. Commencing on the Amortization Start Date and continuing on the first day of each calendar month thereafter, we will pay an amount equal to the total principal of the outstanding loan balance divided by twelve (</w:t>
      </w:r>
      <w:r>
        <w:rPr>
          <w:rFonts w:ascii="Times New Roman" w:eastAsia="Times New Roman" w:hAnsi="Times New Roman" w:cs="Times New Roman"/>
          <w:b w:val="0"/>
          <w:i w:val="0"/>
          <w:color w:val="000000"/>
          <w:sz w:val="20"/>
          <w:u w:val="none"/>
        </w:rPr>
        <w:t>12</w:t>
      </w:r>
      <w:r>
        <w:rPr>
          <w:rFonts w:ascii="Times New Roman" w:eastAsia="Times New Roman" w:hAnsi="Times New Roman" w:cs="Times New Roman"/>
          <w:b w:val="0"/>
          <w:i w:val="0"/>
          <w:sz w:val="20"/>
        </w:rPr>
        <w:t>), for a twelve (</w:t>
      </w:r>
      <w:r>
        <w:rPr>
          <w:rFonts w:ascii="Times New Roman" w:eastAsia="Times New Roman" w:hAnsi="Times New Roman" w:cs="Times New Roman"/>
          <w:b w:val="0"/>
          <w:i w:val="0"/>
          <w:color w:val="000000"/>
          <w:sz w:val="20"/>
          <w:u w:val="none"/>
        </w:rPr>
        <w:t>12</w:t>
      </w:r>
      <w:r>
        <w:rPr>
          <w:rFonts w:ascii="Times New Roman" w:eastAsia="Times New Roman" w:hAnsi="Times New Roman" w:cs="Times New Roman"/>
          <w:b w:val="0"/>
          <w:i w:val="0"/>
          <w:sz w:val="20"/>
        </w:rPr>
        <w:t xml:space="preserve">) month straight-line amortization of equal monthly principal payments. Also on a monthly basis, we must pay an administrative agency fee to MidCap equal to </w:t>
      </w:r>
      <w:r>
        <w:rPr>
          <w:rFonts w:ascii="Times New Roman" w:eastAsia="Times New Roman" w:hAnsi="Times New Roman" w:cs="Times New Roman"/>
          <w:b w:val="0"/>
          <w:i w:val="0"/>
          <w:color w:val="000000"/>
          <w:sz w:val="20"/>
          <w:u w:val="none"/>
        </w:rPr>
        <w:t>0.25%</w:t>
      </w:r>
      <w:r>
        <w:rPr>
          <w:rFonts w:ascii="Times New Roman" w:eastAsia="Times New Roman" w:hAnsi="Times New Roman" w:cs="Times New Roman"/>
          <w:b w:val="0"/>
          <w:i w:val="0"/>
          <w:sz w:val="20"/>
        </w:rPr>
        <w:t xml:space="preserve"> of the average end-of-day principal balance outstanding during the immediately preceding month. At the time of final payment under the loan, we will provide a final payment fee of </w:t>
      </w:r>
      <w:r>
        <w:rPr>
          <w:rFonts w:ascii="Times New Roman" w:eastAsia="Times New Roman" w:hAnsi="Times New Roman" w:cs="Times New Roman"/>
          <w:b w:val="0"/>
          <w:i w:val="0"/>
          <w:color w:val="000000"/>
          <w:sz w:val="20"/>
          <w:u w:val="none"/>
        </w:rPr>
        <w:t>2.00%</w:t>
      </w:r>
      <w:r>
        <w:rPr>
          <w:rFonts w:ascii="Times New Roman" w:eastAsia="Times New Roman" w:hAnsi="Times New Roman" w:cs="Times New Roman"/>
          <w:b w:val="0"/>
          <w:i w:val="0"/>
          <w:sz w:val="20"/>
        </w:rPr>
        <w:t xml:space="preserve"> of the amount advanced thereunder except in the case of a refinance of the loan with MidCap and the Lenders.</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 xml:space="preserve">We are subject to customary events of default as described in the Loan Agreement. In such event, and for so long as it continues, the outstanding loan balance will bear interest at </w:t>
      </w:r>
      <w:r>
        <w:rPr>
          <w:rFonts w:ascii="Times New Roman" w:eastAsia="Times New Roman" w:hAnsi="Times New Roman" w:cs="Times New Roman"/>
          <w:b w:val="0"/>
          <w:i w:val="0"/>
          <w:color w:val="000000"/>
          <w:sz w:val="20"/>
          <w:u w:val="none"/>
        </w:rPr>
        <w:t>2.00%</w:t>
      </w:r>
      <w:r>
        <w:rPr>
          <w:rFonts w:ascii="Times New Roman" w:eastAsia="Times New Roman" w:hAnsi="Times New Roman" w:cs="Times New Roman"/>
          <w:b w:val="0"/>
          <w:i w:val="0"/>
          <w:sz w:val="20"/>
        </w:rPr>
        <w:t xml:space="preserve"> per annum in excess of the rate otherwise payable. The Loan Agreement is collateralized by substantially all of our assets except for all client funds balances and an amount of cash intended solely to cover employee wages, benefits, and taxes for a limited period. Under the Loan Agreement, we covenant to maintain a (1) Total Leverage Ratio (as defined in the Loan Agreement), as tested quarterly, no greater than </w:t>
      </w:r>
      <w:r>
        <w:rPr>
          <w:rFonts w:ascii="Times New Roman" w:eastAsia="Times New Roman" w:hAnsi="Times New Roman" w:cs="Times New Roman"/>
          <w:b w:val="0"/>
          <w:i w:val="0"/>
          <w:color w:val="000000"/>
          <w:sz w:val="20"/>
          <w:u w:val="none"/>
        </w:rPr>
        <w:t>5.50</w:t>
      </w:r>
      <w:r>
        <w:rPr>
          <w:rFonts w:ascii="Times New Roman" w:eastAsia="Times New Roman" w:hAnsi="Times New Roman" w:cs="Times New Roman"/>
          <w:b w:val="0"/>
          <w:i w:val="0"/>
          <w:sz w:val="20"/>
        </w:rPr>
        <w:t xml:space="preserve"> to 1.00, and (2) minimum liquidity threshold of </w:t>
      </w:r>
      <w:r>
        <w:rPr>
          <w:rFonts w:ascii="Times New Roman" w:eastAsia="Times New Roman" w:hAnsi="Times New Roman" w:cs="Times New Roman"/>
          <w:b w:val="0"/>
          <w:i w:val="0"/>
          <w:color w:val="000000"/>
          <w:sz w:val="20"/>
          <w:u w:val="none"/>
        </w:rPr>
        <w:t>$10,000</w:t>
      </w:r>
      <w:r>
        <w:rPr>
          <w:rFonts w:ascii="Times New Roman" w:eastAsia="Times New Roman" w:hAnsi="Times New Roman" w:cs="Times New Roman"/>
          <w:b w:val="0"/>
          <w:i w:val="0"/>
          <w:sz w:val="20"/>
        </w:rPr>
        <w:t xml:space="preserve">. As of </w:t>
      </w:r>
      <w:r>
        <w:rPr>
          <w:rFonts w:ascii="Times New Roman" w:eastAsia="Times New Roman" w:hAnsi="Times New Roman" w:cs="Times New Roman"/>
          <w:b w:val="0"/>
          <w:i w:val="0"/>
          <w:color w:val="000000"/>
          <w:sz w:val="20"/>
          <w:highlight w:val="white"/>
          <w:u w:val="none"/>
        </w:rPr>
        <w:t>March 31, 2026</w:t>
      </w:r>
      <w:r>
        <w:rPr>
          <w:rFonts w:ascii="Times New Roman" w:eastAsia="Times New Roman" w:hAnsi="Times New Roman" w:cs="Times New Roman"/>
          <w:b w:val="0"/>
          <w:i w:val="0"/>
          <w:sz w:val="20"/>
        </w:rPr>
        <w:t xml:space="preserve">, we are in compliance with all covenants under the Loan Agreement. </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color w:val="000000"/>
          <w:sz w:val="20"/>
          <w:highlight w:val="white"/>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 xml:space="preserve">In connection with the Loan Agreement and subsequent draw, we incurred </w:t>
      </w:r>
      <w:r>
        <w:rPr>
          <w:rFonts w:ascii="Times New Roman" w:eastAsia="Times New Roman" w:hAnsi="Times New Roman" w:cs="Times New Roman"/>
          <w:b w:val="0"/>
          <w:i w:val="0"/>
          <w:color w:val="000000"/>
          <w:sz w:val="20"/>
          <w:u w:val="none"/>
        </w:rPr>
        <w:t>$2,025</w:t>
      </w:r>
      <w:r>
        <w:rPr>
          <w:rFonts w:ascii="Times New Roman" w:eastAsia="Times New Roman" w:hAnsi="Times New Roman" w:cs="Times New Roman"/>
          <w:b w:val="0"/>
          <w:i w:val="0"/>
          <w:sz w:val="20"/>
        </w:rPr>
        <w:t xml:space="preserve"> of origination, legal, and other fees that represent debt financing costs to be deferred and amortized over the duration of the Loan Agreement. As a result, net proceeds of all borrowings under the Loan Agreement were </w:t>
      </w:r>
      <w:r>
        <w:rPr>
          <w:rFonts w:ascii="Times New Roman" w:eastAsia="Times New Roman" w:hAnsi="Times New Roman" w:cs="Times New Roman"/>
          <w:b w:val="0"/>
          <w:i w:val="0"/>
          <w:color w:val="000000"/>
          <w:sz w:val="20"/>
          <w:u w:val="none"/>
        </w:rPr>
        <w:t>$57,975</w:t>
      </w:r>
      <w:r>
        <w:rPr>
          <w:rFonts w:ascii="Times New Roman" w:eastAsia="Times New Roman" w:hAnsi="Times New Roman" w:cs="Times New Roman"/>
          <w:b w:val="0"/>
          <w:i w:val="0"/>
          <w:sz w:val="20"/>
        </w:rPr>
        <w:t>.</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single"/>
        </w:rPr>
      </w:pPr>
      <w:r>
        <w:rPr>
          <w:rFonts w:ascii="Times New Roman" w:eastAsia="Times New Roman" w:hAnsi="Times New Roman" w:cs="Times New Roman"/>
          <w:b w:val="0"/>
          <w:i w:val="0"/>
          <w:color w:val="000000"/>
          <w:sz w:val="20"/>
          <w:u w:val="single"/>
        </w:rPr>
        <w:t>Sources of Liquidity</w:t>
      </w:r>
      <w:r>
        <w:rPr>
          <w:rFonts w:ascii="Times New Roman" w:eastAsia="Times New Roman" w:hAnsi="Times New Roman" w:cs="Times New Roman"/>
          <w:b w:val="0"/>
          <w:i w:val="0"/>
          <w:sz w:val="20"/>
        </w:rPr>
        <w:t xml:space="preserve">. As of </w:t>
      </w:r>
      <w:r>
        <w:rPr>
          <w:rFonts w:ascii="Times New Roman" w:eastAsia="Times New Roman" w:hAnsi="Times New Roman" w:cs="Times New Roman"/>
          <w:b w:val="0"/>
          <w:i w:val="0"/>
          <w:color w:val="000000"/>
          <w:sz w:val="20"/>
          <w:u w:val="none"/>
        </w:rPr>
        <w:t>March 31, 2026</w:t>
      </w:r>
      <w:r>
        <w:rPr>
          <w:rFonts w:ascii="Times New Roman" w:eastAsia="Times New Roman" w:hAnsi="Times New Roman" w:cs="Times New Roman"/>
          <w:b w:val="0"/>
          <w:i w:val="0"/>
          <w:sz w:val="20"/>
        </w:rPr>
        <w:t xml:space="preserve">, our principal sources of liquidity consisted of approximately </w:t>
      </w:r>
      <w:r>
        <w:rPr>
          <w:rFonts w:ascii="Times New Roman" w:eastAsia="Times New Roman" w:hAnsi="Times New Roman" w:cs="Times New Roman"/>
          <w:b w:val="0"/>
          <w:i w:val="0"/>
          <w:color w:val="000000"/>
          <w:sz w:val="20"/>
          <w:u w:val="none"/>
        </w:rPr>
        <w:t>$19,221</w:t>
      </w:r>
      <w:r>
        <w:rPr>
          <w:rFonts w:ascii="Times New Roman" w:eastAsia="Times New Roman" w:hAnsi="Times New Roman" w:cs="Times New Roman"/>
          <w:b w:val="0"/>
          <w:i w:val="0"/>
          <w:sz w:val="20"/>
        </w:rPr>
        <w:t xml:space="preserve"> of cash and cash equivalents and cash generated from operations of our business over the next twelve months. Additionally, we have access to an “at the market offering” program entered in October 31, 2024, under which we may offer and sell up to $25,000 of newly issued common stock. As of </w:t>
      </w:r>
      <w:r>
        <w:rPr>
          <w:rFonts w:ascii="Times New Roman" w:eastAsia="Times New Roman" w:hAnsi="Times New Roman" w:cs="Times New Roman"/>
          <w:b w:val="0"/>
          <w:i w:val="0"/>
          <w:color w:val="000000"/>
          <w:sz w:val="20"/>
          <w:u w:val="none"/>
        </w:rPr>
        <w:t>March 31, 2026</w:t>
      </w:r>
      <w:r>
        <w:rPr>
          <w:rFonts w:ascii="Times New Roman" w:eastAsia="Times New Roman" w:hAnsi="Times New Roman" w:cs="Times New Roman"/>
          <w:b w:val="0"/>
          <w:i w:val="0"/>
          <w:sz w:val="20"/>
        </w:rPr>
        <w:t>, there are $25,000 of shares of common stock available for issuance under the program.</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We cannot ensure that we can grow our cash balances or limit our cash consumption and thus maintain sufficient cash balances for our planned operations or future acquisitions; however, we do believe that we have sufficient liquidity to support our business operations for at least the next twelve months. Future business demands may lead to cash utilization at levels greater than recently experienced or expected. We may need to raise additional capital in the future in order to grow our existing software operations and to seek additional strategic acquisitions in the near future. Further, we cannot ensure that we will be able to raise additional capital on acceptable terms, or at all, or at the time we need it.</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18"/>
        </w:rPr>
        <w:sectPr>
          <w:type w:val="continuous"/>
          <w:pgSz w:w="12240" w:h="15840"/>
          <w:pgMar w:top="855" w:right="990" w:bottom="855" w:left="990" w:header="270" w:footer="270"/>
          <w:cols w:space="708"/>
        </w:sectPr>
      </w:pP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sz w:val="20"/>
        </w:rPr>
      </w:pPr>
      <w:bookmarkStart w:id="25" w:name="Section26"/>
      <w:bookmarkEnd w:id="25"/>
    </w:p>
    <w:p>
      <w:pPr>
        <w:keepNext/>
        <w:keepLines/>
        <w:pageBreakBefore w:val="0"/>
        <w:widowControl w:val="0"/>
        <w:numPr>
          <w:ilvl w:val="0"/>
          <w:numId w:val="0"/>
        </w:numPr>
        <w:spacing w:before="0" w:after="0" w:line="288" w:lineRule="auto"/>
        <w:ind w:left="0" w:right="0" w:firstLine="0"/>
        <w:jc w:val="both"/>
        <w:outlineLvl w:val="2"/>
        <w:rPr>
          <w:rFonts w:ascii="Times New Roman" w:eastAsia="Times New Roman" w:hAnsi="Times New Roman" w:cs="Times New Roman"/>
          <w:b/>
          <w:i w:val="0"/>
          <w:sz w:val="20"/>
        </w:rPr>
      </w:pPr>
      <w:r>
        <w:rPr>
          <w:rFonts w:ascii="Times New Roman" w:eastAsia="Times New Roman" w:hAnsi="Times New Roman" w:cs="Times New Roman"/>
          <w:b/>
          <w:i w:val="0"/>
          <w:sz w:val="20"/>
        </w:rPr>
        <w:t>CRITICAL ACCOUNTING POLICIES AND ESTIMATES</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 xml:space="preserve">The preparation of the Condensed Consolidated Financial Statements in conformity with U.S. generally accepted accounting principles requires management to make estimates and assumptions that affect the reported amounts of the assets and liabilities at the date of the financial statements and the reported amounts of revenues and expenses during the reporting period. These estimates are subjective in nature and involve judgments that affect the amounts reported. The Condensed Consolidated Financial Statements and the Notes to the Condensed Consolidated Financial Statements in Item 1 of this Form 10-Q, and the Notes to the Consolidated Financial Statements in Part II, Item 8 of our Annual Report on Form 10-K for the year ended </w:t>
      </w:r>
      <w:r>
        <w:rPr>
          <w:rFonts w:ascii="Times New Roman" w:eastAsia="Times New Roman" w:hAnsi="Times New Roman" w:cs="Times New Roman"/>
          <w:b w:val="0"/>
          <w:i w:val="0"/>
          <w:color w:val="000000"/>
          <w:sz w:val="20"/>
          <w:u w:val="none"/>
        </w:rPr>
        <w:t>December 31, 2025</w:t>
      </w:r>
      <w:r>
        <w:rPr>
          <w:rFonts w:ascii="Times New Roman" w:eastAsia="Times New Roman" w:hAnsi="Times New Roman" w:cs="Times New Roman"/>
          <w:b w:val="0"/>
          <w:i w:val="0"/>
          <w:sz w:val="20"/>
        </w:rPr>
        <w:t xml:space="preserve">, describe the significant accounting policies and methods used in the preparation of our consolidated financial statements. There have been no material changes to our critical accounting estimates included in our Annual Report on Form 10-K for the year ended </w:t>
      </w:r>
      <w:r>
        <w:rPr>
          <w:rFonts w:ascii="Times New Roman" w:eastAsia="Times New Roman" w:hAnsi="Times New Roman" w:cs="Times New Roman"/>
          <w:b w:val="0"/>
          <w:i w:val="0"/>
          <w:color w:val="000000"/>
          <w:sz w:val="20"/>
          <w:u w:val="none"/>
        </w:rPr>
        <w:t>December 31, 2025</w:t>
      </w:r>
      <w:r>
        <w:rPr>
          <w:rFonts w:ascii="Times New Roman" w:eastAsia="Times New Roman" w:hAnsi="Times New Roman" w:cs="Times New Roman"/>
          <w:b w:val="0"/>
          <w:i w:val="0"/>
          <w:sz w:val="20"/>
        </w:rPr>
        <w:t>.</w:t>
      </w:r>
    </w:p>
    <w:p>
      <w:pPr>
        <w:keepNext w:val="0"/>
        <w:keepLines/>
        <w:pageBreakBefore w:val="0"/>
        <w:widowControl w:val="0"/>
        <w:numPr>
          <w:ilvl w:val="0"/>
          <w:numId w:val="0"/>
        </w:numPr>
        <w:spacing w:before="0" w:after="0" w:line="288" w:lineRule="auto"/>
        <w:ind w:left="0" w:right="0" w:firstLine="720"/>
        <w:jc w:val="both"/>
        <w:outlineLvl w:val="9"/>
        <w:sectPr>
          <w:type w:val="continuous"/>
          <w:pgSz w:w="12240" w:h="15840"/>
          <w:pgMar w:top="855" w:right="990" w:bottom="855" w:left="990" w:header="270" w:footer="270"/>
          <w:cols w:space="708"/>
        </w:sectPr>
      </w:pPr>
    </w:p>
    <w:p>
      <w:pPr>
        <w:keepNext/>
        <w:keepLines/>
        <w:pageBreakBefore w:val="0"/>
        <w:widowControl w:val="0"/>
        <w:numPr>
          <w:ilvl w:val="0"/>
          <w:numId w:val="0"/>
        </w:numPr>
        <w:spacing w:before="0" w:after="0" w:line="288" w:lineRule="auto"/>
        <w:ind w:left="0" w:right="0" w:firstLine="0"/>
        <w:jc w:val="both"/>
        <w:outlineLvl w:val="1"/>
        <w:rPr>
          <w:rFonts w:ascii="Times New Roman" w:eastAsia="Times New Roman" w:hAnsi="Times New Roman" w:cs="Times New Roman"/>
          <w:b/>
          <w:i w:val="0"/>
          <w:sz w:val="20"/>
        </w:rPr>
      </w:pPr>
      <w:bookmarkStart w:id="26" w:name="Section27"/>
      <w:bookmarkEnd w:id="26"/>
      <w:r>
        <w:rPr>
          <w:rFonts w:ascii="Times New Roman" w:eastAsia="Times New Roman" w:hAnsi="Times New Roman" w:cs="Times New Roman"/>
          <w:b/>
          <w:i w:val="0"/>
          <w:sz w:val="20"/>
        </w:rPr>
        <w:t>ITEM 3. QUANTITATIVE AND QUALITATIVE DISCLOSURES ABOUT MARKET RISK</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sz w:val="20"/>
        </w:rPr>
      </w:pP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 xml:space="preserve">There have been no material changes to our exposure from market risks from those disclosed in our </w:t>
      </w:r>
      <w:r>
        <w:rPr>
          <w:rFonts w:ascii="Times New Roman" w:eastAsia="Times New Roman" w:hAnsi="Times New Roman" w:cs="Times New Roman"/>
          <w:b w:val="0"/>
          <w:i w:val="0"/>
          <w:color w:val="000000"/>
          <w:sz w:val="20"/>
          <w:u w:val="none"/>
        </w:rPr>
        <w:t>2025</w:t>
      </w:r>
      <w:r>
        <w:rPr>
          <w:rFonts w:ascii="Times New Roman" w:eastAsia="Times New Roman" w:hAnsi="Times New Roman" w:cs="Times New Roman"/>
          <w:b w:val="0"/>
          <w:i w:val="0"/>
          <w:sz w:val="20"/>
        </w:rPr>
        <w:t xml:space="preserve"> Annual Report on Form 10-K.</w:t>
      </w:r>
    </w:p>
    <w:p>
      <w:pPr>
        <w:keepNext/>
        <w:keepLines/>
        <w:pageBreakBefore w:val="0"/>
        <w:widowControl w:val="0"/>
        <w:numPr>
          <w:ilvl w:val="0"/>
          <w:numId w:val="0"/>
        </w:numPr>
        <w:spacing w:before="0" w:after="0" w:line="288" w:lineRule="auto"/>
        <w:ind w:left="0" w:right="0" w:firstLine="720"/>
        <w:jc w:val="both"/>
        <w:outlineLvl w:val="9"/>
        <w:sectPr>
          <w:pgSz w:w="12240" w:h="15840"/>
          <w:pgMar w:top="855" w:right="990" w:bottom="855" w:left="990" w:header="270" w:footer="270"/>
          <w:cols w:space="708"/>
        </w:sect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sz w:val="20"/>
        </w:rPr>
      </w:pPr>
      <w:bookmarkStart w:id="27" w:name="Section28"/>
      <w:bookmarkEnd w:id="27"/>
    </w:p>
    <w:p>
      <w:pPr>
        <w:keepNext/>
        <w:keepLines/>
        <w:pageBreakBefore w:val="0"/>
        <w:widowControl w:val="0"/>
        <w:numPr>
          <w:ilvl w:val="0"/>
          <w:numId w:val="0"/>
        </w:numPr>
        <w:spacing w:before="0" w:after="0" w:line="288" w:lineRule="auto"/>
        <w:ind w:left="0" w:right="0" w:firstLine="0"/>
        <w:jc w:val="both"/>
        <w:outlineLvl w:val="1"/>
        <w:rPr>
          <w:rFonts w:ascii="Times New Roman" w:eastAsia="Times New Roman" w:hAnsi="Times New Roman" w:cs="Times New Roman"/>
          <w:b/>
          <w:i w:val="0"/>
          <w:sz w:val="20"/>
        </w:rPr>
      </w:pPr>
      <w:r>
        <w:rPr>
          <w:rFonts w:ascii="Times New Roman" w:eastAsia="Times New Roman" w:hAnsi="Times New Roman" w:cs="Times New Roman"/>
          <w:b/>
          <w:i w:val="0"/>
          <w:sz w:val="20"/>
        </w:rPr>
        <w:t>ITEM 4. CONTROLS AND PROCEDURES</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sz w:val="20"/>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i w:val="0"/>
          <w:sz w:val="20"/>
        </w:rPr>
        <w:t>Evaluation of Disclosure Control and Procedures</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single"/>
        </w:rPr>
      </w:pPr>
      <w:r>
        <w:rPr>
          <w:rFonts w:ascii="Times New Roman" w:eastAsia="Times New Roman" w:hAnsi="Times New Roman" w:cs="Times New Roman"/>
          <w:b w:val="0"/>
          <w:i w:val="0"/>
          <w:sz w:val="20"/>
        </w:rPr>
        <w:t xml:space="preserve">The Company maintains disclosure controls and procedures as defined in Rules 13a-15(e) and 15d-15(e) under the Exchange Act that are designed to ensure that information required to be disclosed in the reports filed or submitted by Asure to the SEC is recorded, processed, summarized, and reported, within the time periods specified by the SEC’s rules and forms, and is accumulated and communicated to management including the Chief Executive Officer and Chief Financial Officer, as appropriate, to allow timely decisions regarding required disclosure. The Company’s management, including the Chief Executive Officer and Chief Financial Officer, performed an evaluation to conclude with reasonable assurance that Asure’s disclosure controls and procedures were designed and operating effectively to report the information each company is required to disclose in the reports they file with the SEC on a timely basis. Based on that evaluation, the Chief Executive Officer and the Chief Financial Officer of Asure have concluded that as of </w:t>
      </w:r>
      <w:r>
        <w:rPr>
          <w:rFonts w:ascii="Times New Roman" w:eastAsia="Times New Roman" w:hAnsi="Times New Roman" w:cs="Times New Roman"/>
          <w:b w:val="0"/>
          <w:i w:val="0"/>
          <w:color w:val="000000"/>
          <w:sz w:val="20"/>
          <w:u w:val="none"/>
        </w:rPr>
        <w:t>March 31, 2026</w:t>
      </w:r>
      <w:r>
        <w:rPr>
          <w:rFonts w:ascii="Times New Roman" w:eastAsia="Times New Roman" w:hAnsi="Times New Roman" w:cs="Times New Roman"/>
          <w:b w:val="0"/>
          <w:i w:val="0"/>
          <w:sz w:val="20"/>
        </w:rPr>
        <w:t>, disclosure controls and procedures were effective.</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sz w:val="20"/>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sz w:val="20"/>
        </w:rPr>
      </w:pPr>
      <w:r>
        <w:rPr>
          <w:rFonts w:ascii="Times New Roman" w:eastAsia="Times New Roman" w:hAnsi="Times New Roman" w:cs="Times New Roman"/>
          <w:b/>
          <w:i w:val="0"/>
          <w:sz w:val="20"/>
        </w:rPr>
        <w:t>Change in Internal Controls over Financial Reporting</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single"/>
        </w:rPr>
      </w:pPr>
      <w:r>
        <w:rPr>
          <w:rFonts w:ascii="Times New Roman" w:eastAsia="Times New Roman" w:hAnsi="Times New Roman" w:cs="Times New Roman"/>
          <w:b w:val="0"/>
          <w:i w:val="0"/>
          <w:sz w:val="20"/>
        </w:rPr>
        <w:t xml:space="preserve">There were no changes in our internal control over financial reporting (as defined in Rules 13a-15(f) or 15d-15(f) of the Exchange Act) that occurred during the period ended </w:t>
      </w:r>
      <w:r>
        <w:rPr>
          <w:rFonts w:ascii="Times New Roman" w:eastAsia="Times New Roman" w:hAnsi="Times New Roman" w:cs="Times New Roman"/>
          <w:b w:val="0"/>
          <w:i w:val="0"/>
          <w:color w:val="000000"/>
          <w:sz w:val="20"/>
          <w:u w:val="none"/>
        </w:rPr>
        <w:t>March 31, 2026</w:t>
      </w:r>
      <w:r>
        <w:rPr>
          <w:rFonts w:ascii="Times New Roman" w:eastAsia="Times New Roman" w:hAnsi="Times New Roman" w:cs="Times New Roman"/>
          <w:b w:val="0"/>
          <w:i w:val="0"/>
          <w:sz w:val="20"/>
        </w:rPr>
        <w:t>, that have materially affected, or are reasonably likely to materially affect, our internal control over financial reporting.</w:t>
      </w:r>
    </w:p>
    <w:p>
      <w:pPr>
        <w:keepNext w:val="0"/>
        <w:keepLines/>
        <w:pageBreakBefore w:val="0"/>
        <w:widowControl w:val="0"/>
        <w:numPr>
          <w:ilvl w:val="0"/>
          <w:numId w:val="0"/>
        </w:numPr>
        <w:spacing w:before="0" w:after="0" w:line="288" w:lineRule="auto"/>
        <w:ind w:left="0" w:right="0" w:firstLine="720"/>
        <w:jc w:val="both"/>
        <w:outlineLvl w:val="9"/>
        <w:sectPr>
          <w:type w:val="continuous"/>
          <w:pgSz w:w="12240" w:h="15840"/>
          <w:pgMar w:top="855" w:right="990" w:bottom="855" w:left="990" w:header="270" w:footer="270"/>
          <w:cols w:space="708"/>
        </w:sectPr>
      </w:pPr>
    </w:p>
    <w:p>
      <w:pPr>
        <w:keepNext w:val="0"/>
        <w:keepLines/>
        <w:pageBreakBefore w:val="0"/>
        <w:widowControl w:val="0"/>
        <w:numPr>
          <w:ilvl w:val="0"/>
          <w:numId w:val="0"/>
        </w:numPr>
        <w:spacing w:before="0" w:after="0" w:line="288" w:lineRule="auto"/>
        <w:ind w:left="0" w:right="0" w:firstLine="855"/>
        <w:jc w:val="center"/>
        <w:outlineLvl w:val="0"/>
        <w:rPr>
          <w:rFonts w:ascii="Times New Roman" w:eastAsia="Times New Roman" w:hAnsi="Times New Roman" w:cs="Times New Roman"/>
          <w:b/>
          <w:i w:val="0"/>
          <w:sz w:val="20"/>
        </w:rPr>
      </w:pPr>
      <w:bookmarkStart w:id="28" w:name="Section29"/>
      <w:bookmarkEnd w:id="28"/>
      <w:r>
        <w:rPr>
          <w:rFonts w:ascii="Times New Roman" w:eastAsia="Times New Roman" w:hAnsi="Times New Roman" w:cs="Times New Roman"/>
          <w:b/>
          <w:i w:val="0"/>
          <w:sz w:val="20"/>
        </w:rPr>
        <w:t>PART II – OTHER INFORMATION</w:t>
      </w:r>
    </w:p>
    <w:p>
      <w:pPr>
        <w:keepNext w:val="0"/>
        <w:keepLines/>
        <w:pageBreakBefore w:val="0"/>
        <w:widowControl w:val="0"/>
        <w:numPr>
          <w:ilvl w:val="0"/>
          <w:numId w:val="0"/>
        </w:numPr>
        <w:spacing w:before="0" w:after="0" w:line="288" w:lineRule="auto"/>
        <w:ind w:left="0" w:right="0" w:firstLine="855"/>
        <w:jc w:val="center"/>
        <w:outlineLvl w:val="0"/>
        <w:sectPr>
          <w:pgSz w:w="12240" w:h="15840"/>
          <w:pgMar w:top="855" w:right="990" w:bottom="855" w:left="990" w:header="270" w:footer="270"/>
          <w:cols w:space="708"/>
        </w:sectPr>
      </w:pPr>
    </w:p>
    <w:p>
      <w:pPr>
        <w:keepNext/>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i w:val="0"/>
          <w:sz w:val="20"/>
        </w:rPr>
      </w:pPr>
      <w:bookmarkStart w:id="29" w:name="Section30"/>
      <w:bookmarkEnd w:id="29"/>
    </w:p>
    <w:p>
      <w:pPr>
        <w:keepNext/>
        <w:keepLines/>
        <w:pageBreakBefore w:val="0"/>
        <w:widowControl w:val="0"/>
        <w:numPr>
          <w:ilvl w:val="0"/>
          <w:numId w:val="0"/>
        </w:numPr>
        <w:spacing w:before="0" w:after="0" w:line="288" w:lineRule="auto"/>
        <w:ind w:left="0" w:right="0" w:firstLine="0"/>
        <w:jc w:val="left"/>
        <w:outlineLvl w:val="1"/>
        <w:rPr>
          <w:rFonts w:ascii="Times New Roman" w:eastAsia="Times New Roman" w:hAnsi="Times New Roman" w:cs="Times New Roman"/>
          <w:b/>
          <w:i w:val="0"/>
          <w:sz w:val="20"/>
        </w:rPr>
      </w:pPr>
      <w:r>
        <w:rPr>
          <w:rFonts w:ascii="Times New Roman" w:eastAsia="Times New Roman" w:hAnsi="Times New Roman" w:cs="Times New Roman"/>
          <w:b/>
          <w:i w:val="0"/>
          <w:sz w:val="20"/>
        </w:rPr>
        <w:t>ITEM 1. LEGAL PROCEEDINGS</w:t>
      </w:r>
    </w:p>
    <w:p>
      <w:pPr>
        <w:keepNext/>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single"/>
        </w:rPr>
      </w:pPr>
      <w:r>
        <w:rPr>
          <w:rFonts w:ascii="Times New Roman" w:eastAsia="Times New Roman" w:hAnsi="Times New Roman" w:cs="Times New Roman"/>
          <w:b w:val="0"/>
          <w:i w:val="0"/>
          <w:sz w:val="20"/>
        </w:rPr>
        <w:t xml:space="preserve">We have been, and in the future may be, the defendant or plaintiff in various actions arising in the normal course of business. As of </w:t>
      </w:r>
      <w:r>
        <w:rPr>
          <w:rFonts w:ascii="Times New Roman" w:eastAsia="Times New Roman" w:hAnsi="Times New Roman" w:cs="Times New Roman"/>
          <w:b w:val="0"/>
          <w:i w:val="0"/>
          <w:color w:val="000000"/>
          <w:sz w:val="20"/>
          <w:u w:val="none"/>
        </w:rPr>
        <w:t>March 31, 2026</w:t>
      </w:r>
      <w:r>
        <w:rPr>
          <w:rFonts w:ascii="Times New Roman" w:eastAsia="Times New Roman" w:hAnsi="Times New Roman" w:cs="Times New Roman"/>
          <w:b w:val="0"/>
          <w:i w:val="0"/>
          <w:sz w:val="20"/>
        </w:rPr>
        <w:t xml:space="preserve">, we were not party to any material legal proceedings. </w:t>
      </w:r>
    </w:p>
    <w:p>
      <w:pPr>
        <w:keepNext w:val="0"/>
        <w:keepLines/>
        <w:pageBreakBefore w:val="0"/>
        <w:widowControl w:val="0"/>
        <w:numPr>
          <w:ilvl w:val="0"/>
          <w:numId w:val="0"/>
        </w:numPr>
        <w:spacing w:before="0" w:after="0" w:line="288" w:lineRule="auto"/>
        <w:ind w:left="0" w:right="0" w:firstLine="720"/>
        <w:jc w:val="both"/>
        <w:outlineLvl w:val="9"/>
        <w:sectPr>
          <w:type w:val="continuous"/>
          <w:pgSz w:w="12240" w:h="15840"/>
          <w:pgMar w:top="855" w:right="990" w:bottom="855" w:left="990" w:header="270" w:footer="270"/>
          <w:cols w:space="708"/>
        </w:sect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sz w:val="20"/>
        </w:rPr>
      </w:pPr>
      <w:bookmarkStart w:id="30" w:name="Section31"/>
      <w:bookmarkEnd w:id="30"/>
    </w:p>
    <w:p>
      <w:pPr>
        <w:keepNext/>
        <w:keepLines/>
        <w:pageBreakBefore w:val="0"/>
        <w:widowControl w:val="0"/>
        <w:numPr>
          <w:ilvl w:val="0"/>
          <w:numId w:val="0"/>
        </w:numPr>
        <w:spacing w:before="0" w:after="0" w:line="288" w:lineRule="auto"/>
        <w:ind w:left="0" w:right="0" w:firstLine="0"/>
        <w:jc w:val="both"/>
        <w:outlineLvl w:val="1"/>
        <w:rPr>
          <w:rFonts w:ascii="Times New Roman" w:eastAsia="Times New Roman" w:hAnsi="Times New Roman" w:cs="Times New Roman"/>
          <w:b/>
          <w:i w:val="0"/>
          <w:sz w:val="20"/>
        </w:rPr>
      </w:pPr>
      <w:r>
        <w:rPr>
          <w:rFonts w:ascii="Times New Roman" w:eastAsia="Times New Roman" w:hAnsi="Times New Roman" w:cs="Times New Roman"/>
          <w:b/>
          <w:i w:val="0"/>
          <w:sz w:val="20"/>
        </w:rPr>
        <w:t>ITEM 1A. RISK FACTORS</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 xml:space="preserve">There have been no material changes from the risk factors previously disclosed in the Company’s </w:t>
      </w:r>
      <w:r>
        <w:rPr>
          <w:rFonts w:ascii="Times New Roman" w:eastAsia="Times New Roman" w:hAnsi="Times New Roman" w:cs="Times New Roman"/>
          <w:b w:val="0"/>
          <w:i w:val="0"/>
          <w:color w:val="000000"/>
          <w:sz w:val="20"/>
          <w:u w:val="none"/>
        </w:rPr>
        <w:t>2025</w:t>
      </w:r>
      <w:r>
        <w:rPr>
          <w:rFonts w:ascii="Times New Roman" w:eastAsia="Times New Roman" w:hAnsi="Times New Roman" w:cs="Times New Roman"/>
          <w:b w:val="0"/>
          <w:i w:val="0"/>
          <w:sz w:val="20"/>
        </w:rPr>
        <w:t xml:space="preserve"> Annual Report on Form 10-K, filed with the SEC on </w:t>
      </w:r>
      <w:r>
        <w:rPr>
          <w:rFonts w:ascii="Times New Roman" w:eastAsia="Times New Roman" w:hAnsi="Times New Roman" w:cs="Times New Roman"/>
          <w:b w:val="0"/>
          <w:i w:val="0"/>
          <w:color w:val="000000"/>
          <w:sz w:val="20"/>
          <w:u w:val="none"/>
        </w:rPr>
        <w:t>February 26, 2026</w:t>
      </w:r>
      <w:r>
        <w:rPr>
          <w:rFonts w:ascii="Times New Roman" w:eastAsia="Times New Roman" w:hAnsi="Times New Roman" w:cs="Times New Roman"/>
          <w:b w:val="0"/>
          <w:i w:val="0"/>
          <w:sz w:val="20"/>
        </w:rPr>
        <w:t>, and investors are encouraged to review these risk factors prior to making an investment in the Company.</w:t>
      </w:r>
    </w:p>
    <w:p>
      <w:pPr>
        <w:keepNext w:val="0"/>
        <w:keepLines/>
        <w:pageBreakBefore w:val="0"/>
        <w:widowControl w:val="0"/>
        <w:numPr>
          <w:ilvl w:val="0"/>
          <w:numId w:val="0"/>
        </w:numPr>
        <w:spacing w:before="0" w:after="0" w:line="288" w:lineRule="auto"/>
        <w:ind w:left="0" w:right="0" w:firstLine="720"/>
        <w:jc w:val="both"/>
        <w:outlineLvl w:val="9"/>
        <w:sectPr>
          <w:type w:val="continuous"/>
          <w:pgSz w:w="12240" w:h="15840"/>
          <w:pgMar w:top="855" w:right="990" w:bottom="855" w:left="990" w:header="270" w:footer="270"/>
          <w:cols w:space="708"/>
        </w:sectPr>
      </w:pP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highlight w:val="white"/>
          <w:u w:val="none"/>
        </w:rPr>
      </w:pPr>
      <w:bookmarkStart w:id="31" w:name="Section32"/>
      <w:bookmarkEnd w:id="31"/>
    </w:p>
    <w:p>
      <w:pPr>
        <w:keepNext w:val="0"/>
        <w:keepLines/>
        <w:pageBreakBefore w:val="0"/>
        <w:widowControl w:val="0"/>
        <w:numPr>
          <w:ilvl w:val="0"/>
          <w:numId w:val="0"/>
        </w:numPr>
        <w:spacing w:before="0" w:after="0" w:line="288" w:lineRule="auto"/>
        <w:ind w:left="0" w:right="0" w:firstLine="0"/>
        <w:jc w:val="both"/>
        <w:outlineLvl w:val="1"/>
        <w:rPr>
          <w:rFonts w:ascii="Times New Roman" w:eastAsia="Times New Roman" w:hAnsi="Times New Roman" w:cs="Times New Roman"/>
          <w:b/>
          <w:i w:val="0"/>
          <w:color w:val="000000"/>
          <w:sz w:val="20"/>
          <w:highlight w:val="white"/>
          <w:u w:val="none"/>
        </w:rPr>
      </w:pPr>
      <w:r>
        <w:rPr>
          <w:rFonts w:ascii="Times New Roman" w:eastAsia="Times New Roman" w:hAnsi="Times New Roman" w:cs="Times New Roman"/>
          <w:b/>
          <w:i w:val="0"/>
          <w:color w:val="000000"/>
          <w:sz w:val="20"/>
          <w:highlight w:val="white"/>
          <w:u w:val="none"/>
        </w:rPr>
        <w:t>ITEM 2. UNREGISTERED SALES OF EQUITY SECURITIES AND USE OF PROCEEDS</w:t>
      </w: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i w:val="0"/>
          <w:color w:val="000000"/>
          <w:sz w:val="20"/>
          <w:highlight w:val="white"/>
          <w:u w:val="none"/>
        </w:rPr>
      </w:pP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highlight w:val="white"/>
          <w:u w:val="none"/>
        </w:rPr>
      </w:pPr>
      <w:r>
        <w:rPr>
          <w:rFonts w:ascii="Times New Roman" w:eastAsia="Times New Roman" w:hAnsi="Times New Roman" w:cs="Times New Roman"/>
          <w:b w:val="0"/>
          <w:i w:val="0"/>
          <w:color w:val="000000"/>
          <w:sz w:val="20"/>
          <w:highlight w:val="white"/>
          <w:u w:val="none"/>
        </w:rPr>
        <w:t>On February 1, 2026, we issued 49 shares of our common stock to a reseller partner from whom we acquired certain assets. These shares were part of the purchase price consideration in connection with such purchase. The shares were valued at $9.49 per share, or an aggregate of $463. The issuance and sale of the shares of our common stock in connection with this settlement are exempt from the registration requirements of the Securities Act of 1933 pursuant to Section 4(a)(2) thereof and Rule 506(b) of Regulation D thereunder.</w:t>
      </w:r>
    </w:p>
    <w:p>
      <w:pPr>
        <w:keepNext/>
        <w:keepLines/>
        <w:pageBreakBefore w:val="0"/>
        <w:widowControl w:val="0"/>
        <w:numPr>
          <w:ilvl w:val="0"/>
          <w:numId w:val="0"/>
        </w:numPr>
        <w:spacing w:before="0" w:after="0" w:line="288" w:lineRule="auto"/>
        <w:ind w:left="0" w:right="0" w:firstLine="720"/>
        <w:jc w:val="both"/>
        <w:outlineLvl w:val="9"/>
        <w:sectPr>
          <w:type w:val="continuous"/>
          <w:pgSz w:w="12240" w:h="15840"/>
          <w:pgMar w:top="855" w:right="990" w:bottom="855" w:left="990" w:header="270" w:footer="270"/>
          <w:cols w:space="708"/>
        </w:sect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sz w:val="20"/>
        </w:rPr>
      </w:pPr>
      <w:bookmarkStart w:id="32" w:name="Section33"/>
      <w:bookmarkEnd w:id="32"/>
    </w:p>
    <w:p>
      <w:pPr>
        <w:keepNext/>
        <w:keepLines/>
        <w:pageBreakBefore w:val="0"/>
        <w:widowControl w:val="0"/>
        <w:numPr>
          <w:ilvl w:val="0"/>
          <w:numId w:val="0"/>
        </w:numPr>
        <w:spacing w:before="0" w:after="0" w:line="288" w:lineRule="auto"/>
        <w:ind w:left="0" w:right="0" w:firstLine="0"/>
        <w:jc w:val="both"/>
        <w:outlineLvl w:val="1"/>
        <w:rPr>
          <w:rFonts w:ascii="Times New Roman" w:eastAsia="Times New Roman" w:hAnsi="Times New Roman" w:cs="Times New Roman"/>
          <w:b/>
          <w:i w:val="0"/>
          <w:sz w:val="20"/>
        </w:rPr>
      </w:pPr>
      <w:r>
        <w:rPr>
          <w:rFonts w:ascii="Times New Roman" w:eastAsia="Times New Roman" w:hAnsi="Times New Roman" w:cs="Times New Roman"/>
          <w:b/>
          <w:i w:val="0"/>
          <w:sz w:val="20"/>
        </w:rPr>
        <w:t>ITEM 3. DEFAULTS UPON SENIOR SECURITIES</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None.</w:t>
      </w:r>
    </w:p>
    <w:p>
      <w:pPr>
        <w:keepNext w:val="0"/>
        <w:keepLines/>
        <w:pageBreakBefore w:val="0"/>
        <w:widowControl w:val="0"/>
        <w:numPr>
          <w:ilvl w:val="0"/>
          <w:numId w:val="0"/>
        </w:numPr>
        <w:spacing w:before="0" w:after="0" w:line="288" w:lineRule="auto"/>
        <w:ind w:left="0" w:right="0" w:firstLine="720"/>
        <w:jc w:val="both"/>
        <w:outlineLvl w:val="9"/>
        <w:sectPr>
          <w:type w:val="continuous"/>
          <w:pgSz w:w="12240" w:h="15840"/>
          <w:pgMar w:top="855" w:right="990" w:bottom="855" w:left="990" w:header="270" w:footer="270"/>
          <w:cols w:space="708"/>
        </w:sect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sz w:val="20"/>
        </w:rPr>
      </w:pPr>
      <w:bookmarkStart w:id="33" w:name="Section34"/>
      <w:bookmarkEnd w:id="33"/>
    </w:p>
    <w:p>
      <w:pPr>
        <w:keepNext/>
        <w:keepLines/>
        <w:pageBreakBefore w:val="0"/>
        <w:widowControl w:val="0"/>
        <w:numPr>
          <w:ilvl w:val="0"/>
          <w:numId w:val="0"/>
        </w:numPr>
        <w:spacing w:before="0" w:after="0" w:line="288" w:lineRule="auto"/>
        <w:ind w:left="0" w:right="0" w:firstLine="0"/>
        <w:jc w:val="both"/>
        <w:outlineLvl w:val="1"/>
        <w:rPr>
          <w:rFonts w:ascii="Times New Roman" w:eastAsia="Times New Roman" w:hAnsi="Times New Roman" w:cs="Times New Roman"/>
          <w:b/>
          <w:i w:val="0"/>
          <w:sz w:val="20"/>
        </w:rPr>
      </w:pPr>
      <w:r>
        <w:rPr>
          <w:rFonts w:ascii="Times New Roman" w:eastAsia="Times New Roman" w:hAnsi="Times New Roman" w:cs="Times New Roman"/>
          <w:b/>
          <w:i w:val="0"/>
          <w:sz w:val="20"/>
        </w:rPr>
        <w:t>ITEM 4. MINE SAFETY DISCLOSURES</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None.</w:t>
      </w:r>
    </w:p>
    <w:p>
      <w:pPr>
        <w:keepNext w:val="0"/>
        <w:keepLines/>
        <w:pageBreakBefore w:val="0"/>
        <w:widowControl w:val="0"/>
        <w:numPr>
          <w:ilvl w:val="0"/>
          <w:numId w:val="0"/>
        </w:numPr>
        <w:spacing w:before="0" w:after="0" w:line="288" w:lineRule="auto"/>
        <w:ind w:left="0" w:right="0" w:firstLine="720"/>
        <w:jc w:val="both"/>
        <w:outlineLvl w:val="9"/>
        <w:sectPr>
          <w:type w:val="continuous"/>
          <w:pgSz w:w="12240" w:h="15840"/>
          <w:pgMar w:top="855" w:right="990" w:bottom="855" w:left="990" w:header="270" w:footer="270"/>
          <w:cols w:space="708"/>
        </w:sect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sz w:val="20"/>
        </w:rPr>
      </w:pPr>
      <w:bookmarkStart w:id="34" w:name="Section35"/>
      <w:bookmarkEnd w:id="34"/>
    </w:p>
    <w:p>
      <w:pPr>
        <w:keepNext/>
        <w:keepLines/>
        <w:pageBreakBefore w:val="0"/>
        <w:widowControl w:val="0"/>
        <w:numPr>
          <w:ilvl w:val="0"/>
          <w:numId w:val="0"/>
        </w:numPr>
        <w:spacing w:before="0" w:after="0" w:line="288" w:lineRule="auto"/>
        <w:ind w:left="0" w:right="0" w:firstLine="0"/>
        <w:jc w:val="both"/>
        <w:outlineLvl w:val="1"/>
        <w:rPr>
          <w:rFonts w:ascii="Times New Roman" w:eastAsia="Times New Roman" w:hAnsi="Times New Roman" w:cs="Times New Roman"/>
          <w:b/>
          <w:i w:val="0"/>
          <w:sz w:val="20"/>
        </w:rPr>
      </w:pPr>
      <w:r>
        <w:rPr>
          <w:rFonts w:ascii="Times New Roman" w:eastAsia="Times New Roman" w:hAnsi="Times New Roman" w:cs="Times New Roman"/>
          <w:b/>
          <w:i w:val="0"/>
          <w:sz w:val="20"/>
        </w:rPr>
        <w:t>ITEM 5. OTHER INFORMATION</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sz w:val="20"/>
        </w:rPr>
      </w:pP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color w:val="000000"/>
          <w:sz w:val="20"/>
          <w:u w:val="none"/>
        </w:rPr>
        <w:t xml:space="preserve">During the three months ended </w:t>
      </w:r>
      <w:r>
        <w:rPr>
          <w:rFonts w:ascii="Times New Roman" w:eastAsia="Times New Roman" w:hAnsi="Times New Roman" w:cs="Times New Roman"/>
          <w:b w:val="0"/>
          <w:i w:val="0"/>
          <w:color w:val="000000"/>
          <w:sz w:val="20"/>
          <w:u w:val="none"/>
        </w:rPr>
        <w:t>March 31, 2026</w:t>
      </w:r>
      <w:r>
        <w:rPr>
          <w:rFonts w:ascii="Times New Roman" w:eastAsia="Times New Roman" w:hAnsi="Times New Roman" w:cs="Times New Roman"/>
          <w:b w:val="0"/>
          <w:i w:val="0"/>
          <w:color w:val="000000"/>
          <w:sz w:val="20"/>
          <w:u w:val="none"/>
        </w:rPr>
        <w:t>, none of our directors or officers have entered into, amended or</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terminated a 10b5-1 trading plan.</w:t>
      </w:r>
    </w:p>
    <w:p>
      <w:pPr>
        <w:keepNext w:val="0"/>
        <w:keepLines/>
        <w:pageBreakBefore w:val="0"/>
        <w:widowControl w:val="0"/>
        <w:numPr>
          <w:ilvl w:val="0"/>
          <w:numId w:val="0"/>
        </w:numPr>
        <w:spacing w:before="0" w:after="0" w:line="288" w:lineRule="auto"/>
        <w:ind w:left="0" w:right="0" w:firstLine="0"/>
        <w:jc w:val="both"/>
        <w:outlineLvl w:val="9"/>
        <w:sectPr>
          <w:type w:val="continuous"/>
          <w:pgSz w:w="12240" w:h="15840"/>
          <w:pgMar w:top="855" w:right="990" w:bottom="855" w:left="990" w:header="270" w:footer="270"/>
          <w:cols w:space="708"/>
        </w:sectPr>
      </w:pPr>
    </w:p>
    <w:p>
      <w:pPr>
        <w:keepNext/>
        <w:keepLines/>
        <w:pageBreakBefore w:val="0"/>
        <w:widowControl w:val="0"/>
        <w:numPr>
          <w:ilvl w:val="0"/>
          <w:numId w:val="0"/>
        </w:numPr>
        <w:spacing w:before="0" w:after="0" w:line="288" w:lineRule="auto"/>
        <w:ind w:left="0" w:right="0" w:firstLine="0"/>
        <w:jc w:val="left"/>
        <w:outlineLvl w:val="1"/>
        <w:rPr>
          <w:rFonts w:ascii="Times New Roman" w:eastAsia="Times New Roman" w:hAnsi="Times New Roman" w:cs="Times New Roman"/>
          <w:b/>
          <w:i w:val="0"/>
          <w:sz w:val="20"/>
        </w:rPr>
      </w:pPr>
      <w:bookmarkStart w:id="35" w:name="Section36"/>
      <w:bookmarkEnd w:id="35"/>
      <w:r>
        <w:rPr>
          <w:rFonts w:ascii="Times New Roman" w:eastAsia="Times New Roman" w:hAnsi="Times New Roman" w:cs="Times New Roman"/>
          <w:b/>
          <w:i w:val="0"/>
          <w:sz w:val="20"/>
        </w:rPr>
        <w:t>ITEM 6. EXHIBITS, FINANCIAL STATEMENT SCHEDULES</w:t>
      </w:r>
    </w:p>
    <w:p>
      <w:pPr>
        <w:keepNext/>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i w:val="0"/>
          <w:sz w:val="20"/>
        </w:rPr>
      </w:pPr>
    </w:p>
    <w:p>
      <w:pPr>
        <w:keepNext/>
        <w:keepLines/>
        <w:pageBreakBefore w:val="0"/>
        <w:widowControl w:val="0"/>
        <w:numPr>
          <w:ilvl w:val="0"/>
          <w:numId w:val="18"/>
        </w:numPr>
        <w:spacing w:before="0" w:after="0" w:line="288" w:lineRule="auto"/>
        <w:ind w:left="720" w:right="0" w:hanging="36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The following documents are filed as a part of this Quarterly Report on Form 10-Q:</w:t>
      </w:r>
    </w:p>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p>
    <w:p>
      <w:pPr>
        <w:keepNext w:val="0"/>
        <w:keepLines/>
        <w:pageBreakBefore w:val="0"/>
        <w:widowControl w:val="0"/>
        <w:numPr>
          <w:ilvl w:val="0"/>
          <w:numId w:val="19"/>
        </w:numPr>
        <w:spacing w:before="0" w:after="0" w:line="288" w:lineRule="auto"/>
        <w:ind w:left="1440" w:right="0" w:hanging="36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Financial Statements:</w:t>
      </w:r>
    </w:p>
    <w:p>
      <w:pPr>
        <w:keepNext w:val="0"/>
        <w:keepLines/>
        <w:pageBreakBefore w:val="0"/>
        <w:widowControl w:val="0"/>
        <w:numPr>
          <w:ilvl w:val="0"/>
          <w:numId w:val="0"/>
        </w:numPr>
        <w:spacing w:before="0" w:after="0" w:line="288" w:lineRule="auto"/>
        <w:ind w:left="720" w:right="0" w:firstLine="0"/>
        <w:jc w:val="left"/>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1440" w:right="0" w:firstLine="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The Financial Statements required by this item are submitted in Part I, Item 1 of this report.</w:t>
      </w:r>
    </w:p>
    <w:p>
      <w:pPr>
        <w:keepNext w:val="0"/>
        <w:keepLines/>
        <w:pageBreakBefore w:val="0"/>
        <w:widowControl w:val="0"/>
        <w:numPr>
          <w:ilvl w:val="0"/>
          <w:numId w:val="0"/>
        </w:numPr>
        <w:spacing w:before="0" w:after="0" w:line="288" w:lineRule="auto"/>
        <w:ind w:left="720" w:right="0" w:firstLine="0"/>
        <w:jc w:val="left"/>
        <w:outlineLvl w:val="9"/>
        <w:rPr>
          <w:rFonts w:ascii="Times New Roman" w:eastAsia="Times New Roman" w:hAnsi="Times New Roman" w:cs="Times New Roman"/>
          <w:b w:val="0"/>
          <w:i w:val="0"/>
          <w:sz w:val="20"/>
        </w:rPr>
      </w:pPr>
    </w:p>
    <w:p>
      <w:pPr>
        <w:keepNext w:val="0"/>
        <w:keepLines/>
        <w:pageBreakBefore w:val="0"/>
        <w:widowControl w:val="0"/>
        <w:numPr>
          <w:ilvl w:val="0"/>
          <w:numId w:val="19"/>
        </w:numPr>
        <w:spacing w:before="0" w:after="0" w:line="288" w:lineRule="auto"/>
        <w:ind w:left="1440" w:right="0" w:hanging="36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Financial Statement Schedules:</w:t>
      </w:r>
    </w:p>
    <w:p>
      <w:pPr>
        <w:keepNext w:val="0"/>
        <w:keepLines/>
        <w:pageBreakBefore w:val="0"/>
        <w:widowControl w:val="0"/>
        <w:numPr>
          <w:ilvl w:val="0"/>
          <w:numId w:val="0"/>
        </w:numPr>
        <w:spacing w:before="0" w:after="0" w:line="288" w:lineRule="auto"/>
        <w:ind w:left="720" w:right="0" w:firstLine="0"/>
        <w:jc w:val="left"/>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1440" w:right="0" w:firstLine="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All schedules are omitted because they are not applicable, or the required information is shown in the Financial Statements or in the notes thereto.</w:t>
      </w:r>
    </w:p>
    <w:p>
      <w:pPr>
        <w:keepNext w:val="0"/>
        <w:keepLines/>
        <w:pageBreakBefore w:val="0"/>
        <w:widowControl w:val="0"/>
        <w:numPr>
          <w:ilvl w:val="0"/>
          <w:numId w:val="0"/>
        </w:numPr>
        <w:spacing w:before="0" w:after="0" w:line="288" w:lineRule="auto"/>
        <w:ind w:left="720" w:right="0" w:firstLine="0"/>
        <w:jc w:val="left"/>
        <w:outlineLvl w:val="9"/>
        <w:rPr>
          <w:rFonts w:ascii="Times New Roman" w:eastAsia="Times New Roman" w:hAnsi="Times New Roman" w:cs="Times New Roman"/>
          <w:b w:val="0"/>
          <w:i w:val="0"/>
          <w:sz w:val="20"/>
        </w:rPr>
      </w:pPr>
    </w:p>
    <w:p>
      <w:pPr>
        <w:keepNext/>
        <w:keepLines/>
        <w:pageBreakBefore w:val="0"/>
        <w:widowControl w:val="0"/>
        <w:numPr>
          <w:ilvl w:val="0"/>
          <w:numId w:val="19"/>
        </w:numPr>
        <w:spacing w:before="0" w:after="0" w:line="288" w:lineRule="auto"/>
        <w:ind w:left="1440" w:right="0" w:hanging="36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Exhibits:</w:t>
      </w:r>
    </w:p>
    <w:p>
      <w:pPr>
        <w:keepNext/>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p>
    <w:tbl>
      <w:tblPr>
        <w:tblStyle w:val="TableNormal0"/>
        <w:tblW w:w="10230" w:type="dxa"/>
        <w:jc w:val="left"/>
        <w:tblInd w:w="0" w:type="dxa"/>
        <w:tblLayout w:type="fixed"/>
      </w:tblPr>
      <w:tblGrid>
        <w:gridCol w:w="1140"/>
        <w:gridCol w:w="195"/>
        <w:gridCol w:w="8895"/>
      </w:tblGrid>
      <w:tr>
        <w:tblPrEx>
          <w:tblW w:w="10230" w:type="dxa"/>
          <w:tblInd w:w="0" w:type="dxa"/>
          <w:tblLayout w:type="fixed"/>
        </w:tblPrEx>
        <w:trPr>
          <w:trHeight w:hRule="exact" w:val="480"/>
          <w:tblHeader/>
        </w:trPr>
        <w:tc>
          <w:tcPr>
            <w:tcW w:w="1140" w:type="dxa"/>
            <w:tcBorders>
              <w:top w:val="nil"/>
              <w:left w:val="nil"/>
              <w:bottom w:val="single" w:sz="8" w:space="0" w:color="000000"/>
              <w:right w:val="nil"/>
            </w:tcBorders>
            <w:tcMar>
              <w:top w:w="0" w:type="dxa"/>
              <w:left w:w="53" w:type="dxa"/>
              <w:bottom w:w="0" w:type="dxa"/>
              <w:right w:w="53" w:type="dxa"/>
            </w:tcMar>
            <w:vAlign w:val="bottom"/>
          </w:tcPr>
          <w:p>
            <w:pPr>
              <w:pageBreakBefore w:val="0"/>
              <w:spacing w:before="53" w:after="30" w:line="240" w:lineRule="auto"/>
              <w:jc w:val="left"/>
            </w:pPr>
            <w:r>
              <w:rPr>
                <w:rFonts w:ascii="Times New Roman" w:eastAsia="Times New Roman" w:hAnsi="Times New Roman" w:cs="Times New Roman"/>
                <w:b/>
                <w:i w:val="0"/>
                <w:color w:val="000000"/>
                <w:sz w:val="20"/>
                <w:u w:val="none"/>
              </w:rPr>
              <w:t>EXHIBIT NUMBER</w:t>
            </w:r>
          </w:p>
        </w:tc>
        <w:tc>
          <w:tcPr>
            <w:tcW w:w="195" w:type="dxa"/>
            <w:tcBorders>
              <w:top w:val="nil"/>
              <w:left w:val="nil"/>
              <w:bottom w:val="nil"/>
              <w:right w:val="nil"/>
            </w:tcBorders>
            <w:tcMar>
              <w:top w:w="0" w:type="dxa"/>
              <w:left w:w="0" w:type="dxa"/>
              <w:bottom w:w="0" w:type="dxa"/>
              <w:right w:w="0" w:type="dxa"/>
            </w:tcMar>
            <w:vAlign w:val="bottom"/>
          </w:tcPr>
          <w:p>
            <w:pPr>
              <w:pageBreakBefore w:val="0"/>
              <w:spacing w:before="0" w:after="0"/>
            </w:pPr>
          </w:p>
        </w:tc>
        <w:tc>
          <w:tcPr>
            <w:tcW w:w="8895" w:type="dxa"/>
            <w:tcBorders>
              <w:top w:val="nil"/>
              <w:left w:val="nil"/>
              <w:bottom w:val="single" w:sz="8" w:space="0" w:color="000000"/>
              <w:right w:val="nil"/>
            </w:tcBorders>
            <w:tcMar>
              <w:top w:w="0" w:type="dxa"/>
              <w:left w:w="53" w:type="dxa"/>
              <w:bottom w:w="0" w:type="dxa"/>
              <w:right w:w="53" w:type="dxa"/>
            </w:tcMar>
            <w:vAlign w:val="bottom"/>
          </w:tcPr>
          <w:p>
            <w:pPr>
              <w:pageBreakBefore w:val="0"/>
              <w:spacing w:before="53" w:after="30" w:line="240" w:lineRule="auto"/>
              <w:jc w:val="both"/>
            </w:pPr>
            <w:r>
              <w:rPr>
                <w:rFonts w:ascii="Times New Roman" w:eastAsia="Times New Roman" w:hAnsi="Times New Roman" w:cs="Times New Roman"/>
                <w:b/>
                <w:i w:val="0"/>
                <w:color w:val="000000"/>
                <w:sz w:val="20"/>
                <w:u w:val="none"/>
              </w:rPr>
              <w:t>DESCRIPTION</w:t>
            </w:r>
          </w:p>
        </w:tc>
      </w:tr>
      <w:tr>
        <w:tblPrEx>
          <w:tblW w:w="10230" w:type="dxa"/>
          <w:tblInd w:w="0" w:type="dxa"/>
          <w:tblLayout w:type="fixed"/>
        </w:tblPrEx>
        <w:trPr>
          <w:trHeight w:hRule="exact" w:val="675"/>
          <w:tblHeader/>
        </w:trPr>
        <w:tc>
          <w:tcPr>
            <w:tcW w:w="1140" w:type="dxa"/>
            <w:tcBorders>
              <w:top w:val="single" w:sz="8" w:space="0" w:color="000000"/>
              <w:left w:val="nil"/>
              <w:bottom w:val="nil"/>
              <w:right w:val="nil"/>
            </w:tcBorders>
            <w:tcMar>
              <w:top w:w="0" w:type="dxa"/>
              <w:left w:w="53" w:type="dxa"/>
              <w:bottom w:w="0" w:type="dxa"/>
              <w:right w:w="53" w:type="dxa"/>
            </w:tcMar>
            <w:vAlign w:val="top"/>
          </w:tcPr>
          <w:p>
            <w:pPr>
              <w:pStyle w:val="Normal-wk"/>
              <w:pageBreakBefore w:val="0"/>
              <w:numPr>
                <w:ilvl w:val="0"/>
                <w:numId w:val="0"/>
              </w:numPr>
              <w:spacing w:before="33" w:after="30" w:line="240" w:lineRule="auto"/>
              <w:ind w:left="0" w:right="0" w:firstLine="0"/>
              <w:jc w:val="left"/>
              <w:outlineLvl w:val="9"/>
              <w:rPr>
                <w:rFonts w:ascii="Times New Roman" w:eastAsia="Times New Roman" w:hAnsi="Times New Roman" w:cs="Times New Roman"/>
                <w:b w:val="0"/>
                <w:i w:val="0"/>
                <w:sz w:val="20"/>
                <w:shd w:val="clear" w:color="auto" w:fill="auto"/>
              </w:rPr>
            </w:pPr>
            <w:hyperlink r:id="rId16" w:history="1">
              <w:r>
                <w:rPr>
                  <w:rFonts w:ascii="Times New Roman" w:eastAsia="Times New Roman" w:hAnsi="Times New Roman" w:cs="Times New Roman"/>
                  <w:b w:val="0"/>
                  <w:i w:val="0"/>
                  <w:color w:val="0000FF"/>
                  <w:sz w:val="20"/>
                  <w:u w:val="single"/>
                  <w:shd w:val="clear" w:color="auto" w:fill="auto"/>
                </w:rPr>
                <w:t>10.1+</w:t>
              </w:r>
            </w:hyperlink>
          </w:p>
        </w:tc>
        <w:tc>
          <w:tcPr>
            <w:tcW w:w="195" w:type="dxa"/>
            <w:tcBorders>
              <w:top w:val="nil"/>
              <w:left w:val="nil"/>
              <w:bottom w:val="nil"/>
              <w:right w:val="nil"/>
            </w:tcBorders>
            <w:tcMar>
              <w:top w:w="0" w:type="dxa"/>
              <w:left w:w="0" w:type="dxa"/>
              <w:bottom w:w="0" w:type="dxa"/>
              <w:right w:w="0" w:type="dxa"/>
            </w:tcMar>
            <w:vAlign w:val="bottom"/>
          </w:tcPr>
          <w:p>
            <w:pPr>
              <w:pageBreakBefore w:val="0"/>
              <w:spacing w:before="0" w:after="0"/>
            </w:pPr>
          </w:p>
        </w:tc>
        <w:tc>
          <w:tcPr>
            <w:tcW w:w="8895" w:type="dxa"/>
            <w:tcBorders>
              <w:top w:val="single" w:sz="8" w:space="0" w:color="000000"/>
              <w:left w:val="nil"/>
              <w:bottom w:val="nil"/>
              <w:right w:val="nil"/>
            </w:tcBorders>
            <w:tcMar>
              <w:top w:w="0" w:type="dxa"/>
              <w:left w:w="53" w:type="dxa"/>
              <w:bottom w:w="0" w:type="dxa"/>
              <w:right w:w="53" w:type="dxa"/>
            </w:tcMar>
            <w:vAlign w:val="top"/>
          </w:tcPr>
          <w:p>
            <w:pPr>
              <w:pStyle w:val="Normal-wk"/>
              <w:pageBreakBefore w:val="0"/>
              <w:numPr>
                <w:ilvl w:val="0"/>
                <w:numId w:val="0"/>
              </w:numPr>
              <w:spacing w:before="33" w:after="30" w:line="240" w:lineRule="auto"/>
              <w:ind w:left="0" w:right="0" w:firstLine="0"/>
              <w:jc w:val="both"/>
              <w:outlineLvl w:val="9"/>
              <w:rPr>
                <w:rFonts w:ascii="Times New Roman" w:eastAsia="Times New Roman" w:hAnsi="Times New Roman" w:cs="Times New Roman"/>
                <w:b w:val="0"/>
                <w:i w:val="0"/>
                <w:sz w:val="20"/>
                <w:shd w:val="clear" w:color="auto" w:fill="auto"/>
              </w:rPr>
            </w:pPr>
            <w:hyperlink r:id="rId17" w:history="1">
              <w:r>
                <w:rPr>
                  <w:rFonts w:ascii="Times New Roman" w:eastAsia="Times New Roman" w:hAnsi="Times New Roman" w:cs="Times New Roman"/>
                  <w:b w:val="0"/>
                  <w:i w:val="0"/>
                  <w:color w:val="0000FF"/>
                  <w:sz w:val="20"/>
                  <w:u w:val="single"/>
                  <w:shd w:val="clear" w:color="auto" w:fill="auto"/>
                </w:rPr>
                <w:t>Form of 2026 Performance Stock Unit Award Grant Notice and Performance Stock Unit Award Agreement under the Company’s 2018 Incentive Award Plan. (Previously filed as Exhibit 10.13 to the Company’s Annual Report on Form 10-K (File No. 1-34522), filed February 26, 2026).</w:t>
              </w:r>
            </w:hyperlink>
          </w:p>
        </w:tc>
      </w:tr>
      <w:tr>
        <w:tblPrEx>
          <w:tblW w:w="10230" w:type="dxa"/>
          <w:tblInd w:w="0" w:type="dxa"/>
          <w:tblLayout w:type="fixed"/>
        </w:tblPrEx>
        <w:trPr>
          <w:trHeight w:hRule="exact" w:val="105"/>
        </w:trPr>
        <w:tc>
          <w:tcPr>
            <w:tcW w:w="1140" w:type="dxa"/>
            <w:tcBorders>
              <w:top w:val="nil"/>
              <w:left w:val="nil"/>
              <w:bottom w:val="nil"/>
              <w:right w:val="nil"/>
            </w:tcBorders>
            <w:tcMar>
              <w:top w:w="0" w:type="dxa"/>
              <w:left w:w="0" w:type="dxa"/>
              <w:bottom w:w="0" w:type="dxa"/>
              <w:right w:w="0" w:type="dxa"/>
            </w:tcMar>
            <w:vAlign w:val="bottom"/>
          </w:tcPr>
          <w:p>
            <w:pPr>
              <w:pageBreakBefore w:val="0"/>
              <w:spacing w:before="0" w:after="0"/>
            </w:pPr>
          </w:p>
        </w:tc>
        <w:tc>
          <w:tcPr>
            <w:tcW w:w="195" w:type="dxa"/>
            <w:tcBorders>
              <w:top w:val="nil"/>
              <w:left w:val="nil"/>
              <w:bottom w:val="nil"/>
              <w:right w:val="nil"/>
            </w:tcBorders>
            <w:tcMar>
              <w:top w:w="0" w:type="dxa"/>
              <w:left w:w="0" w:type="dxa"/>
              <w:bottom w:w="0" w:type="dxa"/>
              <w:right w:w="0" w:type="dxa"/>
            </w:tcMar>
            <w:vAlign w:val="bottom"/>
          </w:tcPr>
          <w:p>
            <w:pPr>
              <w:pageBreakBefore w:val="0"/>
              <w:spacing w:before="0" w:after="0"/>
            </w:pPr>
          </w:p>
        </w:tc>
        <w:tc>
          <w:tcPr>
            <w:tcW w:w="8895" w:type="dxa"/>
            <w:tcBorders>
              <w:top w:val="nil"/>
              <w:left w:val="nil"/>
              <w:bottom w:val="nil"/>
              <w:right w:val="nil"/>
            </w:tcBorders>
            <w:tcMar>
              <w:top w:w="0" w:type="dxa"/>
              <w:left w:w="0" w:type="dxa"/>
              <w:bottom w:w="0" w:type="dxa"/>
              <w:right w:w="0" w:type="dxa"/>
            </w:tcMar>
            <w:vAlign w:val="bottom"/>
          </w:tcPr>
          <w:p>
            <w:pPr>
              <w:pageBreakBefore w:val="0"/>
              <w:spacing w:before="0" w:after="0"/>
            </w:pPr>
          </w:p>
        </w:tc>
      </w:tr>
      <w:tr>
        <w:tblPrEx>
          <w:tblW w:w="10230" w:type="dxa"/>
          <w:tblInd w:w="0" w:type="dxa"/>
          <w:tblLayout w:type="fixed"/>
        </w:tblPrEx>
        <w:trPr>
          <w:trHeight w:hRule="exact" w:val="225"/>
        </w:trPr>
        <w:tc>
          <w:tcPr>
            <w:tcW w:w="1140" w:type="dxa"/>
            <w:tcBorders>
              <w:top w:val="nil"/>
              <w:left w:val="nil"/>
              <w:bottom w:val="nil"/>
              <w:right w:val="nil"/>
            </w:tcBorders>
            <w:tcMar>
              <w:top w:w="0" w:type="dxa"/>
              <w:left w:w="53" w:type="dxa"/>
              <w:bottom w:w="0" w:type="dxa"/>
              <w:right w:w="53" w:type="dxa"/>
            </w:tcMar>
            <w:vAlign w:val="top"/>
          </w:tcPr>
          <w:p>
            <w:pPr>
              <w:pStyle w:val="Normal-wk"/>
              <w:pageBreakBefore w:val="0"/>
              <w:numPr>
                <w:ilvl w:val="0"/>
                <w:numId w:val="0"/>
              </w:numPr>
              <w:spacing w:before="53" w:after="30" w:line="240" w:lineRule="auto"/>
              <w:ind w:left="0" w:right="0" w:firstLine="0"/>
              <w:jc w:val="left"/>
              <w:outlineLvl w:val="9"/>
              <w:rPr>
                <w:rFonts w:ascii="Times New Roman" w:eastAsia="Times New Roman" w:hAnsi="Times New Roman" w:cs="Times New Roman"/>
                <w:b w:val="0"/>
                <w:i w:val="0"/>
                <w:sz w:val="20"/>
                <w:shd w:val="clear" w:color="auto" w:fill="auto"/>
              </w:rPr>
            </w:pPr>
            <w:hyperlink r:id="rId18" w:history="1">
              <w:r>
                <w:rPr>
                  <w:rFonts w:ascii="Times New Roman" w:eastAsia="Times New Roman" w:hAnsi="Times New Roman" w:cs="Times New Roman"/>
                  <w:b w:val="0"/>
                  <w:i w:val="0"/>
                  <w:color w:val="0000FF"/>
                  <w:sz w:val="20"/>
                  <w:u w:val="single"/>
                  <w:shd w:val="clear" w:color="auto" w:fill="auto"/>
                </w:rPr>
                <w:t>31.1*</w:t>
              </w:r>
            </w:hyperlink>
          </w:p>
        </w:tc>
        <w:tc>
          <w:tcPr>
            <w:tcW w:w="195" w:type="dxa"/>
            <w:tcBorders>
              <w:top w:val="nil"/>
              <w:left w:val="nil"/>
              <w:bottom w:val="nil"/>
              <w:right w:val="nil"/>
            </w:tcBorders>
            <w:tcMar>
              <w:top w:w="0" w:type="dxa"/>
              <w:left w:w="0" w:type="dxa"/>
              <w:bottom w:w="0" w:type="dxa"/>
              <w:right w:w="0" w:type="dxa"/>
            </w:tcMar>
            <w:vAlign w:val="bottom"/>
          </w:tcPr>
          <w:p>
            <w:pPr>
              <w:pageBreakBefore w:val="0"/>
              <w:spacing w:before="0" w:after="0"/>
            </w:pPr>
          </w:p>
        </w:tc>
        <w:tc>
          <w:tcPr>
            <w:tcW w:w="8895" w:type="dxa"/>
            <w:tcBorders>
              <w:top w:val="nil"/>
              <w:left w:val="nil"/>
              <w:bottom w:val="nil"/>
              <w:right w:val="nil"/>
            </w:tcBorders>
            <w:tcMar>
              <w:top w:w="0" w:type="dxa"/>
              <w:left w:w="53" w:type="dxa"/>
              <w:bottom w:w="0" w:type="dxa"/>
              <w:right w:w="53" w:type="dxa"/>
            </w:tcMar>
            <w:vAlign w:val="top"/>
          </w:tcPr>
          <w:p>
            <w:pPr>
              <w:pStyle w:val="Normal-wk"/>
              <w:pageBreakBefore w:val="0"/>
              <w:numPr>
                <w:ilvl w:val="0"/>
                <w:numId w:val="0"/>
              </w:numPr>
              <w:spacing w:before="53" w:after="30" w:line="240" w:lineRule="auto"/>
              <w:ind w:left="0" w:right="0" w:firstLine="0"/>
              <w:jc w:val="both"/>
              <w:outlineLvl w:val="9"/>
              <w:rPr>
                <w:rFonts w:ascii="Times New Roman" w:eastAsia="Times New Roman" w:hAnsi="Times New Roman" w:cs="Times New Roman"/>
                <w:b w:val="0"/>
                <w:i w:val="0"/>
                <w:sz w:val="20"/>
                <w:shd w:val="clear" w:color="auto" w:fill="auto"/>
              </w:rPr>
            </w:pPr>
            <w:hyperlink r:id="rId19" w:history="1">
              <w:r>
                <w:rPr>
                  <w:rFonts w:ascii="Times New Roman" w:eastAsia="Times New Roman" w:hAnsi="Times New Roman" w:cs="Times New Roman"/>
                  <w:b w:val="0"/>
                  <w:i w:val="0"/>
                  <w:color w:val="0000FF"/>
                  <w:sz w:val="20"/>
                  <w:u w:val="single"/>
                  <w:shd w:val="clear" w:color="auto" w:fill="auto"/>
                </w:rPr>
                <w:t>Certification pursuant to Section 302 of the Sarbanes-Oxley Act of 2002 (filed herewith).</w:t>
              </w:r>
            </w:hyperlink>
          </w:p>
        </w:tc>
      </w:tr>
      <w:tr>
        <w:tblPrEx>
          <w:tblW w:w="10230" w:type="dxa"/>
          <w:tblInd w:w="0" w:type="dxa"/>
          <w:tblLayout w:type="fixed"/>
        </w:tblPrEx>
        <w:trPr>
          <w:trHeight w:hRule="exact" w:val="120"/>
        </w:trPr>
        <w:tc>
          <w:tcPr>
            <w:tcW w:w="1140" w:type="dxa"/>
            <w:tcBorders>
              <w:top w:val="nil"/>
              <w:left w:val="nil"/>
              <w:bottom w:val="nil"/>
              <w:right w:val="nil"/>
            </w:tcBorders>
            <w:tcMar>
              <w:top w:w="0" w:type="dxa"/>
              <w:left w:w="0" w:type="dxa"/>
              <w:bottom w:w="0" w:type="dxa"/>
              <w:right w:w="0" w:type="dxa"/>
            </w:tcMar>
            <w:vAlign w:val="bottom"/>
          </w:tcPr>
          <w:p>
            <w:pPr>
              <w:pageBreakBefore w:val="0"/>
              <w:spacing w:before="0" w:after="0"/>
            </w:pPr>
          </w:p>
        </w:tc>
        <w:tc>
          <w:tcPr>
            <w:tcW w:w="195" w:type="dxa"/>
            <w:tcBorders>
              <w:top w:val="nil"/>
              <w:left w:val="nil"/>
              <w:bottom w:val="nil"/>
              <w:right w:val="nil"/>
            </w:tcBorders>
            <w:tcMar>
              <w:top w:w="0" w:type="dxa"/>
              <w:left w:w="0" w:type="dxa"/>
              <w:bottom w:w="0" w:type="dxa"/>
              <w:right w:w="0" w:type="dxa"/>
            </w:tcMar>
            <w:vAlign w:val="bottom"/>
          </w:tcPr>
          <w:p>
            <w:pPr>
              <w:pageBreakBefore w:val="0"/>
              <w:spacing w:before="0" w:after="0"/>
            </w:pPr>
          </w:p>
        </w:tc>
        <w:tc>
          <w:tcPr>
            <w:tcW w:w="8895" w:type="dxa"/>
            <w:tcBorders>
              <w:top w:val="nil"/>
              <w:left w:val="nil"/>
              <w:bottom w:val="nil"/>
              <w:right w:val="nil"/>
            </w:tcBorders>
            <w:tcMar>
              <w:top w:w="0" w:type="dxa"/>
              <w:left w:w="0" w:type="dxa"/>
              <w:bottom w:w="0" w:type="dxa"/>
              <w:right w:w="0" w:type="dxa"/>
            </w:tcMar>
            <w:vAlign w:val="bottom"/>
          </w:tcPr>
          <w:p>
            <w:pPr>
              <w:pageBreakBefore w:val="0"/>
              <w:spacing w:before="0" w:after="0"/>
            </w:pPr>
          </w:p>
        </w:tc>
      </w:tr>
      <w:tr>
        <w:tblPrEx>
          <w:tblW w:w="10230" w:type="dxa"/>
          <w:tblInd w:w="0" w:type="dxa"/>
          <w:tblLayout w:type="fixed"/>
        </w:tblPrEx>
        <w:trPr>
          <w:trHeight w:hRule="exact" w:val="285"/>
        </w:trPr>
        <w:tc>
          <w:tcPr>
            <w:tcW w:w="1140" w:type="dxa"/>
            <w:tcBorders>
              <w:top w:val="nil"/>
              <w:left w:val="nil"/>
              <w:bottom w:val="nil"/>
              <w:right w:val="nil"/>
            </w:tcBorders>
            <w:tcMar>
              <w:top w:w="0" w:type="dxa"/>
              <w:left w:w="53" w:type="dxa"/>
              <w:bottom w:w="0" w:type="dxa"/>
              <w:right w:w="53" w:type="dxa"/>
            </w:tcMar>
            <w:vAlign w:val="top"/>
          </w:tcPr>
          <w:p>
            <w:pPr>
              <w:pStyle w:val="Normal-wk"/>
              <w:pageBreakBefore w:val="0"/>
              <w:numPr>
                <w:ilvl w:val="0"/>
                <w:numId w:val="0"/>
              </w:numPr>
              <w:spacing w:before="53" w:after="30" w:line="240" w:lineRule="auto"/>
              <w:ind w:left="0" w:right="0" w:firstLine="0"/>
              <w:jc w:val="left"/>
              <w:outlineLvl w:val="9"/>
              <w:rPr>
                <w:rFonts w:ascii="Times New Roman" w:eastAsia="Times New Roman" w:hAnsi="Times New Roman" w:cs="Times New Roman"/>
                <w:b w:val="0"/>
                <w:i w:val="0"/>
                <w:sz w:val="20"/>
                <w:shd w:val="clear" w:color="auto" w:fill="auto"/>
              </w:rPr>
            </w:pPr>
            <w:hyperlink r:id="rId20" w:history="1">
              <w:r>
                <w:rPr>
                  <w:rFonts w:ascii="Times New Roman" w:eastAsia="Times New Roman" w:hAnsi="Times New Roman" w:cs="Times New Roman"/>
                  <w:b w:val="0"/>
                  <w:i w:val="0"/>
                  <w:color w:val="0000FF"/>
                  <w:sz w:val="20"/>
                  <w:u w:val="single"/>
                  <w:shd w:val="clear" w:color="auto" w:fill="auto"/>
                </w:rPr>
                <w:t>31.2*</w:t>
              </w:r>
            </w:hyperlink>
          </w:p>
        </w:tc>
        <w:tc>
          <w:tcPr>
            <w:tcW w:w="195" w:type="dxa"/>
            <w:tcBorders>
              <w:top w:val="nil"/>
              <w:left w:val="nil"/>
              <w:bottom w:val="nil"/>
              <w:right w:val="nil"/>
            </w:tcBorders>
            <w:tcMar>
              <w:top w:w="0" w:type="dxa"/>
              <w:left w:w="0" w:type="dxa"/>
              <w:bottom w:w="0" w:type="dxa"/>
              <w:right w:w="0" w:type="dxa"/>
            </w:tcMar>
            <w:vAlign w:val="bottom"/>
          </w:tcPr>
          <w:p>
            <w:pPr>
              <w:pageBreakBefore w:val="0"/>
              <w:spacing w:before="0" w:after="0"/>
            </w:pPr>
          </w:p>
        </w:tc>
        <w:tc>
          <w:tcPr>
            <w:tcW w:w="8895" w:type="dxa"/>
            <w:tcBorders>
              <w:top w:val="nil"/>
              <w:left w:val="nil"/>
              <w:bottom w:val="nil"/>
              <w:right w:val="nil"/>
            </w:tcBorders>
            <w:tcMar>
              <w:top w:w="0" w:type="dxa"/>
              <w:left w:w="53" w:type="dxa"/>
              <w:bottom w:w="0" w:type="dxa"/>
              <w:right w:w="53" w:type="dxa"/>
            </w:tcMar>
            <w:vAlign w:val="top"/>
          </w:tcPr>
          <w:p>
            <w:pPr>
              <w:pStyle w:val="Normal-wk"/>
              <w:pageBreakBefore w:val="0"/>
              <w:numPr>
                <w:ilvl w:val="0"/>
                <w:numId w:val="0"/>
              </w:numPr>
              <w:spacing w:before="53" w:after="30" w:line="240" w:lineRule="auto"/>
              <w:ind w:left="0" w:right="0" w:firstLine="0"/>
              <w:jc w:val="both"/>
              <w:outlineLvl w:val="9"/>
              <w:rPr>
                <w:rFonts w:ascii="Times New Roman" w:eastAsia="Times New Roman" w:hAnsi="Times New Roman" w:cs="Times New Roman"/>
                <w:b w:val="0"/>
                <w:i w:val="0"/>
                <w:sz w:val="20"/>
                <w:shd w:val="clear" w:color="auto" w:fill="auto"/>
              </w:rPr>
            </w:pPr>
            <w:hyperlink r:id="rId21" w:history="1">
              <w:r>
                <w:rPr>
                  <w:rFonts w:ascii="Times New Roman" w:eastAsia="Times New Roman" w:hAnsi="Times New Roman" w:cs="Times New Roman"/>
                  <w:b w:val="0"/>
                  <w:i w:val="0"/>
                  <w:color w:val="0000FF"/>
                  <w:sz w:val="20"/>
                  <w:u w:val="single"/>
                  <w:shd w:val="clear" w:color="auto" w:fill="auto"/>
                </w:rPr>
                <w:t>Certification pursuant to Section 302 of the Sarbanes-Oxley Act of 2002 (filed herewith).</w:t>
              </w:r>
            </w:hyperlink>
          </w:p>
        </w:tc>
      </w:tr>
      <w:tr>
        <w:tblPrEx>
          <w:tblW w:w="10230" w:type="dxa"/>
          <w:tblInd w:w="0" w:type="dxa"/>
          <w:tblLayout w:type="fixed"/>
        </w:tblPrEx>
        <w:trPr>
          <w:trHeight w:hRule="exact" w:val="120"/>
        </w:trPr>
        <w:tc>
          <w:tcPr>
            <w:tcW w:w="1140" w:type="dxa"/>
            <w:tcBorders>
              <w:top w:val="nil"/>
              <w:left w:val="nil"/>
              <w:bottom w:val="nil"/>
              <w:right w:val="nil"/>
            </w:tcBorders>
            <w:tcMar>
              <w:top w:w="0" w:type="dxa"/>
              <w:left w:w="0" w:type="dxa"/>
              <w:bottom w:w="0" w:type="dxa"/>
              <w:right w:w="0" w:type="dxa"/>
            </w:tcMar>
            <w:vAlign w:val="bottom"/>
          </w:tcPr>
          <w:p>
            <w:pPr>
              <w:pageBreakBefore w:val="0"/>
              <w:spacing w:before="0" w:after="0"/>
            </w:pPr>
          </w:p>
        </w:tc>
        <w:tc>
          <w:tcPr>
            <w:tcW w:w="195" w:type="dxa"/>
            <w:tcBorders>
              <w:top w:val="nil"/>
              <w:left w:val="nil"/>
              <w:bottom w:val="nil"/>
              <w:right w:val="nil"/>
            </w:tcBorders>
            <w:tcMar>
              <w:top w:w="0" w:type="dxa"/>
              <w:left w:w="0" w:type="dxa"/>
              <w:bottom w:w="0" w:type="dxa"/>
              <w:right w:w="0" w:type="dxa"/>
            </w:tcMar>
            <w:vAlign w:val="bottom"/>
          </w:tcPr>
          <w:p>
            <w:pPr>
              <w:pageBreakBefore w:val="0"/>
              <w:spacing w:before="0" w:after="0"/>
            </w:pPr>
          </w:p>
        </w:tc>
        <w:tc>
          <w:tcPr>
            <w:tcW w:w="8895" w:type="dxa"/>
            <w:tcBorders>
              <w:top w:val="nil"/>
              <w:left w:val="nil"/>
              <w:bottom w:val="nil"/>
              <w:right w:val="nil"/>
            </w:tcBorders>
            <w:tcMar>
              <w:top w:w="0" w:type="dxa"/>
              <w:left w:w="0" w:type="dxa"/>
              <w:bottom w:w="0" w:type="dxa"/>
              <w:right w:w="0" w:type="dxa"/>
            </w:tcMar>
            <w:vAlign w:val="bottom"/>
          </w:tcPr>
          <w:p>
            <w:pPr>
              <w:pageBreakBefore w:val="0"/>
              <w:spacing w:before="0" w:after="0"/>
            </w:pPr>
          </w:p>
        </w:tc>
      </w:tr>
      <w:tr>
        <w:tblPrEx>
          <w:tblW w:w="10230" w:type="dxa"/>
          <w:tblInd w:w="0" w:type="dxa"/>
          <w:tblLayout w:type="fixed"/>
        </w:tblPrEx>
        <w:trPr>
          <w:trHeight w:hRule="exact" w:val="465"/>
        </w:trPr>
        <w:tc>
          <w:tcPr>
            <w:tcW w:w="1140" w:type="dxa"/>
            <w:tcBorders>
              <w:top w:val="nil"/>
              <w:left w:val="nil"/>
              <w:bottom w:val="nil"/>
              <w:right w:val="nil"/>
            </w:tcBorders>
            <w:tcMar>
              <w:top w:w="0" w:type="dxa"/>
              <w:left w:w="53" w:type="dxa"/>
              <w:bottom w:w="0" w:type="dxa"/>
              <w:right w:w="53" w:type="dxa"/>
            </w:tcMar>
            <w:vAlign w:val="top"/>
          </w:tcPr>
          <w:p>
            <w:pPr>
              <w:pStyle w:val="Normal-wk"/>
              <w:pageBreakBefore w:val="0"/>
              <w:numPr>
                <w:ilvl w:val="0"/>
                <w:numId w:val="0"/>
              </w:numPr>
              <w:spacing w:before="53" w:after="30" w:line="240" w:lineRule="auto"/>
              <w:ind w:left="0" w:right="0" w:firstLine="0"/>
              <w:jc w:val="left"/>
              <w:outlineLvl w:val="9"/>
              <w:rPr>
                <w:rFonts w:ascii="Times New Roman" w:eastAsia="Times New Roman" w:hAnsi="Times New Roman" w:cs="Times New Roman"/>
                <w:b w:val="0"/>
                <w:i w:val="0"/>
                <w:sz w:val="20"/>
                <w:shd w:val="clear" w:color="auto" w:fill="auto"/>
              </w:rPr>
            </w:pPr>
            <w:hyperlink r:id="rId22" w:history="1">
              <w:r>
                <w:rPr>
                  <w:rFonts w:ascii="Times New Roman" w:eastAsia="Times New Roman" w:hAnsi="Times New Roman" w:cs="Times New Roman"/>
                  <w:b w:val="0"/>
                  <w:i w:val="0"/>
                  <w:color w:val="0000FF"/>
                  <w:sz w:val="20"/>
                  <w:u w:val="single"/>
                  <w:shd w:val="clear" w:color="auto" w:fill="auto"/>
                </w:rPr>
                <w:t>32.1**</w:t>
              </w:r>
            </w:hyperlink>
          </w:p>
        </w:tc>
        <w:tc>
          <w:tcPr>
            <w:tcW w:w="195" w:type="dxa"/>
            <w:tcBorders>
              <w:top w:val="nil"/>
              <w:left w:val="nil"/>
              <w:bottom w:val="nil"/>
              <w:right w:val="nil"/>
            </w:tcBorders>
            <w:tcMar>
              <w:top w:w="0" w:type="dxa"/>
              <w:left w:w="0" w:type="dxa"/>
              <w:bottom w:w="0" w:type="dxa"/>
              <w:right w:w="0" w:type="dxa"/>
            </w:tcMar>
            <w:vAlign w:val="bottom"/>
          </w:tcPr>
          <w:p>
            <w:pPr>
              <w:pageBreakBefore w:val="0"/>
              <w:spacing w:before="0" w:after="0"/>
            </w:pPr>
          </w:p>
        </w:tc>
        <w:tc>
          <w:tcPr>
            <w:tcW w:w="8895" w:type="dxa"/>
            <w:tcBorders>
              <w:top w:val="nil"/>
              <w:left w:val="nil"/>
              <w:bottom w:val="nil"/>
              <w:right w:val="nil"/>
            </w:tcBorders>
            <w:tcMar>
              <w:top w:w="0" w:type="dxa"/>
              <w:left w:w="53" w:type="dxa"/>
              <w:bottom w:w="0" w:type="dxa"/>
              <w:right w:w="53" w:type="dxa"/>
            </w:tcMar>
            <w:vAlign w:val="top"/>
          </w:tcPr>
          <w:p>
            <w:pPr>
              <w:pStyle w:val="Normal-wk"/>
              <w:pageBreakBefore w:val="0"/>
              <w:numPr>
                <w:ilvl w:val="0"/>
                <w:numId w:val="0"/>
              </w:numPr>
              <w:spacing w:before="53" w:after="30" w:line="240" w:lineRule="auto"/>
              <w:ind w:left="0" w:right="0" w:firstLine="0"/>
              <w:jc w:val="both"/>
              <w:outlineLvl w:val="9"/>
              <w:rPr>
                <w:rFonts w:ascii="Times New Roman" w:eastAsia="Times New Roman" w:hAnsi="Times New Roman" w:cs="Times New Roman"/>
                <w:b w:val="0"/>
                <w:i w:val="0"/>
                <w:sz w:val="20"/>
                <w:shd w:val="clear" w:color="auto" w:fill="auto"/>
              </w:rPr>
            </w:pPr>
            <w:hyperlink r:id="rId23" w:history="1">
              <w:r>
                <w:rPr>
                  <w:rFonts w:ascii="Times New Roman" w:eastAsia="Times New Roman" w:hAnsi="Times New Roman" w:cs="Times New Roman"/>
                  <w:b w:val="0"/>
                  <w:i w:val="0"/>
                  <w:color w:val="0000FF"/>
                  <w:sz w:val="20"/>
                  <w:u w:val="single"/>
                  <w:shd w:val="clear" w:color="auto" w:fill="auto"/>
                </w:rPr>
                <w:t>Certification pursuant to 18 U.S.C. Section 1350, as adopted pursuant to Section 906 of the Sarbanes-Oxley Act of 2002 (furnished herewith).</w:t>
              </w:r>
            </w:hyperlink>
          </w:p>
        </w:tc>
      </w:tr>
      <w:tr>
        <w:tblPrEx>
          <w:tblW w:w="10230" w:type="dxa"/>
          <w:tblInd w:w="0" w:type="dxa"/>
          <w:tblLayout w:type="fixed"/>
        </w:tblPrEx>
        <w:trPr>
          <w:trHeight w:hRule="exact" w:val="120"/>
        </w:trPr>
        <w:tc>
          <w:tcPr>
            <w:tcW w:w="1140" w:type="dxa"/>
            <w:tcBorders>
              <w:top w:val="nil"/>
              <w:left w:val="nil"/>
              <w:bottom w:val="nil"/>
              <w:right w:val="nil"/>
            </w:tcBorders>
            <w:tcMar>
              <w:top w:w="0" w:type="dxa"/>
              <w:left w:w="0" w:type="dxa"/>
              <w:bottom w:w="0" w:type="dxa"/>
              <w:right w:w="0" w:type="dxa"/>
            </w:tcMar>
            <w:vAlign w:val="bottom"/>
          </w:tcPr>
          <w:p>
            <w:pPr>
              <w:pageBreakBefore w:val="0"/>
              <w:spacing w:before="0" w:after="0"/>
            </w:pPr>
          </w:p>
        </w:tc>
        <w:tc>
          <w:tcPr>
            <w:tcW w:w="195" w:type="dxa"/>
            <w:tcBorders>
              <w:top w:val="nil"/>
              <w:left w:val="nil"/>
              <w:bottom w:val="nil"/>
              <w:right w:val="nil"/>
            </w:tcBorders>
            <w:tcMar>
              <w:top w:w="0" w:type="dxa"/>
              <w:left w:w="0" w:type="dxa"/>
              <w:bottom w:w="0" w:type="dxa"/>
              <w:right w:w="0" w:type="dxa"/>
            </w:tcMar>
            <w:vAlign w:val="bottom"/>
          </w:tcPr>
          <w:p>
            <w:pPr>
              <w:pageBreakBefore w:val="0"/>
              <w:spacing w:before="0" w:after="0"/>
            </w:pPr>
          </w:p>
        </w:tc>
        <w:tc>
          <w:tcPr>
            <w:tcW w:w="8895" w:type="dxa"/>
            <w:tcBorders>
              <w:top w:val="nil"/>
              <w:left w:val="nil"/>
              <w:bottom w:val="nil"/>
              <w:right w:val="nil"/>
            </w:tcBorders>
            <w:tcMar>
              <w:top w:w="0" w:type="dxa"/>
              <w:left w:w="0" w:type="dxa"/>
              <w:bottom w:w="0" w:type="dxa"/>
              <w:right w:w="0" w:type="dxa"/>
            </w:tcMar>
            <w:vAlign w:val="bottom"/>
          </w:tcPr>
          <w:p>
            <w:pPr>
              <w:pageBreakBefore w:val="0"/>
              <w:spacing w:before="0" w:after="0"/>
            </w:pPr>
          </w:p>
        </w:tc>
      </w:tr>
      <w:tr>
        <w:tblPrEx>
          <w:tblW w:w="10230" w:type="dxa"/>
          <w:tblInd w:w="0" w:type="dxa"/>
          <w:tblLayout w:type="fixed"/>
        </w:tblPrEx>
        <w:trPr>
          <w:trHeight w:hRule="exact" w:val="465"/>
        </w:trPr>
        <w:tc>
          <w:tcPr>
            <w:tcW w:w="1140" w:type="dxa"/>
            <w:tcBorders>
              <w:top w:val="nil"/>
              <w:left w:val="nil"/>
              <w:bottom w:val="nil"/>
              <w:right w:val="nil"/>
            </w:tcBorders>
            <w:tcMar>
              <w:top w:w="0" w:type="dxa"/>
              <w:left w:w="53" w:type="dxa"/>
              <w:bottom w:w="0" w:type="dxa"/>
              <w:right w:w="53" w:type="dxa"/>
            </w:tcMar>
            <w:vAlign w:val="top"/>
          </w:tcPr>
          <w:p>
            <w:pPr>
              <w:pStyle w:val="Normal-wk"/>
              <w:pageBreakBefore w:val="0"/>
              <w:numPr>
                <w:ilvl w:val="0"/>
                <w:numId w:val="0"/>
              </w:numPr>
              <w:spacing w:before="53" w:after="30" w:line="240" w:lineRule="auto"/>
              <w:ind w:left="0" w:right="0" w:firstLine="0"/>
              <w:jc w:val="left"/>
              <w:outlineLvl w:val="9"/>
              <w:rPr>
                <w:rFonts w:ascii="Times New Roman" w:eastAsia="Times New Roman" w:hAnsi="Times New Roman" w:cs="Times New Roman"/>
                <w:b w:val="0"/>
                <w:i w:val="0"/>
                <w:sz w:val="20"/>
                <w:shd w:val="clear" w:color="auto" w:fill="auto"/>
              </w:rPr>
            </w:pPr>
            <w:hyperlink r:id="rId24" w:history="1">
              <w:r>
                <w:rPr>
                  <w:rFonts w:ascii="Times New Roman" w:eastAsia="Times New Roman" w:hAnsi="Times New Roman" w:cs="Times New Roman"/>
                  <w:b w:val="0"/>
                  <w:i w:val="0"/>
                  <w:color w:val="0000FF"/>
                  <w:sz w:val="20"/>
                  <w:u w:val="single"/>
                  <w:shd w:val="clear" w:color="auto" w:fill="auto"/>
                </w:rPr>
                <w:t>32.2**</w:t>
              </w:r>
            </w:hyperlink>
          </w:p>
        </w:tc>
        <w:tc>
          <w:tcPr>
            <w:tcW w:w="195" w:type="dxa"/>
            <w:tcBorders>
              <w:top w:val="nil"/>
              <w:left w:val="nil"/>
              <w:bottom w:val="nil"/>
              <w:right w:val="nil"/>
            </w:tcBorders>
            <w:tcMar>
              <w:top w:w="0" w:type="dxa"/>
              <w:left w:w="0" w:type="dxa"/>
              <w:bottom w:w="0" w:type="dxa"/>
              <w:right w:w="0" w:type="dxa"/>
            </w:tcMar>
            <w:vAlign w:val="bottom"/>
          </w:tcPr>
          <w:p>
            <w:pPr>
              <w:pageBreakBefore w:val="0"/>
              <w:spacing w:before="0" w:after="0"/>
            </w:pPr>
          </w:p>
        </w:tc>
        <w:tc>
          <w:tcPr>
            <w:tcW w:w="8895" w:type="dxa"/>
            <w:tcBorders>
              <w:top w:val="nil"/>
              <w:left w:val="nil"/>
              <w:bottom w:val="nil"/>
              <w:right w:val="nil"/>
            </w:tcBorders>
            <w:tcMar>
              <w:top w:w="0" w:type="dxa"/>
              <w:left w:w="53" w:type="dxa"/>
              <w:bottom w:w="0" w:type="dxa"/>
              <w:right w:w="53" w:type="dxa"/>
            </w:tcMar>
            <w:vAlign w:val="top"/>
          </w:tcPr>
          <w:p>
            <w:pPr>
              <w:pStyle w:val="Normal-wk"/>
              <w:pageBreakBefore w:val="0"/>
              <w:numPr>
                <w:ilvl w:val="0"/>
                <w:numId w:val="0"/>
              </w:numPr>
              <w:spacing w:before="53" w:after="30" w:line="240" w:lineRule="auto"/>
              <w:ind w:left="0" w:right="0" w:firstLine="0"/>
              <w:jc w:val="both"/>
              <w:outlineLvl w:val="9"/>
              <w:rPr>
                <w:rFonts w:ascii="Times New Roman" w:eastAsia="Times New Roman" w:hAnsi="Times New Roman" w:cs="Times New Roman"/>
                <w:b w:val="0"/>
                <w:i w:val="0"/>
                <w:sz w:val="20"/>
                <w:shd w:val="clear" w:color="auto" w:fill="auto"/>
              </w:rPr>
            </w:pPr>
            <w:hyperlink r:id="rId25" w:history="1">
              <w:r>
                <w:rPr>
                  <w:rFonts w:ascii="Times New Roman" w:eastAsia="Times New Roman" w:hAnsi="Times New Roman" w:cs="Times New Roman"/>
                  <w:b w:val="0"/>
                  <w:i w:val="0"/>
                  <w:color w:val="0000FF"/>
                  <w:sz w:val="20"/>
                  <w:u w:val="single"/>
                  <w:shd w:val="clear" w:color="auto" w:fill="auto"/>
                </w:rPr>
                <w:t>Certification pursuant to 18 U.S.C. Section 1350, as adopted pursuant to Section 906 of the Sarbanes-Oxley Act of 2002 (furnished herewith).</w:t>
              </w:r>
            </w:hyperlink>
          </w:p>
        </w:tc>
      </w:tr>
      <w:tr>
        <w:tblPrEx>
          <w:tblW w:w="10230" w:type="dxa"/>
          <w:tblInd w:w="0" w:type="dxa"/>
          <w:tblLayout w:type="fixed"/>
        </w:tblPrEx>
        <w:trPr>
          <w:trHeight w:hRule="exact" w:val="120"/>
        </w:trPr>
        <w:tc>
          <w:tcPr>
            <w:tcW w:w="1140" w:type="dxa"/>
            <w:tcBorders>
              <w:top w:val="nil"/>
              <w:left w:val="nil"/>
              <w:bottom w:val="nil"/>
              <w:right w:val="nil"/>
            </w:tcBorders>
            <w:tcMar>
              <w:top w:w="0" w:type="dxa"/>
              <w:left w:w="0" w:type="dxa"/>
              <w:bottom w:w="0" w:type="dxa"/>
              <w:right w:w="0" w:type="dxa"/>
            </w:tcMar>
            <w:vAlign w:val="bottom"/>
          </w:tcPr>
          <w:p>
            <w:pPr>
              <w:pageBreakBefore w:val="0"/>
              <w:spacing w:before="0" w:after="0"/>
            </w:pPr>
          </w:p>
        </w:tc>
        <w:tc>
          <w:tcPr>
            <w:tcW w:w="195" w:type="dxa"/>
            <w:tcBorders>
              <w:top w:val="nil"/>
              <w:left w:val="nil"/>
              <w:bottom w:val="nil"/>
              <w:right w:val="nil"/>
            </w:tcBorders>
            <w:tcMar>
              <w:top w:w="0" w:type="dxa"/>
              <w:left w:w="0" w:type="dxa"/>
              <w:bottom w:w="0" w:type="dxa"/>
              <w:right w:w="0" w:type="dxa"/>
            </w:tcMar>
            <w:vAlign w:val="bottom"/>
          </w:tcPr>
          <w:p>
            <w:pPr>
              <w:pageBreakBefore w:val="0"/>
              <w:spacing w:before="0" w:after="0"/>
            </w:pPr>
          </w:p>
        </w:tc>
        <w:tc>
          <w:tcPr>
            <w:tcW w:w="8895" w:type="dxa"/>
            <w:tcBorders>
              <w:top w:val="nil"/>
              <w:left w:val="nil"/>
              <w:bottom w:val="nil"/>
              <w:right w:val="nil"/>
            </w:tcBorders>
            <w:tcMar>
              <w:top w:w="0" w:type="dxa"/>
              <w:left w:w="0" w:type="dxa"/>
              <w:bottom w:w="0" w:type="dxa"/>
              <w:right w:w="0" w:type="dxa"/>
            </w:tcMar>
            <w:vAlign w:val="bottom"/>
          </w:tcPr>
          <w:p>
            <w:pPr>
              <w:pageBreakBefore w:val="0"/>
              <w:spacing w:before="0" w:after="0"/>
            </w:pPr>
          </w:p>
        </w:tc>
      </w:tr>
      <w:tr>
        <w:tblPrEx>
          <w:tblW w:w="10230" w:type="dxa"/>
          <w:tblInd w:w="0" w:type="dxa"/>
          <w:tblLayout w:type="fixed"/>
        </w:tblPrEx>
        <w:trPr>
          <w:trHeight w:hRule="exact" w:val="1065"/>
        </w:trPr>
        <w:tc>
          <w:tcPr>
            <w:tcW w:w="1140" w:type="dxa"/>
            <w:tcBorders>
              <w:top w:val="nil"/>
              <w:left w:val="nil"/>
              <w:bottom w:val="nil"/>
              <w:right w:val="nil"/>
            </w:tcBorders>
            <w:tcMar>
              <w:top w:w="0" w:type="dxa"/>
              <w:left w:w="53" w:type="dxa"/>
              <w:bottom w:w="0" w:type="dxa"/>
              <w:right w:w="15" w:type="dxa"/>
            </w:tcMar>
            <w:vAlign w:val="top"/>
          </w:tcPr>
          <w:p>
            <w:pPr>
              <w:pageBreakBefore w:val="0"/>
              <w:spacing w:before="53" w:after="30" w:line="240" w:lineRule="auto"/>
              <w:jc w:val="left"/>
            </w:pPr>
            <w:r>
              <w:rPr>
                <w:rFonts w:ascii="Times New Roman" w:eastAsia="Times New Roman" w:hAnsi="Times New Roman" w:cs="Times New Roman"/>
                <w:b w:val="0"/>
                <w:i w:val="0"/>
                <w:color w:val="000000"/>
                <w:sz w:val="20"/>
                <w:u w:val="none"/>
              </w:rPr>
              <w:t>101</w:t>
            </w:r>
          </w:p>
        </w:tc>
        <w:tc>
          <w:tcPr>
            <w:tcW w:w="195" w:type="dxa"/>
            <w:tcBorders>
              <w:top w:val="nil"/>
              <w:left w:val="nil"/>
              <w:bottom w:val="nil"/>
              <w:right w:val="nil"/>
            </w:tcBorders>
            <w:tcMar>
              <w:top w:w="0" w:type="dxa"/>
              <w:left w:w="0" w:type="dxa"/>
              <w:bottom w:w="0" w:type="dxa"/>
              <w:right w:w="0" w:type="dxa"/>
            </w:tcMar>
            <w:vAlign w:val="bottom"/>
          </w:tcPr>
          <w:p>
            <w:pPr>
              <w:pageBreakBefore w:val="0"/>
              <w:spacing w:before="0" w:after="0"/>
            </w:pPr>
          </w:p>
        </w:tc>
        <w:tc>
          <w:tcPr>
            <w:tcW w:w="8895" w:type="dxa"/>
            <w:tcBorders>
              <w:top w:val="nil"/>
              <w:left w:val="nil"/>
              <w:bottom w:val="nil"/>
              <w:right w:val="nil"/>
            </w:tcBorders>
            <w:tcMar>
              <w:top w:w="0" w:type="dxa"/>
              <w:left w:w="53" w:type="dxa"/>
              <w:bottom w:w="0" w:type="dxa"/>
              <w:right w:w="53" w:type="dxa"/>
            </w:tcMar>
            <w:vAlign w:val="bottom"/>
          </w:tcPr>
          <w:p>
            <w:pPr>
              <w:pageBreakBefore w:val="0"/>
              <w:numPr>
                <w:ilvl w:val="0"/>
                <w:numId w:val="0"/>
              </w:numPr>
              <w:spacing w:before="53" w:after="30" w:line="240" w:lineRule="auto"/>
              <w:ind w:left="0" w:right="0" w:firstLine="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 xml:space="preserve">The following materials from Asure Software, Inc.’s Condensed Quarterly Report on Form 10-Q for the three months ended </w:t>
            </w:r>
            <w:r>
              <w:rPr>
                <w:rFonts w:ascii="Times New Roman" w:eastAsia="Times New Roman" w:hAnsi="Times New Roman" w:cs="Times New Roman"/>
                <w:b w:val="0"/>
                <w:i w:val="0"/>
                <w:color w:val="000000"/>
                <w:sz w:val="20"/>
                <w:u w:val="none"/>
              </w:rPr>
              <w:t>March 31, 2026</w:t>
            </w:r>
            <w:r>
              <w:rPr>
                <w:rFonts w:ascii="Times New Roman" w:eastAsia="Times New Roman" w:hAnsi="Times New Roman" w:cs="Times New Roman"/>
                <w:b w:val="0"/>
                <w:i w:val="0"/>
                <w:sz w:val="20"/>
              </w:rPr>
              <w:t>, formatted in Inline XBRL: (1) the Condensed Consolidated Balance Sheets, (2) the Condensed Consolidated Statements of Comprehensive Loss, (3) the Condensed Consolidated Statements of Changes in Stockholders’ Equity, (4) the Condensed Consolidated Statements of Cash Flows, and (5) Notes to the Condensed Consolidated Financial Statements (filed herewith).</w:t>
            </w:r>
          </w:p>
        </w:tc>
      </w:tr>
      <w:tr>
        <w:tblPrEx>
          <w:tblW w:w="10230" w:type="dxa"/>
          <w:tblInd w:w="0" w:type="dxa"/>
          <w:tblLayout w:type="fixed"/>
        </w:tblPrEx>
        <w:trPr>
          <w:trHeight w:hRule="exact" w:val="120"/>
        </w:trPr>
        <w:tc>
          <w:tcPr>
            <w:tcW w:w="1140" w:type="dxa"/>
            <w:tcBorders>
              <w:top w:val="nil"/>
              <w:left w:val="nil"/>
              <w:bottom w:val="nil"/>
              <w:right w:val="nil"/>
            </w:tcBorders>
            <w:tcMar>
              <w:top w:w="0" w:type="dxa"/>
              <w:left w:w="0" w:type="dxa"/>
              <w:bottom w:w="0" w:type="dxa"/>
              <w:right w:w="0" w:type="dxa"/>
            </w:tcMar>
            <w:vAlign w:val="bottom"/>
          </w:tcPr>
          <w:p>
            <w:pPr>
              <w:pageBreakBefore w:val="0"/>
              <w:spacing w:before="0" w:after="0"/>
            </w:pPr>
          </w:p>
        </w:tc>
        <w:tc>
          <w:tcPr>
            <w:tcW w:w="195" w:type="dxa"/>
            <w:tcBorders>
              <w:top w:val="nil"/>
              <w:left w:val="nil"/>
              <w:bottom w:val="nil"/>
              <w:right w:val="nil"/>
            </w:tcBorders>
            <w:tcMar>
              <w:top w:w="0" w:type="dxa"/>
              <w:left w:w="0" w:type="dxa"/>
              <w:bottom w:w="0" w:type="dxa"/>
              <w:right w:w="0" w:type="dxa"/>
            </w:tcMar>
            <w:vAlign w:val="bottom"/>
          </w:tcPr>
          <w:p>
            <w:pPr>
              <w:pageBreakBefore w:val="0"/>
              <w:spacing w:before="0" w:after="0"/>
            </w:pPr>
          </w:p>
        </w:tc>
        <w:tc>
          <w:tcPr>
            <w:tcW w:w="8895" w:type="dxa"/>
            <w:tcBorders>
              <w:top w:val="nil"/>
              <w:left w:val="nil"/>
              <w:bottom w:val="nil"/>
              <w:right w:val="nil"/>
            </w:tcBorders>
            <w:tcMar>
              <w:top w:w="0" w:type="dxa"/>
              <w:left w:w="0" w:type="dxa"/>
              <w:bottom w:w="0" w:type="dxa"/>
              <w:right w:w="0" w:type="dxa"/>
            </w:tcMar>
            <w:vAlign w:val="bottom"/>
          </w:tcPr>
          <w:p>
            <w:pPr>
              <w:pageBreakBefore w:val="0"/>
              <w:spacing w:before="0" w:after="0"/>
            </w:pPr>
          </w:p>
        </w:tc>
      </w:tr>
      <w:tr>
        <w:tblPrEx>
          <w:tblW w:w="10230" w:type="dxa"/>
          <w:tblInd w:w="0" w:type="dxa"/>
          <w:tblLayout w:type="fixed"/>
        </w:tblPrEx>
        <w:trPr>
          <w:trHeight w:hRule="exact" w:val="495"/>
        </w:trPr>
        <w:tc>
          <w:tcPr>
            <w:tcW w:w="1140" w:type="dxa"/>
            <w:tcBorders>
              <w:top w:val="nil"/>
              <w:left w:val="nil"/>
              <w:bottom w:val="nil"/>
              <w:right w:val="nil"/>
            </w:tcBorders>
            <w:tcMar>
              <w:top w:w="0" w:type="dxa"/>
              <w:left w:w="53" w:type="dxa"/>
              <w:bottom w:w="0" w:type="dxa"/>
              <w:right w:w="15" w:type="dxa"/>
            </w:tcMar>
            <w:vAlign w:val="top"/>
          </w:tcPr>
          <w:p>
            <w:pPr>
              <w:pageBreakBefore w:val="0"/>
              <w:spacing w:before="53" w:after="30" w:line="240" w:lineRule="auto"/>
              <w:jc w:val="left"/>
            </w:pPr>
            <w:r>
              <w:rPr>
                <w:rFonts w:ascii="Times New Roman" w:eastAsia="Times New Roman" w:hAnsi="Times New Roman" w:cs="Times New Roman"/>
                <w:b w:val="0"/>
                <w:i w:val="0"/>
                <w:color w:val="000000"/>
                <w:sz w:val="20"/>
                <w:u w:val="none"/>
              </w:rPr>
              <w:t>104</w:t>
            </w:r>
          </w:p>
        </w:tc>
        <w:tc>
          <w:tcPr>
            <w:tcW w:w="195" w:type="dxa"/>
            <w:tcBorders>
              <w:top w:val="nil"/>
              <w:left w:val="nil"/>
              <w:bottom w:val="nil"/>
              <w:right w:val="nil"/>
            </w:tcBorders>
            <w:tcMar>
              <w:top w:w="0" w:type="dxa"/>
              <w:left w:w="0" w:type="dxa"/>
              <w:bottom w:w="0" w:type="dxa"/>
              <w:right w:w="0" w:type="dxa"/>
            </w:tcMar>
            <w:vAlign w:val="bottom"/>
          </w:tcPr>
          <w:p>
            <w:pPr>
              <w:pageBreakBefore w:val="0"/>
              <w:spacing w:before="0" w:after="0"/>
            </w:pPr>
          </w:p>
        </w:tc>
        <w:tc>
          <w:tcPr>
            <w:tcW w:w="8895" w:type="dxa"/>
            <w:tcBorders>
              <w:top w:val="nil"/>
              <w:left w:val="nil"/>
              <w:bottom w:val="nil"/>
              <w:right w:val="nil"/>
            </w:tcBorders>
            <w:tcMar>
              <w:top w:w="0" w:type="dxa"/>
              <w:left w:w="53" w:type="dxa"/>
              <w:bottom w:w="0" w:type="dxa"/>
              <w:right w:w="53" w:type="dxa"/>
            </w:tcMar>
            <w:vAlign w:val="bottom"/>
          </w:tcPr>
          <w:p>
            <w:pPr>
              <w:pageBreakBefore w:val="0"/>
              <w:numPr>
                <w:ilvl w:val="0"/>
                <w:numId w:val="0"/>
              </w:numPr>
              <w:spacing w:before="53" w:after="30" w:line="240" w:lineRule="auto"/>
              <w:ind w:left="0" w:right="0" w:firstLine="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 xml:space="preserve">The cover page from the Company’s Quarterly Report on Form 10-Q for the quarter ended </w:t>
            </w:r>
            <w:r>
              <w:rPr>
                <w:rFonts w:ascii="Times New Roman" w:eastAsia="Times New Roman" w:hAnsi="Times New Roman" w:cs="Times New Roman"/>
                <w:b w:val="0"/>
                <w:i w:val="0"/>
                <w:color w:val="000000"/>
                <w:sz w:val="20"/>
                <w:u w:val="none"/>
              </w:rPr>
              <w:t>March 31, 2026</w:t>
            </w:r>
            <w:r>
              <w:rPr>
                <w:rFonts w:ascii="Times New Roman" w:eastAsia="Times New Roman" w:hAnsi="Times New Roman" w:cs="Times New Roman"/>
                <w:b w:val="0"/>
                <w:i w:val="0"/>
                <w:sz w:val="20"/>
              </w:rPr>
              <w:t>, formatted as Inline XBRL and contained in Exhibit 101 (filed herewith).</w:t>
            </w:r>
          </w:p>
        </w:tc>
      </w:tr>
    </w:tbl>
    <w:p>
      <w:pPr>
        <w:keepNext w:val="0"/>
        <w:keepLines w:val="0"/>
        <w:pageBreakBefore w:val="0"/>
        <w:widowControl/>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p>
    <w:p>
      <w:pPr>
        <w:keepNext w:val="0"/>
        <w:keepLines w:val="0"/>
        <w:pageBreakBefore w:val="0"/>
        <w:widowControl/>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p>
    <w:p>
      <w:pPr>
        <w:keepNext w:val="0"/>
        <w:keepLines w:val="0"/>
        <w:pageBreakBefore w:val="0"/>
        <w:widowControl/>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p>
    <w:p>
      <w:pPr>
        <w:keepNext w:val="0"/>
        <w:keepLines w:val="0"/>
        <w:pageBreakBefore w:val="0"/>
        <w:widowControl/>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p>
    <w:p>
      <w:pPr>
        <w:keepNext w:val="0"/>
        <w:keepLines w:val="0"/>
        <w:pageBreakBefore w:val="0"/>
        <w:widowControl/>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p>
    <w:p>
      <w:pPr>
        <w:keepNext w:val="0"/>
        <w:keepLines w:val="0"/>
        <w:pageBreakBefore w:val="0"/>
        <w:widowControl/>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w:t>
      </w:r>
      <w:r>
        <w:rPr>
          <w:rFonts w:ascii="Times New Roman" w:eastAsia="Times New Roman" w:hAnsi="Times New Roman" w:cs="Times New Roman"/>
          <w:b w:val="0"/>
          <w:i w:val="0"/>
          <w:sz w:val="20"/>
        </w:rPr>
        <w:tab/>
      </w:r>
      <w:r>
        <w:rPr>
          <w:rFonts w:ascii="Times New Roman" w:eastAsia="Times New Roman" w:hAnsi="Times New Roman" w:cs="Times New Roman"/>
          <w:b w:val="0"/>
          <w:i w:val="0"/>
          <w:sz w:val="20"/>
        </w:rPr>
        <w:t>Filed herewith.</w:t>
      </w:r>
    </w:p>
    <w:p>
      <w:pPr>
        <w:keepNext w:val="0"/>
        <w:keepLines w:val="0"/>
        <w:pageBreakBefore w:val="0"/>
        <w:widowControl/>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p>
    <w:p>
      <w:pPr>
        <w:keepNext w:val="0"/>
        <w:keepLines w:val="0"/>
        <w:pageBreakBefore w:val="0"/>
        <w:widowControl/>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w:t>
      </w:r>
      <w:r>
        <w:rPr>
          <w:rFonts w:ascii="Times New Roman" w:eastAsia="Times New Roman" w:hAnsi="Times New Roman" w:cs="Times New Roman"/>
          <w:b w:val="0"/>
          <w:i w:val="0"/>
          <w:sz w:val="20"/>
        </w:rPr>
        <w:tab/>
      </w:r>
      <w:r>
        <w:rPr>
          <w:rFonts w:ascii="Times New Roman" w:eastAsia="Times New Roman" w:hAnsi="Times New Roman" w:cs="Times New Roman"/>
          <w:b w:val="0"/>
          <w:i w:val="0"/>
          <w:sz w:val="20"/>
        </w:rPr>
        <w:t>Furnished herewith.</w:t>
      </w:r>
    </w:p>
    <w:p>
      <w:pPr>
        <w:keepNext w:val="0"/>
        <w:keepLines w:val="0"/>
        <w:pageBreakBefore w:val="0"/>
        <w:widowControl/>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p>
    <w:p>
      <w:pPr>
        <w:keepNext w:val="0"/>
        <w:keepLines w:val="0"/>
        <w:pageBreakBefore w:val="0"/>
        <w:widowControl/>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w:t>
      </w:r>
      <w:r>
        <w:rPr>
          <w:rFonts w:ascii="Times New Roman" w:eastAsia="Times New Roman" w:hAnsi="Times New Roman" w:cs="Times New Roman"/>
          <w:b w:val="0"/>
          <w:i w:val="0"/>
          <w:sz w:val="20"/>
        </w:rPr>
        <w:tab/>
      </w:r>
      <w:r>
        <w:rPr>
          <w:rFonts w:ascii="Times New Roman" w:eastAsia="Times New Roman" w:hAnsi="Times New Roman" w:cs="Times New Roman"/>
          <w:b w:val="0"/>
          <w:i w:val="0"/>
          <w:sz w:val="20"/>
        </w:rPr>
        <w:t xml:space="preserve">Indicates management contract or compensatory plan, contract or arrangement in which directors or executive officers participate. </w:t>
      </w:r>
    </w:p>
    <w:p>
      <w:pPr>
        <w:keepNext w:val="0"/>
        <w:keepLines w:val="0"/>
        <w:pageBreakBefore w:val="0"/>
        <w:widowControl/>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sectPr>
          <w:pgSz w:w="12240" w:h="15840"/>
          <w:pgMar w:top="855" w:right="990" w:bottom="855" w:left="990" w:header="270" w:footer="270"/>
          <w:cols w:space="708"/>
        </w:sectPr>
      </w:pPr>
    </w:p>
    <w:p>
      <w:pPr>
        <w:keepNext/>
        <w:keepLines/>
        <w:pageBreakBefore w:val="0"/>
        <w:widowControl w:val="0"/>
        <w:numPr>
          <w:ilvl w:val="0"/>
          <w:numId w:val="0"/>
        </w:numPr>
        <w:spacing w:before="0" w:after="0" w:line="288" w:lineRule="auto"/>
        <w:ind w:left="0" w:right="0" w:firstLine="0"/>
        <w:jc w:val="center"/>
        <w:outlineLvl w:val="0"/>
        <w:rPr>
          <w:rFonts w:ascii="Times New Roman" w:eastAsia="Times New Roman" w:hAnsi="Times New Roman" w:cs="Times New Roman"/>
          <w:b/>
          <w:i w:val="0"/>
          <w:sz w:val="20"/>
        </w:rPr>
      </w:pPr>
      <w:bookmarkStart w:id="36" w:name="Section37"/>
      <w:bookmarkEnd w:id="36"/>
      <w:r>
        <w:rPr>
          <w:rFonts w:ascii="Times New Roman" w:eastAsia="Times New Roman" w:hAnsi="Times New Roman" w:cs="Times New Roman"/>
          <w:b/>
          <w:i w:val="0"/>
          <w:sz w:val="20"/>
        </w:rPr>
        <w:t>SIGNATURES</w:t>
      </w:r>
    </w:p>
    <w:p>
      <w:pPr>
        <w:keepNext/>
        <w:keepLines/>
        <w:pageBreakBefore w:val="0"/>
        <w:widowControl w:val="0"/>
        <w:numPr>
          <w:ilvl w:val="0"/>
          <w:numId w:val="0"/>
        </w:numPr>
        <w:spacing w:before="0" w:after="0" w:line="288" w:lineRule="auto"/>
        <w:ind w:left="0" w:right="0" w:firstLine="135"/>
        <w:jc w:val="center"/>
        <w:outlineLvl w:val="9"/>
        <w:rPr>
          <w:rFonts w:ascii="Times New Roman" w:eastAsia="Times New Roman" w:hAnsi="Times New Roman" w:cs="Times New Roman"/>
          <w:b/>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Pursuant to the requirements of the Securities Exchange Act of 1934, as amended, the registrant has duly caused this report to be signed on its behalf by the undersigned thereunto duly authorized.</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p>
    <w:tbl>
      <w:tblPr>
        <w:tblStyle w:val="TableNormal0"/>
        <w:tblW w:w="10200" w:type="dxa"/>
        <w:jc w:val="left"/>
        <w:tblInd w:w="0" w:type="dxa"/>
        <w:tblLayout w:type="fixed"/>
      </w:tblPr>
      <w:tblGrid>
        <w:gridCol w:w="2235"/>
        <w:gridCol w:w="405"/>
        <w:gridCol w:w="3705"/>
        <w:gridCol w:w="3855"/>
      </w:tblGrid>
      <w:tr>
        <w:tblPrEx>
          <w:tblW w:w="10200" w:type="dxa"/>
          <w:tblInd w:w="0" w:type="dxa"/>
          <w:tblLayout w:type="fixed"/>
        </w:tblPrEx>
        <w:trPr>
          <w:trHeight w:hRule="exact" w:val="285"/>
        </w:trPr>
        <w:tc>
          <w:tcPr>
            <w:tcW w:w="2235" w:type="dxa"/>
            <w:tcBorders>
              <w:top w:val="nil"/>
              <w:left w:val="nil"/>
              <w:bottom w:val="nil"/>
              <w:right w:val="nil"/>
            </w:tcBorders>
            <w:tcMar>
              <w:top w:w="0" w:type="dxa"/>
              <w:left w:w="53" w:type="dxa"/>
              <w:bottom w:w="0" w:type="dxa"/>
              <w:right w:w="53" w:type="dxa"/>
            </w:tcMar>
            <w:vAlign w:val="top"/>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 </w:t>
            </w:r>
          </w:p>
        </w:tc>
        <w:tc>
          <w:tcPr>
            <w:tcW w:w="4110" w:type="dxa"/>
            <w:gridSpan w:val="2"/>
            <w:tcBorders>
              <w:top w:val="nil"/>
              <w:left w:val="nil"/>
              <w:bottom w:val="nil"/>
              <w:right w:val="nil"/>
            </w:tcBorders>
            <w:tcMar>
              <w:top w:w="0" w:type="dxa"/>
              <w:left w:w="53" w:type="dxa"/>
              <w:bottom w:w="0" w:type="dxa"/>
              <w:right w:w="53" w:type="dxa"/>
            </w:tcMar>
            <w:vAlign w:val="top"/>
          </w:tcPr>
          <w:p>
            <w:pPr>
              <w:keepNext/>
              <w:pageBreakBefore w:val="0"/>
              <w:spacing w:before="53" w:after="30" w:line="240" w:lineRule="auto"/>
              <w:jc w:val="left"/>
            </w:pPr>
            <w:r>
              <w:rPr>
                <w:rFonts w:ascii="Times New Roman" w:eastAsia="Times New Roman" w:hAnsi="Times New Roman" w:cs="Times New Roman"/>
                <w:b/>
                <w:i w:val="0"/>
                <w:color w:val="000000"/>
                <w:sz w:val="20"/>
                <w:u w:val="none"/>
              </w:rPr>
              <w:t>ASURE SOFTWARE, INC.</w:t>
            </w:r>
          </w:p>
        </w:tc>
        <w:tc>
          <w:tcPr>
            <w:tcW w:w="385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r>
      <w:tr>
        <w:tblPrEx>
          <w:tblW w:w="10200" w:type="dxa"/>
          <w:tblInd w:w="0" w:type="dxa"/>
          <w:tblLayout w:type="fixed"/>
        </w:tblPrEx>
        <w:trPr>
          <w:trHeight w:hRule="exact" w:val="285"/>
        </w:trPr>
        <w:tc>
          <w:tcPr>
            <w:tcW w:w="2235" w:type="dxa"/>
            <w:tcBorders>
              <w:top w:val="nil"/>
              <w:left w:val="nil"/>
              <w:bottom w:val="nil"/>
              <w:right w:val="nil"/>
            </w:tcBorders>
            <w:tcMar>
              <w:top w:w="0" w:type="dxa"/>
              <w:left w:w="53" w:type="dxa"/>
              <w:bottom w:w="0" w:type="dxa"/>
              <w:right w:w="53" w:type="dxa"/>
            </w:tcMar>
            <w:vAlign w:val="top"/>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 </w:t>
            </w:r>
          </w:p>
        </w:tc>
        <w:tc>
          <w:tcPr>
            <w:tcW w:w="405" w:type="dxa"/>
            <w:tcBorders>
              <w:top w:val="nil"/>
              <w:left w:val="nil"/>
              <w:bottom w:val="nil"/>
              <w:right w:val="nil"/>
            </w:tcBorders>
            <w:tcMar>
              <w:top w:w="0" w:type="dxa"/>
              <w:left w:w="53" w:type="dxa"/>
              <w:bottom w:w="0" w:type="dxa"/>
              <w:right w:w="53" w:type="dxa"/>
            </w:tcMar>
            <w:vAlign w:val="top"/>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 </w:t>
            </w:r>
          </w:p>
        </w:tc>
        <w:tc>
          <w:tcPr>
            <w:tcW w:w="3705" w:type="dxa"/>
            <w:tcBorders>
              <w:top w:val="nil"/>
              <w:left w:val="nil"/>
              <w:bottom w:val="nil"/>
              <w:right w:val="nil"/>
            </w:tcBorders>
            <w:tcMar>
              <w:top w:w="0" w:type="dxa"/>
              <w:left w:w="53" w:type="dxa"/>
              <w:bottom w:w="0" w:type="dxa"/>
              <w:right w:w="53" w:type="dxa"/>
            </w:tcMar>
            <w:vAlign w:val="top"/>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 </w:t>
            </w:r>
          </w:p>
        </w:tc>
        <w:tc>
          <w:tcPr>
            <w:tcW w:w="385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r>
      <w:tr>
        <w:tblPrEx>
          <w:tblW w:w="10200" w:type="dxa"/>
          <w:tblInd w:w="0" w:type="dxa"/>
          <w:tblLayout w:type="fixed"/>
        </w:tblPrEx>
        <w:trPr>
          <w:trHeight w:hRule="exact" w:val="285"/>
        </w:trPr>
        <w:tc>
          <w:tcPr>
            <w:tcW w:w="2235" w:type="dxa"/>
            <w:tcBorders>
              <w:top w:val="nil"/>
              <w:left w:val="nil"/>
              <w:bottom w:val="nil"/>
              <w:right w:val="nil"/>
            </w:tcBorders>
            <w:tcMar>
              <w:top w:w="0" w:type="dxa"/>
              <w:left w:w="53" w:type="dxa"/>
              <w:bottom w:w="0" w:type="dxa"/>
              <w:right w:w="53" w:type="dxa"/>
            </w:tcMar>
            <w:vAlign w:val="top"/>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Date: April 30, 2026</w:t>
            </w:r>
          </w:p>
        </w:tc>
        <w:tc>
          <w:tcPr>
            <w:tcW w:w="405" w:type="dxa"/>
            <w:tcBorders>
              <w:top w:val="nil"/>
              <w:left w:val="nil"/>
              <w:bottom w:val="nil"/>
              <w:right w:val="nil"/>
            </w:tcBorders>
            <w:tcMar>
              <w:top w:w="0" w:type="dxa"/>
              <w:left w:w="53" w:type="dxa"/>
              <w:bottom w:w="0" w:type="dxa"/>
              <w:right w:w="53" w:type="dxa"/>
            </w:tcMar>
            <w:vAlign w:val="top"/>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By:</w:t>
            </w:r>
          </w:p>
        </w:tc>
        <w:tc>
          <w:tcPr>
            <w:tcW w:w="3705" w:type="dxa"/>
            <w:tcBorders>
              <w:top w:val="nil"/>
              <w:left w:val="nil"/>
              <w:bottom w:val="single" w:sz="8" w:space="0" w:color="000000"/>
              <w:right w:val="nil"/>
            </w:tcBorders>
            <w:tcMar>
              <w:top w:w="0" w:type="dxa"/>
              <w:left w:w="53" w:type="dxa"/>
              <w:bottom w:w="0" w:type="dxa"/>
              <w:right w:w="53" w:type="dxa"/>
            </w:tcMar>
            <w:vAlign w:val="top"/>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/s/ PATRICK GOEPEL</w:t>
            </w:r>
          </w:p>
        </w:tc>
        <w:tc>
          <w:tcPr>
            <w:tcW w:w="385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r>
      <w:tr>
        <w:tblPrEx>
          <w:tblW w:w="10200" w:type="dxa"/>
          <w:tblInd w:w="0" w:type="dxa"/>
          <w:tblLayout w:type="fixed"/>
        </w:tblPrEx>
        <w:trPr>
          <w:trHeight w:hRule="exact" w:val="285"/>
        </w:trPr>
        <w:tc>
          <w:tcPr>
            <w:tcW w:w="2235" w:type="dxa"/>
            <w:tcBorders>
              <w:top w:val="nil"/>
              <w:left w:val="nil"/>
              <w:bottom w:val="nil"/>
              <w:right w:val="nil"/>
            </w:tcBorders>
            <w:tcMar>
              <w:top w:w="0" w:type="dxa"/>
              <w:left w:w="53" w:type="dxa"/>
              <w:bottom w:w="0" w:type="dxa"/>
              <w:right w:w="53" w:type="dxa"/>
            </w:tcMar>
            <w:vAlign w:val="top"/>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 </w:t>
            </w:r>
          </w:p>
        </w:tc>
        <w:tc>
          <w:tcPr>
            <w:tcW w:w="405" w:type="dxa"/>
            <w:tcBorders>
              <w:top w:val="nil"/>
              <w:left w:val="nil"/>
              <w:bottom w:val="nil"/>
              <w:right w:val="nil"/>
            </w:tcBorders>
            <w:tcMar>
              <w:top w:w="0" w:type="dxa"/>
              <w:left w:w="53" w:type="dxa"/>
              <w:bottom w:w="0" w:type="dxa"/>
              <w:right w:w="53" w:type="dxa"/>
            </w:tcMar>
            <w:vAlign w:val="top"/>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 </w:t>
            </w:r>
          </w:p>
        </w:tc>
        <w:tc>
          <w:tcPr>
            <w:tcW w:w="3705" w:type="dxa"/>
            <w:tcBorders>
              <w:top w:val="single" w:sz="8" w:space="0" w:color="000000"/>
              <w:left w:val="nil"/>
              <w:bottom w:val="nil"/>
              <w:right w:val="nil"/>
            </w:tcBorders>
            <w:tcMar>
              <w:top w:w="0" w:type="dxa"/>
              <w:left w:w="53" w:type="dxa"/>
              <w:bottom w:w="0" w:type="dxa"/>
              <w:right w:w="53" w:type="dxa"/>
            </w:tcMar>
            <w:vAlign w:val="bottom"/>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Patrick Goepel</w:t>
            </w:r>
          </w:p>
        </w:tc>
        <w:tc>
          <w:tcPr>
            <w:tcW w:w="385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r>
      <w:tr>
        <w:tblPrEx>
          <w:tblW w:w="10200" w:type="dxa"/>
          <w:tblInd w:w="0" w:type="dxa"/>
          <w:tblLayout w:type="fixed"/>
        </w:tblPrEx>
        <w:trPr>
          <w:trHeight w:hRule="exact" w:val="285"/>
        </w:trPr>
        <w:tc>
          <w:tcPr>
            <w:tcW w:w="2235" w:type="dxa"/>
            <w:tcBorders>
              <w:top w:val="nil"/>
              <w:left w:val="nil"/>
              <w:bottom w:val="nil"/>
              <w:right w:val="nil"/>
            </w:tcBorders>
            <w:tcMar>
              <w:top w:w="0" w:type="dxa"/>
              <w:left w:w="53" w:type="dxa"/>
              <w:bottom w:w="0" w:type="dxa"/>
              <w:right w:w="53" w:type="dxa"/>
            </w:tcMar>
            <w:vAlign w:val="top"/>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 </w:t>
            </w:r>
          </w:p>
        </w:tc>
        <w:tc>
          <w:tcPr>
            <w:tcW w:w="405" w:type="dxa"/>
            <w:tcBorders>
              <w:top w:val="nil"/>
              <w:left w:val="nil"/>
              <w:bottom w:val="nil"/>
              <w:right w:val="nil"/>
            </w:tcBorders>
            <w:tcMar>
              <w:top w:w="0" w:type="dxa"/>
              <w:left w:w="53" w:type="dxa"/>
              <w:bottom w:w="0" w:type="dxa"/>
              <w:right w:w="53" w:type="dxa"/>
            </w:tcMar>
            <w:vAlign w:val="top"/>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 </w:t>
            </w:r>
          </w:p>
        </w:tc>
        <w:tc>
          <w:tcPr>
            <w:tcW w:w="3705" w:type="dxa"/>
            <w:tcBorders>
              <w:top w:val="nil"/>
              <w:left w:val="nil"/>
              <w:bottom w:val="nil"/>
              <w:right w:val="nil"/>
            </w:tcBorders>
            <w:tcMar>
              <w:top w:w="0" w:type="dxa"/>
              <w:left w:w="53" w:type="dxa"/>
              <w:bottom w:w="0" w:type="dxa"/>
              <w:right w:w="53" w:type="dxa"/>
            </w:tcMar>
            <w:vAlign w:val="top"/>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Chief Executive Officer</w:t>
            </w:r>
          </w:p>
        </w:tc>
        <w:tc>
          <w:tcPr>
            <w:tcW w:w="385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r>
      <w:tr>
        <w:tblPrEx>
          <w:tblW w:w="10200" w:type="dxa"/>
          <w:tblInd w:w="0" w:type="dxa"/>
          <w:tblLayout w:type="fixed"/>
        </w:tblPrEx>
        <w:trPr>
          <w:trHeight w:hRule="exact" w:val="285"/>
        </w:trPr>
        <w:tc>
          <w:tcPr>
            <w:tcW w:w="223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40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3705" w:type="dxa"/>
            <w:tcBorders>
              <w:top w:val="nil"/>
              <w:left w:val="nil"/>
              <w:bottom w:val="nil"/>
              <w:right w:val="nil"/>
            </w:tcBorders>
            <w:tcMar>
              <w:top w:w="0" w:type="dxa"/>
              <w:left w:w="53" w:type="dxa"/>
              <w:bottom w:w="0" w:type="dxa"/>
              <w:right w:w="53" w:type="dxa"/>
            </w:tcMar>
            <w:vAlign w:val="top"/>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(Principal Executive Officer)</w:t>
            </w:r>
          </w:p>
        </w:tc>
        <w:tc>
          <w:tcPr>
            <w:tcW w:w="385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r>
      <w:tr>
        <w:tblPrEx>
          <w:tblW w:w="10200" w:type="dxa"/>
          <w:tblInd w:w="0" w:type="dxa"/>
          <w:tblLayout w:type="fixed"/>
        </w:tblPrEx>
        <w:trPr>
          <w:trHeight w:hRule="exact" w:val="285"/>
        </w:trPr>
        <w:tc>
          <w:tcPr>
            <w:tcW w:w="223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40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370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385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r>
      <w:tr>
        <w:tblPrEx>
          <w:tblW w:w="10200" w:type="dxa"/>
          <w:tblInd w:w="0" w:type="dxa"/>
          <w:tblLayout w:type="fixed"/>
        </w:tblPrEx>
        <w:trPr>
          <w:trHeight w:hRule="exact" w:val="285"/>
        </w:trPr>
        <w:tc>
          <w:tcPr>
            <w:tcW w:w="2235" w:type="dxa"/>
            <w:tcBorders>
              <w:top w:val="nil"/>
              <w:left w:val="nil"/>
              <w:bottom w:val="nil"/>
              <w:right w:val="nil"/>
            </w:tcBorders>
            <w:tcMar>
              <w:top w:w="0" w:type="dxa"/>
              <w:left w:w="53" w:type="dxa"/>
              <w:bottom w:w="0" w:type="dxa"/>
              <w:right w:w="53" w:type="dxa"/>
            </w:tcMar>
            <w:vAlign w:val="top"/>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Date: April 30, 2026</w:t>
            </w:r>
          </w:p>
        </w:tc>
        <w:tc>
          <w:tcPr>
            <w:tcW w:w="405" w:type="dxa"/>
            <w:tcBorders>
              <w:top w:val="nil"/>
              <w:left w:val="nil"/>
              <w:bottom w:val="nil"/>
              <w:right w:val="nil"/>
            </w:tcBorders>
            <w:tcMar>
              <w:top w:w="0" w:type="dxa"/>
              <w:left w:w="53" w:type="dxa"/>
              <w:bottom w:w="0" w:type="dxa"/>
              <w:right w:w="53" w:type="dxa"/>
            </w:tcMar>
            <w:vAlign w:val="top"/>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By:</w:t>
            </w:r>
          </w:p>
        </w:tc>
        <w:tc>
          <w:tcPr>
            <w:tcW w:w="3705" w:type="dxa"/>
            <w:tcBorders>
              <w:top w:val="nil"/>
              <w:left w:val="nil"/>
              <w:bottom w:val="single" w:sz="8" w:space="0" w:color="000000"/>
              <w:right w:val="nil"/>
            </w:tcBorders>
            <w:tcMar>
              <w:top w:w="0" w:type="dxa"/>
              <w:left w:w="53" w:type="dxa"/>
              <w:bottom w:w="0" w:type="dxa"/>
              <w:right w:w="53" w:type="dxa"/>
            </w:tcMar>
            <w:vAlign w:val="top"/>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/s/ JOHN PENCE</w:t>
            </w:r>
          </w:p>
        </w:tc>
        <w:tc>
          <w:tcPr>
            <w:tcW w:w="385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r>
      <w:tr>
        <w:tblPrEx>
          <w:tblW w:w="10200" w:type="dxa"/>
          <w:tblInd w:w="0" w:type="dxa"/>
          <w:tblLayout w:type="fixed"/>
        </w:tblPrEx>
        <w:trPr>
          <w:trHeight w:hRule="exact" w:val="285"/>
        </w:trPr>
        <w:tc>
          <w:tcPr>
            <w:tcW w:w="223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40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3705" w:type="dxa"/>
            <w:tcBorders>
              <w:top w:val="single" w:sz="8" w:space="0" w:color="000000"/>
              <w:left w:val="nil"/>
              <w:bottom w:val="nil"/>
              <w:right w:val="nil"/>
            </w:tcBorders>
            <w:tcMar>
              <w:top w:w="0" w:type="dxa"/>
              <w:left w:w="53" w:type="dxa"/>
              <w:bottom w:w="0" w:type="dxa"/>
              <w:right w:w="53" w:type="dxa"/>
            </w:tcMar>
            <w:vAlign w:val="bottom"/>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John Pence</w:t>
            </w:r>
          </w:p>
        </w:tc>
        <w:tc>
          <w:tcPr>
            <w:tcW w:w="385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r>
      <w:tr>
        <w:tblPrEx>
          <w:tblW w:w="10200" w:type="dxa"/>
          <w:tblInd w:w="0" w:type="dxa"/>
          <w:tblLayout w:type="fixed"/>
        </w:tblPrEx>
        <w:trPr>
          <w:trHeight w:hRule="exact" w:val="285"/>
        </w:trPr>
        <w:tc>
          <w:tcPr>
            <w:tcW w:w="223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40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3705" w:type="dxa"/>
            <w:tcBorders>
              <w:top w:val="nil"/>
              <w:left w:val="nil"/>
              <w:bottom w:val="nil"/>
              <w:right w:val="nil"/>
            </w:tcBorders>
            <w:tcMar>
              <w:top w:w="0" w:type="dxa"/>
              <w:left w:w="53" w:type="dxa"/>
              <w:bottom w:w="0" w:type="dxa"/>
              <w:right w:w="53" w:type="dxa"/>
            </w:tcMar>
            <w:vAlign w:val="top"/>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Chief Financial Officer</w:t>
            </w:r>
          </w:p>
        </w:tc>
        <w:tc>
          <w:tcPr>
            <w:tcW w:w="385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r>
      <w:tr>
        <w:tblPrEx>
          <w:tblW w:w="10200" w:type="dxa"/>
          <w:tblInd w:w="0" w:type="dxa"/>
          <w:tblLayout w:type="fixed"/>
        </w:tblPrEx>
        <w:trPr>
          <w:trHeight w:hRule="exact" w:val="285"/>
        </w:trPr>
        <w:tc>
          <w:tcPr>
            <w:tcW w:w="2235" w:type="dxa"/>
            <w:tcBorders>
              <w:top w:val="nil"/>
              <w:left w:val="nil"/>
              <w:bottom w:val="nil"/>
              <w:right w:val="nil"/>
            </w:tcBorders>
            <w:tcMar>
              <w:top w:w="0" w:type="dxa"/>
              <w:left w:w="0" w:type="dxa"/>
              <w:bottom w:w="0" w:type="dxa"/>
              <w:right w:w="0" w:type="dxa"/>
            </w:tcMar>
            <w:vAlign w:val="bottom"/>
          </w:tcPr>
          <w:p>
            <w:pPr>
              <w:pageBreakBefore w:val="0"/>
              <w:spacing w:before="0" w:after="0"/>
            </w:pPr>
          </w:p>
        </w:tc>
        <w:tc>
          <w:tcPr>
            <w:tcW w:w="405" w:type="dxa"/>
            <w:tcBorders>
              <w:top w:val="nil"/>
              <w:left w:val="nil"/>
              <w:bottom w:val="nil"/>
              <w:right w:val="nil"/>
            </w:tcBorders>
            <w:tcMar>
              <w:top w:w="0" w:type="dxa"/>
              <w:left w:w="0" w:type="dxa"/>
              <w:bottom w:w="0" w:type="dxa"/>
              <w:right w:w="0" w:type="dxa"/>
            </w:tcMar>
            <w:vAlign w:val="bottom"/>
          </w:tcPr>
          <w:p>
            <w:pPr>
              <w:pageBreakBefore w:val="0"/>
              <w:spacing w:before="0" w:after="0"/>
            </w:pPr>
          </w:p>
        </w:tc>
        <w:tc>
          <w:tcPr>
            <w:tcW w:w="3705" w:type="dxa"/>
            <w:tcBorders>
              <w:top w:val="nil"/>
              <w:left w:val="nil"/>
              <w:bottom w:val="nil"/>
              <w:right w:val="nil"/>
            </w:tcBorders>
            <w:tcMar>
              <w:top w:w="0" w:type="dxa"/>
              <w:left w:w="53" w:type="dxa"/>
              <w:bottom w:w="0" w:type="dxa"/>
              <w:right w:w="53" w:type="dxa"/>
            </w:tcMar>
            <w:vAlign w:val="top"/>
          </w:tcPr>
          <w:p>
            <w:pPr>
              <w:pageBreakBefore w:val="0"/>
              <w:spacing w:before="53" w:after="30" w:line="240" w:lineRule="auto"/>
              <w:jc w:val="left"/>
            </w:pPr>
            <w:r>
              <w:rPr>
                <w:rFonts w:ascii="Times New Roman" w:eastAsia="Times New Roman" w:hAnsi="Times New Roman" w:cs="Times New Roman"/>
                <w:b w:val="0"/>
                <w:i w:val="0"/>
                <w:color w:val="000000"/>
                <w:sz w:val="20"/>
                <w:u w:val="none"/>
              </w:rPr>
              <w:t>(Principal Financial and Accounting Officer)</w:t>
            </w:r>
          </w:p>
        </w:tc>
        <w:tc>
          <w:tcPr>
            <w:tcW w:w="3855" w:type="dxa"/>
            <w:tcBorders>
              <w:top w:val="nil"/>
              <w:left w:val="nil"/>
              <w:bottom w:val="nil"/>
              <w:right w:val="nil"/>
            </w:tcBorders>
            <w:tcMar>
              <w:top w:w="0" w:type="dxa"/>
              <w:left w:w="0" w:type="dxa"/>
              <w:bottom w:w="0" w:type="dxa"/>
              <w:right w:w="0" w:type="dxa"/>
            </w:tcMar>
            <w:vAlign w:val="bottom"/>
          </w:tcPr>
          <w:p>
            <w:pPr>
              <w:pageBreakBefore w:val="0"/>
              <w:spacing w:before="0" w:after="0"/>
            </w:pPr>
          </w:p>
        </w:tc>
      </w:tr>
    </w:tbl>
    <w:p>
      <w:pPr>
        <w:keepNext/>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i w:val="0"/>
          <w:sz w:val="20"/>
        </w:rPr>
      </w:pPr>
    </w:p>
    <w:p>
      <w:pPr>
        <w:keepNext/>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i w:val="0"/>
          <w:sz w:val="20"/>
        </w:rPr>
      </w:pPr>
    </w:p>
    <w:p>
      <w:pPr>
        <w:keepNext/>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i w:val="0"/>
          <w:sz w:val="20"/>
        </w:rPr>
      </w:pPr>
    </w:p>
    <w:p>
      <w:pPr>
        <w:keepNext/>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i w:val="0"/>
          <w:sz w:val="20"/>
        </w:rPr>
      </w:pPr>
    </w:p>
    <w:p>
      <w:pPr>
        <w:keepNext/>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i w:val="0"/>
          <w:sz w:val="20"/>
        </w:rPr>
      </w:pPr>
    </w:p>
    <w:p>
      <w:pPr>
        <w:keepNext/>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i w:val="0"/>
          <w:sz w:val="20"/>
        </w:rPr>
      </w:pPr>
    </w:p>
    <w:p>
      <w:pPr>
        <w:keepNext/>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i w:val="0"/>
          <w:sz w:val="20"/>
        </w:rPr>
      </w:pPr>
    </w:p>
    <w:p>
      <w:pPr>
        <w:keepNext/>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i w:val="0"/>
          <w:sz w:val="20"/>
        </w:rPr>
        <w:sectPr>
          <w:pgSz w:w="12240" w:h="15840"/>
          <w:pgMar w:top="855" w:right="990" w:bottom="855" w:left="990" w:header="270" w:footer="270"/>
          <w:cols w:space="708"/>
        </w:sectPr>
      </w:pPr>
    </w:p>
    <w:p>
      <w:pPr>
        <w:keepNext w:val="0"/>
        <w:keepLines/>
        <w:pageBreakBefore w:val="0"/>
        <w:widowControl w:val="0"/>
        <w:numPr>
          <w:ilvl w:val="0"/>
          <w:numId w:val="0"/>
        </w:numPr>
        <w:spacing w:before="0" w:after="0" w:line="288" w:lineRule="auto"/>
        <w:ind w:left="0" w:right="0" w:firstLine="135"/>
        <w:jc w:val="center"/>
        <w:outlineLvl w:val="0"/>
        <w:rPr>
          <w:rFonts w:ascii="Times New Roman" w:eastAsia="Times New Roman" w:hAnsi="Times New Roman" w:cs="Times New Roman"/>
          <w:b/>
          <w:i w:val="0"/>
          <w:sz w:val="20"/>
        </w:rPr>
      </w:pPr>
      <w:bookmarkStart w:id="37" w:name="Section38"/>
      <w:bookmarkEnd w:id="37"/>
      <w:r>
        <w:rPr>
          <w:rFonts w:ascii="Times New Roman" w:eastAsia="Times New Roman" w:hAnsi="Times New Roman" w:cs="Times New Roman"/>
          <w:b/>
          <w:i w:val="0"/>
          <w:sz w:val="20"/>
        </w:rPr>
        <w:t>CERTIFICATION OF PERIODIC REPORT</w:t>
      </w:r>
    </w:p>
    <w:p>
      <w:pPr>
        <w:keepNext w:val="0"/>
        <w:keepLines/>
        <w:pageBreakBefore w:val="0"/>
        <w:widowControl w:val="0"/>
        <w:numPr>
          <w:ilvl w:val="0"/>
          <w:numId w:val="0"/>
        </w:numPr>
        <w:spacing w:before="200" w:after="0" w:line="288" w:lineRule="auto"/>
        <w:ind w:left="0" w:right="0" w:firstLine="135"/>
        <w:jc w:val="center"/>
        <w:outlineLvl w:val="9"/>
        <w:rPr>
          <w:rFonts w:ascii="Times New Roman" w:eastAsia="Times New Roman" w:hAnsi="Times New Roman" w:cs="Times New Roman"/>
          <w:b/>
          <w:i w:val="0"/>
          <w:sz w:val="20"/>
        </w:rPr>
      </w:pPr>
      <w:r>
        <w:rPr>
          <w:rFonts w:ascii="Times New Roman" w:eastAsia="Times New Roman" w:hAnsi="Times New Roman" w:cs="Times New Roman"/>
          <w:b/>
          <w:i w:val="0"/>
          <w:sz w:val="20"/>
        </w:rPr>
        <w:t>PURSUANT TO SECTION 302 OF THE SARBANES-OXLEY ACT OF 2002</w:t>
      </w:r>
    </w:p>
    <w:p>
      <w:pPr>
        <w:keepNext w:val="0"/>
        <w:keepLines/>
        <w:pageBreakBefore w:val="0"/>
        <w:widowControl w:val="0"/>
        <w:numPr>
          <w:ilvl w:val="0"/>
          <w:numId w:val="0"/>
        </w:numPr>
        <w:spacing w:before="200" w:after="0" w:line="288" w:lineRule="auto"/>
        <w:ind w:left="0" w:right="0" w:firstLine="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I, the undersigned, Patrick Goepel, certify, that:</w:t>
      </w:r>
    </w:p>
    <w:p>
      <w:pPr>
        <w:keepNext w:val="0"/>
        <w:keepLines/>
        <w:pageBreakBefore w:val="0"/>
        <w:widowControl w:val="0"/>
        <w:numPr>
          <w:ilvl w:val="0"/>
          <w:numId w:val="20"/>
        </w:numPr>
        <w:spacing w:before="200" w:after="0" w:line="288" w:lineRule="auto"/>
        <w:ind w:left="720" w:right="0" w:hanging="18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 xml:space="preserve">I have reviewed this annual report on Form 10-K of the Company for the calendar year ended </w:t>
      </w:r>
      <w:r>
        <w:rPr>
          <w:rFonts w:ascii="Times New Roman" w:eastAsia="Times New Roman" w:hAnsi="Times New Roman" w:cs="Times New Roman"/>
          <w:b w:val="0"/>
          <w:i w:val="0"/>
          <w:color w:val="000000"/>
          <w:sz w:val="20"/>
          <w:u w:val="none"/>
        </w:rPr>
        <w:t>March 31, 2026</w:t>
      </w:r>
      <w:r>
        <w:rPr>
          <w:rFonts w:ascii="Times New Roman" w:eastAsia="Times New Roman" w:hAnsi="Times New Roman" w:cs="Times New Roman"/>
          <w:b w:val="0"/>
          <w:i w:val="0"/>
          <w:sz w:val="20"/>
        </w:rPr>
        <w:t xml:space="preserve"> (the “Report”);</w:t>
      </w:r>
    </w:p>
    <w:p>
      <w:pPr>
        <w:keepNext w:val="0"/>
        <w:keepLines/>
        <w:pageBreakBefore w:val="0"/>
        <w:widowControl w:val="0"/>
        <w:numPr>
          <w:ilvl w:val="0"/>
          <w:numId w:val="20"/>
        </w:numPr>
        <w:spacing w:before="200" w:after="0" w:line="288" w:lineRule="auto"/>
        <w:ind w:left="720" w:right="0" w:hanging="18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Based on my knowledge, the Report does not contain any untrue statement of a material fact or omit to state a material fact necessary to make the statements made, in light of the circumstances under which such statements were made, not misleading with respect to the periods covered by this Report;</w:t>
      </w:r>
    </w:p>
    <w:p>
      <w:pPr>
        <w:keepNext w:val="0"/>
        <w:keepLines/>
        <w:pageBreakBefore w:val="0"/>
        <w:widowControl w:val="0"/>
        <w:numPr>
          <w:ilvl w:val="0"/>
          <w:numId w:val="20"/>
        </w:numPr>
        <w:spacing w:before="200" w:after="0" w:line="288" w:lineRule="auto"/>
        <w:ind w:left="720" w:right="0" w:hanging="18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Based on my knowledge, the financial statements, and other financial information included in the Report, fairly present in all material respects the financial condition, results of operations and cash flows of the Company as of, and for, the periods presented in the Report;</w:t>
      </w:r>
    </w:p>
    <w:p>
      <w:pPr>
        <w:keepNext w:val="0"/>
        <w:keepLines/>
        <w:pageBreakBefore w:val="0"/>
        <w:widowControl w:val="0"/>
        <w:numPr>
          <w:ilvl w:val="0"/>
          <w:numId w:val="20"/>
        </w:numPr>
        <w:spacing w:before="200" w:after="0" w:line="288" w:lineRule="auto"/>
        <w:ind w:left="720" w:right="0" w:hanging="18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The Company’s other certifying officer and I are responsible for establishing and maintaining disclosure controls and procedures (as defined in Exchange Act Rules 13a-15(e) and 15d-15(e)) and internal control over financial reporting (as defined in Exchange Act Rules 13a-15(f) and 15d-15(f)) for the Company and we have:</w:t>
      </w:r>
    </w:p>
    <w:p>
      <w:pPr>
        <w:keepNext w:val="0"/>
        <w:keepLines/>
        <w:pageBreakBefore w:val="0"/>
        <w:widowControl w:val="0"/>
        <w:numPr>
          <w:ilvl w:val="0"/>
          <w:numId w:val="21"/>
        </w:numPr>
        <w:spacing w:before="200" w:after="0" w:line="288" w:lineRule="auto"/>
        <w:ind w:left="900" w:right="0" w:hanging="36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Designed such disclosure controls and procedures, or caused such disclosure controls and procedures to be designed under our supervision, to ensure that material information relating to the Company, including its consolidated subsidiaries, is made known to us by others within these entities, particularly during the period in which the Report is being prepared;</w:t>
      </w:r>
    </w:p>
    <w:p>
      <w:pPr>
        <w:keepNext w:val="0"/>
        <w:keepLines/>
        <w:pageBreakBefore w:val="0"/>
        <w:widowControl w:val="0"/>
        <w:numPr>
          <w:ilvl w:val="0"/>
          <w:numId w:val="21"/>
        </w:numPr>
        <w:spacing w:before="200" w:after="0" w:line="288" w:lineRule="auto"/>
        <w:ind w:left="900" w:right="0" w:hanging="36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Designed such internal control over financial reporting, or caused such internal control over financial reporting to be designed under our supervision, to provide reasonable assurance regarding the reliability of financial reporting and the preparation of financial statements for external purposes in accordance with generally accepted accounting principles;</w:t>
      </w:r>
    </w:p>
    <w:p>
      <w:pPr>
        <w:keepNext w:val="0"/>
        <w:keepLines/>
        <w:pageBreakBefore w:val="0"/>
        <w:widowControl w:val="0"/>
        <w:numPr>
          <w:ilvl w:val="0"/>
          <w:numId w:val="21"/>
        </w:numPr>
        <w:spacing w:before="200" w:after="0" w:line="288" w:lineRule="auto"/>
        <w:ind w:left="900" w:right="0" w:hanging="36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Evaluated the effectiveness of the Company’s disclosure controls and procedures and presented in the Report our conclusions about the effectiveness of the disclosure controls and procedures, as of the end of the period covered by the Report based on such evaluation; and</w:t>
      </w:r>
    </w:p>
    <w:p>
      <w:pPr>
        <w:keepNext w:val="0"/>
        <w:keepLines/>
        <w:pageBreakBefore w:val="0"/>
        <w:widowControl w:val="0"/>
        <w:numPr>
          <w:ilvl w:val="0"/>
          <w:numId w:val="21"/>
        </w:numPr>
        <w:spacing w:before="200" w:after="0" w:line="288" w:lineRule="auto"/>
        <w:ind w:left="900" w:right="0" w:hanging="36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 xml:space="preserve">Disclosed in the Report any change in the Company’s internal control over financial reporting that occurred during the Company’s most recent fiscal quarter (the quarter ended </w:t>
      </w:r>
      <w:r>
        <w:rPr>
          <w:rFonts w:ascii="Times New Roman" w:eastAsia="Times New Roman" w:hAnsi="Times New Roman" w:cs="Times New Roman"/>
          <w:b w:val="0"/>
          <w:i w:val="0"/>
          <w:color w:val="000000"/>
          <w:sz w:val="20"/>
          <w:u w:val="none"/>
        </w:rPr>
        <w:t>March 31, 2026</w:t>
      </w:r>
      <w:r>
        <w:rPr>
          <w:rFonts w:ascii="Times New Roman" w:eastAsia="Times New Roman" w:hAnsi="Times New Roman" w:cs="Times New Roman"/>
          <w:b w:val="0"/>
          <w:i w:val="0"/>
          <w:sz w:val="20"/>
        </w:rPr>
        <w:t>) that has materially affected, or is reasonably likely to materially affect, the Company’s internal control over financial reporting; and</w:t>
      </w:r>
    </w:p>
    <w:p>
      <w:pPr>
        <w:keepNext w:val="0"/>
        <w:keepLines/>
        <w:pageBreakBefore w:val="0"/>
        <w:widowControl w:val="0"/>
        <w:numPr>
          <w:ilvl w:val="0"/>
          <w:numId w:val="20"/>
        </w:numPr>
        <w:spacing w:before="200" w:after="0" w:line="288" w:lineRule="auto"/>
        <w:ind w:left="720" w:right="0" w:hanging="18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The Company’s other certifying officer and I have disclosed, based on our most recent evaluation of internal control over financial reporting, to the Company’s auditors and to the Audit Committee of the Board of Directors:</w:t>
      </w:r>
    </w:p>
    <w:p>
      <w:pPr>
        <w:keepNext w:val="0"/>
        <w:keepLines/>
        <w:pageBreakBefore w:val="0"/>
        <w:widowControl w:val="0"/>
        <w:numPr>
          <w:ilvl w:val="0"/>
          <w:numId w:val="22"/>
        </w:numPr>
        <w:spacing w:before="200" w:after="0" w:line="288" w:lineRule="auto"/>
        <w:ind w:left="900" w:right="0" w:hanging="36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All significant deficiencies or material weaknesses in the design or operation of internal control over financial reporting which are reasonably likely to adversely affect the Company’s ability to record, process, summarize and report financial information; and</w:t>
      </w:r>
    </w:p>
    <w:p>
      <w:pPr>
        <w:keepNext w:val="0"/>
        <w:keepLines/>
        <w:pageBreakBefore w:val="0"/>
        <w:widowControl w:val="0"/>
        <w:numPr>
          <w:ilvl w:val="0"/>
          <w:numId w:val="22"/>
        </w:numPr>
        <w:spacing w:before="200" w:after="100" w:line="288" w:lineRule="auto"/>
        <w:ind w:left="900" w:right="0" w:hanging="36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Any fraud, whether or not material, that involves management or other employees who have a significant role in the Company’s internal control over financial reporting.</w:t>
      </w:r>
    </w:p>
    <w:tbl>
      <w:tblPr>
        <w:tblStyle w:val="TableNormal0"/>
        <w:tblW w:w="10260" w:type="dxa"/>
        <w:jc w:val="left"/>
        <w:tblInd w:w="0" w:type="dxa"/>
        <w:tblLayout w:type="fixed"/>
      </w:tblPr>
      <w:tblGrid>
        <w:gridCol w:w="2850"/>
        <w:gridCol w:w="405"/>
        <w:gridCol w:w="7005"/>
      </w:tblGrid>
      <w:tr>
        <w:tblPrEx>
          <w:tblW w:w="10260" w:type="dxa"/>
          <w:tblInd w:w="0" w:type="dxa"/>
          <w:tblLayout w:type="fixed"/>
        </w:tblPrEx>
        <w:trPr>
          <w:trHeight w:hRule="exact" w:val="285"/>
        </w:trPr>
        <w:tc>
          <w:tcPr>
            <w:tcW w:w="2850" w:type="dxa"/>
            <w:tcBorders>
              <w:top w:val="nil"/>
              <w:left w:val="nil"/>
              <w:bottom w:val="nil"/>
              <w:right w:val="nil"/>
            </w:tcBorders>
            <w:tcMar>
              <w:top w:w="0" w:type="dxa"/>
              <w:left w:w="53" w:type="dxa"/>
              <w:bottom w:w="0" w:type="dxa"/>
              <w:right w:w="53" w:type="dxa"/>
            </w:tcMar>
            <w:vAlign w:val="top"/>
          </w:tcPr>
          <w:p>
            <w:pPr>
              <w:keepNext/>
              <w:pageBreakBefore w:val="0"/>
              <w:numPr>
                <w:ilvl w:val="0"/>
                <w:numId w:val="0"/>
              </w:numPr>
              <w:spacing w:before="53" w:after="30" w:line="240" w:lineRule="auto"/>
              <w:ind w:left="0" w:right="0" w:firstLine="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 xml:space="preserve">Date: </w:t>
            </w:r>
            <w:r>
              <w:rPr>
                <w:rFonts w:ascii="Times New Roman" w:eastAsia="Times New Roman" w:hAnsi="Times New Roman" w:cs="Times New Roman"/>
                <w:b w:val="0"/>
                <w:i w:val="0"/>
                <w:color w:val="000000"/>
                <w:sz w:val="20"/>
                <w:u w:val="none"/>
              </w:rPr>
              <w:t>April 30, 2026</w:t>
            </w:r>
          </w:p>
        </w:tc>
        <w:tc>
          <w:tcPr>
            <w:tcW w:w="405" w:type="dxa"/>
            <w:tcBorders>
              <w:top w:val="nil"/>
              <w:left w:val="nil"/>
              <w:bottom w:val="nil"/>
              <w:right w:val="nil"/>
            </w:tcBorders>
            <w:tcMar>
              <w:top w:w="0" w:type="dxa"/>
              <w:left w:w="53" w:type="dxa"/>
              <w:bottom w:w="0" w:type="dxa"/>
              <w:right w:w="53" w:type="dxa"/>
            </w:tcMar>
            <w:vAlign w:val="top"/>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By:</w:t>
            </w:r>
          </w:p>
        </w:tc>
        <w:tc>
          <w:tcPr>
            <w:tcW w:w="7005" w:type="dxa"/>
            <w:tcBorders>
              <w:top w:val="nil"/>
              <w:left w:val="nil"/>
              <w:bottom w:val="single" w:sz="8" w:space="0" w:color="000000"/>
              <w:right w:val="nil"/>
            </w:tcBorders>
            <w:tcMar>
              <w:top w:w="0" w:type="dxa"/>
              <w:left w:w="53" w:type="dxa"/>
              <w:bottom w:w="0" w:type="dxa"/>
              <w:right w:w="53" w:type="dxa"/>
            </w:tcMar>
            <w:vAlign w:val="top"/>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/s/ Patrick Goepel</w:t>
            </w:r>
          </w:p>
        </w:tc>
      </w:tr>
      <w:tr>
        <w:tblPrEx>
          <w:tblW w:w="10260" w:type="dxa"/>
          <w:tblInd w:w="0" w:type="dxa"/>
          <w:tblLayout w:type="fixed"/>
        </w:tblPrEx>
        <w:trPr>
          <w:trHeight w:hRule="exact" w:val="285"/>
        </w:trPr>
        <w:tc>
          <w:tcPr>
            <w:tcW w:w="2850" w:type="dxa"/>
            <w:tcBorders>
              <w:top w:val="nil"/>
              <w:left w:val="nil"/>
              <w:bottom w:val="nil"/>
              <w:right w:val="nil"/>
            </w:tcBorders>
            <w:tcMar>
              <w:top w:w="0" w:type="dxa"/>
              <w:left w:w="53" w:type="dxa"/>
              <w:bottom w:w="0" w:type="dxa"/>
              <w:right w:w="53" w:type="dxa"/>
            </w:tcMar>
            <w:vAlign w:val="top"/>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 </w:t>
            </w:r>
          </w:p>
        </w:tc>
        <w:tc>
          <w:tcPr>
            <w:tcW w:w="405" w:type="dxa"/>
            <w:tcBorders>
              <w:top w:val="nil"/>
              <w:left w:val="nil"/>
              <w:bottom w:val="nil"/>
              <w:right w:val="nil"/>
            </w:tcBorders>
            <w:tcMar>
              <w:top w:w="0" w:type="dxa"/>
              <w:left w:w="53" w:type="dxa"/>
              <w:bottom w:w="0" w:type="dxa"/>
              <w:right w:w="53" w:type="dxa"/>
            </w:tcMar>
            <w:vAlign w:val="top"/>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 </w:t>
            </w:r>
          </w:p>
        </w:tc>
        <w:tc>
          <w:tcPr>
            <w:tcW w:w="7005" w:type="dxa"/>
            <w:tcBorders>
              <w:top w:val="single" w:sz="8" w:space="0" w:color="000000"/>
              <w:left w:val="nil"/>
              <w:bottom w:val="nil"/>
              <w:right w:val="nil"/>
            </w:tcBorders>
            <w:tcMar>
              <w:top w:w="0" w:type="dxa"/>
              <w:left w:w="53" w:type="dxa"/>
              <w:bottom w:w="0" w:type="dxa"/>
              <w:right w:w="53" w:type="dxa"/>
            </w:tcMar>
            <w:vAlign w:val="bottom"/>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Patrick Goepel</w:t>
            </w:r>
          </w:p>
        </w:tc>
      </w:tr>
      <w:tr>
        <w:tblPrEx>
          <w:tblW w:w="10260" w:type="dxa"/>
          <w:tblInd w:w="0" w:type="dxa"/>
          <w:tblLayout w:type="fixed"/>
        </w:tblPrEx>
        <w:trPr>
          <w:trHeight w:hRule="exact" w:val="285"/>
        </w:trPr>
        <w:tc>
          <w:tcPr>
            <w:tcW w:w="2850" w:type="dxa"/>
            <w:tcBorders>
              <w:top w:val="nil"/>
              <w:left w:val="nil"/>
              <w:bottom w:val="nil"/>
              <w:right w:val="nil"/>
            </w:tcBorders>
            <w:tcMar>
              <w:top w:w="0" w:type="dxa"/>
              <w:left w:w="53" w:type="dxa"/>
              <w:bottom w:w="0" w:type="dxa"/>
              <w:right w:w="53" w:type="dxa"/>
            </w:tcMar>
            <w:vAlign w:val="top"/>
          </w:tcPr>
          <w:p>
            <w:pPr>
              <w:pageBreakBefore w:val="0"/>
              <w:spacing w:before="53" w:after="30" w:line="240" w:lineRule="auto"/>
              <w:jc w:val="left"/>
            </w:pPr>
            <w:r>
              <w:rPr>
                <w:rFonts w:ascii="Times New Roman" w:eastAsia="Times New Roman" w:hAnsi="Times New Roman" w:cs="Times New Roman"/>
                <w:b w:val="0"/>
                <w:i w:val="0"/>
                <w:color w:val="000000"/>
                <w:sz w:val="20"/>
                <w:u w:val="none"/>
              </w:rPr>
              <w:t> </w:t>
            </w:r>
          </w:p>
        </w:tc>
        <w:tc>
          <w:tcPr>
            <w:tcW w:w="405" w:type="dxa"/>
            <w:tcBorders>
              <w:top w:val="nil"/>
              <w:left w:val="nil"/>
              <w:bottom w:val="nil"/>
              <w:right w:val="nil"/>
            </w:tcBorders>
            <w:tcMar>
              <w:top w:w="0" w:type="dxa"/>
              <w:left w:w="53" w:type="dxa"/>
              <w:bottom w:w="0" w:type="dxa"/>
              <w:right w:w="53" w:type="dxa"/>
            </w:tcMar>
            <w:vAlign w:val="top"/>
          </w:tcPr>
          <w:p>
            <w:pPr>
              <w:pageBreakBefore w:val="0"/>
              <w:spacing w:before="53" w:after="30" w:line="240" w:lineRule="auto"/>
              <w:jc w:val="left"/>
            </w:pPr>
            <w:r>
              <w:rPr>
                <w:rFonts w:ascii="Times New Roman" w:eastAsia="Times New Roman" w:hAnsi="Times New Roman" w:cs="Times New Roman"/>
                <w:b w:val="0"/>
                <w:i w:val="0"/>
                <w:color w:val="000000"/>
                <w:sz w:val="20"/>
                <w:u w:val="none"/>
              </w:rPr>
              <w:t> </w:t>
            </w:r>
          </w:p>
        </w:tc>
        <w:tc>
          <w:tcPr>
            <w:tcW w:w="7005" w:type="dxa"/>
            <w:tcBorders>
              <w:top w:val="nil"/>
              <w:left w:val="nil"/>
              <w:bottom w:val="nil"/>
              <w:right w:val="nil"/>
            </w:tcBorders>
            <w:tcMar>
              <w:top w:w="0" w:type="dxa"/>
              <w:left w:w="53" w:type="dxa"/>
              <w:bottom w:w="0" w:type="dxa"/>
              <w:right w:w="53" w:type="dxa"/>
            </w:tcMar>
            <w:vAlign w:val="top"/>
          </w:tcPr>
          <w:p>
            <w:pPr>
              <w:pageBreakBefore w:val="0"/>
              <w:spacing w:before="53" w:after="30" w:line="240" w:lineRule="auto"/>
              <w:jc w:val="left"/>
            </w:pPr>
            <w:r>
              <w:rPr>
                <w:rFonts w:ascii="Times New Roman" w:eastAsia="Times New Roman" w:hAnsi="Times New Roman" w:cs="Times New Roman"/>
                <w:b w:val="0"/>
                <w:i w:val="0"/>
                <w:color w:val="000000"/>
                <w:sz w:val="20"/>
                <w:u w:val="none"/>
              </w:rPr>
              <w:t>Chief Executive Officer</w:t>
            </w:r>
          </w:p>
        </w:tc>
      </w:tr>
    </w:tbl>
    <w:p>
      <w:pPr>
        <w:keepNext w:val="0"/>
        <w:keepLines/>
        <w:pageBreakBefore w:val="0"/>
        <w:widowControl w:val="0"/>
        <w:numPr>
          <w:ilvl w:val="0"/>
          <w:numId w:val="0"/>
        </w:numPr>
        <w:spacing w:before="200" w:after="0" w:line="288" w:lineRule="auto"/>
        <w:ind w:left="0" w:right="0" w:firstLine="135"/>
        <w:jc w:val="left"/>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200" w:after="0" w:line="288" w:lineRule="auto"/>
        <w:ind w:left="0" w:right="0" w:firstLine="135"/>
        <w:jc w:val="left"/>
        <w:outlineLvl w:val="9"/>
        <w:rPr>
          <w:rFonts w:ascii="Times New Roman" w:eastAsia="Times New Roman" w:hAnsi="Times New Roman" w:cs="Times New Roman"/>
          <w:b w:val="0"/>
          <w:i w:val="0"/>
          <w:sz w:val="20"/>
        </w:rPr>
        <w:sectPr>
          <w:headerReference w:type="default" r:id="rId26"/>
          <w:pgSz w:w="12240" w:h="15840"/>
          <w:pgMar w:top="855" w:right="990" w:bottom="855" w:left="990" w:header="270" w:footer="270"/>
          <w:cols w:space="708"/>
        </w:sectPr>
      </w:pPr>
    </w:p>
    <w:p>
      <w:pPr>
        <w:keepNext w:val="0"/>
        <w:keepLines/>
        <w:pageBreakBefore w:val="0"/>
        <w:widowControl w:val="0"/>
        <w:numPr>
          <w:ilvl w:val="0"/>
          <w:numId w:val="0"/>
        </w:numPr>
        <w:spacing w:before="0" w:after="0" w:line="288" w:lineRule="auto"/>
        <w:ind w:left="0" w:right="0" w:firstLine="135"/>
        <w:jc w:val="center"/>
        <w:outlineLvl w:val="0"/>
        <w:rPr>
          <w:rFonts w:ascii="Times New Roman" w:eastAsia="Times New Roman" w:hAnsi="Times New Roman" w:cs="Times New Roman"/>
          <w:b/>
          <w:i w:val="0"/>
          <w:sz w:val="20"/>
        </w:rPr>
      </w:pPr>
      <w:bookmarkStart w:id="38" w:name="Section39"/>
      <w:bookmarkEnd w:id="38"/>
      <w:r>
        <w:rPr>
          <w:rFonts w:ascii="Times New Roman" w:eastAsia="Times New Roman" w:hAnsi="Times New Roman" w:cs="Times New Roman"/>
          <w:b/>
          <w:i w:val="0"/>
          <w:sz w:val="20"/>
        </w:rPr>
        <w:t>CERTIFICATION OF PERIODIC REPORT</w:t>
      </w:r>
    </w:p>
    <w:p>
      <w:pPr>
        <w:keepNext w:val="0"/>
        <w:keepLines/>
        <w:pageBreakBefore w:val="0"/>
        <w:widowControl w:val="0"/>
        <w:numPr>
          <w:ilvl w:val="0"/>
          <w:numId w:val="0"/>
        </w:numPr>
        <w:spacing w:before="200" w:after="0" w:line="288" w:lineRule="auto"/>
        <w:ind w:left="0" w:right="0" w:firstLine="135"/>
        <w:jc w:val="center"/>
        <w:outlineLvl w:val="9"/>
        <w:rPr>
          <w:rFonts w:ascii="Times New Roman" w:eastAsia="Times New Roman" w:hAnsi="Times New Roman" w:cs="Times New Roman"/>
          <w:b/>
          <w:i w:val="0"/>
          <w:sz w:val="20"/>
        </w:rPr>
      </w:pPr>
      <w:r>
        <w:rPr>
          <w:rFonts w:ascii="Times New Roman" w:eastAsia="Times New Roman" w:hAnsi="Times New Roman" w:cs="Times New Roman"/>
          <w:b/>
          <w:i w:val="0"/>
          <w:sz w:val="20"/>
        </w:rPr>
        <w:t>PURSUANT TO SECTION 302 OF THE SARBANES-OXLEY ACT OF 2002</w:t>
      </w:r>
    </w:p>
    <w:p>
      <w:pPr>
        <w:keepNext w:val="0"/>
        <w:keepLines/>
        <w:pageBreakBefore w:val="0"/>
        <w:widowControl w:val="0"/>
        <w:numPr>
          <w:ilvl w:val="0"/>
          <w:numId w:val="0"/>
        </w:numPr>
        <w:spacing w:before="200" w:after="0" w:line="288" w:lineRule="auto"/>
        <w:ind w:left="0" w:right="0" w:firstLine="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I, the undersigned, John Pence, certify, that:</w:t>
      </w:r>
    </w:p>
    <w:p>
      <w:pPr>
        <w:keepNext w:val="0"/>
        <w:keepLines/>
        <w:pageBreakBefore w:val="0"/>
        <w:widowControl w:val="0"/>
        <w:numPr>
          <w:ilvl w:val="0"/>
          <w:numId w:val="23"/>
        </w:numPr>
        <w:spacing w:before="200" w:after="0" w:line="288" w:lineRule="auto"/>
        <w:ind w:left="720" w:right="0" w:hanging="18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 xml:space="preserve">I have reviewed this annual report on Form 10-K of the Company for the calendar year ended </w:t>
      </w:r>
      <w:r>
        <w:rPr>
          <w:rFonts w:ascii="Times New Roman" w:eastAsia="Times New Roman" w:hAnsi="Times New Roman" w:cs="Times New Roman"/>
          <w:b w:val="0"/>
          <w:i w:val="0"/>
          <w:color w:val="000000"/>
          <w:sz w:val="20"/>
          <w:u w:val="none"/>
        </w:rPr>
        <w:t>March 31, 2026</w:t>
      </w:r>
      <w:r>
        <w:rPr>
          <w:rFonts w:ascii="Times New Roman" w:eastAsia="Times New Roman" w:hAnsi="Times New Roman" w:cs="Times New Roman"/>
          <w:b w:val="0"/>
          <w:i w:val="0"/>
          <w:sz w:val="20"/>
        </w:rPr>
        <w:t xml:space="preserve"> (the “Report”);</w:t>
      </w:r>
    </w:p>
    <w:p>
      <w:pPr>
        <w:keepNext w:val="0"/>
        <w:keepLines/>
        <w:pageBreakBefore w:val="0"/>
        <w:widowControl w:val="0"/>
        <w:numPr>
          <w:ilvl w:val="0"/>
          <w:numId w:val="23"/>
        </w:numPr>
        <w:spacing w:before="200" w:after="0" w:line="288" w:lineRule="auto"/>
        <w:ind w:left="720" w:right="0" w:hanging="18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Based on my knowledge, the Report does not contain any untrue statement of a material fact or omit to state a material fact necessary to make the statements made, in light of the circumstances under which such statements were made, not misleading with respect to the periods covered by this Report;</w:t>
      </w:r>
    </w:p>
    <w:p>
      <w:pPr>
        <w:keepNext w:val="0"/>
        <w:keepLines/>
        <w:pageBreakBefore w:val="0"/>
        <w:widowControl w:val="0"/>
        <w:numPr>
          <w:ilvl w:val="0"/>
          <w:numId w:val="23"/>
        </w:numPr>
        <w:spacing w:before="200" w:after="0" w:line="288" w:lineRule="auto"/>
        <w:ind w:left="720" w:right="0" w:hanging="18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Based on my knowledge, the financial statements, and other financial information included in the Report, fairly present in all material respects the financial condition, results of operations and cash flows of the Company as of, and for, the periods presented in the Report;</w:t>
      </w:r>
    </w:p>
    <w:p>
      <w:pPr>
        <w:keepNext w:val="0"/>
        <w:keepLines/>
        <w:pageBreakBefore w:val="0"/>
        <w:widowControl w:val="0"/>
        <w:numPr>
          <w:ilvl w:val="0"/>
          <w:numId w:val="23"/>
        </w:numPr>
        <w:spacing w:before="200" w:after="0" w:line="288" w:lineRule="auto"/>
        <w:ind w:left="720" w:right="0" w:hanging="18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The Company’s other certifying officer and I are responsible for establishing and maintaining disclosure controls and procedures (as defined in Exchange Act Rules 13a-15(e) and 15d-15(e)) and internal control over financial reporting (as defined in Exchange Act Rules 13a-15(f) and 15d-15(f)) for the Company and we have:</w:t>
      </w:r>
    </w:p>
    <w:p>
      <w:pPr>
        <w:keepNext w:val="0"/>
        <w:keepLines/>
        <w:pageBreakBefore w:val="0"/>
        <w:widowControl w:val="0"/>
        <w:numPr>
          <w:ilvl w:val="0"/>
          <w:numId w:val="24"/>
        </w:numPr>
        <w:spacing w:before="200" w:after="0" w:line="288" w:lineRule="auto"/>
        <w:ind w:left="900" w:right="0" w:hanging="36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Designed such disclosure controls and procedures, or caused such disclosure controls and procedures to be designed under our supervision, to ensure that material information relating to the Company, including its consolidated subsidiaries, is made known to us by others within these entities, particularly during the period in which the Report is being prepared;</w:t>
      </w:r>
    </w:p>
    <w:p>
      <w:pPr>
        <w:keepNext w:val="0"/>
        <w:keepLines/>
        <w:pageBreakBefore w:val="0"/>
        <w:widowControl w:val="0"/>
        <w:numPr>
          <w:ilvl w:val="0"/>
          <w:numId w:val="24"/>
        </w:numPr>
        <w:spacing w:before="200" w:after="0" w:line="288" w:lineRule="auto"/>
        <w:ind w:left="900" w:right="0" w:hanging="36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Designed such internal control over financial reporting, or caused such internal control over financial reporting to be designed under our supervision, to provide reasonable assurance regarding the reliability of financial reporting and the preparation of financial statements for external purposes in accordance with generally accepted accounting principles;</w:t>
      </w:r>
    </w:p>
    <w:p>
      <w:pPr>
        <w:keepNext w:val="0"/>
        <w:keepLines/>
        <w:pageBreakBefore w:val="0"/>
        <w:widowControl w:val="0"/>
        <w:numPr>
          <w:ilvl w:val="0"/>
          <w:numId w:val="24"/>
        </w:numPr>
        <w:spacing w:before="200" w:after="0" w:line="288" w:lineRule="auto"/>
        <w:ind w:left="900" w:right="0" w:hanging="36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Evaluated the effectiveness of the Company’s disclosure controls and procedures and presented in the Report our conclusions about the effectiveness of the disclosure controls and procedures, as of the end of the period covered by the Report based on such evaluation; and</w:t>
      </w:r>
    </w:p>
    <w:p>
      <w:pPr>
        <w:keepNext w:val="0"/>
        <w:keepLines/>
        <w:pageBreakBefore w:val="0"/>
        <w:widowControl w:val="0"/>
        <w:numPr>
          <w:ilvl w:val="0"/>
          <w:numId w:val="24"/>
        </w:numPr>
        <w:spacing w:before="200" w:after="0" w:line="288" w:lineRule="auto"/>
        <w:ind w:left="900" w:right="0" w:hanging="36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 xml:space="preserve">Disclosed in the Report any change in the Company’s internal control over financial reporting that occurred during the Company’s most recent fiscal quarter (the quarter ended </w:t>
      </w:r>
      <w:r>
        <w:rPr>
          <w:rFonts w:ascii="Times New Roman" w:eastAsia="Times New Roman" w:hAnsi="Times New Roman" w:cs="Times New Roman"/>
          <w:b w:val="0"/>
          <w:i w:val="0"/>
          <w:color w:val="000000"/>
          <w:sz w:val="20"/>
          <w:u w:val="none"/>
        </w:rPr>
        <w:t>March 31, 2026</w:t>
      </w:r>
      <w:r>
        <w:rPr>
          <w:rFonts w:ascii="Times New Roman" w:eastAsia="Times New Roman" w:hAnsi="Times New Roman" w:cs="Times New Roman"/>
          <w:b w:val="0"/>
          <w:i w:val="0"/>
          <w:sz w:val="20"/>
        </w:rPr>
        <w:t>) that has materially affected, or is reasonably likely to materially affect, the Company’s internal control over financial reporting; and</w:t>
      </w:r>
    </w:p>
    <w:p>
      <w:pPr>
        <w:keepNext w:val="0"/>
        <w:keepLines/>
        <w:pageBreakBefore w:val="0"/>
        <w:widowControl w:val="0"/>
        <w:numPr>
          <w:ilvl w:val="0"/>
          <w:numId w:val="23"/>
        </w:numPr>
        <w:spacing w:before="200" w:after="0" w:line="288" w:lineRule="auto"/>
        <w:ind w:left="720" w:right="0" w:hanging="18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The Company’s other certifying officer and I have disclosed, based on our most recent evaluation of internal control over financial reporting, to the Company’s auditors and to the Audit Committee of the Board of Directors:</w:t>
      </w:r>
    </w:p>
    <w:p>
      <w:pPr>
        <w:keepNext w:val="0"/>
        <w:keepLines/>
        <w:pageBreakBefore w:val="0"/>
        <w:widowControl w:val="0"/>
        <w:numPr>
          <w:ilvl w:val="0"/>
          <w:numId w:val="25"/>
        </w:numPr>
        <w:spacing w:before="200" w:after="0" w:line="288" w:lineRule="auto"/>
        <w:ind w:left="900" w:right="0" w:hanging="36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All significant deficiencies or material weaknesses in the design or operation of internal control over financial reporting which are reasonably likely to adversely affect the Company’s ability to record, process, summarize and report financial information; and</w:t>
      </w:r>
    </w:p>
    <w:p>
      <w:pPr>
        <w:keepNext w:val="0"/>
        <w:keepLines/>
        <w:pageBreakBefore w:val="0"/>
        <w:widowControl w:val="0"/>
        <w:numPr>
          <w:ilvl w:val="0"/>
          <w:numId w:val="25"/>
        </w:numPr>
        <w:spacing w:before="200" w:after="100" w:line="288" w:lineRule="auto"/>
        <w:ind w:left="900" w:right="0" w:hanging="36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Any fraud, whether or not material, that involves management or other employees who have a significant role in the Company’s internal control over financial reporting.</w:t>
      </w:r>
    </w:p>
    <w:tbl>
      <w:tblPr>
        <w:tblStyle w:val="TableNormal0"/>
        <w:tblW w:w="10260" w:type="dxa"/>
        <w:jc w:val="left"/>
        <w:tblInd w:w="0" w:type="dxa"/>
        <w:tblLayout w:type="fixed"/>
      </w:tblPr>
      <w:tblGrid>
        <w:gridCol w:w="2865"/>
        <w:gridCol w:w="405"/>
        <w:gridCol w:w="6990"/>
      </w:tblGrid>
      <w:tr>
        <w:tblPrEx>
          <w:tblW w:w="10260" w:type="dxa"/>
          <w:tblInd w:w="0" w:type="dxa"/>
          <w:tblLayout w:type="fixed"/>
        </w:tblPrEx>
        <w:trPr>
          <w:trHeight w:hRule="exact" w:val="285"/>
        </w:trPr>
        <w:tc>
          <w:tcPr>
            <w:tcW w:w="2865" w:type="dxa"/>
            <w:tcBorders>
              <w:top w:val="nil"/>
              <w:left w:val="nil"/>
              <w:bottom w:val="nil"/>
              <w:right w:val="nil"/>
            </w:tcBorders>
            <w:tcMar>
              <w:top w:w="0" w:type="dxa"/>
              <w:left w:w="53" w:type="dxa"/>
              <w:bottom w:w="0" w:type="dxa"/>
              <w:right w:w="53" w:type="dxa"/>
            </w:tcMar>
            <w:vAlign w:val="top"/>
          </w:tcPr>
          <w:p>
            <w:pPr>
              <w:keepNext/>
              <w:pageBreakBefore w:val="0"/>
              <w:numPr>
                <w:ilvl w:val="0"/>
                <w:numId w:val="0"/>
              </w:numPr>
              <w:spacing w:before="53" w:after="30" w:line="240" w:lineRule="auto"/>
              <w:ind w:left="0" w:right="0" w:firstLine="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 xml:space="preserve">Date: </w:t>
            </w:r>
            <w:r>
              <w:rPr>
                <w:rFonts w:ascii="Times New Roman" w:eastAsia="Times New Roman" w:hAnsi="Times New Roman" w:cs="Times New Roman"/>
                <w:b w:val="0"/>
                <w:i w:val="0"/>
                <w:color w:val="000000"/>
                <w:sz w:val="20"/>
                <w:u w:val="none"/>
              </w:rPr>
              <w:t>April 30, 2026</w:t>
            </w:r>
          </w:p>
        </w:tc>
        <w:tc>
          <w:tcPr>
            <w:tcW w:w="405" w:type="dxa"/>
            <w:tcBorders>
              <w:top w:val="nil"/>
              <w:left w:val="nil"/>
              <w:bottom w:val="nil"/>
              <w:right w:val="nil"/>
            </w:tcBorders>
            <w:tcMar>
              <w:top w:w="0" w:type="dxa"/>
              <w:left w:w="53" w:type="dxa"/>
              <w:bottom w:w="0" w:type="dxa"/>
              <w:right w:w="53" w:type="dxa"/>
            </w:tcMar>
            <w:vAlign w:val="top"/>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By:</w:t>
            </w:r>
          </w:p>
        </w:tc>
        <w:tc>
          <w:tcPr>
            <w:tcW w:w="6990" w:type="dxa"/>
            <w:tcBorders>
              <w:top w:val="nil"/>
              <w:left w:val="nil"/>
              <w:bottom w:val="single" w:sz="8" w:space="0" w:color="000000"/>
              <w:right w:val="nil"/>
            </w:tcBorders>
            <w:tcMar>
              <w:top w:w="0" w:type="dxa"/>
              <w:left w:w="53" w:type="dxa"/>
              <w:bottom w:w="0" w:type="dxa"/>
              <w:right w:w="53" w:type="dxa"/>
            </w:tcMar>
            <w:vAlign w:val="top"/>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/s/ John Pence</w:t>
            </w:r>
          </w:p>
        </w:tc>
      </w:tr>
      <w:tr>
        <w:tblPrEx>
          <w:tblW w:w="10260" w:type="dxa"/>
          <w:tblInd w:w="0" w:type="dxa"/>
          <w:tblLayout w:type="fixed"/>
        </w:tblPrEx>
        <w:trPr>
          <w:trHeight w:hRule="exact" w:val="285"/>
        </w:trPr>
        <w:tc>
          <w:tcPr>
            <w:tcW w:w="2865" w:type="dxa"/>
            <w:tcBorders>
              <w:top w:val="nil"/>
              <w:left w:val="nil"/>
              <w:bottom w:val="nil"/>
              <w:right w:val="nil"/>
            </w:tcBorders>
            <w:tcMar>
              <w:top w:w="0" w:type="dxa"/>
              <w:left w:w="53" w:type="dxa"/>
              <w:bottom w:w="0" w:type="dxa"/>
              <w:right w:w="53" w:type="dxa"/>
            </w:tcMar>
            <w:vAlign w:val="top"/>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 </w:t>
            </w:r>
          </w:p>
        </w:tc>
        <w:tc>
          <w:tcPr>
            <w:tcW w:w="405" w:type="dxa"/>
            <w:tcBorders>
              <w:top w:val="nil"/>
              <w:left w:val="nil"/>
              <w:bottom w:val="nil"/>
              <w:right w:val="nil"/>
            </w:tcBorders>
            <w:tcMar>
              <w:top w:w="0" w:type="dxa"/>
              <w:left w:w="53" w:type="dxa"/>
              <w:bottom w:w="0" w:type="dxa"/>
              <w:right w:w="53" w:type="dxa"/>
            </w:tcMar>
            <w:vAlign w:val="top"/>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 </w:t>
            </w:r>
          </w:p>
        </w:tc>
        <w:tc>
          <w:tcPr>
            <w:tcW w:w="6990" w:type="dxa"/>
            <w:tcBorders>
              <w:top w:val="single" w:sz="8" w:space="0" w:color="000000"/>
              <w:left w:val="nil"/>
              <w:bottom w:val="nil"/>
              <w:right w:val="nil"/>
            </w:tcBorders>
            <w:tcMar>
              <w:top w:w="0" w:type="dxa"/>
              <w:left w:w="53" w:type="dxa"/>
              <w:bottom w:w="0" w:type="dxa"/>
              <w:right w:w="53" w:type="dxa"/>
            </w:tcMar>
            <w:vAlign w:val="bottom"/>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John Pence</w:t>
            </w:r>
          </w:p>
        </w:tc>
      </w:tr>
      <w:tr>
        <w:tblPrEx>
          <w:tblW w:w="10260" w:type="dxa"/>
          <w:tblInd w:w="0" w:type="dxa"/>
          <w:tblLayout w:type="fixed"/>
        </w:tblPrEx>
        <w:trPr>
          <w:trHeight w:hRule="exact" w:val="285"/>
        </w:trPr>
        <w:tc>
          <w:tcPr>
            <w:tcW w:w="2865" w:type="dxa"/>
            <w:tcBorders>
              <w:top w:val="nil"/>
              <w:left w:val="nil"/>
              <w:bottom w:val="nil"/>
              <w:right w:val="nil"/>
            </w:tcBorders>
            <w:tcMar>
              <w:top w:w="0" w:type="dxa"/>
              <w:left w:w="53" w:type="dxa"/>
              <w:bottom w:w="0" w:type="dxa"/>
              <w:right w:w="53" w:type="dxa"/>
            </w:tcMar>
            <w:vAlign w:val="top"/>
          </w:tcPr>
          <w:p>
            <w:pPr>
              <w:pageBreakBefore w:val="0"/>
              <w:spacing w:before="53" w:after="30" w:line="240" w:lineRule="auto"/>
              <w:jc w:val="left"/>
            </w:pPr>
            <w:r>
              <w:rPr>
                <w:rFonts w:ascii="Times New Roman" w:eastAsia="Times New Roman" w:hAnsi="Times New Roman" w:cs="Times New Roman"/>
                <w:b w:val="0"/>
                <w:i w:val="0"/>
                <w:color w:val="000000"/>
                <w:sz w:val="20"/>
                <w:u w:val="none"/>
              </w:rPr>
              <w:t> </w:t>
            </w:r>
          </w:p>
        </w:tc>
        <w:tc>
          <w:tcPr>
            <w:tcW w:w="405" w:type="dxa"/>
            <w:tcBorders>
              <w:top w:val="nil"/>
              <w:left w:val="nil"/>
              <w:bottom w:val="nil"/>
              <w:right w:val="nil"/>
            </w:tcBorders>
            <w:tcMar>
              <w:top w:w="0" w:type="dxa"/>
              <w:left w:w="53" w:type="dxa"/>
              <w:bottom w:w="0" w:type="dxa"/>
              <w:right w:w="53" w:type="dxa"/>
            </w:tcMar>
            <w:vAlign w:val="top"/>
          </w:tcPr>
          <w:p>
            <w:pPr>
              <w:pageBreakBefore w:val="0"/>
              <w:spacing w:before="53" w:after="30" w:line="240" w:lineRule="auto"/>
              <w:jc w:val="left"/>
            </w:pPr>
            <w:r>
              <w:rPr>
                <w:rFonts w:ascii="Times New Roman" w:eastAsia="Times New Roman" w:hAnsi="Times New Roman" w:cs="Times New Roman"/>
                <w:b w:val="0"/>
                <w:i w:val="0"/>
                <w:color w:val="000000"/>
                <w:sz w:val="20"/>
                <w:u w:val="none"/>
              </w:rPr>
              <w:t> </w:t>
            </w:r>
          </w:p>
        </w:tc>
        <w:tc>
          <w:tcPr>
            <w:tcW w:w="6990" w:type="dxa"/>
            <w:tcBorders>
              <w:top w:val="nil"/>
              <w:left w:val="nil"/>
              <w:bottom w:val="nil"/>
              <w:right w:val="nil"/>
            </w:tcBorders>
            <w:tcMar>
              <w:top w:w="0" w:type="dxa"/>
              <w:left w:w="53" w:type="dxa"/>
              <w:bottom w:w="0" w:type="dxa"/>
              <w:right w:w="53" w:type="dxa"/>
            </w:tcMar>
            <w:vAlign w:val="top"/>
          </w:tcPr>
          <w:p>
            <w:pPr>
              <w:pageBreakBefore w:val="0"/>
              <w:spacing w:before="53" w:after="30" w:line="240" w:lineRule="auto"/>
              <w:jc w:val="left"/>
            </w:pPr>
            <w:r>
              <w:rPr>
                <w:rFonts w:ascii="Times New Roman" w:eastAsia="Times New Roman" w:hAnsi="Times New Roman" w:cs="Times New Roman"/>
                <w:b w:val="0"/>
                <w:i w:val="0"/>
                <w:color w:val="000000"/>
                <w:sz w:val="20"/>
                <w:u w:val="none"/>
              </w:rPr>
              <w:t>Chief Financial Officer and Principal Accounting Officer</w:t>
            </w:r>
          </w:p>
        </w:tc>
      </w:tr>
    </w:tbl>
    <w:p>
      <w:pPr>
        <w:keepNext w:val="0"/>
        <w:keepLines/>
        <w:pageBreakBefore w:val="0"/>
        <w:widowControl w:val="0"/>
        <w:numPr>
          <w:ilvl w:val="0"/>
          <w:numId w:val="0"/>
        </w:numPr>
        <w:spacing w:before="200" w:after="0" w:line="288" w:lineRule="auto"/>
        <w:ind w:left="0" w:right="0" w:firstLine="135"/>
        <w:jc w:val="left"/>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200" w:after="0" w:line="288" w:lineRule="auto"/>
        <w:ind w:left="0" w:right="0" w:firstLine="135"/>
        <w:jc w:val="left"/>
        <w:outlineLvl w:val="9"/>
        <w:rPr>
          <w:rFonts w:ascii="Times New Roman" w:eastAsia="Times New Roman" w:hAnsi="Times New Roman" w:cs="Times New Roman"/>
          <w:b w:val="0"/>
          <w:i w:val="0"/>
          <w:sz w:val="20"/>
        </w:rPr>
        <w:sectPr>
          <w:headerReference w:type="default" r:id="rId27"/>
          <w:pgSz w:w="12240" w:h="15840"/>
          <w:pgMar w:top="855" w:right="990" w:bottom="855" w:left="990" w:header="270" w:footer="270"/>
          <w:cols w:space="708"/>
        </w:sectPr>
      </w:pPr>
    </w:p>
    <w:p>
      <w:pPr>
        <w:keepNext w:val="0"/>
        <w:keepLines/>
        <w:pageBreakBefore w:val="0"/>
        <w:widowControl w:val="0"/>
        <w:numPr>
          <w:ilvl w:val="0"/>
          <w:numId w:val="0"/>
        </w:numPr>
        <w:spacing w:before="0" w:after="0" w:line="288" w:lineRule="auto"/>
        <w:ind w:left="0" w:right="0" w:firstLine="135"/>
        <w:jc w:val="center"/>
        <w:outlineLvl w:val="0"/>
        <w:rPr>
          <w:rFonts w:ascii="Times New Roman" w:eastAsia="Times New Roman" w:hAnsi="Times New Roman" w:cs="Times New Roman"/>
          <w:b/>
          <w:i w:val="0"/>
          <w:sz w:val="20"/>
        </w:rPr>
      </w:pPr>
      <w:bookmarkStart w:id="39" w:name="Section40"/>
      <w:bookmarkEnd w:id="39"/>
      <w:r>
        <w:rPr>
          <w:rFonts w:ascii="Times New Roman" w:eastAsia="Times New Roman" w:hAnsi="Times New Roman" w:cs="Times New Roman"/>
          <w:b/>
          <w:i w:val="0"/>
          <w:sz w:val="20"/>
        </w:rPr>
        <w:t>CERTIFICATION OF PERIODIC REPORT</w:t>
      </w:r>
    </w:p>
    <w:p>
      <w:pPr>
        <w:keepNext w:val="0"/>
        <w:keepLines/>
        <w:pageBreakBefore w:val="0"/>
        <w:widowControl w:val="0"/>
        <w:numPr>
          <w:ilvl w:val="0"/>
          <w:numId w:val="0"/>
        </w:numPr>
        <w:spacing w:before="200" w:after="0" w:line="288" w:lineRule="auto"/>
        <w:ind w:left="0" w:right="0" w:firstLine="135"/>
        <w:jc w:val="center"/>
        <w:outlineLvl w:val="9"/>
        <w:rPr>
          <w:rFonts w:ascii="Times New Roman" w:eastAsia="Times New Roman" w:hAnsi="Times New Roman" w:cs="Times New Roman"/>
          <w:b/>
          <w:i w:val="0"/>
          <w:sz w:val="20"/>
        </w:rPr>
      </w:pPr>
      <w:r>
        <w:rPr>
          <w:rFonts w:ascii="Times New Roman" w:eastAsia="Times New Roman" w:hAnsi="Times New Roman" w:cs="Times New Roman"/>
          <w:b/>
          <w:i w:val="0"/>
          <w:sz w:val="20"/>
        </w:rPr>
        <w:t>PURSUANT TO SECTION 906 OF THE SARBANES-OXLEY ACT OF 2002</w:t>
      </w:r>
    </w:p>
    <w:p>
      <w:pPr>
        <w:keepNext w:val="0"/>
        <w:keepLines/>
        <w:pageBreakBefore w:val="0"/>
        <w:widowControl w:val="0"/>
        <w:numPr>
          <w:ilvl w:val="0"/>
          <w:numId w:val="0"/>
        </w:numPr>
        <w:spacing w:before="200" w:after="0" w:line="288" w:lineRule="auto"/>
        <w:ind w:left="0" w:right="0" w:firstLine="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I, the undersigned, Patrick Goepel, do hereby certify, pursuant to 18 U.S.C. Section 1350, as adopted by Section 906 of the Sarbanes-Oxley Act of 2002, that:</w:t>
      </w:r>
    </w:p>
    <w:p>
      <w:pPr>
        <w:keepNext w:val="0"/>
        <w:keepLines/>
        <w:pageBreakBefore w:val="0"/>
        <w:widowControl w:val="0"/>
        <w:numPr>
          <w:ilvl w:val="0"/>
          <w:numId w:val="26"/>
        </w:numPr>
        <w:spacing w:before="200" w:after="0" w:line="288" w:lineRule="auto"/>
        <w:ind w:left="720" w:right="0" w:hanging="36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 xml:space="preserve">The annual report on Form 10-K of the Company for the period ended </w:t>
      </w:r>
      <w:r>
        <w:rPr>
          <w:rFonts w:ascii="Times New Roman" w:eastAsia="Times New Roman" w:hAnsi="Times New Roman" w:cs="Times New Roman"/>
          <w:b w:val="0"/>
          <w:i w:val="0"/>
          <w:color w:val="000000"/>
          <w:sz w:val="20"/>
          <w:u w:val="none"/>
        </w:rPr>
        <w:t>March 31, 2026</w:t>
      </w:r>
      <w:r>
        <w:rPr>
          <w:rFonts w:ascii="Times New Roman" w:eastAsia="Times New Roman" w:hAnsi="Times New Roman" w:cs="Times New Roman"/>
          <w:b w:val="0"/>
          <w:i w:val="0"/>
          <w:sz w:val="20"/>
        </w:rPr>
        <w:t xml:space="preserve"> (the “Report”) fully complies with the requirements of section 13(a) or 15(d) of the Securities Exchange Act of 1934 as amended, and</w:t>
      </w:r>
    </w:p>
    <w:p>
      <w:pPr>
        <w:keepNext w:val="0"/>
        <w:keepLines/>
        <w:pageBreakBefore w:val="0"/>
        <w:widowControl w:val="0"/>
        <w:numPr>
          <w:ilvl w:val="0"/>
          <w:numId w:val="26"/>
        </w:numPr>
        <w:spacing w:before="200" w:after="100" w:line="288" w:lineRule="auto"/>
        <w:ind w:left="720" w:right="0" w:hanging="36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The information contained in the Report fairly presents, in all material respects, the financial condition and results of operations of the Company.</w:t>
      </w:r>
    </w:p>
    <w:tbl>
      <w:tblPr>
        <w:tblStyle w:val="TableNormal0"/>
        <w:tblW w:w="10260" w:type="dxa"/>
        <w:jc w:val="left"/>
        <w:tblInd w:w="0" w:type="dxa"/>
        <w:tblLayout w:type="fixed"/>
      </w:tblPr>
      <w:tblGrid>
        <w:gridCol w:w="2865"/>
        <w:gridCol w:w="405"/>
        <w:gridCol w:w="6990"/>
      </w:tblGrid>
      <w:tr>
        <w:tblPrEx>
          <w:tblW w:w="10260" w:type="dxa"/>
          <w:tblInd w:w="0" w:type="dxa"/>
          <w:tblLayout w:type="fixed"/>
        </w:tblPrEx>
        <w:trPr>
          <w:trHeight w:hRule="exact" w:val="285"/>
        </w:trPr>
        <w:tc>
          <w:tcPr>
            <w:tcW w:w="2865" w:type="dxa"/>
            <w:tcBorders>
              <w:top w:val="nil"/>
              <w:left w:val="nil"/>
              <w:bottom w:val="nil"/>
              <w:right w:val="nil"/>
            </w:tcBorders>
            <w:tcMar>
              <w:top w:w="0" w:type="dxa"/>
              <w:left w:w="53" w:type="dxa"/>
              <w:bottom w:w="0" w:type="dxa"/>
              <w:right w:w="53" w:type="dxa"/>
            </w:tcMar>
            <w:vAlign w:val="top"/>
          </w:tcPr>
          <w:p>
            <w:pPr>
              <w:keepNext/>
              <w:pageBreakBefore w:val="0"/>
              <w:numPr>
                <w:ilvl w:val="0"/>
                <w:numId w:val="0"/>
              </w:numPr>
              <w:spacing w:before="53" w:after="30" w:line="240" w:lineRule="auto"/>
              <w:ind w:left="0" w:right="0" w:firstLine="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 xml:space="preserve">Date: </w:t>
            </w:r>
            <w:r>
              <w:rPr>
                <w:rFonts w:ascii="Times New Roman" w:eastAsia="Times New Roman" w:hAnsi="Times New Roman" w:cs="Times New Roman"/>
                <w:b w:val="0"/>
                <w:i w:val="0"/>
                <w:color w:val="000000"/>
                <w:sz w:val="20"/>
                <w:u w:val="none"/>
              </w:rPr>
              <w:t>April 30, 2026</w:t>
            </w:r>
          </w:p>
        </w:tc>
        <w:tc>
          <w:tcPr>
            <w:tcW w:w="405" w:type="dxa"/>
            <w:tcBorders>
              <w:top w:val="nil"/>
              <w:left w:val="nil"/>
              <w:bottom w:val="nil"/>
              <w:right w:val="nil"/>
            </w:tcBorders>
            <w:tcMar>
              <w:top w:w="0" w:type="dxa"/>
              <w:left w:w="53" w:type="dxa"/>
              <w:bottom w:w="0" w:type="dxa"/>
              <w:right w:w="53" w:type="dxa"/>
            </w:tcMar>
            <w:vAlign w:val="top"/>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By:</w:t>
            </w:r>
          </w:p>
        </w:tc>
        <w:tc>
          <w:tcPr>
            <w:tcW w:w="6990" w:type="dxa"/>
            <w:tcBorders>
              <w:top w:val="nil"/>
              <w:left w:val="nil"/>
              <w:bottom w:val="single" w:sz="8" w:space="0" w:color="000000"/>
              <w:right w:val="nil"/>
            </w:tcBorders>
            <w:tcMar>
              <w:top w:w="0" w:type="dxa"/>
              <w:left w:w="53" w:type="dxa"/>
              <w:bottom w:w="0" w:type="dxa"/>
              <w:right w:w="53" w:type="dxa"/>
            </w:tcMar>
            <w:vAlign w:val="top"/>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/s/ Patrick Goepel</w:t>
            </w:r>
          </w:p>
        </w:tc>
      </w:tr>
      <w:tr>
        <w:tblPrEx>
          <w:tblW w:w="10260" w:type="dxa"/>
          <w:tblInd w:w="0" w:type="dxa"/>
          <w:tblLayout w:type="fixed"/>
        </w:tblPrEx>
        <w:trPr>
          <w:trHeight w:hRule="exact" w:val="285"/>
        </w:trPr>
        <w:tc>
          <w:tcPr>
            <w:tcW w:w="2865" w:type="dxa"/>
            <w:tcBorders>
              <w:top w:val="nil"/>
              <w:left w:val="nil"/>
              <w:bottom w:val="nil"/>
              <w:right w:val="nil"/>
            </w:tcBorders>
            <w:tcMar>
              <w:top w:w="0" w:type="dxa"/>
              <w:left w:w="53" w:type="dxa"/>
              <w:bottom w:w="0" w:type="dxa"/>
              <w:right w:w="53" w:type="dxa"/>
            </w:tcMar>
            <w:vAlign w:val="top"/>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 </w:t>
            </w:r>
          </w:p>
        </w:tc>
        <w:tc>
          <w:tcPr>
            <w:tcW w:w="405" w:type="dxa"/>
            <w:tcBorders>
              <w:top w:val="nil"/>
              <w:left w:val="nil"/>
              <w:bottom w:val="nil"/>
              <w:right w:val="nil"/>
            </w:tcBorders>
            <w:tcMar>
              <w:top w:w="0" w:type="dxa"/>
              <w:left w:w="53" w:type="dxa"/>
              <w:bottom w:w="0" w:type="dxa"/>
              <w:right w:w="53" w:type="dxa"/>
            </w:tcMar>
            <w:vAlign w:val="top"/>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 </w:t>
            </w:r>
          </w:p>
        </w:tc>
        <w:tc>
          <w:tcPr>
            <w:tcW w:w="6990" w:type="dxa"/>
            <w:tcBorders>
              <w:top w:val="single" w:sz="8" w:space="0" w:color="000000"/>
              <w:left w:val="nil"/>
              <w:bottom w:val="nil"/>
              <w:right w:val="nil"/>
            </w:tcBorders>
            <w:tcMar>
              <w:top w:w="0" w:type="dxa"/>
              <w:left w:w="53" w:type="dxa"/>
              <w:bottom w:w="0" w:type="dxa"/>
              <w:right w:w="53" w:type="dxa"/>
            </w:tcMar>
            <w:vAlign w:val="bottom"/>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Patrick Goepel</w:t>
            </w:r>
          </w:p>
        </w:tc>
      </w:tr>
      <w:tr>
        <w:tblPrEx>
          <w:tblW w:w="10260" w:type="dxa"/>
          <w:tblInd w:w="0" w:type="dxa"/>
          <w:tblLayout w:type="fixed"/>
        </w:tblPrEx>
        <w:trPr>
          <w:trHeight w:hRule="exact" w:val="285"/>
        </w:trPr>
        <w:tc>
          <w:tcPr>
            <w:tcW w:w="2865" w:type="dxa"/>
            <w:tcBorders>
              <w:top w:val="nil"/>
              <w:left w:val="nil"/>
              <w:bottom w:val="nil"/>
              <w:right w:val="nil"/>
            </w:tcBorders>
            <w:tcMar>
              <w:top w:w="0" w:type="dxa"/>
              <w:left w:w="53" w:type="dxa"/>
              <w:bottom w:w="0" w:type="dxa"/>
              <w:right w:w="53" w:type="dxa"/>
            </w:tcMar>
            <w:vAlign w:val="top"/>
          </w:tcPr>
          <w:p>
            <w:pPr>
              <w:pageBreakBefore w:val="0"/>
              <w:spacing w:before="53" w:after="30" w:line="240" w:lineRule="auto"/>
              <w:jc w:val="left"/>
            </w:pPr>
            <w:r>
              <w:rPr>
                <w:rFonts w:ascii="Times New Roman" w:eastAsia="Times New Roman" w:hAnsi="Times New Roman" w:cs="Times New Roman"/>
                <w:b w:val="0"/>
                <w:i w:val="0"/>
                <w:color w:val="000000"/>
                <w:sz w:val="20"/>
                <w:u w:val="none"/>
              </w:rPr>
              <w:t> </w:t>
            </w:r>
          </w:p>
        </w:tc>
        <w:tc>
          <w:tcPr>
            <w:tcW w:w="405" w:type="dxa"/>
            <w:tcBorders>
              <w:top w:val="nil"/>
              <w:left w:val="nil"/>
              <w:bottom w:val="nil"/>
              <w:right w:val="nil"/>
            </w:tcBorders>
            <w:tcMar>
              <w:top w:w="0" w:type="dxa"/>
              <w:left w:w="53" w:type="dxa"/>
              <w:bottom w:w="0" w:type="dxa"/>
              <w:right w:w="53" w:type="dxa"/>
            </w:tcMar>
            <w:vAlign w:val="top"/>
          </w:tcPr>
          <w:p>
            <w:pPr>
              <w:pageBreakBefore w:val="0"/>
              <w:spacing w:before="53" w:after="30" w:line="240" w:lineRule="auto"/>
              <w:jc w:val="left"/>
            </w:pPr>
            <w:r>
              <w:rPr>
                <w:rFonts w:ascii="Times New Roman" w:eastAsia="Times New Roman" w:hAnsi="Times New Roman" w:cs="Times New Roman"/>
                <w:b w:val="0"/>
                <w:i w:val="0"/>
                <w:color w:val="000000"/>
                <w:sz w:val="20"/>
                <w:u w:val="none"/>
              </w:rPr>
              <w:t> </w:t>
            </w:r>
          </w:p>
        </w:tc>
        <w:tc>
          <w:tcPr>
            <w:tcW w:w="6990" w:type="dxa"/>
            <w:tcBorders>
              <w:top w:val="nil"/>
              <w:left w:val="nil"/>
              <w:bottom w:val="nil"/>
              <w:right w:val="nil"/>
            </w:tcBorders>
            <w:tcMar>
              <w:top w:w="0" w:type="dxa"/>
              <w:left w:w="53" w:type="dxa"/>
              <w:bottom w:w="0" w:type="dxa"/>
              <w:right w:w="53" w:type="dxa"/>
            </w:tcMar>
            <w:vAlign w:val="top"/>
          </w:tcPr>
          <w:p>
            <w:pPr>
              <w:pageBreakBefore w:val="0"/>
              <w:spacing w:before="53" w:after="30" w:line="240" w:lineRule="auto"/>
              <w:jc w:val="left"/>
            </w:pPr>
            <w:r>
              <w:rPr>
                <w:rFonts w:ascii="Times New Roman" w:eastAsia="Times New Roman" w:hAnsi="Times New Roman" w:cs="Times New Roman"/>
                <w:b w:val="0"/>
                <w:i w:val="0"/>
                <w:color w:val="000000"/>
                <w:sz w:val="20"/>
                <w:u w:val="none"/>
              </w:rPr>
              <w:t>Chief Executive Officer</w:t>
            </w:r>
          </w:p>
        </w:tc>
      </w:tr>
    </w:tbl>
    <w:p>
      <w:pPr>
        <w:keepNext w:val="0"/>
        <w:keepLines/>
        <w:pageBreakBefore w:val="0"/>
        <w:widowControl w:val="0"/>
        <w:numPr>
          <w:ilvl w:val="0"/>
          <w:numId w:val="0"/>
        </w:numPr>
        <w:spacing w:before="200" w:after="0" w:line="288" w:lineRule="auto"/>
        <w:ind w:left="0" w:right="0" w:firstLine="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A signed original of this written statement required by Section 906 has been provided to Asure Software, Inc. and will be retained by Asure Software, Inc. and furnished to the Securities and Exchange Commission or its staff upon request. The foregoing certification is being furnished solely pursuant to 18 U.S.C. Section 1350 and is not being filed as part of the Report or as a separate disclosure document.</w:t>
      </w:r>
    </w:p>
    <w:p>
      <w:pPr>
        <w:keepNext w:val="0"/>
        <w:keepLines/>
        <w:pageBreakBefore w:val="0"/>
        <w:widowControl w:val="0"/>
        <w:numPr>
          <w:ilvl w:val="0"/>
          <w:numId w:val="0"/>
        </w:numPr>
        <w:spacing w:before="200" w:after="0" w:line="288" w:lineRule="auto"/>
        <w:ind w:left="0" w:right="0" w:firstLine="135"/>
        <w:jc w:val="left"/>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200" w:after="0" w:line="288" w:lineRule="auto"/>
        <w:ind w:left="0" w:right="0" w:firstLine="135"/>
        <w:jc w:val="left"/>
        <w:outlineLvl w:val="9"/>
        <w:rPr>
          <w:rFonts w:ascii="Times New Roman" w:eastAsia="Times New Roman" w:hAnsi="Times New Roman" w:cs="Times New Roman"/>
          <w:b w:val="0"/>
          <w:i w:val="0"/>
          <w:sz w:val="20"/>
        </w:rPr>
        <w:sectPr>
          <w:headerReference w:type="default" r:id="rId28"/>
          <w:pgSz w:w="12240" w:h="15840"/>
          <w:pgMar w:top="855" w:right="990" w:bottom="855" w:left="990" w:header="270" w:footer="270"/>
          <w:cols w:space="708"/>
        </w:sectPr>
      </w:pPr>
    </w:p>
    <w:p>
      <w:pPr>
        <w:keepNext w:val="0"/>
        <w:keepLines/>
        <w:pageBreakBefore w:val="0"/>
        <w:widowControl w:val="0"/>
        <w:numPr>
          <w:ilvl w:val="0"/>
          <w:numId w:val="0"/>
        </w:numPr>
        <w:spacing w:before="0" w:after="0" w:line="288" w:lineRule="auto"/>
        <w:ind w:left="0" w:right="0" w:firstLine="135"/>
        <w:jc w:val="center"/>
        <w:outlineLvl w:val="0"/>
        <w:rPr>
          <w:rFonts w:ascii="Times New Roman" w:eastAsia="Times New Roman" w:hAnsi="Times New Roman" w:cs="Times New Roman"/>
          <w:b/>
          <w:i w:val="0"/>
          <w:sz w:val="20"/>
        </w:rPr>
      </w:pPr>
      <w:bookmarkStart w:id="40" w:name="Section41"/>
      <w:bookmarkEnd w:id="40"/>
      <w:r>
        <w:rPr>
          <w:rFonts w:ascii="Times New Roman" w:eastAsia="Times New Roman" w:hAnsi="Times New Roman" w:cs="Times New Roman"/>
          <w:b/>
          <w:i w:val="0"/>
          <w:sz w:val="20"/>
        </w:rPr>
        <w:t>CERTIFICATION OF PERIODIC REPORT</w:t>
      </w:r>
    </w:p>
    <w:p>
      <w:pPr>
        <w:keepNext w:val="0"/>
        <w:keepLines/>
        <w:pageBreakBefore w:val="0"/>
        <w:widowControl w:val="0"/>
        <w:numPr>
          <w:ilvl w:val="0"/>
          <w:numId w:val="0"/>
        </w:numPr>
        <w:spacing w:before="200" w:after="0" w:line="288" w:lineRule="auto"/>
        <w:ind w:left="0" w:right="0" w:firstLine="135"/>
        <w:jc w:val="center"/>
        <w:outlineLvl w:val="9"/>
        <w:rPr>
          <w:rFonts w:ascii="Times New Roman" w:eastAsia="Times New Roman" w:hAnsi="Times New Roman" w:cs="Times New Roman"/>
          <w:b/>
          <w:i w:val="0"/>
          <w:sz w:val="20"/>
        </w:rPr>
      </w:pPr>
      <w:r>
        <w:rPr>
          <w:rFonts w:ascii="Times New Roman" w:eastAsia="Times New Roman" w:hAnsi="Times New Roman" w:cs="Times New Roman"/>
          <w:b/>
          <w:i w:val="0"/>
          <w:sz w:val="20"/>
        </w:rPr>
        <w:t>PURSUANT TO SECTION 906 OF THE SARBANES-OXLEY ACT OF 2002</w:t>
      </w:r>
    </w:p>
    <w:p>
      <w:pPr>
        <w:keepNext w:val="0"/>
        <w:keepLines/>
        <w:pageBreakBefore w:val="0"/>
        <w:widowControl w:val="0"/>
        <w:numPr>
          <w:ilvl w:val="0"/>
          <w:numId w:val="0"/>
        </w:numPr>
        <w:spacing w:before="200" w:after="0" w:line="288" w:lineRule="auto"/>
        <w:ind w:left="0" w:right="0" w:firstLine="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I, the undersigned, John Pence, do hereby certify, pursuant to 18 U.S.C. Section 1350, as adopted by Section 906 of the Sarbanes-Oxley Act of 2002, that:</w:t>
      </w:r>
    </w:p>
    <w:p>
      <w:pPr>
        <w:keepNext w:val="0"/>
        <w:keepLines/>
        <w:pageBreakBefore w:val="0"/>
        <w:widowControl w:val="0"/>
        <w:numPr>
          <w:ilvl w:val="0"/>
          <w:numId w:val="27"/>
        </w:numPr>
        <w:spacing w:before="200" w:after="0" w:line="288" w:lineRule="auto"/>
        <w:ind w:left="720" w:right="0" w:hanging="36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 xml:space="preserve">The annual report on Form 10-K of the Company for the period ended </w:t>
      </w:r>
      <w:r>
        <w:rPr>
          <w:rFonts w:ascii="Times New Roman" w:eastAsia="Times New Roman" w:hAnsi="Times New Roman" w:cs="Times New Roman"/>
          <w:b w:val="0"/>
          <w:i w:val="0"/>
          <w:color w:val="000000"/>
          <w:sz w:val="20"/>
          <w:u w:val="none"/>
        </w:rPr>
        <w:t>March 31, 2026</w:t>
      </w:r>
      <w:r>
        <w:rPr>
          <w:rFonts w:ascii="Times New Roman" w:eastAsia="Times New Roman" w:hAnsi="Times New Roman" w:cs="Times New Roman"/>
          <w:b w:val="0"/>
          <w:i w:val="0"/>
          <w:sz w:val="20"/>
        </w:rPr>
        <w:t xml:space="preserve"> (the “Report”) fully complies with the requirements of section 13(a) or 15(d) of the Securities Exchange Act of 1934 as amended, and</w:t>
      </w:r>
    </w:p>
    <w:p>
      <w:pPr>
        <w:keepNext w:val="0"/>
        <w:keepLines/>
        <w:pageBreakBefore w:val="0"/>
        <w:widowControl w:val="0"/>
        <w:numPr>
          <w:ilvl w:val="0"/>
          <w:numId w:val="27"/>
        </w:numPr>
        <w:spacing w:before="200" w:after="100" w:line="288" w:lineRule="auto"/>
        <w:ind w:left="720" w:right="0" w:hanging="36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The information contained in the Report fairly presents, in all material respects, the financial condition and results of operations of the Company.</w:t>
      </w:r>
    </w:p>
    <w:tbl>
      <w:tblPr>
        <w:tblStyle w:val="TableNormal0"/>
        <w:tblW w:w="10260" w:type="dxa"/>
        <w:jc w:val="left"/>
        <w:tblInd w:w="0" w:type="dxa"/>
        <w:tblLayout w:type="fixed"/>
      </w:tblPr>
      <w:tblGrid>
        <w:gridCol w:w="2865"/>
        <w:gridCol w:w="405"/>
        <w:gridCol w:w="6990"/>
      </w:tblGrid>
      <w:tr>
        <w:tblPrEx>
          <w:tblW w:w="10260" w:type="dxa"/>
          <w:tblInd w:w="0" w:type="dxa"/>
          <w:tblLayout w:type="fixed"/>
        </w:tblPrEx>
        <w:trPr>
          <w:trHeight w:hRule="exact" w:val="285"/>
        </w:trPr>
        <w:tc>
          <w:tcPr>
            <w:tcW w:w="2865" w:type="dxa"/>
            <w:tcBorders>
              <w:top w:val="nil"/>
              <w:left w:val="nil"/>
              <w:bottom w:val="nil"/>
              <w:right w:val="nil"/>
            </w:tcBorders>
            <w:tcMar>
              <w:top w:w="0" w:type="dxa"/>
              <w:left w:w="53" w:type="dxa"/>
              <w:bottom w:w="0" w:type="dxa"/>
              <w:right w:w="53" w:type="dxa"/>
            </w:tcMar>
            <w:vAlign w:val="top"/>
          </w:tcPr>
          <w:p>
            <w:pPr>
              <w:keepNext/>
              <w:pageBreakBefore w:val="0"/>
              <w:numPr>
                <w:ilvl w:val="0"/>
                <w:numId w:val="0"/>
              </w:numPr>
              <w:spacing w:before="53" w:after="30" w:line="240" w:lineRule="auto"/>
              <w:ind w:left="0" w:right="0" w:firstLine="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 xml:space="preserve">Date: </w:t>
            </w:r>
            <w:r>
              <w:rPr>
                <w:rFonts w:ascii="Times New Roman" w:eastAsia="Times New Roman" w:hAnsi="Times New Roman" w:cs="Times New Roman"/>
                <w:b w:val="0"/>
                <w:i w:val="0"/>
                <w:color w:val="000000"/>
                <w:sz w:val="20"/>
                <w:u w:val="none"/>
              </w:rPr>
              <w:t>April 30, 2026</w:t>
            </w:r>
          </w:p>
        </w:tc>
        <w:tc>
          <w:tcPr>
            <w:tcW w:w="405" w:type="dxa"/>
            <w:tcBorders>
              <w:top w:val="nil"/>
              <w:left w:val="nil"/>
              <w:bottom w:val="nil"/>
              <w:right w:val="nil"/>
            </w:tcBorders>
            <w:tcMar>
              <w:top w:w="0" w:type="dxa"/>
              <w:left w:w="53" w:type="dxa"/>
              <w:bottom w:w="0" w:type="dxa"/>
              <w:right w:w="53" w:type="dxa"/>
            </w:tcMar>
            <w:vAlign w:val="top"/>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By:</w:t>
            </w:r>
          </w:p>
        </w:tc>
        <w:tc>
          <w:tcPr>
            <w:tcW w:w="6990" w:type="dxa"/>
            <w:tcBorders>
              <w:top w:val="nil"/>
              <w:left w:val="nil"/>
              <w:bottom w:val="single" w:sz="8" w:space="0" w:color="000000"/>
              <w:right w:val="nil"/>
            </w:tcBorders>
            <w:tcMar>
              <w:top w:w="0" w:type="dxa"/>
              <w:left w:w="53" w:type="dxa"/>
              <w:bottom w:w="0" w:type="dxa"/>
              <w:right w:w="53" w:type="dxa"/>
            </w:tcMar>
            <w:vAlign w:val="top"/>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/s/ John Pence</w:t>
            </w:r>
          </w:p>
        </w:tc>
      </w:tr>
      <w:tr>
        <w:tblPrEx>
          <w:tblW w:w="10260" w:type="dxa"/>
          <w:tblInd w:w="0" w:type="dxa"/>
          <w:tblLayout w:type="fixed"/>
        </w:tblPrEx>
        <w:trPr>
          <w:trHeight w:hRule="exact" w:val="285"/>
        </w:trPr>
        <w:tc>
          <w:tcPr>
            <w:tcW w:w="2865" w:type="dxa"/>
            <w:tcBorders>
              <w:top w:val="nil"/>
              <w:left w:val="nil"/>
              <w:bottom w:val="nil"/>
              <w:right w:val="nil"/>
            </w:tcBorders>
            <w:tcMar>
              <w:top w:w="0" w:type="dxa"/>
              <w:left w:w="53" w:type="dxa"/>
              <w:bottom w:w="0" w:type="dxa"/>
              <w:right w:w="53" w:type="dxa"/>
            </w:tcMar>
            <w:vAlign w:val="top"/>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 </w:t>
            </w:r>
          </w:p>
        </w:tc>
        <w:tc>
          <w:tcPr>
            <w:tcW w:w="405" w:type="dxa"/>
            <w:tcBorders>
              <w:top w:val="nil"/>
              <w:left w:val="nil"/>
              <w:bottom w:val="nil"/>
              <w:right w:val="nil"/>
            </w:tcBorders>
            <w:tcMar>
              <w:top w:w="0" w:type="dxa"/>
              <w:left w:w="53" w:type="dxa"/>
              <w:bottom w:w="0" w:type="dxa"/>
              <w:right w:w="53" w:type="dxa"/>
            </w:tcMar>
            <w:vAlign w:val="top"/>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 </w:t>
            </w:r>
          </w:p>
        </w:tc>
        <w:tc>
          <w:tcPr>
            <w:tcW w:w="6990" w:type="dxa"/>
            <w:tcBorders>
              <w:top w:val="single" w:sz="8" w:space="0" w:color="000000"/>
              <w:left w:val="nil"/>
              <w:bottom w:val="nil"/>
              <w:right w:val="nil"/>
            </w:tcBorders>
            <w:tcMar>
              <w:top w:w="0" w:type="dxa"/>
              <w:left w:w="53" w:type="dxa"/>
              <w:bottom w:w="0" w:type="dxa"/>
              <w:right w:w="53" w:type="dxa"/>
            </w:tcMar>
            <w:vAlign w:val="bottom"/>
          </w:tcPr>
          <w:p>
            <w:pPr>
              <w:keepNext/>
              <w:pageBreakBefore w:val="0"/>
              <w:numPr>
                <w:ilvl w:val="0"/>
                <w:numId w:val="0"/>
              </w:numPr>
              <w:spacing w:before="33" w:after="30" w:line="240" w:lineRule="auto"/>
              <w:ind w:left="0" w:right="0" w:firstLine="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John Pence</w:t>
            </w:r>
          </w:p>
        </w:tc>
      </w:tr>
      <w:tr>
        <w:tblPrEx>
          <w:tblW w:w="10260" w:type="dxa"/>
          <w:tblInd w:w="0" w:type="dxa"/>
          <w:tblLayout w:type="fixed"/>
        </w:tblPrEx>
        <w:trPr>
          <w:trHeight w:hRule="exact" w:val="285"/>
        </w:trPr>
        <w:tc>
          <w:tcPr>
            <w:tcW w:w="2865" w:type="dxa"/>
            <w:tcBorders>
              <w:top w:val="nil"/>
              <w:left w:val="nil"/>
              <w:bottom w:val="nil"/>
              <w:right w:val="nil"/>
            </w:tcBorders>
            <w:tcMar>
              <w:top w:w="0" w:type="dxa"/>
              <w:left w:w="53" w:type="dxa"/>
              <w:bottom w:w="0" w:type="dxa"/>
              <w:right w:w="53" w:type="dxa"/>
            </w:tcMar>
            <w:vAlign w:val="top"/>
          </w:tcPr>
          <w:p>
            <w:pPr>
              <w:pageBreakBefore w:val="0"/>
              <w:spacing w:before="53" w:after="30" w:line="240" w:lineRule="auto"/>
              <w:jc w:val="left"/>
            </w:pPr>
            <w:r>
              <w:rPr>
                <w:rFonts w:ascii="Times New Roman" w:eastAsia="Times New Roman" w:hAnsi="Times New Roman" w:cs="Times New Roman"/>
                <w:b w:val="0"/>
                <w:i w:val="0"/>
                <w:color w:val="000000"/>
                <w:sz w:val="20"/>
                <w:u w:val="none"/>
              </w:rPr>
              <w:t> </w:t>
            </w:r>
          </w:p>
        </w:tc>
        <w:tc>
          <w:tcPr>
            <w:tcW w:w="405" w:type="dxa"/>
            <w:tcBorders>
              <w:top w:val="nil"/>
              <w:left w:val="nil"/>
              <w:bottom w:val="nil"/>
              <w:right w:val="nil"/>
            </w:tcBorders>
            <w:tcMar>
              <w:top w:w="0" w:type="dxa"/>
              <w:left w:w="53" w:type="dxa"/>
              <w:bottom w:w="0" w:type="dxa"/>
              <w:right w:w="53" w:type="dxa"/>
            </w:tcMar>
            <w:vAlign w:val="top"/>
          </w:tcPr>
          <w:p>
            <w:pPr>
              <w:pageBreakBefore w:val="0"/>
              <w:spacing w:before="53" w:after="30" w:line="240" w:lineRule="auto"/>
              <w:jc w:val="left"/>
            </w:pPr>
            <w:r>
              <w:rPr>
                <w:rFonts w:ascii="Times New Roman" w:eastAsia="Times New Roman" w:hAnsi="Times New Roman" w:cs="Times New Roman"/>
                <w:b w:val="0"/>
                <w:i w:val="0"/>
                <w:color w:val="000000"/>
                <w:sz w:val="20"/>
                <w:u w:val="none"/>
              </w:rPr>
              <w:t> </w:t>
            </w:r>
          </w:p>
        </w:tc>
        <w:tc>
          <w:tcPr>
            <w:tcW w:w="6990" w:type="dxa"/>
            <w:tcBorders>
              <w:top w:val="nil"/>
              <w:left w:val="nil"/>
              <w:bottom w:val="nil"/>
              <w:right w:val="nil"/>
            </w:tcBorders>
            <w:tcMar>
              <w:top w:w="0" w:type="dxa"/>
              <w:left w:w="53" w:type="dxa"/>
              <w:bottom w:w="0" w:type="dxa"/>
              <w:right w:w="53" w:type="dxa"/>
            </w:tcMar>
            <w:vAlign w:val="top"/>
          </w:tcPr>
          <w:p>
            <w:pPr>
              <w:pageBreakBefore w:val="0"/>
              <w:spacing w:before="53" w:after="30" w:line="240" w:lineRule="auto"/>
              <w:jc w:val="left"/>
            </w:pPr>
            <w:r>
              <w:rPr>
                <w:rFonts w:ascii="Times New Roman" w:eastAsia="Times New Roman" w:hAnsi="Times New Roman" w:cs="Times New Roman"/>
                <w:b w:val="0"/>
                <w:i w:val="0"/>
                <w:color w:val="000000"/>
                <w:sz w:val="20"/>
                <w:u w:val="none"/>
              </w:rPr>
              <w:t>Chief Financial Officer and Principal Accounting Officer</w:t>
            </w:r>
          </w:p>
        </w:tc>
      </w:tr>
    </w:tbl>
    <w:p>
      <w:pPr>
        <w:keepNext w:val="0"/>
        <w:keepLines/>
        <w:pageBreakBefore w:val="0"/>
        <w:widowControl w:val="0"/>
        <w:numPr>
          <w:ilvl w:val="0"/>
          <w:numId w:val="0"/>
        </w:numPr>
        <w:spacing w:before="200" w:after="0" w:line="288" w:lineRule="auto"/>
        <w:ind w:left="0" w:right="0" w:firstLine="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A signed original of this written statement required by Section 906 has been provided to Asure Software, Inc. and will be retained by Asure Software, Inc. and furnished to the Securities and Exchange Commission or its staff upon request. The foregoing certification is being furnished solely pursuant to 18 U.S.C. Section 1350 and is not being filed as part of the Report or as a separate disclosure document.</w:t>
      </w:r>
    </w:p>
    <w:p>
      <w:pPr>
        <w:keepNext w:val="0"/>
        <w:keepLines/>
        <w:pageBreakBefore w:val="0"/>
        <w:widowControl w:val="0"/>
        <w:numPr>
          <w:ilvl w:val="0"/>
          <w:numId w:val="0"/>
        </w:numPr>
        <w:spacing w:before="200" w:after="0" w:line="288" w:lineRule="auto"/>
        <w:ind w:left="0" w:right="0" w:firstLine="135"/>
        <w:jc w:val="left"/>
        <w:outlineLvl w:val="9"/>
        <w:rPr>
          <w:rFonts w:ascii="Times New Roman" w:eastAsia="Times New Roman" w:hAnsi="Times New Roman" w:cs="Times New Roman"/>
          <w:b w:val="0"/>
          <w:i w:val="0"/>
          <w:sz w:val="20"/>
        </w:rPr>
      </w:pPr>
    </w:p>
    <w:sectPr>
      <w:headerReference w:type="default" r:id="rId29"/>
      <w:pgSz w:w="12240" w:h="15840"/>
      <w:pgMar w:top="855" w:right="990" w:bottom="855" w:left="990" w:header="270" w:footer="270"/>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keepNext w:val="0"/>
      <w:keepLines/>
      <w:pageBreakBefore w:val="0"/>
      <w:widowControl w:val="0"/>
      <w:numPr>
        <w:ilvl w:val="0"/>
        <w:numId w:val="0"/>
      </w:numPr>
      <w:spacing w:before="0" w:after="0" w:line="288" w:lineRule="auto"/>
      <w:ind w:left="630" w:right="630" w:firstLine="0"/>
      <w:jc w:val="center"/>
      <w:outlineLvl w:val="9"/>
      <w:rPr>
        <w:rFonts w:ascii="Times New Roman" w:eastAsia="Times New Roman" w:hAnsi="Times New Roman" w:cs="Times New Roman"/>
        <w:b w:val="0"/>
        <w:i w:val="0"/>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keepNext w:val="0"/>
      <w:keepLines/>
      <w:pageBreakBefore w:val="0"/>
      <w:widowControl w:val="0"/>
      <w:numPr>
        <w:ilvl w:val="0"/>
        <w:numId w:val="0"/>
      </w:numPr>
      <w:spacing w:before="0" w:after="0" w:line="288" w:lineRule="auto"/>
      <w:ind w:left="630" w:right="630" w:firstLine="0"/>
      <w:jc w:val="left"/>
      <w:outlineLvl w:val="9"/>
      <w:rPr>
        <w:rFonts w:ascii="Times New Roman" w:eastAsia="Times New Roman" w:hAnsi="Times New Roman" w:cs="Times New Roman"/>
        <w:b w:val="0"/>
        <w:i w:val="0"/>
        <w:sz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20"/>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fldChar w:fldCharType="begin"/>
    </w:r>
    <w:r>
      <w:rPr>
        <w:rFonts w:ascii="Times New Roman" w:eastAsia="Times New Roman" w:hAnsi="Times New Roman" w:cs="Times New Roman"/>
        <w:b w:val="0"/>
        <w:i w:val="0"/>
        <w:sz w:val="20"/>
      </w:rPr>
      <w:instrText xml:space="preserve"> PAGE </w:instrText>
    </w:r>
    <w:r>
      <w:rPr>
        <w:rFonts w:ascii="Times New Roman" w:eastAsia="Times New Roman" w:hAnsi="Times New Roman" w:cs="Times New Roman"/>
        <w:b w:val="0"/>
        <w:i w:val="0"/>
        <w:sz w:val="20"/>
      </w:rPr>
      <w:fldChar w:fldCharType="separate"/>
    </w:r>
    <w:r>
      <w:rPr>
        <w:rFonts w:ascii="Times New Roman" w:eastAsia="Times New Roman" w:hAnsi="Times New Roman" w:cs="Times New Roman"/>
        <w:b w:val="0"/>
        <w:i w:val="0"/>
        <w:sz w:val="20"/>
      </w:rPr>
      <w:t>1</w:t>
    </w:r>
    <w:r>
      <w:rPr>
        <w:rFonts w:ascii="Times New Roman" w:eastAsia="Times New Roman" w:hAnsi="Times New Roman" w:cs="Times New Roman"/>
        <w:b w:val="0"/>
        <w:i w:val="0"/>
        <w:sz w:val="20"/>
      </w:rPr>
      <w:fldChar w:fldCharType="end"/>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fldChar w:fldCharType="begin"/>
    </w:r>
    <w:r>
      <w:rPr>
        <w:rFonts w:ascii="Times New Roman" w:eastAsia="Times New Roman" w:hAnsi="Times New Roman" w:cs="Times New Roman"/>
        <w:b w:val="0"/>
        <w:i w:val="0"/>
        <w:sz w:val="20"/>
      </w:rPr>
      <w:instrText xml:space="preserve"> PAGE </w:instrText>
    </w:r>
    <w:r>
      <w:rPr>
        <w:rFonts w:ascii="Times New Roman" w:eastAsia="Times New Roman" w:hAnsi="Times New Roman" w:cs="Times New Roman"/>
        <w:b w:val="0"/>
        <w:i w:val="0"/>
        <w:sz w:val="20"/>
      </w:rPr>
      <w:fldChar w:fldCharType="separate"/>
    </w:r>
    <w:r>
      <w:rPr>
        <w:rFonts w:ascii="Times New Roman" w:eastAsia="Times New Roman" w:hAnsi="Times New Roman" w:cs="Times New Roman"/>
        <w:b w:val="0"/>
        <w:i w:val="0"/>
        <w:sz w:val="20"/>
      </w:rPr>
      <w:fldChar w:fldCharType="end"/>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fldChar w:fldCharType="begin"/>
    </w:r>
    <w:r>
      <w:rPr>
        <w:rFonts w:ascii="Times New Roman" w:eastAsia="Times New Roman" w:hAnsi="Times New Roman" w:cs="Times New Roman"/>
        <w:b w:val="0"/>
        <w:i w:val="0"/>
        <w:sz w:val="20"/>
      </w:rPr>
      <w:instrText xml:space="preserve"> PAGE </w:instrText>
    </w:r>
    <w:r>
      <w:rPr>
        <w:rFonts w:ascii="Times New Roman" w:eastAsia="Times New Roman" w:hAnsi="Times New Roman" w:cs="Times New Roman"/>
        <w:b w:val="0"/>
        <w:i w:val="0"/>
        <w:sz w:val="20"/>
      </w:rPr>
      <w:fldChar w:fldCharType="separate"/>
    </w:r>
    <w:r>
      <w:rPr>
        <w:rFonts w:ascii="Times New Roman" w:eastAsia="Times New Roman" w:hAnsi="Times New Roman" w:cs="Times New Roman"/>
        <w:b w:val="0"/>
        <w:i w:val="0"/>
        <w:sz w:val="20"/>
      </w:rPr>
      <w:t>33</w:t>
    </w:r>
    <w:r>
      <w:rPr>
        <w:rFonts w:ascii="Times New Roman" w:eastAsia="Times New Roman" w:hAnsi="Times New Roman" w:cs="Times New Roman"/>
        <w:b w:val="0"/>
        <w:i w:val="0"/>
        <w:sz w:val="20"/>
      </w:rP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keepNext w:val="0"/>
      <w:keepLines/>
      <w:pageBreakBefore w:val="0"/>
      <w:widowControl w:val="0"/>
      <w:numPr>
        <w:ilvl w:val="0"/>
        <w:numId w:val="0"/>
      </w:numPr>
      <w:spacing w:before="0" w:after="0" w:line="288" w:lineRule="auto"/>
      <w:ind w:left="630" w:right="630" w:firstLine="0"/>
      <w:jc w:val="left"/>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630" w:right="630" w:firstLine="0"/>
      <w:jc w:val="center"/>
      <w:outlineLvl w:val="9"/>
      <w:rPr>
        <w:rFonts w:ascii="Times New Roman" w:eastAsia="Times New Roman" w:hAnsi="Times New Roman" w:cs="Times New Roman"/>
        <w:b w:val="0"/>
        <w:i w:val="0"/>
        <w:sz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keepNext w:val="0"/>
      <w:keepLines/>
      <w:pageBreakBefore w:val="0"/>
      <w:widowControl w:val="0"/>
      <w:numPr>
        <w:ilvl w:val="0"/>
        <w:numId w:val="0"/>
      </w:numPr>
      <w:spacing w:before="0" w:after="0" w:line="288" w:lineRule="auto"/>
      <w:ind w:left="630" w:right="630" w:firstLine="0"/>
      <w:jc w:val="left"/>
      <w:outlineLvl w:val="9"/>
      <w:rPr>
        <w:rFonts w:ascii="Times New Roman" w:eastAsia="Times New Roman" w:hAnsi="Times New Roman" w:cs="Times New Roman"/>
        <w:b w:val="0"/>
        <w:i w:val="0"/>
        <w:sz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Normal-wk"/>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shd w:val="clear" w:color="auto" w:fill="auto"/>
      </w:rPr>
    </w:pPr>
    <w:hyperlink w:anchor="Section2" w:history="1">
      <w:r>
        <w:rPr>
          <w:rFonts w:ascii="Times New Roman" w:eastAsia="Times New Roman" w:hAnsi="Times New Roman" w:cs="Times New Roman"/>
          <w:b w:val="0"/>
          <w:i w:val="0"/>
          <w:color w:val="0000FF"/>
          <w:sz w:val="20"/>
          <w:u w:val="single"/>
          <w:shd w:val="clear" w:color="auto" w:fill="auto"/>
        </w:rPr>
        <w:t>Table of Contents</w:t>
      </w:r>
    </w:hyperlink>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Normal-wk"/>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shd w:val="clear" w:color="auto" w:fill="auto"/>
      </w:rPr>
    </w:pPr>
    <w:hyperlink w:anchor="Section2" w:history="1">
      <w:r>
        <w:rPr>
          <w:rFonts w:ascii="Times New Roman" w:eastAsia="Times New Roman" w:hAnsi="Times New Roman" w:cs="Times New Roman"/>
          <w:b w:val="0"/>
          <w:i w:val="0"/>
          <w:color w:val="0000FF"/>
          <w:sz w:val="20"/>
          <w:u w:val="single"/>
          <w:shd w:val="clear" w:color="auto" w:fill="auto"/>
        </w:rPr>
        <w:t>Table of Contents</w:t>
      </w:r>
    </w:hyperlink>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Normal-wk"/>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shd w:val="clear" w:color="auto" w:fill="auto"/>
      </w:rPr>
    </w:pPr>
    <w:hyperlink w:anchor="Section2" w:history="1">
      <w:r>
        <w:rPr>
          <w:rFonts w:ascii="Times New Roman" w:eastAsia="Times New Roman" w:hAnsi="Times New Roman" w:cs="Times New Roman"/>
          <w:b w:val="0"/>
          <w:i w:val="0"/>
          <w:color w:val="0000FF"/>
          <w:sz w:val="20"/>
          <w:u w:val="single"/>
          <w:shd w:val="clear" w:color="auto" w:fill="auto"/>
        </w:rPr>
        <w:t>Table of Contents</w:t>
      </w:r>
    </w:hyperlink>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keepNext w:val="0"/>
      <w:keepLines/>
      <w:pageBreakBefore w:val="0"/>
      <w:widowControl w:val="0"/>
      <w:numPr>
        <w:ilvl w:val="0"/>
        <w:numId w:val="0"/>
      </w:numPr>
      <w:spacing w:before="0" w:after="0" w:line="288" w:lineRule="auto"/>
      <w:ind w:left="0" w:right="0" w:firstLine="0"/>
      <w:jc w:val="right"/>
      <w:outlineLvl w:val="0"/>
      <w:rPr>
        <w:rFonts w:ascii="Times New Roman" w:eastAsia="Times New Roman" w:hAnsi="Times New Roman" w:cs="Times New Roman"/>
        <w:b/>
        <w:i w:val="0"/>
        <w:sz w:val="20"/>
      </w:rPr>
    </w:pPr>
    <w:r>
      <w:rPr>
        <w:rFonts w:ascii="Times New Roman" w:eastAsia="Times New Roman" w:hAnsi="Times New Roman" w:cs="Times New Roman"/>
        <w:b/>
        <w:i w:val="0"/>
        <w:sz w:val="20"/>
      </w:rPr>
      <w:t>EXHIBIT 31.1</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keepNext w:val="0"/>
      <w:keepLines/>
      <w:pageBreakBefore w:val="0"/>
      <w:widowControl w:val="0"/>
      <w:numPr>
        <w:ilvl w:val="0"/>
        <w:numId w:val="0"/>
      </w:numPr>
      <w:spacing w:before="0" w:after="0" w:line="288" w:lineRule="auto"/>
      <w:ind w:left="0" w:right="0" w:firstLine="0"/>
      <w:jc w:val="right"/>
      <w:outlineLvl w:val="0"/>
      <w:rPr>
        <w:rFonts w:ascii="Times New Roman" w:eastAsia="Times New Roman" w:hAnsi="Times New Roman" w:cs="Times New Roman"/>
        <w:b w:val="0"/>
        <w:i w:val="0"/>
        <w:sz w:val="20"/>
      </w:rPr>
    </w:pPr>
    <w:r>
      <w:rPr>
        <w:rFonts w:ascii="Times New Roman" w:eastAsia="Times New Roman" w:hAnsi="Times New Roman" w:cs="Times New Roman"/>
        <w:b/>
        <w:i w:val="0"/>
        <w:sz w:val="20"/>
      </w:rPr>
      <w:t>EXHIBIT 31.2</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keepNext w:val="0"/>
      <w:keepLines/>
      <w:pageBreakBefore w:val="0"/>
      <w:widowControl w:val="0"/>
      <w:numPr>
        <w:ilvl w:val="0"/>
        <w:numId w:val="0"/>
      </w:numPr>
      <w:spacing w:before="0" w:after="0" w:line="288" w:lineRule="auto"/>
      <w:ind w:left="0" w:right="0" w:firstLine="0"/>
      <w:jc w:val="right"/>
      <w:outlineLvl w:val="0"/>
      <w:rPr>
        <w:rFonts w:ascii="Times New Roman" w:eastAsia="Times New Roman" w:hAnsi="Times New Roman" w:cs="Times New Roman"/>
        <w:b w:val="0"/>
        <w:i w:val="0"/>
        <w:sz w:val="20"/>
      </w:rPr>
    </w:pPr>
    <w:r>
      <w:rPr>
        <w:rFonts w:ascii="Times New Roman" w:eastAsia="Times New Roman" w:hAnsi="Times New Roman" w:cs="Times New Roman"/>
        <w:b/>
        <w:i w:val="0"/>
        <w:sz w:val="20"/>
      </w:rPr>
      <w:t>EXH</w:t>
    </w:r>
    <w:r>
      <w:rPr>
        <w:rFonts w:ascii="Times New Roman" w:eastAsia="Times New Roman" w:hAnsi="Times New Roman" w:cs="Times New Roman"/>
        <w:b/>
        <w:i w:val="0"/>
        <w:sz w:val="20"/>
      </w:rPr>
      <w:t>IBIT 32.1</w: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keepNext w:val="0"/>
      <w:keepLines/>
      <w:pageBreakBefore w:val="0"/>
      <w:widowControl w:val="0"/>
      <w:numPr>
        <w:ilvl w:val="0"/>
        <w:numId w:val="0"/>
      </w:numPr>
      <w:spacing w:before="0" w:after="0" w:line="288" w:lineRule="auto"/>
      <w:ind w:left="0" w:right="0" w:firstLine="0"/>
      <w:jc w:val="right"/>
      <w:outlineLvl w:val="0"/>
      <w:rPr>
        <w:rFonts w:ascii="Times New Roman" w:eastAsia="Times New Roman" w:hAnsi="Times New Roman" w:cs="Times New Roman"/>
        <w:b w:val="0"/>
        <w:i w:val="0"/>
        <w:sz w:val="20"/>
      </w:rPr>
    </w:pPr>
    <w:r>
      <w:rPr>
        <w:rFonts w:ascii="Times New Roman" w:eastAsia="Times New Roman" w:hAnsi="Times New Roman" w:cs="Times New Roman"/>
        <w:b/>
        <w:i w:val="0"/>
        <w:sz w:val="20"/>
      </w:rPr>
      <w:t>EXHIBIT 32.2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styleLink w:val="bulletasterisk"/>
    <w:lvl w:ilvl="0">
      <w:start w:val="1"/>
      <w:numFmt w:val="bullet"/>
      <w:lvlText w:val="*"/>
      <w:lvlJc w:val="left"/>
      <w:pPr>
        <w:tabs>
          <w:tab w:val="num" w:pos="720"/>
        </w:tabs>
        <w:ind w:left="720" w:hanging="360"/>
      </w:pPr>
    </w:lvl>
    <w:lvl w:ilvl="1">
      <w:start w:val="1"/>
      <w:numFmt w:val="bullet"/>
      <w:lvlText w:val="*"/>
      <w:lvlJc w:val="left"/>
      <w:pPr>
        <w:tabs>
          <w:tab w:val="num" w:pos="1440"/>
        </w:tabs>
        <w:ind w:left="1440" w:hanging="360"/>
      </w:pPr>
    </w:lvl>
    <w:lvl w:ilvl="2">
      <w:start w:val="1"/>
      <w:numFmt w:val="bullet"/>
      <w:lvlText w:val="*"/>
      <w:lvlJc w:val="left"/>
      <w:pPr>
        <w:tabs>
          <w:tab w:val="num" w:pos="2160"/>
        </w:tabs>
        <w:ind w:left="2160" w:hanging="180"/>
      </w:pPr>
    </w:lvl>
    <w:lvl w:ilvl="3">
      <w:start w:val="1"/>
      <w:numFmt w:val="bullet"/>
      <w:lvlText w:val="*"/>
      <w:lvlJc w:val="left"/>
      <w:pPr>
        <w:tabs>
          <w:tab w:val="num" w:pos="2880"/>
        </w:tabs>
        <w:ind w:left="2880" w:hanging="360"/>
      </w:pPr>
    </w:lvl>
    <w:lvl w:ilvl="4">
      <w:start w:val="1"/>
      <w:numFmt w:val="bullet"/>
      <w:lvlText w:val="*"/>
      <w:lvlJc w:val="left"/>
      <w:pPr>
        <w:tabs>
          <w:tab w:val="num" w:pos="3600"/>
        </w:tabs>
        <w:ind w:left="3600" w:hanging="360"/>
      </w:pPr>
    </w:lvl>
    <w:lvl w:ilvl="5">
      <w:start w:val="1"/>
      <w:numFmt w:val="bullet"/>
      <w:lvlText w:val="*"/>
      <w:lvlJc w:val="left"/>
      <w:pPr>
        <w:tabs>
          <w:tab w:val="num" w:pos="4320"/>
        </w:tabs>
        <w:ind w:left="4320" w:hanging="180"/>
      </w:pPr>
    </w:lvl>
    <w:lvl w:ilvl="6">
      <w:start w:val="1"/>
      <w:numFmt w:val="bullet"/>
      <w:lvlText w:val="*"/>
      <w:lvlJc w:val="left"/>
      <w:pPr>
        <w:tabs>
          <w:tab w:val="num" w:pos="5040"/>
        </w:tabs>
        <w:ind w:left="5040" w:hanging="360"/>
      </w:pPr>
    </w:lvl>
    <w:lvl w:ilvl="7">
      <w:start w:val="1"/>
      <w:numFmt w:val="bullet"/>
      <w:lvlText w:val="*"/>
      <w:lvlJc w:val="left"/>
      <w:pPr>
        <w:tabs>
          <w:tab w:val="num" w:pos="5760"/>
        </w:tabs>
        <w:ind w:left="5760" w:hanging="360"/>
      </w:pPr>
    </w:lvl>
    <w:lvl w:ilvl="8">
      <w:start w:val="1"/>
      <w:numFmt w:val="bullet"/>
      <w:lvlText w:val="*"/>
      <w:lvlJc w:val="left"/>
      <w:pPr>
        <w:tabs>
          <w:tab w:val="num" w:pos="6480"/>
        </w:tabs>
        <w:ind w:left="6480" w:hanging="180"/>
      </w:pPr>
    </w:lvl>
  </w:abstractNum>
  <w:abstractNum w:abstractNumId="1">
    <w:nsid w:val="00000002"/>
    <w:multiLevelType w:val="multilevel"/>
    <w:tmpl w:val="00000002"/>
    <w:styleLink w:val="bulletcircle"/>
    <w:lvl w:ilvl="0">
      <w:start w:val="1"/>
      <w:numFmt w:val="bullet"/>
      <w:lvlText w:val="◦"/>
      <w:lvlJc w:val="left"/>
      <w:pPr>
        <w:tabs>
          <w:tab w:val="num" w:pos="720"/>
        </w:tabs>
        <w:ind w:left="720" w:hanging="360"/>
      </w:pPr>
    </w:lvl>
    <w:lvl w:ilvl="1">
      <w:start w:val="1"/>
      <w:numFmt w:val="bullet"/>
      <w:lvlText w:val="▪"/>
      <w:lvlJc w:val="left"/>
      <w:pPr>
        <w:tabs>
          <w:tab w:val="num" w:pos="1440"/>
        </w:tabs>
        <w:ind w:left="1440" w:hanging="360"/>
      </w:pPr>
    </w:lvl>
    <w:lvl w:ilvl="2">
      <w:start w:val="1"/>
      <w:numFmt w:val="bullet"/>
      <w:lvlText w:val="•"/>
      <w:lvlJc w:val="left"/>
      <w:pPr>
        <w:tabs>
          <w:tab w:val="num" w:pos="2160"/>
        </w:tabs>
        <w:ind w:left="2160" w:hanging="180"/>
      </w:pPr>
    </w:lvl>
    <w:lvl w:ilvl="3">
      <w:start w:val="1"/>
      <w:numFmt w:val="bullet"/>
      <w:lvlText w:val="◦"/>
      <w:lvlJc w:val="left"/>
      <w:pPr>
        <w:tabs>
          <w:tab w:val="num" w:pos="2880"/>
        </w:tabs>
        <w:ind w:left="2880" w:hanging="360"/>
      </w:pPr>
    </w:lvl>
    <w:lvl w:ilvl="4">
      <w:start w:val="1"/>
      <w:numFmt w:val="bullet"/>
      <w:lvlText w:val="▪"/>
      <w:lvlJc w:val="left"/>
      <w:pPr>
        <w:tabs>
          <w:tab w:val="num" w:pos="3600"/>
        </w:tabs>
        <w:ind w:left="3600" w:hanging="360"/>
      </w:pPr>
    </w:lvl>
    <w:lvl w:ilvl="5">
      <w:start w:val="1"/>
      <w:numFmt w:val="bullet"/>
      <w:lvlText w:val="•"/>
      <w:lvlJc w:val="left"/>
      <w:pPr>
        <w:tabs>
          <w:tab w:val="num" w:pos="4320"/>
        </w:tabs>
        <w:ind w:left="4320" w:hanging="180"/>
      </w:pPr>
    </w:lvl>
    <w:lvl w:ilvl="6">
      <w:start w:val="1"/>
      <w:numFmt w:val="bullet"/>
      <w:lvlText w:val="◦"/>
      <w:lvlJc w:val="left"/>
      <w:pPr>
        <w:tabs>
          <w:tab w:val="num" w:pos="5040"/>
        </w:tabs>
        <w:ind w:left="5040" w:hanging="360"/>
      </w:pPr>
    </w:lvl>
    <w:lvl w:ilvl="7">
      <w:start w:val="1"/>
      <w:numFmt w:val="bullet"/>
      <w:lvlText w:val="▪"/>
      <w:lvlJc w:val="left"/>
      <w:pPr>
        <w:tabs>
          <w:tab w:val="num" w:pos="5760"/>
        </w:tabs>
        <w:ind w:left="5760" w:hanging="360"/>
      </w:pPr>
    </w:lvl>
    <w:lvl w:ilvl="8">
      <w:start w:val="1"/>
      <w:numFmt w:val="bullet"/>
      <w:lvlText w:val="•"/>
      <w:lvlJc w:val="left"/>
      <w:pPr>
        <w:tabs>
          <w:tab w:val="num" w:pos="6480"/>
        </w:tabs>
        <w:ind w:left="6480" w:hanging="180"/>
      </w:pPr>
    </w:lvl>
  </w:abstractNum>
  <w:abstractNum w:abstractNumId="2">
    <w:nsid w:val="00000003"/>
    <w:multiLevelType w:val="multilevel"/>
    <w:tmpl w:val="00000003"/>
    <w:styleLink w:val="bulletdagger"/>
    <w:lvl w:ilvl="0">
      <w:start w:val="1"/>
      <w:numFmt w:val="bullet"/>
      <w:lvlText w:val="†"/>
      <w:lvlJc w:val="left"/>
      <w:pPr>
        <w:tabs>
          <w:tab w:val="num" w:pos="720"/>
        </w:tabs>
        <w:ind w:left="720" w:hanging="360"/>
      </w:pPr>
    </w:lvl>
    <w:lvl w:ilvl="1">
      <w:start w:val="1"/>
      <w:numFmt w:val="bullet"/>
      <w:lvlText w:val="†"/>
      <w:lvlJc w:val="left"/>
      <w:pPr>
        <w:tabs>
          <w:tab w:val="num" w:pos="1440"/>
        </w:tabs>
        <w:ind w:left="1440" w:hanging="360"/>
      </w:pPr>
    </w:lvl>
    <w:lvl w:ilvl="2">
      <w:start w:val="1"/>
      <w:numFmt w:val="bullet"/>
      <w:lvlText w:val="†"/>
      <w:lvlJc w:val="left"/>
      <w:pPr>
        <w:tabs>
          <w:tab w:val="num" w:pos="2160"/>
        </w:tabs>
        <w:ind w:left="2160" w:hanging="180"/>
      </w:pPr>
    </w:lvl>
    <w:lvl w:ilvl="3">
      <w:start w:val="1"/>
      <w:numFmt w:val="bullet"/>
      <w:lvlText w:val="†"/>
      <w:lvlJc w:val="left"/>
      <w:pPr>
        <w:tabs>
          <w:tab w:val="num" w:pos="2880"/>
        </w:tabs>
        <w:ind w:left="2880" w:hanging="360"/>
      </w:pPr>
    </w:lvl>
    <w:lvl w:ilvl="4">
      <w:start w:val="1"/>
      <w:numFmt w:val="bullet"/>
      <w:lvlText w:val="†"/>
      <w:lvlJc w:val="left"/>
      <w:pPr>
        <w:tabs>
          <w:tab w:val="num" w:pos="3600"/>
        </w:tabs>
        <w:ind w:left="3600" w:hanging="360"/>
      </w:pPr>
    </w:lvl>
    <w:lvl w:ilvl="5">
      <w:start w:val="1"/>
      <w:numFmt w:val="bullet"/>
      <w:lvlText w:val="†"/>
      <w:lvlJc w:val="left"/>
      <w:pPr>
        <w:tabs>
          <w:tab w:val="num" w:pos="4320"/>
        </w:tabs>
        <w:ind w:left="4320" w:hanging="180"/>
      </w:pPr>
    </w:lvl>
    <w:lvl w:ilvl="6">
      <w:start w:val="1"/>
      <w:numFmt w:val="bullet"/>
      <w:lvlText w:val="†"/>
      <w:lvlJc w:val="left"/>
      <w:pPr>
        <w:tabs>
          <w:tab w:val="num" w:pos="5040"/>
        </w:tabs>
        <w:ind w:left="5040" w:hanging="360"/>
      </w:pPr>
    </w:lvl>
    <w:lvl w:ilvl="7">
      <w:start w:val="1"/>
      <w:numFmt w:val="bullet"/>
      <w:lvlText w:val="†"/>
      <w:lvlJc w:val="left"/>
      <w:pPr>
        <w:tabs>
          <w:tab w:val="num" w:pos="5760"/>
        </w:tabs>
        <w:ind w:left="5760" w:hanging="360"/>
      </w:pPr>
    </w:lvl>
    <w:lvl w:ilvl="8">
      <w:start w:val="1"/>
      <w:numFmt w:val="bullet"/>
      <w:lvlText w:val="†"/>
      <w:lvlJc w:val="left"/>
      <w:pPr>
        <w:tabs>
          <w:tab w:val="num" w:pos="6480"/>
        </w:tabs>
        <w:ind w:left="6480" w:hanging="180"/>
      </w:pPr>
    </w:lvl>
  </w:abstractNum>
  <w:abstractNum w:abstractNumId="3">
    <w:nsid w:val="00000004"/>
    <w:multiLevelType w:val="multilevel"/>
    <w:tmpl w:val="00000004"/>
    <w:styleLink w:val="bulletdash"/>
    <w:lvl w:ilvl="0">
      <w:start w:val="1"/>
      <w:numFmt w:val="bullet"/>
      <w:lvlText w:val="–"/>
      <w:lvlJc w:val="left"/>
      <w:pPr>
        <w:tabs>
          <w:tab w:val="num" w:pos="720"/>
        </w:tabs>
        <w:ind w:left="720" w:hanging="360"/>
      </w:pPr>
    </w:lvl>
    <w:lvl w:ilvl="1">
      <w:start w:val="1"/>
      <w:numFmt w:val="bullet"/>
      <w:lvlText w:val="–"/>
      <w:lvlJc w:val="left"/>
      <w:pPr>
        <w:tabs>
          <w:tab w:val="num" w:pos="1440"/>
        </w:tabs>
        <w:ind w:left="1440" w:hanging="360"/>
      </w:pPr>
    </w:lvl>
    <w:lvl w:ilvl="2">
      <w:start w:val="1"/>
      <w:numFmt w:val="bullet"/>
      <w:lvlText w:val="–"/>
      <w:lvlJc w:val="left"/>
      <w:pPr>
        <w:tabs>
          <w:tab w:val="num" w:pos="2160"/>
        </w:tabs>
        <w:ind w:left="2160" w:hanging="180"/>
      </w:pPr>
    </w:lvl>
    <w:lvl w:ilvl="3">
      <w:start w:val="1"/>
      <w:numFmt w:val="bullet"/>
      <w:lvlText w:val="–"/>
      <w:lvlJc w:val="left"/>
      <w:pPr>
        <w:tabs>
          <w:tab w:val="num" w:pos="2880"/>
        </w:tabs>
        <w:ind w:left="2880" w:hanging="360"/>
      </w:pPr>
    </w:lvl>
    <w:lvl w:ilvl="4">
      <w:start w:val="1"/>
      <w:numFmt w:val="bullet"/>
      <w:lvlText w:val="–"/>
      <w:lvlJc w:val="left"/>
      <w:pPr>
        <w:tabs>
          <w:tab w:val="num" w:pos="3600"/>
        </w:tabs>
        <w:ind w:left="3600" w:hanging="360"/>
      </w:pPr>
    </w:lvl>
    <w:lvl w:ilvl="5">
      <w:start w:val="1"/>
      <w:numFmt w:val="bullet"/>
      <w:lvlText w:val="–"/>
      <w:lvlJc w:val="left"/>
      <w:pPr>
        <w:tabs>
          <w:tab w:val="num" w:pos="4320"/>
        </w:tabs>
        <w:ind w:left="4320" w:hanging="180"/>
      </w:pPr>
    </w:lvl>
    <w:lvl w:ilvl="6">
      <w:start w:val="1"/>
      <w:numFmt w:val="bullet"/>
      <w:lvlText w:val="–"/>
      <w:lvlJc w:val="left"/>
      <w:pPr>
        <w:tabs>
          <w:tab w:val="num" w:pos="5040"/>
        </w:tabs>
        <w:ind w:left="5040" w:hanging="360"/>
      </w:pPr>
    </w:lvl>
    <w:lvl w:ilvl="7">
      <w:start w:val="1"/>
      <w:numFmt w:val="bullet"/>
      <w:lvlText w:val="–"/>
      <w:lvlJc w:val="left"/>
      <w:pPr>
        <w:tabs>
          <w:tab w:val="num" w:pos="5760"/>
        </w:tabs>
        <w:ind w:left="5760" w:hanging="360"/>
      </w:pPr>
    </w:lvl>
    <w:lvl w:ilvl="8">
      <w:start w:val="1"/>
      <w:numFmt w:val="bullet"/>
      <w:lvlText w:val="–"/>
      <w:lvlJc w:val="left"/>
      <w:pPr>
        <w:tabs>
          <w:tab w:val="num" w:pos="6480"/>
        </w:tabs>
        <w:ind w:left="6480" w:hanging="180"/>
      </w:pPr>
    </w:lvl>
  </w:abstractNum>
  <w:abstractNum w:abstractNumId="4">
    <w:nsid w:val="00000005"/>
    <w:multiLevelType w:val="multilevel"/>
    <w:tmpl w:val="00000005"/>
    <w:styleLink w:val="bulletlargebox"/>
    <w:lvl w:ilvl="0">
      <w:start w:val="1"/>
      <w:numFmt w:val="bullet"/>
      <w:lvlText w:val="■"/>
      <w:lvlJc w:val="left"/>
      <w:pPr>
        <w:tabs>
          <w:tab w:val="num" w:pos="720"/>
        </w:tabs>
        <w:ind w:left="720" w:hanging="360"/>
      </w:pPr>
    </w:lvl>
    <w:lvl w:ilvl="1">
      <w:start w:val="1"/>
      <w:numFmt w:val="bullet"/>
      <w:lvlText w:val="■"/>
      <w:lvlJc w:val="left"/>
      <w:pPr>
        <w:tabs>
          <w:tab w:val="num" w:pos="1440"/>
        </w:tabs>
        <w:ind w:left="1440" w:hanging="360"/>
      </w:pPr>
    </w:lvl>
    <w:lvl w:ilvl="2">
      <w:start w:val="1"/>
      <w:numFmt w:val="bullet"/>
      <w:lvlText w:val="■"/>
      <w:lvlJc w:val="left"/>
      <w:pPr>
        <w:tabs>
          <w:tab w:val="num" w:pos="2160"/>
        </w:tabs>
        <w:ind w:left="2160" w:hanging="180"/>
      </w:pPr>
    </w:lvl>
    <w:lvl w:ilvl="3">
      <w:start w:val="1"/>
      <w:numFmt w:val="bullet"/>
      <w:lvlText w:val="■"/>
      <w:lvlJc w:val="left"/>
      <w:pPr>
        <w:tabs>
          <w:tab w:val="num" w:pos="2880"/>
        </w:tabs>
        <w:ind w:left="2880" w:hanging="360"/>
      </w:pPr>
    </w:lvl>
    <w:lvl w:ilvl="4">
      <w:start w:val="1"/>
      <w:numFmt w:val="bullet"/>
      <w:lvlText w:val="■"/>
      <w:lvlJc w:val="left"/>
      <w:pPr>
        <w:tabs>
          <w:tab w:val="num" w:pos="3600"/>
        </w:tabs>
        <w:ind w:left="3600" w:hanging="360"/>
      </w:pPr>
    </w:lvl>
    <w:lvl w:ilvl="5">
      <w:start w:val="1"/>
      <w:numFmt w:val="bullet"/>
      <w:lvlText w:val="■"/>
      <w:lvlJc w:val="left"/>
      <w:pPr>
        <w:tabs>
          <w:tab w:val="num" w:pos="4320"/>
        </w:tabs>
        <w:ind w:left="4320" w:hanging="180"/>
      </w:pPr>
    </w:lvl>
    <w:lvl w:ilvl="6">
      <w:start w:val="1"/>
      <w:numFmt w:val="bullet"/>
      <w:lvlText w:val="■"/>
      <w:lvlJc w:val="left"/>
      <w:pPr>
        <w:tabs>
          <w:tab w:val="num" w:pos="5040"/>
        </w:tabs>
        <w:ind w:left="5040" w:hanging="360"/>
      </w:pPr>
    </w:lvl>
    <w:lvl w:ilvl="7">
      <w:start w:val="1"/>
      <w:numFmt w:val="bullet"/>
      <w:lvlText w:val="■"/>
      <w:lvlJc w:val="left"/>
      <w:pPr>
        <w:tabs>
          <w:tab w:val="num" w:pos="5760"/>
        </w:tabs>
        <w:ind w:left="5760" w:hanging="360"/>
      </w:pPr>
    </w:lvl>
    <w:lvl w:ilvl="8">
      <w:start w:val="1"/>
      <w:numFmt w:val="bullet"/>
      <w:lvlText w:val="■"/>
      <w:lvlJc w:val="left"/>
      <w:pPr>
        <w:tabs>
          <w:tab w:val="num" w:pos="6480"/>
        </w:tabs>
        <w:ind w:left="6480" w:hanging="180"/>
      </w:pPr>
    </w:lvl>
  </w:abstractNum>
  <w:abstractNum w:abstractNumId="5">
    <w:nsid w:val="00000006"/>
    <w:multiLevelType w:val="multilevel"/>
    <w:tmpl w:val="00000006"/>
    <w:styleLink w:val="bulletround"/>
    <w:lvl w:ilvl="0">
      <w:start w:val="1"/>
      <w:numFmt w:val="bullet"/>
      <w:lvlText w:val="•"/>
      <w:lvlJc w:val="left"/>
      <w:pPr>
        <w:tabs>
          <w:tab w:val="num" w:pos="720"/>
        </w:tabs>
        <w:ind w:left="720" w:hanging="360"/>
      </w:pPr>
    </w:lvl>
    <w:lvl w:ilvl="1">
      <w:start w:val="1"/>
      <w:numFmt w:val="bullet"/>
      <w:lvlText w:val="◦"/>
      <w:lvlJc w:val="left"/>
      <w:pPr>
        <w:tabs>
          <w:tab w:val="num" w:pos="1440"/>
        </w:tabs>
        <w:ind w:left="1440" w:hanging="360"/>
      </w:pPr>
    </w:lvl>
    <w:lvl w:ilvl="2">
      <w:start w:val="1"/>
      <w:numFmt w:val="bullet"/>
      <w:lvlText w:val="▪"/>
      <w:lvlJc w:val="left"/>
      <w:pPr>
        <w:tabs>
          <w:tab w:val="num" w:pos="2160"/>
        </w:tabs>
        <w:ind w:left="2160" w:hanging="180"/>
      </w:pPr>
    </w:lvl>
    <w:lvl w:ilvl="3">
      <w:start w:val="1"/>
      <w:numFmt w:val="bullet"/>
      <w:lvlText w:val="•"/>
      <w:lvlJc w:val="left"/>
      <w:pPr>
        <w:tabs>
          <w:tab w:val="num" w:pos="2880"/>
        </w:tabs>
        <w:ind w:left="2880" w:hanging="360"/>
      </w:pPr>
    </w:lvl>
    <w:lvl w:ilvl="4">
      <w:start w:val="1"/>
      <w:numFmt w:val="bullet"/>
      <w:lvlText w:val="◦"/>
      <w:lvlJc w:val="left"/>
      <w:pPr>
        <w:tabs>
          <w:tab w:val="num" w:pos="3600"/>
        </w:tabs>
        <w:ind w:left="3600" w:hanging="360"/>
      </w:pPr>
    </w:lvl>
    <w:lvl w:ilvl="5">
      <w:start w:val="1"/>
      <w:numFmt w:val="bullet"/>
      <w:lvlText w:val="▪"/>
      <w:lvlJc w:val="left"/>
      <w:pPr>
        <w:tabs>
          <w:tab w:val="num" w:pos="4320"/>
        </w:tabs>
        <w:ind w:left="4320" w:hanging="180"/>
      </w:pPr>
    </w:lvl>
    <w:lvl w:ilvl="6">
      <w:start w:val="1"/>
      <w:numFmt w:val="bullet"/>
      <w:lvlText w:val="•"/>
      <w:lvlJc w:val="left"/>
      <w:pPr>
        <w:tabs>
          <w:tab w:val="num" w:pos="5040"/>
        </w:tabs>
        <w:ind w:left="5040" w:hanging="360"/>
      </w:pPr>
    </w:lvl>
    <w:lvl w:ilvl="7">
      <w:start w:val="1"/>
      <w:numFmt w:val="bullet"/>
      <w:lvlText w:val="◦"/>
      <w:lvlJc w:val="left"/>
      <w:pPr>
        <w:tabs>
          <w:tab w:val="num" w:pos="5760"/>
        </w:tabs>
        <w:ind w:left="5760" w:hanging="360"/>
      </w:pPr>
    </w:lvl>
    <w:lvl w:ilvl="8">
      <w:start w:val="1"/>
      <w:numFmt w:val="bullet"/>
      <w:lvlText w:val="▪"/>
      <w:lvlJc w:val="left"/>
      <w:pPr>
        <w:tabs>
          <w:tab w:val="num" w:pos="6480"/>
        </w:tabs>
        <w:ind w:left="6480" w:hanging="180"/>
      </w:pPr>
    </w:lvl>
  </w:abstractNum>
  <w:abstractNum w:abstractNumId="6">
    <w:nsid w:val="00000007"/>
    <w:multiLevelType w:val="multilevel"/>
    <w:tmpl w:val="00000007"/>
    <w:styleLink w:val="bulletsquare"/>
    <w:lvl w:ilvl="0">
      <w:start w:val="1"/>
      <w:numFmt w:val="bullet"/>
      <w:lvlText w:val="▪"/>
      <w:lvlJc w:val="left"/>
      <w:pPr>
        <w:tabs>
          <w:tab w:val="num" w:pos="720"/>
        </w:tabs>
        <w:ind w:left="720" w:hanging="360"/>
      </w:pPr>
    </w:lvl>
    <w:lvl w:ilvl="1">
      <w:start w:val="1"/>
      <w:numFmt w:val="bullet"/>
      <w:lvlText w:val="•"/>
      <w:lvlJc w:val="left"/>
      <w:pPr>
        <w:tabs>
          <w:tab w:val="num" w:pos="1440"/>
        </w:tabs>
        <w:ind w:left="1440" w:hanging="360"/>
      </w:pPr>
    </w:lvl>
    <w:lvl w:ilvl="2">
      <w:start w:val="1"/>
      <w:numFmt w:val="bullet"/>
      <w:lvlText w:val="◦"/>
      <w:lvlJc w:val="left"/>
      <w:pPr>
        <w:tabs>
          <w:tab w:val="num" w:pos="2160"/>
        </w:tabs>
        <w:ind w:left="2160" w:hanging="180"/>
      </w:pPr>
    </w:lvl>
    <w:lvl w:ilvl="3">
      <w:start w:val="1"/>
      <w:numFmt w:val="bullet"/>
      <w:lvlText w:val="▪"/>
      <w:lvlJc w:val="left"/>
      <w:pPr>
        <w:tabs>
          <w:tab w:val="num" w:pos="2880"/>
        </w:tabs>
        <w:ind w:left="2880" w:hanging="360"/>
      </w:pPr>
    </w:lvl>
    <w:lvl w:ilvl="4">
      <w:start w:val="1"/>
      <w:numFmt w:val="bullet"/>
      <w:lvlText w:val="•"/>
      <w:lvlJc w:val="left"/>
      <w:pPr>
        <w:tabs>
          <w:tab w:val="num" w:pos="3600"/>
        </w:tabs>
        <w:ind w:left="3600" w:hanging="360"/>
      </w:pPr>
    </w:lvl>
    <w:lvl w:ilvl="5">
      <w:start w:val="1"/>
      <w:numFmt w:val="bullet"/>
      <w:lvlText w:val="◦"/>
      <w:lvlJc w:val="left"/>
      <w:pPr>
        <w:tabs>
          <w:tab w:val="num" w:pos="4320"/>
        </w:tabs>
        <w:ind w:left="4320" w:hanging="180"/>
      </w:pPr>
    </w:lvl>
    <w:lvl w:ilvl="6">
      <w:start w:val="1"/>
      <w:numFmt w:val="bullet"/>
      <w:lvlText w:val="▪"/>
      <w:lvlJc w:val="left"/>
      <w:pPr>
        <w:tabs>
          <w:tab w:val="num" w:pos="5040"/>
        </w:tabs>
        <w:ind w:left="5040" w:hanging="360"/>
      </w:pPr>
    </w:lvl>
    <w:lvl w:ilvl="7">
      <w:start w:val="1"/>
      <w:numFmt w:val="bullet"/>
      <w:lvlText w:val="•"/>
      <w:lvlJc w:val="left"/>
      <w:pPr>
        <w:tabs>
          <w:tab w:val="num" w:pos="5760"/>
        </w:tabs>
        <w:ind w:left="5760" w:hanging="360"/>
      </w:pPr>
    </w:lvl>
    <w:lvl w:ilvl="8">
      <w:start w:val="1"/>
      <w:numFmt w:val="bullet"/>
      <w:lvlText w:val="◦"/>
      <w:lvlJc w:val="left"/>
      <w:pPr>
        <w:tabs>
          <w:tab w:val="num" w:pos="6480"/>
        </w:tabs>
        <w:ind w:left="6480" w:hanging="180"/>
      </w:pPr>
    </w:lvl>
  </w:abstractNum>
  <w:abstractNum w:abstractNumId="7">
    <w:nsid w:val="00000008"/>
    <w:multiLevelType w:val="multilevel"/>
    <w:tmpl w:val="00000008"/>
    <w:styleLink w:val="listarabi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0000009"/>
    <w:multiLevelType w:val="multilevel"/>
    <w:tmpl w:val="00000009"/>
    <w:styleLink w:val="listlatinlowercase"/>
    <w:lvl w:ilvl="0">
      <w:start w:val="1"/>
      <w:numFmt w:val="lowerLetter"/>
      <w:lvlText w:val="%1."/>
      <w:lvlJc w:val="left"/>
      <w:pPr>
        <w:tabs>
          <w:tab w:val="num" w:pos="720"/>
        </w:tabs>
        <w:ind w:left="720" w:hanging="360"/>
      </w:pPr>
    </w:lvl>
    <w:lvl w:ilvl="1">
      <w:start w:val="1"/>
      <w:numFmt w:val="lowerRoman"/>
      <w:lvlText w:val="%2."/>
      <w:lvlJc w:val="right"/>
      <w:pPr>
        <w:tabs>
          <w:tab w:val="num" w:pos="1440"/>
        </w:tabs>
        <w:ind w:left="1440" w:hanging="360"/>
      </w:pPr>
    </w:lvl>
    <w:lvl w:ilvl="2">
      <w:start w:val="1"/>
      <w:numFmt w:val="decimal"/>
      <w:lvlText w:val="%3."/>
      <w:lvlJc w:val="left"/>
      <w:pPr>
        <w:tabs>
          <w:tab w:val="num" w:pos="2160"/>
        </w:tabs>
        <w:ind w:left="2160" w:hanging="180"/>
      </w:pPr>
    </w:lvl>
    <w:lvl w:ilvl="3">
      <w:start w:val="1"/>
      <w:numFmt w:val="lowerLetter"/>
      <w:lvlText w:val="%4."/>
      <w:lvlJc w:val="left"/>
      <w:pPr>
        <w:tabs>
          <w:tab w:val="num" w:pos="2880"/>
        </w:tabs>
        <w:ind w:left="2880" w:hanging="360"/>
      </w:pPr>
    </w:lvl>
    <w:lvl w:ilvl="4">
      <w:start w:val="1"/>
      <w:numFmt w:val="lowerRoman"/>
      <w:lvlText w:val="%5."/>
      <w:lvlJc w:val="right"/>
      <w:pPr>
        <w:tabs>
          <w:tab w:val="num" w:pos="3600"/>
        </w:tabs>
        <w:ind w:left="3600" w:hanging="360"/>
      </w:pPr>
    </w:lvl>
    <w:lvl w:ilvl="5">
      <w:start w:val="1"/>
      <w:numFmt w:val="decimal"/>
      <w:lvlText w:val="%6."/>
      <w:lvlJc w:val="left"/>
      <w:pPr>
        <w:tabs>
          <w:tab w:val="num" w:pos="4320"/>
        </w:tabs>
        <w:ind w:left="4320" w:hanging="180"/>
      </w:pPr>
    </w:lvl>
    <w:lvl w:ilvl="6">
      <w:start w:val="1"/>
      <w:numFmt w:val="lowerLetter"/>
      <w:lvlText w:val="%7."/>
      <w:lvlJc w:val="left"/>
      <w:pPr>
        <w:tabs>
          <w:tab w:val="num" w:pos="5040"/>
        </w:tabs>
        <w:ind w:left="5040" w:hanging="360"/>
      </w:pPr>
    </w:lvl>
    <w:lvl w:ilvl="7">
      <w:start w:val="1"/>
      <w:numFmt w:val="lowerRoman"/>
      <w:lvlText w:val="%8."/>
      <w:lvlJc w:val="right"/>
      <w:pPr>
        <w:tabs>
          <w:tab w:val="num" w:pos="5760"/>
        </w:tabs>
        <w:ind w:left="5760" w:hanging="360"/>
      </w:pPr>
    </w:lvl>
    <w:lvl w:ilvl="8">
      <w:start w:val="1"/>
      <w:numFmt w:val="decimal"/>
      <w:lvlText w:val="%9."/>
      <w:lvlJc w:val="left"/>
      <w:pPr>
        <w:tabs>
          <w:tab w:val="num" w:pos="6480"/>
        </w:tabs>
        <w:ind w:left="6480" w:hanging="180"/>
      </w:pPr>
    </w:lvl>
  </w:abstractNum>
  <w:abstractNum w:abstractNumId="9">
    <w:nsid w:val="0000000A"/>
    <w:multiLevelType w:val="multilevel"/>
    <w:tmpl w:val="0000000A"/>
    <w:styleLink w:val="listlatinuppercase"/>
    <w:lvl w:ilvl="0">
      <w:start w:val="1"/>
      <w:numFmt w:val="upp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000000B"/>
    <w:multiLevelType w:val="multilevel"/>
    <w:tmpl w:val="0000000B"/>
    <w:styleLink w:val="listromanlowercase"/>
    <w:lvl w:ilvl="0">
      <w:start w:val="1"/>
      <w:numFmt w:val="lowerRoman"/>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tabs>
          <w:tab w:val="num" w:pos="2160"/>
        </w:tabs>
        <w:ind w:left="2160" w:hanging="180"/>
      </w:pPr>
    </w:lvl>
    <w:lvl w:ilvl="3">
      <w:start w:val="1"/>
      <w:numFmt w:val="lowerRoman"/>
      <w:lvlText w:val="%4."/>
      <w:lvlJc w:val="right"/>
      <w:pPr>
        <w:tabs>
          <w:tab w:val="num" w:pos="2880"/>
        </w:tabs>
        <w:ind w:left="2880" w:hanging="360"/>
      </w:pPr>
    </w:lvl>
    <w:lvl w:ilvl="4">
      <w:start w:val="1"/>
      <w:numFmt w:val="decimal"/>
      <w:lvlText w:val="%5."/>
      <w:lvlJc w:val="left"/>
      <w:pPr>
        <w:tabs>
          <w:tab w:val="num" w:pos="3600"/>
        </w:tabs>
        <w:ind w:left="3600" w:hanging="360"/>
      </w:pPr>
    </w:lvl>
    <w:lvl w:ilvl="5">
      <w:start w:val="1"/>
      <w:numFmt w:val="lowerLetter"/>
      <w:lvlText w:val="%6."/>
      <w:lvlJc w:val="left"/>
      <w:pPr>
        <w:tabs>
          <w:tab w:val="num" w:pos="4320"/>
        </w:tabs>
        <w:ind w:left="4320" w:hanging="180"/>
      </w:pPr>
    </w:lvl>
    <w:lvl w:ilvl="6">
      <w:start w:val="1"/>
      <w:numFmt w:val="lowerRoman"/>
      <w:lvlText w:val="%7."/>
      <w:lvlJc w:val="right"/>
      <w:pPr>
        <w:tabs>
          <w:tab w:val="num" w:pos="5040"/>
        </w:tabs>
        <w:ind w:left="5040" w:hanging="360"/>
      </w:pPr>
    </w:lvl>
    <w:lvl w:ilvl="7">
      <w:start w:val="1"/>
      <w:numFmt w:val="decimal"/>
      <w:lvlText w:val="%8."/>
      <w:lvlJc w:val="left"/>
      <w:pPr>
        <w:tabs>
          <w:tab w:val="num" w:pos="5760"/>
        </w:tabs>
        <w:ind w:left="5760" w:hanging="360"/>
      </w:pPr>
    </w:lvl>
    <w:lvl w:ilvl="8">
      <w:start w:val="1"/>
      <w:numFmt w:val="lowerLetter"/>
      <w:lvlText w:val="%9."/>
      <w:lvlJc w:val="left"/>
      <w:pPr>
        <w:tabs>
          <w:tab w:val="num" w:pos="6480"/>
        </w:tabs>
        <w:ind w:left="6480" w:hanging="180"/>
      </w:pPr>
    </w:lvl>
  </w:abstractNum>
  <w:abstractNum w:abstractNumId="11">
    <w:nsid w:val="0000000C"/>
    <w:multiLevelType w:val="multilevel"/>
    <w:tmpl w:val="0000000C"/>
    <w:styleLink w:val="listromanuppercase"/>
    <w:lvl w:ilvl="0">
      <w:start w:val="1"/>
      <w:numFmt w:val="upperRoman"/>
      <w:lvlText w:val="%1."/>
      <w:lvlJc w:val="left"/>
      <w:pPr>
        <w:tabs>
          <w:tab w:val="num" w:pos="720"/>
        </w:tabs>
        <w:ind w:left="720" w:hanging="360"/>
      </w:pPr>
    </w:lvl>
    <w:lvl w:ilvl="1">
      <w:start w:val="1"/>
      <w:numFmt w:val="lowerRoman"/>
      <w:lvlText w:val="%2."/>
      <w:lvlJc w:val="right"/>
      <w:pPr>
        <w:tabs>
          <w:tab w:val="num" w:pos="1440"/>
        </w:tabs>
        <w:ind w:left="1440" w:hanging="360"/>
      </w:pPr>
    </w:lvl>
    <w:lvl w:ilvl="2">
      <w:start w:val="1"/>
      <w:numFmt w:val="decimal"/>
      <w:lvlText w:val="%3."/>
      <w:lvlJc w:val="left"/>
      <w:pPr>
        <w:tabs>
          <w:tab w:val="num" w:pos="2160"/>
        </w:tabs>
        <w:ind w:left="2160" w:hanging="180"/>
      </w:pPr>
    </w:lvl>
    <w:lvl w:ilvl="3">
      <w:start w:val="1"/>
      <w:numFmt w:val="lowerLetter"/>
      <w:lvlText w:val="%4."/>
      <w:lvlJc w:val="left"/>
      <w:pPr>
        <w:tabs>
          <w:tab w:val="num" w:pos="2880"/>
        </w:tabs>
        <w:ind w:left="2880" w:hanging="360"/>
      </w:pPr>
    </w:lvl>
    <w:lvl w:ilvl="4">
      <w:start w:val="1"/>
      <w:numFmt w:val="lowerRoman"/>
      <w:lvlText w:val="%5."/>
      <w:lvlJc w:val="right"/>
      <w:pPr>
        <w:tabs>
          <w:tab w:val="num" w:pos="3600"/>
        </w:tabs>
        <w:ind w:left="3600" w:hanging="360"/>
      </w:pPr>
    </w:lvl>
    <w:lvl w:ilvl="5">
      <w:start w:val="1"/>
      <w:numFmt w:val="decimal"/>
      <w:lvlText w:val="%6."/>
      <w:lvlJc w:val="left"/>
      <w:pPr>
        <w:tabs>
          <w:tab w:val="num" w:pos="4320"/>
        </w:tabs>
        <w:ind w:left="4320" w:hanging="180"/>
      </w:pPr>
    </w:lvl>
    <w:lvl w:ilvl="6">
      <w:start w:val="1"/>
      <w:numFmt w:val="lowerLetter"/>
      <w:lvlText w:val="%7."/>
      <w:lvlJc w:val="left"/>
      <w:pPr>
        <w:tabs>
          <w:tab w:val="num" w:pos="5040"/>
        </w:tabs>
        <w:ind w:left="5040" w:hanging="360"/>
      </w:pPr>
    </w:lvl>
    <w:lvl w:ilvl="7">
      <w:start w:val="1"/>
      <w:numFmt w:val="lowerRoman"/>
      <w:lvlText w:val="%8."/>
      <w:lvlJc w:val="right"/>
      <w:pPr>
        <w:tabs>
          <w:tab w:val="num" w:pos="5760"/>
        </w:tabs>
        <w:ind w:left="5760" w:hanging="360"/>
      </w:pPr>
    </w:lvl>
    <w:lvl w:ilvl="8">
      <w:start w:val="1"/>
      <w:numFmt w:val="decimal"/>
      <w:lvlText w:val="%9."/>
      <w:lvlJc w:val="left"/>
      <w:pPr>
        <w:tabs>
          <w:tab w:val="num" w:pos="6480"/>
        </w:tabs>
        <w:ind w:left="6480" w:hanging="180"/>
      </w:pPr>
    </w:lvl>
  </w:abstractNum>
  <w:abstractNum w:abstractNumId="12">
    <w:nsid w:val="0000000D"/>
    <w:multiLevelType w:val="multilevel"/>
    <w:tmpl w:val="0000000D"/>
    <w:styleLink w:val="outlinearabic"/>
    <w:lvl w:ilvl="0">
      <w:start w:val="1"/>
      <w:numFmt w:val="decimal"/>
      <w:lvlText w:val="%1."/>
      <w:lvlJc w:val="left"/>
      <w:pPr>
        <w:tabs>
          <w:tab w:val="num" w:pos="720"/>
        </w:tabs>
        <w:ind w:left="720" w:hanging="360"/>
      </w:pPr>
    </w:lvl>
    <w:lvl w:ilvl="1">
      <w:start w:val="1"/>
      <w:numFmt w:val="decimal"/>
      <w:lvlText w:val="%1.%2."/>
      <w:lvlJc w:val="left"/>
      <w:pPr>
        <w:tabs>
          <w:tab w:val="num" w:pos="1440"/>
        </w:tabs>
        <w:ind w:left="1440" w:hanging="360"/>
      </w:pPr>
    </w:lvl>
    <w:lvl w:ilvl="2">
      <w:start w:val="1"/>
      <w:numFmt w:val="decimal"/>
      <w:lvlText w:val="%1.%2.%3."/>
      <w:lvlJc w:val="left"/>
      <w:pPr>
        <w:tabs>
          <w:tab w:val="num" w:pos="2160"/>
        </w:tabs>
        <w:ind w:left="2160" w:hanging="180"/>
      </w:pPr>
    </w:lvl>
    <w:lvl w:ilvl="3">
      <w:start w:val="1"/>
      <w:numFmt w:val="decimal"/>
      <w:lvlText w:val="%1.%2.%3.%4."/>
      <w:lvlJc w:val="left"/>
      <w:pPr>
        <w:tabs>
          <w:tab w:val="num" w:pos="2880"/>
        </w:tabs>
        <w:ind w:left="2880" w:hanging="360"/>
      </w:pPr>
    </w:lvl>
    <w:lvl w:ilvl="4">
      <w:start w:val="1"/>
      <w:numFmt w:val="decimal"/>
      <w:lvlText w:val="%1.%2.%3.%4.%5."/>
      <w:lvlJc w:val="left"/>
      <w:pPr>
        <w:tabs>
          <w:tab w:val="num" w:pos="3600"/>
        </w:tabs>
        <w:ind w:left="3600" w:hanging="360"/>
      </w:pPr>
    </w:lvl>
    <w:lvl w:ilvl="5">
      <w:start w:val="1"/>
      <w:numFmt w:val="decimal"/>
      <w:lvlText w:val="%1.%2.%3.%4.%5.%6."/>
      <w:lvlJc w:val="left"/>
      <w:pPr>
        <w:tabs>
          <w:tab w:val="num" w:pos="4320"/>
        </w:tabs>
        <w:ind w:left="4320" w:hanging="180"/>
      </w:pPr>
    </w:lvl>
    <w:lvl w:ilvl="6">
      <w:start w:val="1"/>
      <w:numFmt w:val="decimal"/>
      <w:lvlText w:val="%1.%2.%3.%4.%5.%6.%7."/>
      <w:lvlJc w:val="left"/>
      <w:pPr>
        <w:tabs>
          <w:tab w:val="num" w:pos="5040"/>
        </w:tabs>
        <w:ind w:left="5040" w:hanging="360"/>
      </w:pPr>
    </w:lvl>
    <w:lvl w:ilvl="7">
      <w:start w:val="1"/>
      <w:numFmt w:val="decimal"/>
      <w:lvlText w:val="%1.%2.%3.%4.%5.%6.%7.%8."/>
      <w:lvlJc w:val="left"/>
      <w:pPr>
        <w:tabs>
          <w:tab w:val="num" w:pos="5760"/>
        </w:tabs>
        <w:ind w:left="5760" w:hanging="360"/>
      </w:pPr>
    </w:lvl>
    <w:lvl w:ilvl="8">
      <w:start w:val="1"/>
      <w:numFmt w:val="decimal"/>
      <w:lvlText w:val="%1.%2.%3.%4.%5.%6.%7.%8.%9."/>
      <w:lvlJc w:val="left"/>
      <w:pPr>
        <w:tabs>
          <w:tab w:val="num" w:pos="6480"/>
        </w:tabs>
        <w:ind w:left="6480" w:hanging="180"/>
      </w:pPr>
    </w:lvl>
  </w:abstractNum>
  <w:abstractNum w:abstractNumId="13">
    <w:nsid w:val="0000000E"/>
    <w:multiLevelType w:val="multilevel"/>
    <w:tmpl w:val="00000008"/>
    <w:lvl w:ilvl="0">
      <w:start w:val="1"/>
      <w:numFmt w:val="decimal"/>
      <w:lvlText w:val="(%1)"/>
      <w:lvlJc w:val="left"/>
      <w:pPr>
        <w:tabs>
          <w:tab w:val="num" w:pos="720"/>
        </w:tabs>
        <w:ind w:left="720" w:hanging="360"/>
      </w:pPr>
      <w:rPr>
        <w:rFonts w:ascii="Times New Roman" w:eastAsia="Times New Roman" w:hAnsi="Times New Roman" w:cs="Times New Roman"/>
        <w:b w:val="0"/>
        <w:i w:val="0"/>
        <w:strike w:val="0"/>
        <w:color w:val="000000"/>
        <w:sz w:val="18"/>
        <w:u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000000F"/>
    <w:multiLevelType w:val="multilevel"/>
    <w:tmpl w:val="00000008"/>
    <w:lvl w:ilvl="0">
      <w:start w:val="1"/>
      <w:numFmt w:val="decimal"/>
      <w:lvlText w:val="(%1)"/>
      <w:lvlJc w:val="left"/>
      <w:pPr>
        <w:tabs>
          <w:tab w:val="num" w:pos="720"/>
        </w:tabs>
        <w:ind w:left="720" w:hanging="360"/>
      </w:pPr>
      <w:rPr>
        <w:rFonts w:ascii="Times New Roman" w:eastAsia="Times New Roman" w:hAnsi="Times New Roman" w:cs="Times New Roman"/>
        <w:b w:val="0"/>
        <w:i w:val="0"/>
        <w:strike w:val="0"/>
        <w:color w:val="000000"/>
        <w:sz w:val="16"/>
        <w:u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00000010"/>
    <w:multiLevelType w:val="multilevel"/>
    <w:tmpl w:val="00000008"/>
    <w:lvl w:ilvl="0">
      <w:start w:val="1"/>
      <w:numFmt w:val="decimal"/>
      <w:lvlText w:val="(%1)"/>
      <w:lvlJc w:val="left"/>
      <w:pPr>
        <w:tabs>
          <w:tab w:val="num" w:pos="720"/>
        </w:tabs>
        <w:ind w:left="720" w:hanging="360"/>
      </w:pPr>
      <w:rPr>
        <w:rFonts w:ascii="Times New Roman" w:eastAsia="Times New Roman" w:hAnsi="Times New Roman" w:cs="Times New Roman"/>
        <w:b w:val="0"/>
        <w:i w:val="0"/>
        <w:strike w:val="0"/>
        <w:color w:val="000000"/>
        <w:sz w:val="18"/>
        <w:u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00000011"/>
    <w:multiLevelType w:val="multilevel"/>
    <w:tmpl w:val="00000008"/>
    <w:lvl w:ilvl="0">
      <w:start w:val="1"/>
      <w:numFmt w:val="decimal"/>
      <w:lvlText w:val="(%1)"/>
      <w:lvlJc w:val="left"/>
      <w:pPr>
        <w:tabs>
          <w:tab w:val="num" w:pos="720"/>
        </w:tabs>
        <w:ind w:left="720" w:hanging="360"/>
      </w:pPr>
      <w:rPr>
        <w:rFonts w:ascii="Times New Roman" w:eastAsia="Times New Roman" w:hAnsi="Times New Roman" w:cs="Times New Roman"/>
        <w:b w:val="0"/>
        <w:i w:val="0"/>
        <w:strike w:val="0"/>
        <w:sz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00000012"/>
    <w:multiLevelType w:val="multilevel"/>
    <w:tmpl w:val="00000009"/>
    <w:lvl w:ilvl="0">
      <w:start w:val="1"/>
      <w:numFmt w:val="lowerLetter"/>
      <w:lvlText w:val="(%1)"/>
      <w:lvlJc w:val="left"/>
      <w:pPr>
        <w:tabs>
          <w:tab w:val="num" w:pos="720"/>
        </w:tabs>
        <w:ind w:left="720" w:hanging="360"/>
      </w:pPr>
      <w:rPr>
        <w:rFonts w:ascii="Times New Roman" w:eastAsia="Times New Roman" w:hAnsi="Times New Roman" w:cs="Times New Roman"/>
        <w:b w:val="0"/>
        <w:i w:val="0"/>
        <w:strike w:val="0"/>
        <w:sz w:val="20"/>
      </w:rPr>
    </w:lvl>
    <w:lvl w:ilvl="1">
      <w:start w:val="1"/>
      <w:numFmt w:val="lowerRoman"/>
      <w:lvlText w:val="%2."/>
      <w:lvlJc w:val="right"/>
      <w:pPr>
        <w:tabs>
          <w:tab w:val="num" w:pos="1440"/>
        </w:tabs>
        <w:ind w:left="1440" w:hanging="360"/>
      </w:pPr>
    </w:lvl>
    <w:lvl w:ilvl="2">
      <w:start w:val="1"/>
      <w:numFmt w:val="decimal"/>
      <w:lvlText w:val="%3."/>
      <w:lvlJc w:val="left"/>
      <w:pPr>
        <w:tabs>
          <w:tab w:val="num" w:pos="2160"/>
        </w:tabs>
        <w:ind w:left="2160" w:hanging="180"/>
      </w:pPr>
    </w:lvl>
    <w:lvl w:ilvl="3">
      <w:start w:val="1"/>
      <w:numFmt w:val="lowerLetter"/>
      <w:lvlText w:val="%4."/>
      <w:lvlJc w:val="left"/>
      <w:pPr>
        <w:tabs>
          <w:tab w:val="num" w:pos="2880"/>
        </w:tabs>
        <w:ind w:left="2880" w:hanging="360"/>
      </w:pPr>
    </w:lvl>
    <w:lvl w:ilvl="4">
      <w:start w:val="1"/>
      <w:numFmt w:val="lowerRoman"/>
      <w:lvlText w:val="%5."/>
      <w:lvlJc w:val="right"/>
      <w:pPr>
        <w:tabs>
          <w:tab w:val="num" w:pos="3600"/>
        </w:tabs>
        <w:ind w:left="3600" w:hanging="360"/>
      </w:pPr>
    </w:lvl>
    <w:lvl w:ilvl="5">
      <w:start w:val="1"/>
      <w:numFmt w:val="decimal"/>
      <w:lvlText w:val="%6."/>
      <w:lvlJc w:val="left"/>
      <w:pPr>
        <w:tabs>
          <w:tab w:val="num" w:pos="4320"/>
        </w:tabs>
        <w:ind w:left="4320" w:hanging="180"/>
      </w:pPr>
    </w:lvl>
    <w:lvl w:ilvl="6">
      <w:start w:val="1"/>
      <w:numFmt w:val="lowerLetter"/>
      <w:lvlText w:val="%7."/>
      <w:lvlJc w:val="left"/>
      <w:pPr>
        <w:tabs>
          <w:tab w:val="num" w:pos="5040"/>
        </w:tabs>
        <w:ind w:left="5040" w:hanging="360"/>
      </w:pPr>
    </w:lvl>
    <w:lvl w:ilvl="7">
      <w:start w:val="1"/>
      <w:numFmt w:val="lowerRoman"/>
      <w:lvlText w:val="%8."/>
      <w:lvlJc w:val="right"/>
      <w:pPr>
        <w:tabs>
          <w:tab w:val="num" w:pos="5760"/>
        </w:tabs>
        <w:ind w:left="5760" w:hanging="360"/>
      </w:pPr>
    </w:lvl>
    <w:lvl w:ilvl="8">
      <w:start w:val="1"/>
      <w:numFmt w:val="decimal"/>
      <w:lvlText w:val="%9."/>
      <w:lvlJc w:val="left"/>
      <w:pPr>
        <w:tabs>
          <w:tab w:val="num" w:pos="6480"/>
        </w:tabs>
        <w:ind w:left="6480" w:hanging="180"/>
      </w:pPr>
    </w:lvl>
  </w:abstractNum>
  <w:abstractNum w:abstractNumId="18">
    <w:nsid w:val="00000013"/>
    <w:multiLevelType w:val="multilevel"/>
    <w:tmpl w:val="00000008"/>
    <w:lvl w:ilvl="0">
      <w:start w:val="1"/>
      <w:numFmt w:val="decimal"/>
      <w:lvlText w:val="(%1)"/>
      <w:lvlJc w:val="left"/>
      <w:pPr>
        <w:tabs>
          <w:tab w:val="num" w:pos="1440"/>
        </w:tabs>
        <w:ind w:left="720" w:hanging="360"/>
      </w:pPr>
      <w:rPr>
        <w:rFonts w:ascii="Times New Roman" w:eastAsia="Times New Roman" w:hAnsi="Times New Roman" w:cs="Times New Roman"/>
        <w:b w:val="0"/>
        <w:i w:val="0"/>
        <w:strike w:val="0"/>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00000014"/>
    <w:multiLevelType w:val="multilevel"/>
    <w:tmpl w:val="00000008"/>
    <w:lvl w:ilvl="0">
      <w:start w:val="1"/>
      <w:numFmt w:val="decimal"/>
      <w:lvlText w:val="%1."/>
      <w:lvlJc w:val="left"/>
      <w:pPr>
        <w:tabs>
          <w:tab w:val="num" w:pos="720"/>
        </w:tabs>
        <w:ind w:left="720" w:hanging="360"/>
      </w:pPr>
      <w:rPr>
        <w:rFonts w:ascii="Times New Roman" w:eastAsia="Times New Roman" w:hAnsi="Times New Roman" w:cs="Times New Roman"/>
        <w:b w:val="0"/>
        <w:i w:val="0"/>
        <w:strike w:val="0"/>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00000015"/>
    <w:multiLevelType w:val="multilevel"/>
    <w:tmpl w:val="00000009"/>
    <w:lvl w:ilvl="0">
      <w:start w:val="1"/>
      <w:numFmt w:val="lowerLetter"/>
      <w:lvlText w:val="(%1)"/>
      <w:lvlJc w:val="left"/>
      <w:pPr>
        <w:tabs>
          <w:tab w:val="num" w:pos="900"/>
        </w:tabs>
        <w:ind w:left="720" w:hanging="360"/>
      </w:pPr>
      <w:rPr>
        <w:rFonts w:ascii="Times New Roman" w:eastAsia="Times New Roman" w:hAnsi="Times New Roman" w:cs="Times New Roman"/>
        <w:b w:val="0"/>
        <w:i w:val="0"/>
        <w:strike w:val="0"/>
        <w:sz w:val="20"/>
      </w:rPr>
    </w:lvl>
    <w:lvl w:ilvl="1">
      <w:start w:val="1"/>
      <w:numFmt w:val="lowerRoman"/>
      <w:lvlText w:val="%2."/>
      <w:lvlJc w:val="right"/>
      <w:pPr>
        <w:tabs>
          <w:tab w:val="num" w:pos="1440"/>
        </w:tabs>
        <w:ind w:left="1440" w:hanging="360"/>
      </w:pPr>
    </w:lvl>
    <w:lvl w:ilvl="2">
      <w:start w:val="1"/>
      <w:numFmt w:val="decimal"/>
      <w:lvlText w:val="%3."/>
      <w:lvlJc w:val="left"/>
      <w:pPr>
        <w:tabs>
          <w:tab w:val="num" w:pos="2160"/>
        </w:tabs>
        <w:ind w:left="2160" w:hanging="180"/>
      </w:pPr>
    </w:lvl>
    <w:lvl w:ilvl="3">
      <w:start w:val="1"/>
      <w:numFmt w:val="lowerLetter"/>
      <w:lvlText w:val="%4."/>
      <w:lvlJc w:val="left"/>
      <w:pPr>
        <w:tabs>
          <w:tab w:val="num" w:pos="2880"/>
        </w:tabs>
        <w:ind w:left="2880" w:hanging="360"/>
      </w:pPr>
    </w:lvl>
    <w:lvl w:ilvl="4">
      <w:start w:val="1"/>
      <w:numFmt w:val="lowerRoman"/>
      <w:lvlText w:val="%5."/>
      <w:lvlJc w:val="right"/>
      <w:pPr>
        <w:tabs>
          <w:tab w:val="num" w:pos="3600"/>
        </w:tabs>
        <w:ind w:left="3600" w:hanging="360"/>
      </w:pPr>
    </w:lvl>
    <w:lvl w:ilvl="5">
      <w:start w:val="1"/>
      <w:numFmt w:val="decimal"/>
      <w:lvlText w:val="%6."/>
      <w:lvlJc w:val="left"/>
      <w:pPr>
        <w:tabs>
          <w:tab w:val="num" w:pos="4320"/>
        </w:tabs>
        <w:ind w:left="4320" w:hanging="180"/>
      </w:pPr>
    </w:lvl>
    <w:lvl w:ilvl="6">
      <w:start w:val="1"/>
      <w:numFmt w:val="lowerLetter"/>
      <w:lvlText w:val="%7."/>
      <w:lvlJc w:val="left"/>
      <w:pPr>
        <w:tabs>
          <w:tab w:val="num" w:pos="5040"/>
        </w:tabs>
        <w:ind w:left="5040" w:hanging="360"/>
      </w:pPr>
    </w:lvl>
    <w:lvl w:ilvl="7">
      <w:start w:val="1"/>
      <w:numFmt w:val="lowerRoman"/>
      <w:lvlText w:val="%8."/>
      <w:lvlJc w:val="right"/>
      <w:pPr>
        <w:tabs>
          <w:tab w:val="num" w:pos="5760"/>
        </w:tabs>
        <w:ind w:left="5760" w:hanging="360"/>
      </w:pPr>
    </w:lvl>
    <w:lvl w:ilvl="8">
      <w:start w:val="1"/>
      <w:numFmt w:val="decimal"/>
      <w:lvlText w:val="%9."/>
      <w:lvlJc w:val="left"/>
      <w:pPr>
        <w:tabs>
          <w:tab w:val="num" w:pos="6480"/>
        </w:tabs>
        <w:ind w:left="6480" w:hanging="180"/>
      </w:pPr>
    </w:lvl>
  </w:abstractNum>
  <w:abstractNum w:abstractNumId="21">
    <w:nsid w:val="00000016"/>
    <w:multiLevelType w:val="multilevel"/>
    <w:tmpl w:val="00000009"/>
    <w:lvl w:ilvl="0">
      <w:start w:val="1"/>
      <w:numFmt w:val="lowerLetter"/>
      <w:lvlText w:val="(%1)"/>
      <w:lvlJc w:val="left"/>
      <w:pPr>
        <w:tabs>
          <w:tab w:val="num" w:pos="900"/>
        </w:tabs>
        <w:ind w:left="720" w:hanging="360"/>
      </w:pPr>
      <w:rPr>
        <w:rFonts w:ascii="Times New Roman" w:eastAsia="Times New Roman" w:hAnsi="Times New Roman" w:cs="Times New Roman"/>
        <w:b w:val="0"/>
        <w:i w:val="0"/>
        <w:strike w:val="0"/>
        <w:sz w:val="20"/>
      </w:rPr>
    </w:lvl>
    <w:lvl w:ilvl="1">
      <w:start w:val="1"/>
      <w:numFmt w:val="lowerRoman"/>
      <w:lvlText w:val="%2."/>
      <w:lvlJc w:val="right"/>
      <w:pPr>
        <w:tabs>
          <w:tab w:val="num" w:pos="1440"/>
        </w:tabs>
        <w:ind w:left="1440" w:hanging="360"/>
      </w:pPr>
    </w:lvl>
    <w:lvl w:ilvl="2">
      <w:start w:val="1"/>
      <w:numFmt w:val="decimal"/>
      <w:lvlText w:val="%3."/>
      <w:lvlJc w:val="left"/>
      <w:pPr>
        <w:tabs>
          <w:tab w:val="num" w:pos="2160"/>
        </w:tabs>
        <w:ind w:left="2160" w:hanging="180"/>
      </w:pPr>
    </w:lvl>
    <w:lvl w:ilvl="3">
      <w:start w:val="1"/>
      <w:numFmt w:val="lowerLetter"/>
      <w:lvlText w:val="%4."/>
      <w:lvlJc w:val="left"/>
      <w:pPr>
        <w:tabs>
          <w:tab w:val="num" w:pos="2880"/>
        </w:tabs>
        <w:ind w:left="2880" w:hanging="360"/>
      </w:pPr>
    </w:lvl>
    <w:lvl w:ilvl="4">
      <w:start w:val="1"/>
      <w:numFmt w:val="lowerRoman"/>
      <w:lvlText w:val="%5."/>
      <w:lvlJc w:val="right"/>
      <w:pPr>
        <w:tabs>
          <w:tab w:val="num" w:pos="3600"/>
        </w:tabs>
        <w:ind w:left="3600" w:hanging="360"/>
      </w:pPr>
    </w:lvl>
    <w:lvl w:ilvl="5">
      <w:start w:val="1"/>
      <w:numFmt w:val="decimal"/>
      <w:lvlText w:val="%6."/>
      <w:lvlJc w:val="left"/>
      <w:pPr>
        <w:tabs>
          <w:tab w:val="num" w:pos="4320"/>
        </w:tabs>
        <w:ind w:left="4320" w:hanging="180"/>
      </w:pPr>
    </w:lvl>
    <w:lvl w:ilvl="6">
      <w:start w:val="1"/>
      <w:numFmt w:val="lowerLetter"/>
      <w:lvlText w:val="%7."/>
      <w:lvlJc w:val="left"/>
      <w:pPr>
        <w:tabs>
          <w:tab w:val="num" w:pos="5040"/>
        </w:tabs>
        <w:ind w:left="5040" w:hanging="360"/>
      </w:pPr>
    </w:lvl>
    <w:lvl w:ilvl="7">
      <w:start w:val="1"/>
      <w:numFmt w:val="lowerRoman"/>
      <w:lvlText w:val="%8."/>
      <w:lvlJc w:val="right"/>
      <w:pPr>
        <w:tabs>
          <w:tab w:val="num" w:pos="5760"/>
        </w:tabs>
        <w:ind w:left="5760" w:hanging="360"/>
      </w:pPr>
    </w:lvl>
    <w:lvl w:ilvl="8">
      <w:start w:val="1"/>
      <w:numFmt w:val="decimal"/>
      <w:lvlText w:val="%9."/>
      <w:lvlJc w:val="left"/>
      <w:pPr>
        <w:tabs>
          <w:tab w:val="num" w:pos="6480"/>
        </w:tabs>
        <w:ind w:left="6480" w:hanging="180"/>
      </w:pPr>
    </w:lvl>
  </w:abstractNum>
  <w:abstractNum w:abstractNumId="22">
    <w:nsid w:val="00000017"/>
    <w:multiLevelType w:val="multilevel"/>
    <w:tmpl w:val="00000008"/>
    <w:lvl w:ilvl="0">
      <w:start w:val="1"/>
      <w:numFmt w:val="decimal"/>
      <w:lvlText w:val="%1."/>
      <w:lvlJc w:val="left"/>
      <w:pPr>
        <w:tabs>
          <w:tab w:val="num" w:pos="720"/>
        </w:tabs>
        <w:ind w:left="720" w:hanging="360"/>
      </w:pPr>
      <w:rPr>
        <w:rFonts w:ascii="Times New Roman" w:eastAsia="Times New Roman" w:hAnsi="Times New Roman" w:cs="Times New Roman"/>
        <w:b w:val="0"/>
        <w:i w:val="0"/>
        <w:strike w:val="0"/>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00000018"/>
    <w:multiLevelType w:val="multilevel"/>
    <w:tmpl w:val="00000009"/>
    <w:lvl w:ilvl="0">
      <w:start w:val="1"/>
      <w:numFmt w:val="lowerLetter"/>
      <w:lvlText w:val="(%1)"/>
      <w:lvlJc w:val="left"/>
      <w:pPr>
        <w:tabs>
          <w:tab w:val="num" w:pos="900"/>
        </w:tabs>
        <w:ind w:left="720" w:hanging="360"/>
      </w:pPr>
      <w:rPr>
        <w:rFonts w:ascii="Times New Roman" w:eastAsia="Times New Roman" w:hAnsi="Times New Roman" w:cs="Times New Roman"/>
        <w:b w:val="0"/>
        <w:i w:val="0"/>
        <w:strike w:val="0"/>
        <w:sz w:val="20"/>
      </w:rPr>
    </w:lvl>
    <w:lvl w:ilvl="1">
      <w:start w:val="1"/>
      <w:numFmt w:val="lowerRoman"/>
      <w:lvlText w:val="%2."/>
      <w:lvlJc w:val="right"/>
      <w:pPr>
        <w:tabs>
          <w:tab w:val="num" w:pos="1440"/>
        </w:tabs>
        <w:ind w:left="1440" w:hanging="360"/>
      </w:pPr>
    </w:lvl>
    <w:lvl w:ilvl="2">
      <w:start w:val="1"/>
      <w:numFmt w:val="decimal"/>
      <w:lvlText w:val="%3."/>
      <w:lvlJc w:val="left"/>
      <w:pPr>
        <w:tabs>
          <w:tab w:val="num" w:pos="2160"/>
        </w:tabs>
        <w:ind w:left="2160" w:hanging="180"/>
      </w:pPr>
    </w:lvl>
    <w:lvl w:ilvl="3">
      <w:start w:val="1"/>
      <w:numFmt w:val="lowerLetter"/>
      <w:lvlText w:val="%4."/>
      <w:lvlJc w:val="left"/>
      <w:pPr>
        <w:tabs>
          <w:tab w:val="num" w:pos="2880"/>
        </w:tabs>
        <w:ind w:left="2880" w:hanging="360"/>
      </w:pPr>
    </w:lvl>
    <w:lvl w:ilvl="4">
      <w:start w:val="1"/>
      <w:numFmt w:val="lowerRoman"/>
      <w:lvlText w:val="%5."/>
      <w:lvlJc w:val="right"/>
      <w:pPr>
        <w:tabs>
          <w:tab w:val="num" w:pos="3600"/>
        </w:tabs>
        <w:ind w:left="3600" w:hanging="360"/>
      </w:pPr>
    </w:lvl>
    <w:lvl w:ilvl="5">
      <w:start w:val="1"/>
      <w:numFmt w:val="decimal"/>
      <w:lvlText w:val="%6."/>
      <w:lvlJc w:val="left"/>
      <w:pPr>
        <w:tabs>
          <w:tab w:val="num" w:pos="4320"/>
        </w:tabs>
        <w:ind w:left="4320" w:hanging="180"/>
      </w:pPr>
    </w:lvl>
    <w:lvl w:ilvl="6">
      <w:start w:val="1"/>
      <w:numFmt w:val="lowerLetter"/>
      <w:lvlText w:val="%7."/>
      <w:lvlJc w:val="left"/>
      <w:pPr>
        <w:tabs>
          <w:tab w:val="num" w:pos="5040"/>
        </w:tabs>
        <w:ind w:left="5040" w:hanging="360"/>
      </w:pPr>
    </w:lvl>
    <w:lvl w:ilvl="7">
      <w:start w:val="1"/>
      <w:numFmt w:val="lowerRoman"/>
      <w:lvlText w:val="%8."/>
      <w:lvlJc w:val="right"/>
      <w:pPr>
        <w:tabs>
          <w:tab w:val="num" w:pos="5760"/>
        </w:tabs>
        <w:ind w:left="5760" w:hanging="360"/>
      </w:pPr>
    </w:lvl>
    <w:lvl w:ilvl="8">
      <w:start w:val="1"/>
      <w:numFmt w:val="decimal"/>
      <w:lvlText w:val="%9."/>
      <w:lvlJc w:val="left"/>
      <w:pPr>
        <w:tabs>
          <w:tab w:val="num" w:pos="6480"/>
        </w:tabs>
        <w:ind w:left="6480" w:hanging="180"/>
      </w:pPr>
    </w:lvl>
  </w:abstractNum>
  <w:abstractNum w:abstractNumId="24">
    <w:nsid w:val="00000019"/>
    <w:multiLevelType w:val="multilevel"/>
    <w:tmpl w:val="00000009"/>
    <w:lvl w:ilvl="0">
      <w:start w:val="1"/>
      <w:numFmt w:val="lowerLetter"/>
      <w:lvlText w:val="(%1)"/>
      <w:lvlJc w:val="left"/>
      <w:pPr>
        <w:tabs>
          <w:tab w:val="num" w:pos="900"/>
        </w:tabs>
        <w:ind w:left="720" w:hanging="360"/>
      </w:pPr>
      <w:rPr>
        <w:rFonts w:ascii="Times New Roman" w:eastAsia="Times New Roman" w:hAnsi="Times New Roman" w:cs="Times New Roman"/>
        <w:b w:val="0"/>
        <w:i w:val="0"/>
        <w:strike w:val="0"/>
        <w:sz w:val="20"/>
      </w:rPr>
    </w:lvl>
    <w:lvl w:ilvl="1">
      <w:start w:val="1"/>
      <w:numFmt w:val="lowerRoman"/>
      <w:lvlText w:val="%2."/>
      <w:lvlJc w:val="right"/>
      <w:pPr>
        <w:tabs>
          <w:tab w:val="num" w:pos="1440"/>
        </w:tabs>
        <w:ind w:left="1440" w:hanging="360"/>
      </w:pPr>
    </w:lvl>
    <w:lvl w:ilvl="2">
      <w:start w:val="1"/>
      <w:numFmt w:val="decimal"/>
      <w:lvlText w:val="%3."/>
      <w:lvlJc w:val="left"/>
      <w:pPr>
        <w:tabs>
          <w:tab w:val="num" w:pos="2160"/>
        </w:tabs>
        <w:ind w:left="2160" w:hanging="180"/>
      </w:pPr>
    </w:lvl>
    <w:lvl w:ilvl="3">
      <w:start w:val="1"/>
      <w:numFmt w:val="lowerLetter"/>
      <w:lvlText w:val="%4."/>
      <w:lvlJc w:val="left"/>
      <w:pPr>
        <w:tabs>
          <w:tab w:val="num" w:pos="2880"/>
        </w:tabs>
        <w:ind w:left="2880" w:hanging="360"/>
      </w:pPr>
    </w:lvl>
    <w:lvl w:ilvl="4">
      <w:start w:val="1"/>
      <w:numFmt w:val="lowerRoman"/>
      <w:lvlText w:val="%5."/>
      <w:lvlJc w:val="right"/>
      <w:pPr>
        <w:tabs>
          <w:tab w:val="num" w:pos="3600"/>
        </w:tabs>
        <w:ind w:left="3600" w:hanging="360"/>
      </w:pPr>
    </w:lvl>
    <w:lvl w:ilvl="5">
      <w:start w:val="1"/>
      <w:numFmt w:val="decimal"/>
      <w:lvlText w:val="%6."/>
      <w:lvlJc w:val="left"/>
      <w:pPr>
        <w:tabs>
          <w:tab w:val="num" w:pos="4320"/>
        </w:tabs>
        <w:ind w:left="4320" w:hanging="180"/>
      </w:pPr>
    </w:lvl>
    <w:lvl w:ilvl="6">
      <w:start w:val="1"/>
      <w:numFmt w:val="lowerLetter"/>
      <w:lvlText w:val="%7."/>
      <w:lvlJc w:val="left"/>
      <w:pPr>
        <w:tabs>
          <w:tab w:val="num" w:pos="5040"/>
        </w:tabs>
        <w:ind w:left="5040" w:hanging="360"/>
      </w:pPr>
    </w:lvl>
    <w:lvl w:ilvl="7">
      <w:start w:val="1"/>
      <w:numFmt w:val="lowerRoman"/>
      <w:lvlText w:val="%8."/>
      <w:lvlJc w:val="right"/>
      <w:pPr>
        <w:tabs>
          <w:tab w:val="num" w:pos="5760"/>
        </w:tabs>
        <w:ind w:left="5760" w:hanging="360"/>
      </w:pPr>
    </w:lvl>
    <w:lvl w:ilvl="8">
      <w:start w:val="1"/>
      <w:numFmt w:val="decimal"/>
      <w:lvlText w:val="%9."/>
      <w:lvlJc w:val="left"/>
      <w:pPr>
        <w:tabs>
          <w:tab w:val="num" w:pos="6480"/>
        </w:tabs>
        <w:ind w:left="6480" w:hanging="180"/>
      </w:pPr>
    </w:lvl>
  </w:abstractNum>
  <w:abstractNum w:abstractNumId="25">
    <w:nsid w:val="0000001A"/>
    <w:multiLevelType w:val="multilevel"/>
    <w:tmpl w:val="00000008"/>
    <w:lvl w:ilvl="0">
      <w:start w:val="1"/>
      <w:numFmt w:val="decimal"/>
      <w:lvlText w:val="%1."/>
      <w:lvlJc w:val="left"/>
      <w:pPr>
        <w:tabs>
          <w:tab w:val="num" w:pos="720"/>
        </w:tabs>
        <w:ind w:left="720" w:hanging="360"/>
      </w:pPr>
      <w:rPr>
        <w:rFonts w:ascii="Times New Roman" w:eastAsia="Times New Roman" w:hAnsi="Times New Roman" w:cs="Times New Roman"/>
        <w:b w:val="0"/>
        <w:i w:val="0"/>
        <w:strike w:val="0"/>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0000001B"/>
    <w:multiLevelType w:val="multilevel"/>
    <w:tmpl w:val="00000008"/>
    <w:lvl w:ilvl="0">
      <w:start w:val="1"/>
      <w:numFmt w:val="decimal"/>
      <w:lvlText w:val="%1."/>
      <w:lvlJc w:val="left"/>
      <w:pPr>
        <w:tabs>
          <w:tab w:val="num" w:pos="720"/>
        </w:tabs>
        <w:ind w:left="720" w:hanging="360"/>
      </w:pPr>
      <w:rPr>
        <w:rFonts w:ascii="Times New Roman" w:eastAsia="Times New Roman" w:hAnsi="Times New Roman" w:cs="Times New Roman"/>
        <w:b w:val="0"/>
        <w:i w:val="0"/>
        <w:strike w:val="0"/>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compat>
    <w:noLeading/>
    <w:suppressTopSpacingWP/>
  </w:compat>
  <w:rsids>
    <w:rsidRoot w:val="00A77B3E"/>
    <w:rsid w:val="00A77B3E"/>
    <w:rsid w:val="00CA2A5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kern w:val="16"/>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506D7A"/>
    <w:pPr>
      <w:keepNext/>
      <w:keepLines/>
      <w:spacing w:before="240" w:after="0"/>
      <w:outlineLvl w:val="0"/>
    </w:pPr>
    <w:rPr>
      <w:rFonts w:ascii="Calibri Light" w:eastAsia="Times New Roman" w:hAnsi="Calibri Light" w:cs="Times New Roman"/>
      <w:color w:val="2F5496" w:themeShade="BF"/>
      <w:sz w:val="32"/>
      <w:szCs w:val="32"/>
    </w:rPr>
  </w:style>
  <w:style w:type="paragraph" w:styleId="Heading2">
    <w:name w:val="heading 2"/>
    <w:basedOn w:val="Normal"/>
    <w:next w:val="Normal"/>
    <w:link w:val="Heading2Char"/>
    <w:uiPriority w:val="9"/>
    <w:qFormat/>
    <w:rsid w:val="00506D7A"/>
    <w:pPr>
      <w:keepNext/>
      <w:keepLines/>
      <w:spacing w:before="40" w:after="0"/>
      <w:outlineLvl w:val="1"/>
    </w:pPr>
    <w:rPr>
      <w:rFonts w:ascii="Calibri Light" w:eastAsia="Times New Roman" w:hAnsi="Calibri Light" w:cs="Times New Roman"/>
      <w:color w:val="2F5496" w:themeShade="BF"/>
      <w:sz w:val="26"/>
      <w:szCs w:val="26"/>
    </w:rPr>
  </w:style>
  <w:style w:type="paragraph" w:styleId="Heading3">
    <w:name w:val="heading 3"/>
    <w:basedOn w:val="Normal"/>
    <w:next w:val="Normal"/>
    <w:link w:val="Heading3Char"/>
    <w:uiPriority w:val="9"/>
    <w:qFormat/>
    <w:rsid w:val="00506D7A"/>
    <w:pPr>
      <w:keepNext/>
      <w:keepLines/>
      <w:spacing w:before="40" w:after="0"/>
      <w:outlineLvl w:val="2"/>
    </w:pPr>
    <w:rPr>
      <w:rFonts w:ascii="Calibri Light" w:eastAsia="Times New Roman" w:hAnsi="Calibri Light" w:cs="Times New Roman"/>
      <w:color w:val="1F3763" w:themeShade="7F"/>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numbering" w:customStyle="1" w:styleId="bulletasterisk">
    <w:name w:val="bullet.asterisk"/>
    <w:pPr>
      <w:numPr>
        <w:numId w:val="1"/>
      </w:numPr>
    </w:pPr>
  </w:style>
  <w:style w:type="numbering" w:customStyle="1" w:styleId="bulletcircle">
    <w:name w:val="bullet.circle"/>
    <w:pPr>
      <w:numPr>
        <w:numId w:val="2"/>
      </w:numPr>
    </w:pPr>
  </w:style>
  <w:style w:type="numbering" w:customStyle="1" w:styleId="bulletdagger">
    <w:name w:val="bullet.dagger"/>
    <w:pPr>
      <w:numPr>
        <w:numId w:val="3"/>
      </w:numPr>
    </w:pPr>
  </w:style>
  <w:style w:type="numbering" w:customStyle="1" w:styleId="bulletdash">
    <w:name w:val="bullet.dash"/>
    <w:pPr>
      <w:numPr>
        <w:numId w:val="4"/>
      </w:numPr>
    </w:pPr>
  </w:style>
  <w:style w:type="numbering" w:customStyle="1" w:styleId="bulletlargebox">
    <w:name w:val="bullet.largebox"/>
    <w:pPr>
      <w:numPr>
        <w:numId w:val="5"/>
      </w:numPr>
    </w:pPr>
  </w:style>
  <w:style w:type="numbering" w:customStyle="1" w:styleId="bulletround">
    <w:name w:val="bullet.round"/>
    <w:pPr>
      <w:numPr>
        <w:numId w:val="6"/>
      </w:numPr>
    </w:pPr>
  </w:style>
  <w:style w:type="numbering" w:customStyle="1" w:styleId="bulletsquare">
    <w:name w:val="bullet.square"/>
    <w:pPr>
      <w:numPr>
        <w:numId w:val="7"/>
      </w:numPr>
    </w:pPr>
  </w:style>
  <w:style w:type="numbering" w:customStyle="1" w:styleId="listarabic">
    <w:name w:val="list.arabic"/>
    <w:pPr>
      <w:numPr>
        <w:numId w:val="8"/>
      </w:numPr>
    </w:pPr>
  </w:style>
  <w:style w:type="numbering" w:customStyle="1" w:styleId="listlatinlowercase">
    <w:name w:val="list.latin.lowercase"/>
    <w:pPr>
      <w:numPr>
        <w:numId w:val="9"/>
      </w:numPr>
    </w:pPr>
  </w:style>
  <w:style w:type="numbering" w:customStyle="1" w:styleId="listlatinuppercase">
    <w:name w:val="list.latin.uppercase"/>
    <w:pPr>
      <w:numPr>
        <w:numId w:val="10"/>
      </w:numPr>
    </w:pPr>
  </w:style>
  <w:style w:type="numbering" w:customStyle="1" w:styleId="listromanlowercase">
    <w:name w:val="list.roman.lowercase"/>
    <w:pPr>
      <w:numPr>
        <w:numId w:val="11"/>
      </w:numPr>
    </w:pPr>
  </w:style>
  <w:style w:type="numbering" w:customStyle="1" w:styleId="listromanuppercase">
    <w:name w:val="list.roman.uppercase"/>
    <w:pPr>
      <w:numPr>
        <w:numId w:val="12"/>
      </w:numPr>
    </w:pPr>
  </w:style>
  <w:style w:type="numbering" w:customStyle="1" w:styleId="outlinearabic">
    <w:name w:val="outline.arabic"/>
    <w:pPr>
      <w:numPr>
        <w:numId w:val="13"/>
      </w:numPr>
    </w:pPr>
  </w:style>
  <w:style w:type="paragraph" w:customStyle="1" w:styleId="Normal-wk">
    <w:name w:val="Normal-wk"/>
    <w:qFormat/>
    <w:pPr>
      <w:keepNext w:val="0"/>
      <w:spacing w:before="0" w:after="0" w:line="288" w:lineRule="auto"/>
      <w:ind w:left="0" w:firstLine="0"/>
    </w:pPr>
    <w:rPr>
      <w:rFonts w:ascii="Times_New_Roman" w:eastAsia="Times_New_Roman" w:hAnsi="Times_New_Roman" w:cs="Times_New_Roman"/>
      <w:b w:val="0"/>
      <w:i w:val="0"/>
      <w:color w:val="000000"/>
      <w:spacing w:val="0"/>
      <w:sz w:val="20"/>
    </w:rPr>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themeShade="BF"/>
      <w:sz w:val="32"/>
      <w:szCs w:val="32"/>
    </w:rPr>
  </w:style>
  <w:style w:type="paragraph" w:customStyle="1" w:styleId="Heading1-wk">
    <w:name w:val="Heading 1-wk"/>
    <w:qFormat/>
    <w:pPr>
      <w:keepNext w:val="0"/>
      <w:spacing w:before="0" w:after="0" w:line="288" w:lineRule="auto"/>
      <w:ind w:left="0" w:firstLine="0"/>
    </w:pPr>
    <w:rPr>
      <w:rFonts w:ascii="Arial" w:eastAsia="Arial" w:hAnsi="Arial" w:cs="Arial"/>
      <w:b/>
      <w:i w:val="0"/>
      <w:color w:val="000000"/>
      <w:spacing w:val="0"/>
      <w:sz w:val="36"/>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themeShade="BF"/>
      <w:sz w:val="26"/>
      <w:szCs w:val="26"/>
    </w:rPr>
  </w:style>
  <w:style w:type="paragraph" w:customStyle="1" w:styleId="Heading2-wk">
    <w:name w:val="Heading 2-wk"/>
    <w:qFormat/>
    <w:pPr>
      <w:keepNext w:val="0"/>
      <w:spacing w:before="0" w:after="0" w:line="288" w:lineRule="auto"/>
      <w:ind w:left="0" w:firstLine="0"/>
    </w:pPr>
    <w:rPr>
      <w:rFonts w:ascii="Arial" w:eastAsia="Arial" w:hAnsi="Arial" w:cs="Arial"/>
      <w:b/>
      <w:i w:val="0"/>
      <w:color w:val="000000"/>
      <w:spacing w:val="0"/>
      <w:sz w:val="32"/>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themeShade="7F"/>
      <w:sz w:val="24"/>
      <w:szCs w:val="24"/>
    </w:rPr>
  </w:style>
  <w:style w:type="paragraph" w:customStyle="1" w:styleId="Heading3-wk">
    <w:name w:val="Heading 3-wk"/>
    <w:qFormat/>
    <w:pPr>
      <w:keepNext w:val="0"/>
      <w:spacing w:before="0" w:after="0" w:line="288" w:lineRule="auto"/>
      <w:ind w:left="0" w:firstLine="0"/>
    </w:pPr>
    <w:rPr>
      <w:rFonts w:ascii="Arial" w:eastAsia="Arial" w:hAnsi="Arial" w:cs="Arial"/>
      <w:b w:val="0"/>
      <w:i w:val="0"/>
      <w:color w:val="000000"/>
      <w:spacing w:val="0"/>
      <w:sz w:val="28"/>
    </w:rPr>
  </w:style>
  <w:style w:type="table" w:customStyle="1" w:styleId="TableNormal0">
    <w:name w:val="Table (Normal)"/>
    <w:pPr>
      <w:spacing w:before="0" w:after="0" w:line="240" w:lineRule="auto"/>
      <w:ind w:left="0" w:firstLine="0"/>
    </w:pPr>
    <w:rPr>
      <w:rFonts w:ascii="Times_New_Roman" w:eastAsia="Times_New_Roman" w:hAnsi="Times_New_Roman" w:cs="Times_New_Roman"/>
      <w:b w:val="0"/>
      <w:i w:val="0"/>
      <w:color w:val="000000"/>
      <w:spacing w:val="0"/>
      <w:sz w:val="20"/>
    </w:rP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header" Target="header4.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footer" Target="footer6.xml" /><Relationship Id="rId15" Type="http://schemas.openxmlformats.org/officeDocument/2006/relationships/header" Target="header5.xml" /><Relationship Id="rId16" Type="http://schemas.openxmlformats.org/officeDocument/2006/relationships/hyperlink" Target="https://www.sec.gov/Archives/edgar/data/884144/000162828026012270/a20251231exhibit1013.htm" TargetMode="External" /><Relationship Id="rId17" Type="http://schemas.openxmlformats.org/officeDocument/2006/relationships/hyperlink" Target="https://www.sec.gov/Archives/edgar/data/884144/000162828026012270/a20251231exhibit1013.htm" TargetMode="External" /><Relationship Id="rId18" Type="http://schemas.openxmlformats.org/officeDocument/2006/relationships/hyperlink" Target="wurl://docs.v1/doc:06b75cde6ae64342ab16e17e9d9ea694" TargetMode="External" /><Relationship Id="rId19" Type="http://schemas.openxmlformats.org/officeDocument/2006/relationships/hyperlink" Target="wurl://docs.v1/doc:06b75cde6ae64342ab16e17e9d9ea694" TargetMode="External" /><Relationship Id="rId2" Type="http://schemas.openxmlformats.org/officeDocument/2006/relationships/webSettings" Target="webSettings.xml" /><Relationship Id="rId20" Type="http://schemas.openxmlformats.org/officeDocument/2006/relationships/hyperlink" Target="wurl://docs.v1/doc:7c5e79d205d04935ab5509eefc13df7c" TargetMode="External" /><Relationship Id="rId21" Type="http://schemas.openxmlformats.org/officeDocument/2006/relationships/hyperlink" Target="wurl://docs.v1/doc:7c5e79d205d04935ab5509eefc13df7c" TargetMode="External" /><Relationship Id="rId22" Type="http://schemas.openxmlformats.org/officeDocument/2006/relationships/hyperlink" Target="wurl://docs.v1/doc:1f1028f4bc014ec7b60e63b4fca9d5b3" TargetMode="External" /><Relationship Id="rId23" Type="http://schemas.openxmlformats.org/officeDocument/2006/relationships/hyperlink" Target="wurl://docs.v1/doc:1f1028f4bc014ec7b60e63b4fca9d5b3" TargetMode="External" /><Relationship Id="rId24" Type="http://schemas.openxmlformats.org/officeDocument/2006/relationships/hyperlink" Target="wurl://docs.v1/doc:0a995d8ba6ac4838bc3186acf45deb08" TargetMode="External" /><Relationship Id="rId25" Type="http://schemas.openxmlformats.org/officeDocument/2006/relationships/hyperlink" Target="wurl://docs.v1/doc:0a995d8ba6ac4838bc3186acf45deb08" TargetMode="External" /><Relationship Id="rId26" Type="http://schemas.openxmlformats.org/officeDocument/2006/relationships/header" Target="header6.xml" /><Relationship Id="rId27" Type="http://schemas.openxmlformats.org/officeDocument/2006/relationships/header" Target="header7.xml" /><Relationship Id="rId28" Type="http://schemas.openxmlformats.org/officeDocument/2006/relationships/header" Target="header8.xml" /><Relationship Id="rId29" Type="http://schemas.openxmlformats.org/officeDocument/2006/relationships/header" Target="header9.xml" /><Relationship Id="rId3" Type="http://schemas.openxmlformats.org/officeDocument/2006/relationships/fontTable" Target="fontTable.xml" /><Relationship Id="rId30" Type="http://schemas.openxmlformats.org/officeDocument/2006/relationships/theme" Target="theme/theme1.xml" /><Relationship Id="rId31" Type="http://schemas.openxmlformats.org/officeDocument/2006/relationships/numbering" Target="numbering.xml" /><Relationship Id="rId32" Type="http://schemas.openxmlformats.org/officeDocument/2006/relationships/styles" Target="styles.xml" /><Relationship Id="rId4" Type="http://schemas.openxmlformats.org/officeDocument/2006/relationships/image" Target="media/image1.jpeg"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eader" Target="header2.xml" /><Relationship Id="rId8" Type="http://schemas.openxmlformats.org/officeDocument/2006/relationships/footer" Target="footer2.xml" /><Relationship Id="rId9" Type="http://schemas.openxmlformats.org/officeDocument/2006/relationships/header" Target="head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Template>
  <TotalTime>0</TotalTime>
  <Pages>35</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2026.03.31 ASUR 10-Q - PRINT</dc:title>
  <cp:revision>1</cp:revision>
</cp:coreProperties>
</file>