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17145</wp:posOffset>
            </wp:positionV>
            <wp:extent cx="150876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876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ASURE SOFTWARE,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1-34522</w:t>
            </w:r>
          </w:p>
        </w:tc>
        <w:tc>
          <w:tcPr>
            <w:tcW w:w="120" w:type="dxa"/>
            <w:vAlign w:val="bottom"/>
          </w:tcPr>
          <w:p>
            <w:pPr>
              <w:spacing w:after="0"/>
              <w:rPr>
                <w:sz w:val="20"/>
                <w:szCs w:val="20"/>
                <w:color w:val="auto"/>
              </w:rPr>
            </w:pPr>
          </w:p>
        </w:tc>
        <w:tc>
          <w:tcPr>
            <w:tcW w:w="4360" w:type="dxa"/>
            <w:vAlign w:val="bottom"/>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74-2415696</w:t>
            </w:r>
          </w:p>
        </w:tc>
      </w:tr>
      <w:tr>
        <w:trPr>
          <w:trHeight w:val="228"/>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20" w:type="dxa"/>
            <w:vAlign w:val="bottom"/>
          </w:tcPr>
          <w:p>
            <w:pPr>
              <w:spacing w:after="0"/>
              <w:rPr>
                <w:sz w:val="19"/>
                <w:szCs w:val="19"/>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12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95"/>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405 Colorado Street, Suite 1800 Austin, Texas</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Borders>
              <w:bottom w:val="single" w:sz="8" w:color="auto"/>
            </w:tcBorders>
          </w:tcPr>
          <w:p>
            <w:pPr>
              <w:jc w:val="right"/>
              <w:ind w:right="1870"/>
              <w:spacing w:after="0"/>
              <w:rPr>
                <w:sz w:val="20"/>
                <w:szCs w:val="20"/>
                <w:color w:val="auto"/>
              </w:rPr>
            </w:pPr>
            <w:r>
              <w:rPr>
                <w:rFonts w:ascii="Times New Roman" w:cs="Times New Roman" w:eastAsia="Times New Roman" w:hAnsi="Times New Roman"/>
                <w:sz w:val="18"/>
                <w:szCs w:val="18"/>
                <w:b w:val="1"/>
                <w:bCs w:val="1"/>
                <w:color w:val="auto"/>
              </w:rPr>
              <w:t>78701</w:t>
            </w:r>
          </w:p>
        </w:tc>
      </w:tr>
      <w:tr>
        <w:trPr>
          <w:trHeight w:val="22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512-437-2700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address)</w:t>
      </w:r>
    </w:p>
    <w:p>
      <w:pPr>
        <w:spacing w:after="0" w:line="139"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1" w:lineRule="exact"/>
        <w:rPr>
          <w:sz w:val="24"/>
          <w:szCs w:val="24"/>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99"/>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4"/>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120" w:type="dxa"/>
            <w:vAlign w:val="bottom"/>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ASUR</w:t>
            </w:r>
          </w:p>
        </w:tc>
        <w:tc>
          <w:tcPr>
            <w:tcW w:w="120" w:type="dxa"/>
            <w:vAlign w:val="bottom"/>
          </w:tcPr>
          <w:p>
            <w:pPr>
              <w:spacing w:after="0"/>
              <w:rPr>
                <w:sz w:val="18"/>
                <w:szCs w:val="18"/>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184"/>
        </w:trPr>
        <w:tc>
          <w:tcPr>
            <w:tcW w:w="448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Series A Junior Participating Preferred Share Purchase</w:t>
            </w:r>
          </w:p>
        </w:tc>
        <w:tc>
          <w:tcPr>
            <w:tcW w:w="240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rPr>
              <w:t>N/A</w:t>
            </w:r>
          </w:p>
        </w:tc>
        <w:tc>
          <w:tcPr>
            <w:tcW w:w="43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N/A</w:t>
            </w:r>
          </w:p>
        </w:tc>
      </w:tr>
      <w:tr>
        <w:trPr>
          <w:trHeight w:val="238"/>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r>
    </w:tbl>
    <w:p>
      <w:pPr>
        <w:spacing w:after="0" w:line="351" w:lineRule="exact"/>
        <w:rPr>
          <w:sz w:val="24"/>
          <w:szCs w:val="24"/>
          <w:color w:val="auto"/>
        </w:rPr>
      </w:pPr>
    </w:p>
    <w:p>
      <w:pPr>
        <w:ind w:left="20" w:right="50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Exchange Act (§240.12b-2 of this chapter).</w:t>
      </w:r>
    </w:p>
    <w:p>
      <w:pPr>
        <w:spacing w:after="0" w:line="68" w:lineRule="exact"/>
        <w:rPr>
          <w:sz w:val="24"/>
          <w:szCs w:val="24"/>
          <w:color w:val="auto"/>
        </w:rPr>
      </w:pPr>
    </w:p>
    <w:p>
      <w:pPr>
        <w:ind w:left="71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33" w:lineRule="exact"/>
        <w:rPr>
          <w:sz w:val="24"/>
          <w:szCs w:val="24"/>
          <w:color w:val="auto"/>
        </w:rPr>
      </w:pPr>
    </w:p>
    <w:p>
      <w:pPr>
        <w:ind w:left="20" w:right="140"/>
        <w:spacing w:after="0" w:line="250"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68" w:lineRule="exact"/>
        <w:rPr>
          <w:sz w:val="24"/>
          <w:szCs w:val="24"/>
          <w:color w:val="auto"/>
        </w:rPr>
      </w:pPr>
    </w:p>
    <w:p>
      <w:pPr>
        <w:ind w:left="922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29, 2026, Asure Software, Inc. (the “Company”) issued a press release announcing its financial results for its third quarter ended September 30, 2026 (the “Press Release”). A copy of the Press Release is furnished as Exhibit 99.1 to this Current Report on Form 8-K.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of this Current Report (including the press release furnished as an exhibit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9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w w:val="98"/>
              </w:rPr>
              <w:t>(d) Exhibits</w:t>
            </w:r>
          </w:p>
        </w:tc>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13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w w:val="97"/>
              </w:rPr>
              <w:t>Exhibit No.</w:t>
            </w:r>
          </w:p>
        </w:tc>
        <w:tc>
          <w:tcPr>
            <w:tcW w:w="9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124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60" w:type="dxa"/>
            <w:vAlign w:val="bottom"/>
          </w:tcPr>
          <w:p>
            <w:pPr>
              <w:spacing w:after="0"/>
              <w:rPr>
                <w:sz w:val="15"/>
                <w:szCs w:val="15"/>
                <w:color w:val="auto"/>
              </w:rPr>
            </w:pPr>
          </w:p>
        </w:tc>
        <w:tc>
          <w:tcPr>
            <w:tcW w:w="984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Press Release issued by Asure Software, Inc. dated October 29, 2026</w:t>
            </w:r>
          </w:p>
        </w:tc>
      </w:tr>
      <w:tr>
        <w:trPr>
          <w:trHeight w:val="20"/>
        </w:trPr>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60" w:type="dxa"/>
            <w:vAlign w:val="bottom"/>
            <w:shd w:val="clear" w:color="auto" w:fill="0000FF"/>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50"/>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283" w:lineRule="exact"/>
        <w:rPr>
          <w:sz w:val="20"/>
          <w:szCs w:val="20"/>
          <w:color w:val="auto"/>
        </w:rPr>
      </w:pPr>
    </w:p>
    <w:p>
      <w:pPr>
        <w:ind w:left="20"/>
        <w:spacing w:after="0"/>
        <w:tabs>
          <w:tab w:leader="none" w:pos="3140" w:val="left"/>
          <w:tab w:leader="none" w:pos="3580" w:val="left"/>
        </w:tabs>
        <w:rPr>
          <w:sz w:val="20"/>
          <w:szCs w:val="20"/>
          <w:color w:val="auto"/>
        </w:rPr>
      </w:pPr>
      <w:r>
        <w:rPr>
          <w:rFonts w:ascii="Times New Roman" w:cs="Times New Roman" w:eastAsia="Times New Roman" w:hAnsi="Times New Roman"/>
          <w:sz w:val="18"/>
          <w:szCs w:val="18"/>
          <w:color w:val="auto"/>
        </w:rPr>
        <w:t>Dated: October 29, 2026</w:t>
      </w:r>
      <w:r>
        <w:rPr>
          <w:sz w:val="20"/>
          <w:szCs w:val="20"/>
          <w:color w:val="auto"/>
        </w:rPr>
        <w:tab/>
      </w:r>
      <w:r>
        <w:rPr>
          <w:rFonts w:ascii="Times New Roman" w:cs="Times New Roman" w:eastAsia="Times New Roman" w:hAnsi="Times New Roman"/>
          <w:sz w:val="18"/>
          <w:szCs w:val="18"/>
          <w:color w:val="auto"/>
        </w:rPr>
        <w:t>By:</w:t>
        <w:tab/>
        <w:t>/s/ John Pence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17145</wp:posOffset>
            </wp:positionV>
            <wp:extent cx="4860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0290" cy="8890"/>
                    </a:xfrm>
                    <a:prstGeom prst="rect">
                      <a:avLst/>
                    </a:prstGeom>
                    <a:noFill/>
                  </pic:spPr>
                </pic:pic>
              </a:graphicData>
            </a:graphic>
          </wp:anchor>
        </w:drawing>
      </w:r>
    </w:p>
    <w:p>
      <w:pPr>
        <w:spacing w:after="0" w:line="1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 Accounting Officer</w:t>
      </w:r>
    </w:p>
    <w:p>
      <w:pPr>
        <w:sectPr>
          <w:pgSz w:w="11900" w:h="16838" w:orient="portrait"/>
          <w:cols w:equalWidth="0" w:num="1">
            <w:col w:w="11220"/>
          </w:cols>
          <w:pgMar w:left="320" w:top="88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508760"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87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Asure Announces Third Quarter 2026 Results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Third Quarter 2026 Revenues of $40.0 Million up 10% year over year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Recurring Revenue of $36.9 Million up 16% year over year</w:t>
      </w:r>
    </w:p>
    <w:p>
      <w:pPr>
        <w:spacing w:after="0" w:line="200" w:lineRule="exact"/>
        <w:rPr>
          <w:sz w:val="20"/>
          <w:szCs w:val="20"/>
          <w:color w:val="auto"/>
        </w:rPr>
      </w:pP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AUSTIN, TX – October 29, 2026 – </w:t>
      </w:r>
      <w:r>
        <w:rPr>
          <w:rFonts w:ascii="Times New Roman" w:cs="Times New Roman" w:eastAsia="Times New Roman" w:hAnsi="Times New Roman"/>
          <w:sz w:val="18"/>
          <w:szCs w:val="18"/>
          <w:color w:val="auto"/>
        </w:rPr>
        <w:t>Asure Software, Inc.</w:t>
      </w:r>
      <w:r>
        <w:rPr>
          <w:rFonts w:ascii="Times New Roman" w:cs="Times New Roman" w:eastAsia="Times New Roman" w:hAnsi="Times New Roman"/>
          <w:sz w:val="18"/>
          <w:szCs w:val="18"/>
          <w:b w:val="1"/>
          <w:bCs w:val="1"/>
          <w:color w:val="auto"/>
        </w:rPr>
        <w:t xml:space="preserve"> (Nasdaq: ASUR)</w:t>
      </w:r>
      <w:r>
        <w:rPr>
          <w:rFonts w:ascii="Times New Roman" w:cs="Times New Roman" w:eastAsia="Times New Roman" w:hAnsi="Times New Roman"/>
          <w:sz w:val="18"/>
          <w:szCs w:val="18"/>
          <w:color w:val="auto"/>
        </w:rPr>
        <w:t>, a leading provider of cloud-based Human Capital Management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today reported results for the third quarter ended September 30, 2026.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Financial Highlights*</w:t>
      </w:r>
    </w:p>
    <w:p>
      <w:pPr>
        <w:spacing w:after="0" w:line="25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$40.0 million, up 10% from $36.3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of $36.9 million, up 16% from $31.8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$0.6 million versus a net loss of $5.4 million</w:t>
      </w:r>
    </w:p>
    <w:p>
      <w:pPr>
        <w:spacing w:after="0" w:line="9" w:lineRule="exact"/>
        <w:rPr>
          <w:rFonts w:ascii="Times New Roman" w:cs="Times New Roman" w:eastAsia="Times New Roman" w:hAnsi="Times New Roman"/>
          <w:sz w:val="18"/>
          <w:szCs w:val="18"/>
          <w:color w:val="auto"/>
        </w:rPr>
      </w:pPr>
    </w:p>
    <w:p>
      <w:pPr>
        <w:ind w:left="660" w:hanging="328"/>
        <w:spacing w:after="0" w:line="19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$7.9 million versus $3.9 million</w:t>
      </w:r>
    </w:p>
    <w:p>
      <w:pPr>
        <w:ind w:left="660" w:hanging="328"/>
        <w:spacing w:after="0" w:line="19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$10.5 million versus $8.1 million</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$27.8 million versus $23.5 million</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profit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$30.2 million (margin of 75%) versus $25.4 million (margin of 70%)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Nine Months 2026 Financial Highlights*</w:t>
      </w:r>
    </w:p>
    <w:p>
      <w:pPr>
        <w:spacing w:after="0" w:line="25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$119.9 million, up 18% from prior year first nine months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of $108.6 million, up 16% from prior year first nine months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$4.4 million versus a net loss of $13.9 million in the prior year first nine months</w:t>
      </w:r>
    </w:p>
    <w:p>
      <w:pPr>
        <w:spacing w:after="0" w:line="9" w:lineRule="exact"/>
        <w:rPr>
          <w:rFonts w:ascii="Times New Roman" w:cs="Times New Roman" w:eastAsia="Times New Roman" w:hAnsi="Times New Roman"/>
          <w:sz w:val="18"/>
          <w:szCs w:val="18"/>
          <w:color w:val="auto"/>
        </w:rPr>
      </w:pPr>
    </w:p>
    <w:p>
      <w:pPr>
        <w:ind w:left="660" w:hanging="328"/>
        <w:spacing w:after="0" w:line="19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$21.9 million versus $9.5 million in the prior year first nine months</w:t>
      </w:r>
    </w:p>
    <w:p>
      <w:pPr>
        <w:ind w:left="660" w:hanging="328"/>
        <w:spacing w:after="0" w:line="19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$30.6 million versus $20.7 million in the prior year first nine months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$83.4 million versus $68.2 million in the prior year first nine months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profit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$89.6 million (margin of 75%) versus $73.5 million (margin of 73%) in prior year first nine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metrics are compared to third quarter and the first nine months of the prior year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20" w:lineRule="exact"/>
        <w:rPr>
          <w:sz w:val="20"/>
          <w:szCs w:val="20"/>
          <w:color w:val="auto"/>
        </w:rPr>
      </w:pPr>
    </w:p>
    <w:p>
      <w:pPr>
        <w:ind w:left="660" w:hanging="328"/>
        <w:spacing w:after="0" w:line="234"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Asure’s position in the Oracle ecosystem by making Payroll Tax Management available on Oracle Marketplace to Oracle sales teams, systems integrators and Oracle customers.</w:t>
      </w:r>
    </w:p>
    <w:p>
      <w:pPr>
        <w:spacing w:after="0" w:line="1" w:lineRule="exact"/>
        <w:rPr>
          <w:rFonts w:ascii="Times New Roman" w:cs="Times New Roman" w:eastAsia="Times New Roman" w:hAnsi="Times New Roman"/>
          <w:sz w:val="18"/>
          <w:szCs w:val="18"/>
          <w:color w:val="auto"/>
        </w:rPr>
      </w:pPr>
    </w:p>
    <w:p>
      <w:pPr>
        <w:ind w:left="660" w:right="20" w:hanging="328"/>
        <w:spacing w:after="0" w:line="226"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relationship with Amazon Web Services (AWS) to offer its solutions through AWS Marketplace, which will position Asure to reach more than 330,000 active AWS Marketplace customers.</w:t>
      </w:r>
    </w:p>
    <w:p>
      <w:pPr>
        <w:spacing w:after="0" w:line="1" w:lineRule="exact"/>
        <w:rPr>
          <w:rFonts w:ascii="Times New Roman" w:cs="Times New Roman" w:eastAsia="Times New Roman" w:hAnsi="Times New Roman"/>
          <w:sz w:val="18"/>
          <w:szCs w:val="18"/>
          <w:color w:val="auto"/>
        </w:rPr>
      </w:pPr>
    </w:p>
    <w:p>
      <w:pPr>
        <w:ind w:left="660" w:hanging="328"/>
        <w:spacing w:after="0" w:line="243"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AsureCentral</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its unified platform, to its reseller network and took our first resellers live on the platform in September. The reseller network reaches approximately three times as many employers as Asure’s direct client business, expanding the platform’s addressable market.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20" w:right="380" w:firstLine="6"/>
        <w:spacing w:after="0" w:line="237" w:lineRule="auto"/>
        <w:tabs>
          <w:tab w:leader="none" w:pos="185"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This financial measure is not calculated in accordance with GAAP and is defined on page 3 of this press release. A reconciliation of this non-GAAP measure to the most applicable GAAP measure begins on page 10 of this release.</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left="660" w:hanging="328"/>
        <w:spacing w:after="0" w:line="24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new credit agreement, with a syndicate of banks lead by MUFG Bank, Ltd., providing for borrowings of up to $115.0 million; received $85.0 million of gross proceeds at closing on October 15, 2026, of which $62.6 million was used to repay in full the Company’s existing credit agreement with MidCap Financial Trust.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acquisition of a payroll processing business primarily located in the southeastern United States during October 2026 for an aggregate purchase price of $26.5 million. The business serves mid-market organizations with cloud-based HR, payroll, and talent tools. The acquisition expands Asure’s exposure to the mid-market segment and adds a developed technology that will be used to update some of our product offerings.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delivered solid growth in the third quarter, with revenue increasing 10% year-over-year to $40.0 million and recurring revenue up 16% versus the prior year, also we experienced a notable uplift in gross margins, as well as improved profitability.” said Asure Chairman and CEO Pat Goepel. “Our organic growth continued to improve during the quarter, with total revenue up 9% and recurring revenue up 14% organically. We remain focused on driving attach rates across our client base as we deepen relationships and broaden the solutions we deliver. We continue to see significant potential for AsureWorks™ as adoption builds and our pipeline grows.”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pleased to have completed our recent acquisition in the southeastern United States, an important step in our inorganic growth strategy, and to have put in place a new credit agreement, that gives us added flexibility to pursue both organic and inorganic growth. On the organic side, we are excited about the new distribution channels for our Payroll Tax Management solution and the opportunity they create. We expect to keep investing in the business to fuel growth on both fronts. We expect to finish 2026 on a high note and believe our outlook for 2027, as reflected in our guidance is bright.”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2026, Full Year 2026 and Full Year 2027 Revenue Guidance Ranges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provides guidance for the fourth quarter of 2026, full year 2026 and full year 2027 based on the Company’s year-to-date results and recent business trends. This guidance incorporates the recent acquisition completed in October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Guidance for Q4-2026, FY-2026 and FY-2027</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Guidance Range</w:t>
            </w:r>
          </w:p>
        </w:tc>
        <w:tc>
          <w:tcPr>
            <w:tcW w:w="22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Q4-2026</w:t>
            </w:r>
          </w:p>
        </w:tc>
        <w:tc>
          <w:tcPr>
            <w:tcW w:w="26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FY-2026</w:t>
            </w:r>
          </w:p>
        </w:tc>
        <w:tc>
          <w:tcPr>
            <w:tcW w:w="20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FY-2027</w:t>
            </w: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42.0 M – 44.0 M</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162.0 M – 164.0 M</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183.0 M – 187.0 M</w:t>
            </w:r>
          </w:p>
        </w:tc>
      </w:tr>
      <w:tr>
        <w:trPr>
          <w:trHeight w:val="306"/>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 M – 12.0 M</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40.0 M – 42.0 M</w:t>
            </w:r>
          </w:p>
        </w:tc>
        <w:tc>
          <w:tcPr>
            <w:tcW w:w="20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 – 28%</w:t>
            </w:r>
          </w:p>
        </w:tc>
      </w:tr>
    </w:tbl>
    <w:p>
      <w:pPr>
        <w:spacing w:after="0" w:line="200" w:lineRule="exact"/>
        <w:rPr>
          <w:sz w:val="20"/>
          <w:szCs w:val="20"/>
          <w:color w:val="auto"/>
        </w:rPr>
      </w:pPr>
    </w:p>
    <w:p>
      <w:pPr>
        <w:spacing w:after="0" w:line="2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uses GAAP, non-GAAP and adjusted measures when planning, monitoring, and evaluating the Company’s performance. The primary purpose of using non-GAAP and adjusted measures is to provide supplemental information that may prove useful to investors and to enable investors to evaluate the Company’s results in the same way management does.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believes that supplementing GAAP disclosures with non-GAAP and adjusted disclosures provides investors with a more complete view of the Company’s operational performance and allows for meaningful period-to-period comparisons and analysis of trends in the Company’s business. Further, to the extent that other companies use similar methods in calculating adjusted financial measures, the provision of supplemental non-GAAP and adjusted information can allow for a comparison of the Company’s relative performance against other companies that also report non-GAAP and adjusted operating results.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has not provided a reconciliation of guidance of GAAP to non-GAAP or adjusted disclosures because management is unable to predict the nature and materiality of non-recurring expenses without unreasonable effort.</w:t>
      </w:r>
    </w:p>
    <w:p>
      <w:pPr>
        <w:spacing w:after="0" w:line="200" w:lineRule="exact"/>
        <w:rPr>
          <w:sz w:val="20"/>
          <w:szCs w:val="20"/>
          <w:color w:val="auto"/>
        </w:rPr>
      </w:pPr>
    </w:p>
    <w:p>
      <w:pPr>
        <w:spacing w:after="0" w:line="367" w:lineRule="exact"/>
        <w:rPr>
          <w:sz w:val="20"/>
          <w:szCs w:val="20"/>
          <w:color w:val="auto"/>
        </w:rPr>
      </w:pPr>
    </w:p>
    <w:p>
      <w:pPr>
        <w:ind w:left="60" w:right="360" w:hanging="7"/>
        <w:spacing w:after="0" w:line="226" w:lineRule="auto"/>
        <w:tabs>
          <w:tab w:leader="none" w:pos="225"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This financial measure is not calculated in accordance with GAAP and is defined on page 4 of this press release. A reconciliation of this non-GAAP measure to the most applicable GAAP measure begins on page 11 of this release.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46" w:right="339" w:bottom="1440" w:gutter="0" w:footer="0" w:header="0"/>
        </w:sectPr>
      </w:pPr>
    </w:p>
    <w:bookmarkStart w:id="5" w:name="page6"/>
    <w:bookmarkEnd w:id="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Management’s projections are based on management’s current beliefs and assumptions about the Company's business, and the industry and the markets in which it operates; there are known and unknown risks and uncertainties associated with these projections. There can be no assurance that our actual results will not differ from the guidance set forth above. The Company assumes no obligation to update publicly any forward-looking statements, including its 2026 and 2027 earnings guidance, whether as a result of new information, future events or otherwise. Please refer to the “Use of Forward-Looking Statements” disclosures on page 5 of this press release as well as the risk factors in our quarterly and annual reports on file with the Securities and Exchange Commission for more information about risk that affect our business and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5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Asure management will host a conference call on Thursday, October 29, 2026, at 3:30 pm Central (4:30 pm Eastern). Asure Chairman and CEO Pat Goepel and CFO John Pence will participate in the conference call followed by a question-and-answer session. The conference call will be broadcast live and available for replay via the investor relations section of the Company’s website. Analysts may participate on the conference call by dialing 877-407-9219 or 201-689-8852.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Asure Software, Inc.</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Asure (Nasdaq: ASUR) provides cloud-based Human Capital Management (HCM) software solutions that assist organizations of all sizes in streamlining their HCM processes. Asure's suite of HCM solutions includes HR, payroll, time and attendance, benefits administration, payroll tax management, and talent management. The company's approach to HR compliance services incorporates AI technology to enhance scalability and efficiency while prioritizing client interactions. For more information, please visit www.asuresoftware.com.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and Adjusted Financial Measures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press release includes information about non-GAAP gross profit, non-GAAP sales and marketing expense, non-GAAP general and administrative expense, non-GAAP research and development expense, EBITDA, EBITDA margin, adjusted EBITDA, and adjusted EBITDA margin. These non-GAAP and adjusted financial measures are measurements of financial performance that are not prepared in accordance with U.S. generally accepted accounting principles and computational methods may differ from those used by other companies. Non-GAAP and adjusted financial measures are not meant to be considered in isolation or as a substitute for comparable GAAP measures and should be read only in conjunction with the Company’s Condensed Consolidated Financial Statements prepared in accordance with GAAP. Non-GAAP and adjusted financial measures are reconciled to GAAP in the tables set forth in this release and are subject to reclassifications to conform to current period presentations.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Non-GAAP gross profit differs from gross profit in that it excludes amortization, share-based compensation, and one-time items.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Non-GAAP sales and marketing expense differs from sales and marketing expense in that it excludes share-based compensation and one-time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Non-GAAP general and administrative expense differs from general and administrative expense in that it excludes share-based compensation and one-time items.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Non-GAAP research and development expense differs from research and development expense in that it excludes share-based compensation and one-time items.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EBITDA differs from net income (loss) in that it excludes items such as interest, income taxes, depreciation, and amortization. Asure is unable to predict with reasonable certainty the ultimate outcome of these exclusions without unreasonable effort.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Adjusted EBITDA differs from EBITDA in that it excludes share-based compensation, other income (expense), net and one-time expenses. Asure is unable to predict with reasonable certainty the ultimate outcome of these exclusions without unreasonable effort.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adjusted and non-GAAP measures presented as “margin” are computed by dividing the applicable adjusted financial measure by total revenue.</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Specifically, as applicable to the respective financial measure, management is adjusting for the following items when calculating non-GAAP and adjusted financial measures as applicable for the periods presented. No additional adjustments have been made for potential income tax effects of the adjustments based on the Company’s current and anticipated de minimis effective federal tax rate, resulting from the Company’s continued losses for federal tax purposes and its tax net operating loss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46" w:right="339" w:bottom="1440" w:gutter="0" w:footer="0" w:header="0"/>
        </w:sectPr>
      </w:pPr>
    </w:p>
    <w:bookmarkStart w:id="7" w:name="page8"/>
    <w:bookmarkEnd w:id="7"/>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Share-Based Compensation Expenses. </w:t>
      </w:r>
      <w:r>
        <w:rPr>
          <w:rFonts w:ascii="Times New Roman" w:cs="Times New Roman" w:eastAsia="Times New Roman" w:hAnsi="Times New Roman"/>
          <w:sz w:val="18"/>
          <w:szCs w:val="18"/>
          <w:color w:val="auto"/>
        </w:rPr>
        <w:t>The Company’s compensation strategy includes the use of share-based compensation to attract and retain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and executives. It is principally aimed at aligning their interests with those of our stockholders and at long-term employee retention, rather than to motivate or reward operational performance for any particular period. Thus, share-based compensation expense varies for reasons that are generally unrelated to operational decisions and performance in any particular period.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Depreciation. </w:t>
      </w:r>
      <w:r>
        <w:rPr>
          <w:rFonts w:ascii="Times New Roman" w:cs="Times New Roman" w:eastAsia="Times New Roman" w:hAnsi="Times New Roman"/>
          <w:sz w:val="18"/>
          <w:szCs w:val="18"/>
          <w:color w:val="auto"/>
        </w:rPr>
        <w:t>The Company excludes depreciation of fixed assets. Also included in the expense is the depreciation of capitalized software costs.</w:t>
      </w:r>
    </w:p>
    <w:p>
      <w:pPr>
        <w:spacing w:after="0" w:line="25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Amortization of Purchased Intangibles. </w:t>
      </w:r>
      <w:r>
        <w:rPr>
          <w:rFonts w:ascii="Times New Roman" w:cs="Times New Roman" w:eastAsia="Times New Roman" w:hAnsi="Times New Roman"/>
          <w:sz w:val="18"/>
          <w:szCs w:val="18"/>
          <w:color w:val="auto"/>
        </w:rPr>
        <w:t>The Company views amortization of acquisition-related intangible assets, such as the amortization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cost associated with an acquired company’s research and development efforts, trade names, customer lists and customer relationships, and acquired lease intangibles, as items arising from pre-acquisition activities determined at the time of an acquisition. While these intangible assets are continually evaluated for impairment, amortization of the cost of purchased intangibles is a static expense, one that is not typically affected by operations during any particular period.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Interest Expense, Net. </w:t>
      </w:r>
      <w:r>
        <w:rPr>
          <w:rFonts w:ascii="Times New Roman" w:cs="Times New Roman" w:eastAsia="Times New Roman" w:hAnsi="Times New Roman"/>
          <w:sz w:val="18"/>
          <w:szCs w:val="18"/>
          <w:color w:val="auto"/>
        </w:rPr>
        <w:t>The Company excludes accrued interest expense, the amortization of debt discounts and deferred financing costs.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 excludes income taxes, both at the federal and state levels.</w:t>
      </w:r>
    </w:p>
    <w:p>
      <w:pPr>
        <w:spacing w:after="0" w:line="25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One-Time Expenses. </w:t>
      </w:r>
      <w:r>
        <w:rPr>
          <w:rFonts w:ascii="Times New Roman" w:cs="Times New Roman" w:eastAsia="Times New Roman" w:hAnsi="Times New Roman"/>
          <w:sz w:val="18"/>
          <w:szCs w:val="18"/>
          <w:color w:val="auto"/>
        </w:rPr>
        <w:t>The Company’s adjusted financial measures exclude the following costs to normalize comparable reporting periods,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are generally non-recurring expenses that do not reflect the ongoing operational results. These items are typically not budgeted and are infrequent and unusual in nature.</w:t>
      </w:r>
    </w:p>
    <w:p>
      <w:pPr>
        <w:spacing w:after="0" w:line="198" w:lineRule="exact"/>
        <w:rPr>
          <w:sz w:val="20"/>
          <w:szCs w:val="20"/>
          <w:color w:val="auto"/>
        </w:rPr>
      </w:pPr>
    </w:p>
    <w:p>
      <w:pPr>
        <w:jc w:val="both"/>
        <w:ind w:left="1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Settlements, Penalties and Interest. </w:t>
      </w:r>
      <w:r>
        <w:rPr>
          <w:rFonts w:ascii="Times New Roman" w:cs="Times New Roman" w:eastAsia="Times New Roman" w:hAnsi="Times New Roman"/>
          <w:sz w:val="18"/>
          <w:szCs w:val="18"/>
          <w:color w:val="auto"/>
        </w:rPr>
        <w:t>The Company excludes legal settlements, including separation agreements, penalties and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generally one-time in nature and not reflective of the operational results of the business.</w:t>
      </w:r>
    </w:p>
    <w:p>
      <w:pPr>
        <w:spacing w:after="0" w:line="182" w:lineRule="exact"/>
        <w:rPr>
          <w:sz w:val="20"/>
          <w:szCs w:val="20"/>
          <w:color w:val="auto"/>
        </w:rPr>
      </w:pPr>
    </w:p>
    <w:p>
      <w:pPr>
        <w:jc w:val="both"/>
        <w:ind w:left="1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Acquisition and Transaction Related Costs. </w:t>
      </w:r>
      <w:r>
        <w:rPr>
          <w:rFonts w:ascii="Times New Roman" w:cs="Times New Roman" w:eastAsia="Times New Roman" w:hAnsi="Times New Roman"/>
          <w:sz w:val="18"/>
          <w:szCs w:val="18"/>
          <w:color w:val="auto"/>
        </w:rPr>
        <w:t>The Company excludes these expenses as they are transaction costs and expenses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one-time in nature and not reflective of the underlying operational results of our business. Examples of these types of expenses include legal, accounting, regulatory, other consulting services, severance and other employee costs.</w:t>
      </w:r>
    </w:p>
    <w:p>
      <w:pPr>
        <w:spacing w:after="0" w:line="198" w:lineRule="exact"/>
        <w:rPr>
          <w:sz w:val="20"/>
          <w:szCs w:val="20"/>
          <w:color w:val="auto"/>
        </w:rPr>
      </w:pPr>
    </w:p>
    <w:p>
      <w:pPr>
        <w:jc w:val="both"/>
        <w:ind w:left="1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non-recurring Expenses. </w:t>
      </w:r>
      <w:r>
        <w:rPr>
          <w:rFonts w:ascii="Times New Roman" w:cs="Times New Roman" w:eastAsia="Times New Roman" w:hAnsi="Times New Roman"/>
          <w:sz w:val="18"/>
          <w:szCs w:val="18"/>
          <w:color w:val="auto"/>
        </w:rPr>
        <w:t>The Company excludes these as they are generally non-recurring items that are not reflective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underlying operational results of the business and are generally not anticipated to recur. Some examples of these types of expenses, historically, have included write-offs or impairments of assets, demolition of office space and cybersecurity consultants.</w:t>
      </w:r>
    </w:p>
    <w:p>
      <w:pPr>
        <w:spacing w:after="0" w:line="198" w:lineRule="exact"/>
        <w:rPr>
          <w:sz w:val="20"/>
          <w:szCs w:val="20"/>
          <w:color w:val="auto"/>
        </w:rPr>
      </w:pPr>
    </w:p>
    <w:p>
      <w:pPr>
        <w:jc w:val="both"/>
        <w:ind w:left="1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(Expense) Income, Net. </w:t>
      </w:r>
      <w:r>
        <w:rPr>
          <w:rFonts w:ascii="Times New Roman" w:cs="Times New Roman" w:eastAsia="Times New Roman" w:hAnsi="Times New Roman"/>
          <w:sz w:val="18"/>
          <w:szCs w:val="18"/>
          <w:color w:val="auto"/>
        </w:rPr>
        <w:t>The Company’s adjusted financial measures exclude Other (Expense) Income, Net because it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items that are not reflective of the underlying operational results of the business, such as loan forgiveness, adjustments to contingent liabilities and credits earned as part of the CARES Act, passed by Congress in the wake of the coronavirus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4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Use of Forward-Looking Statements</w:t>
      </w:r>
    </w:p>
    <w:p>
      <w:pPr>
        <w:spacing w:after="0" w:line="25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statements made by management that may constitute “forward-looking” statements within the meaning of the safe harbor provisions of the U.S. Private Securities Litigation Reform Act of 1995. These forward-looking statements about our financial results may include expected or projected U.S GAAP and other operating and non-operating results. The words “believe,” “may,” “will,” “estimate,” “projects,” “anticipate,” “intend,” “expect,” “should,” “plan,” and similar expressions are intended to identify forward-looking statements. Examples of forward-looking statements include statements we make regarding our operating performance, future results of operations and financial position, revenue growth, earnings or other projections.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 achievement or success of the matters covered by such forward-looking statements involves risks, uncertainties and assumptions, over many of which we have no control. If any such risks or uncertainties materialize or if any of the assumptions prove incorrect, our results could differ materially from the results expressed or implied by the forward-looking statements we make. The risks and uncertainties referred to above include—but are not limited to—risks associated with breaches of our security measures; possible fluctuations in our financial and operating results; potential financing needed to meet future capital requirements; access to additional capital; volatility and weakness in bank and capital markets; the financial and other impact of any previous and future acquisitions; privacy concerns and laws and other regulations that may limit the effectiveness of our applications; inability to adopt new or correctly interpret existing money service and money transmitter business status; risk of our software and solutions not functioning adequately; interruptions, delays or changes in our services or our Web hosting; significant costs as a result of operating as a public company; economic and governmental interruptions to supply chains; risks related to weaknesses in internal control; the inability to continue to release timely updates for changes in laws; the inability to develop new and improved versions of our services and technological developments; customer’s nonrenewal of their agreements and other similar changes; the exposure of market, interest, credit and liquidity risk on client funds held in trust; our operations in highly competitive markets; risks that our clients could have insufficient funds, limitations in the ability to transmit ACH transactions; the nature of our business model; impairment of intangible assets; litigation and any related claims, negotiations and settlements, including with respect to intellectual property matters or industry-specific regulations; market demand of our Software-as-a-Service offerings; adverse effects to our business a result of claims, lawsuits, and other proceedings; adverse material effects caused by advancements and adoption of artificial intelligence; issues in the use of artificial intelligence in our HCM products and services; adverse changes to financial accounting standards to us; intellectual property risks associated with the use of open source software; failures of our service providers; factors affecting our deferred tax assets and ability to value and utilize them; inability to maintain third-party licensed software; evolving regulation of the Internet, changes in the infrastructure underlying the Internet or interruptions in Internet services; the expiration of Employee Retention Tax Credits (“ERTC”) and the impact of recent regulatory and other measures by governmental authorities-regarding ERTC claims and the corresponding cash collections of existing receivables; our ability to hire, retain and motivate employees and manage our growth; potential enactment of adverse tax laws, regulation, political, economic and social factors; potential sales of a substantial number of shares of our common stock along with its volatility; and risks associated with potential equity-related transactions including dividends, rights under the stockholder plan to discourage certain actions and other impacts as a result of actions of our stockholders.</w:t>
      </w:r>
    </w:p>
    <w:p>
      <w:pPr>
        <w:spacing w:after="0" w:line="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Please review the Company’s risk factors in its annual report on Form 10-K filed with the Securities and Exchange Commission (the “SEC”) on February 26, 2026.</w:t>
      </w: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forward-looking statements, including the financial guidance 2026 and 2027 outlook, contained in this press release represent the judgment of the Company as of the date of this press release, and the Company expressly disclaims any intent, obligation or undertaking to release publicly any updates or revisions to any forward-looking statements to reflect any change in the Company’s expectations with regard to these forward looking statements or any change in events, conditions or circumstances on which any such statements are based. © 2026 Asure Software, Inc.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46"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(in thousands, except per share amounts)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6"/>
                <w:szCs w:val="16"/>
                <w:color w:val="auto"/>
              </w:rPr>
            </w:pPr>
          </w:p>
        </w:tc>
        <w:tc>
          <w:tcPr>
            <w:tcW w:w="14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7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16,780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25,244</w:t>
            </w:r>
          </w:p>
        </w:tc>
        <w:tc>
          <w:tcPr>
            <w:tcW w:w="0" w:type="dxa"/>
            <w:vAlign w:val="bottom"/>
          </w:tcPr>
          <w:p>
            <w:pPr>
              <w:spacing w:after="0"/>
              <w:rPr>
                <w:sz w:val="1"/>
                <w:szCs w:val="1"/>
                <w:color w:val="auto"/>
              </w:rPr>
            </w:pPr>
          </w:p>
        </w:tc>
      </w:tr>
      <w:tr>
        <w:trPr>
          <w:trHeight w:val="180"/>
        </w:trPr>
        <w:tc>
          <w:tcPr>
            <w:tcW w:w="7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$8,716 and $7,206 at September 30, 2026 and December 31, 2025,</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respectively</w:t>
            </w:r>
          </w:p>
        </w:tc>
        <w:tc>
          <w:tcPr>
            <w:tcW w:w="14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15,859</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Inventory</w:t>
            </w:r>
          </w:p>
        </w:tc>
        <w:tc>
          <w:tcPr>
            <w:tcW w:w="1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2,737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w:t>
            </w:r>
          </w:p>
        </w:tc>
        <w:tc>
          <w:tcPr>
            <w:tcW w:w="0" w:type="dxa"/>
            <w:vAlign w:val="bottom"/>
          </w:tcPr>
          <w:p>
            <w:pPr>
              <w:spacing w:after="0"/>
              <w:rPr>
                <w:sz w:val="1"/>
                <w:szCs w:val="1"/>
                <w:color w:val="auto"/>
              </w:rPr>
            </w:pPr>
          </w:p>
        </w:tc>
      </w:tr>
      <w:tr>
        <w:trPr>
          <w:trHeight w:val="193"/>
        </w:trPr>
        <w:tc>
          <w:tcPr>
            <w:tcW w:w="7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6,329</w:t>
            </w:r>
          </w:p>
        </w:tc>
        <w:tc>
          <w:tcPr>
            <w:tcW w:w="0" w:type="dxa"/>
            <w:vAlign w:val="bottom"/>
          </w:tcPr>
          <w:p>
            <w:pPr>
              <w:spacing w:after="0"/>
              <w:rPr>
                <w:sz w:val="1"/>
                <w:szCs w:val="1"/>
                <w:color w:val="auto"/>
              </w:rPr>
            </w:pPr>
          </w:p>
        </w:tc>
      </w:tr>
      <w:tr>
        <w:trPr>
          <w:trHeight w:val="37"/>
        </w:trPr>
        <w:tc>
          <w:tcPr>
            <w:tcW w:w="79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assets before funds held for clients</w:t>
            </w:r>
          </w:p>
        </w:tc>
        <w:tc>
          <w:tcPr>
            <w:tcW w:w="1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42,213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50,258</w:t>
            </w:r>
          </w:p>
        </w:tc>
        <w:tc>
          <w:tcPr>
            <w:tcW w:w="0" w:type="dxa"/>
            <w:vAlign w:val="bottom"/>
          </w:tcPr>
          <w:p>
            <w:pPr>
              <w:spacing w:after="0"/>
              <w:rPr>
                <w:sz w:val="1"/>
                <w:szCs w:val="1"/>
                <w:color w:val="auto"/>
              </w:rPr>
            </w:pPr>
          </w:p>
        </w:tc>
      </w:tr>
      <w:tr>
        <w:trPr>
          <w:trHeight w:val="193"/>
        </w:trPr>
        <w:tc>
          <w:tcPr>
            <w:tcW w:w="7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Funds held for clients</w:t>
            </w:r>
          </w:p>
        </w:tc>
        <w:tc>
          <w:tcPr>
            <w:tcW w:w="14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194,746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228,111</w:t>
            </w:r>
          </w:p>
        </w:tc>
        <w:tc>
          <w:tcPr>
            <w:tcW w:w="0" w:type="dxa"/>
            <w:vAlign w:val="bottom"/>
          </w:tcPr>
          <w:p>
            <w:pPr>
              <w:spacing w:after="0"/>
              <w:rPr>
                <w:sz w:val="1"/>
                <w:szCs w:val="1"/>
                <w:color w:val="auto"/>
              </w:rPr>
            </w:pPr>
          </w:p>
        </w:tc>
      </w:tr>
      <w:tr>
        <w:trPr>
          <w:trHeight w:val="37"/>
        </w:trPr>
        <w:tc>
          <w:tcPr>
            <w:tcW w:w="79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236,959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278,369</w:t>
            </w:r>
          </w:p>
        </w:tc>
        <w:tc>
          <w:tcPr>
            <w:tcW w:w="0" w:type="dxa"/>
            <w:vAlign w:val="bottom"/>
          </w:tcPr>
          <w:p>
            <w:pPr>
              <w:spacing w:after="0"/>
              <w:rPr>
                <w:sz w:val="1"/>
                <w:szCs w:val="1"/>
                <w:color w:val="auto"/>
              </w:rPr>
            </w:pPr>
          </w:p>
        </w:tc>
      </w:tr>
      <w:tr>
        <w:trPr>
          <w:trHeight w:val="186"/>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32,798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27,810</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115,759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115,759</w:t>
            </w:r>
          </w:p>
        </w:tc>
        <w:tc>
          <w:tcPr>
            <w:tcW w:w="0" w:type="dxa"/>
            <w:vAlign w:val="bottom"/>
          </w:tcPr>
          <w:p>
            <w:pPr>
              <w:spacing w:after="0"/>
              <w:rPr>
                <w:sz w:val="1"/>
                <w:szCs w:val="1"/>
                <w:color w:val="auto"/>
              </w:rPr>
            </w:pPr>
          </w:p>
        </w:tc>
      </w:tr>
      <w:tr>
        <w:trPr>
          <w:trHeight w:val="193"/>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Intangible assets, net</w:t>
            </w:r>
          </w:p>
        </w:tc>
        <w:tc>
          <w:tcPr>
            <w:tcW w:w="14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79,297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87,911</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lease assets, net</w:t>
            </w:r>
          </w:p>
        </w:tc>
        <w:tc>
          <w:tcPr>
            <w:tcW w:w="1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4,865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6,028</w:t>
            </w:r>
          </w:p>
        </w:tc>
        <w:tc>
          <w:tcPr>
            <w:tcW w:w="0" w:type="dxa"/>
            <w:vAlign w:val="bottom"/>
          </w:tcPr>
          <w:p>
            <w:pPr>
              <w:spacing w:after="0"/>
              <w:rPr>
                <w:sz w:val="1"/>
                <w:szCs w:val="1"/>
                <w:color w:val="auto"/>
              </w:rPr>
            </w:pPr>
          </w:p>
        </w:tc>
      </w:tr>
      <w:tr>
        <w:trPr>
          <w:trHeight w:val="193"/>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assets, net</w:t>
            </w:r>
          </w:p>
        </w:tc>
        <w:tc>
          <w:tcPr>
            <w:tcW w:w="14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21,126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15,542</w:t>
            </w:r>
          </w:p>
        </w:tc>
        <w:tc>
          <w:tcPr>
            <w:tcW w:w="0" w:type="dxa"/>
            <w:vAlign w:val="bottom"/>
          </w:tcPr>
          <w:p>
            <w:pPr>
              <w:spacing w:after="0"/>
              <w:rPr>
                <w:sz w:val="1"/>
                <w:szCs w:val="1"/>
                <w:color w:val="auto"/>
              </w:rPr>
            </w:pPr>
          </w:p>
        </w:tc>
      </w:tr>
      <w:tr>
        <w:trPr>
          <w:trHeight w:val="37"/>
        </w:trPr>
        <w:tc>
          <w:tcPr>
            <w:tcW w:w="79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490,804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531,419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Current portion of notes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5,301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4,344</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0" w:type="dxa"/>
            <w:vAlign w:val="bottom"/>
          </w:tcPr>
          <w:p>
            <w:pPr>
              <w:spacing w:after="0"/>
              <w:rPr>
                <w:sz w:val="1"/>
                <w:szCs w:val="1"/>
                <w:color w:val="auto"/>
              </w:rPr>
            </w:pPr>
          </w:p>
        </w:tc>
      </w:tr>
      <w:tr>
        <w:trPr>
          <w:trHeight w:val="193"/>
        </w:trPr>
        <w:tc>
          <w:tcPr>
            <w:tcW w:w="7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4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4,723</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Lease liabilities, current</w:t>
            </w:r>
          </w:p>
        </w:tc>
        <w:tc>
          <w:tcPr>
            <w:tcW w:w="1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2,067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0" w:type="dxa"/>
            <w:vAlign w:val="bottom"/>
          </w:tcPr>
          <w:p>
            <w:pPr>
              <w:spacing w:after="0"/>
              <w:rPr>
                <w:sz w:val="1"/>
                <w:szCs w:val="1"/>
                <w:color w:val="auto"/>
              </w:rPr>
            </w:pPr>
          </w:p>
        </w:tc>
      </w:tr>
      <w:tr>
        <w:trPr>
          <w:trHeight w:val="193"/>
        </w:trPr>
        <w:tc>
          <w:tcPr>
            <w:tcW w:w="7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14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6,422</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5,864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11,622</w:t>
            </w:r>
          </w:p>
        </w:tc>
        <w:tc>
          <w:tcPr>
            <w:tcW w:w="0" w:type="dxa"/>
            <w:vAlign w:val="bottom"/>
          </w:tcPr>
          <w:p>
            <w:pPr>
              <w:spacing w:after="0"/>
              <w:rPr>
                <w:sz w:val="1"/>
                <w:szCs w:val="1"/>
                <w:color w:val="auto"/>
              </w:rPr>
            </w:pPr>
          </w:p>
        </w:tc>
      </w:tr>
      <w:tr>
        <w:trPr>
          <w:trHeight w:val="186"/>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current liabilities before client fund obligations</w:t>
            </w: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28,159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31,241</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Client fund obligations</w:t>
            </w:r>
          </w:p>
        </w:tc>
        <w:tc>
          <w:tcPr>
            <w:tcW w:w="1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197,381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228,482</w:t>
            </w:r>
          </w:p>
        </w:tc>
        <w:tc>
          <w:tcPr>
            <w:tcW w:w="0" w:type="dxa"/>
            <w:vAlign w:val="bottom"/>
          </w:tcPr>
          <w:p>
            <w:pPr>
              <w:spacing w:after="0"/>
              <w:rPr>
                <w:sz w:val="1"/>
                <w:szCs w:val="1"/>
                <w:color w:val="auto"/>
              </w:rPr>
            </w:pPr>
          </w:p>
        </w:tc>
      </w:tr>
      <w:tr>
        <w:trPr>
          <w:trHeight w:val="186"/>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225,540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259,723</w:t>
            </w:r>
          </w:p>
        </w:tc>
        <w:tc>
          <w:tcPr>
            <w:tcW w:w="0" w:type="dxa"/>
            <w:vAlign w:val="bottom"/>
          </w:tcPr>
          <w:p>
            <w:pPr>
              <w:spacing w:after="0"/>
              <w:rPr>
                <w:sz w:val="1"/>
                <w:szCs w:val="1"/>
                <w:color w:val="auto"/>
              </w:rPr>
            </w:pPr>
          </w:p>
        </w:tc>
      </w:tr>
      <w:tr>
        <w:trPr>
          <w:trHeight w:val="37"/>
        </w:trPr>
        <w:tc>
          <w:tcPr>
            <w:tcW w:w="79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Long-term liabilities:</w:t>
            </w:r>
          </w:p>
        </w:tc>
        <w:tc>
          <w:tcPr>
            <w:tcW w:w="1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tax liability</w:t>
            </w:r>
          </w:p>
        </w:tc>
        <w:tc>
          <w:tcPr>
            <w:tcW w:w="1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3,413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0" w:type="dxa"/>
            <w:vAlign w:val="bottom"/>
          </w:tcPr>
          <w:p>
            <w:pPr>
              <w:spacing w:after="0"/>
              <w:rPr>
                <w:sz w:val="1"/>
                <w:szCs w:val="1"/>
                <w:color w:val="auto"/>
              </w:rPr>
            </w:pPr>
          </w:p>
        </w:tc>
      </w:tr>
      <w:tr>
        <w:trPr>
          <w:trHeight w:val="193"/>
        </w:trPr>
        <w:tc>
          <w:tcPr>
            <w:tcW w:w="7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Notes payable, net of current portion</w:t>
            </w:r>
          </w:p>
        </w:tc>
        <w:tc>
          <w:tcPr>
            <w:tcW w:w="14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59,358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63,282</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Lease liabilities, noncurrent</w:t>
            </w:r>
          </w:p>
        </w:tc>
        <w:tc>
          <w:tcPr>
            <w:tcW w:w="1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3,578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5,221</w:t>
            </w:r>
          </w:p>
        </w:tc>
        <w:tc>
          <w:tcPr>
            <w:tcW w:w="0" w:type="dxa"/>
            <w:vAlign w:val="bottom"/>
          </w:tcPr>
          <w:p>
            <w:pPr>
              <w:spacing w:after="0"/>
              <w:rPr>
                <w:sz w:val="1"/>
                <w:szCs w:val="1"/>
                <w:color w:val="auto"/>
              </w:rPr>
            </w:pPr>
          </w:p>
        </w:tc>
      </w:tr>
      <w:tr>
        <w:trPr>
          <w:trHeight w:val="193"/>
        </w:trPr>
        <w:tc>
          <w:tcPr>
            <w:tcW w:w="7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37"/>
        </w:trPr>
        <w:tc>
          <w:tcPr>
            <w:tcW w:w="79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67,896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73,900</w:t>
            </w:r>
          </w:p>
        </w:tc>
        <w:tc>
          <w:tcPr>
            <w:tcW w:w="0" w:type="dxa"/>
            <w:vAlign w:val="bottom"/>
          </w:tcPr>
          <w:p>
            <w:pPr>
              <w:spacing w:after="0"/>
              <w:rPr>
                <w:sz w:val="1"/>
                <w:szCs w:val="1"/>
                <w:color w:val="auto"/>
              </w:rPr>
            </w:pPr>
          </w:p>
        </w:tc>
      </w:tr>
      <w:tr>
        <w:trPr>
          <w:trHeight w:val="186"/>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293,436</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333,623</w:t>
            </w:r>
          </w:p>
        </w:tc>
        <w:tc>
          <w:tcPr>
            <w:tcW w:w="0" w:type="dxa"/>
            <w:vAlign w:val="bottom"/>
          </w:tcPr>
          <w:p>
            <w:pPr>
              <w:spacing w:after="0"/>
              <w:rPr>
                <w:sz w:val="1"/>
                <w:szCs w:val="1"/>
                <w:color w:val="auto"/>
              </w:rPr>
            </w:pPr>
          </w:p>
        </w:tc>
      </w:tr>
      <w:tr>
        <w:trPr>
          <w:trHeight w:val="37"/>
        </w:trPr>
        <w:tc>
          <w:tcPr>
            <w:tcW w:w="79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Preferred stock, $0.01 par value; 1,500 shares authorized; none issued or outstanding</w:t>
            </w:r>
          </w:p>
        </w:tc>
        <w:tc>
          <w:tcPr>
            <w:tcW w:w="14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7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Common stock, $0.01 par value; 44,000 shares authorized; 28,921 and 28,076 shares issued, 28,921 and 28,076 shares</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9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outstanding at September 30, 2026 and December 31, 2025, respectively</w:t>
            </w:r>
          </w:p>
        </w:tc>
        <w:tc>
          <w:tcPr>
            <w:tcW w:w="1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230"/>
        </w:trPr>
        <w:tc>
          <w:tcPr>
            <w:tcW w:w="7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Treasury stock at cost, zero</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shares at September 30, 2026 and December 31, 2025</w:t>
            </w: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79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523,936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517,432</w:t>
            </w:r>
          </w:p>
        </w:tc>
        <w:tc>
          <w:tcPr>
            <w:tcW w:w="0" w:type="dxa"/>
            <w:vAlign w:val="bottom"/>
          </w:tcPr>
          <w:p>
            <w:pPr>
              <w:spacing w:after="0"/>
              <w:rPr>
                <w:sz w:val="1"/>
                <w:szCs w:val="1"/>
                <w:color w:val="auto"/>
              </w:rPr>
            </w:pPr>
          </w:p>
        </w:tc>
      </w:tr>
      <w:tr>
        <w:trPr>
          <w:trHeight w:val="193"/>
        </w:trPr>
        <w:tc>
          <w:tcPr>
            <w:tcW w:w="7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(320,352)</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86"/>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197,368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197,796</w:t>
            </w:r>
          </w:p>
        </w:tc>
        <w:tc>
          <w:tcPr>
            <w:tcW w:w="0" w:type="dxa"/>
            <w:vAlign w:val="bottom"/>
          </w:tcPr>
          <w:p>
            <w:pPr>
              <w:spacing w:after="0"/>
              <w:rPr>
                <w:sz w:val="1"/>
                <w:szCs w:val="1"/>
                <w:color w:val="auto"/>
              </w:rPr>
            </w:pPr>
          </w:p>
        </w:tc>
      </w:tr>
      <w:tr>
        <w:trPr>
          <w:trHeight w:val="37"/>
        </w:trPr>
        <w:tc>
          <w:tcPr>
            <w:tcW w:w="79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490,804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531,419</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80" w:right="2260" w:hanging="274"/>
        <w:spacing w:after="0" w:line="348" w:lineRule="auto"/>
        <w:tabs>
          <w:tab w:leader="none" w:pos="175"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Treasury stock of prior repurchases of our own common stock was retired and subsequently issued effective January 1, 2024. See the Condensed Consolidated Statement of Changes in Stockholders' Equity for the impact of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-271780</wp:posOffset>
            </wp:positionV>
            <wp:extent cx="208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ectPr>
          <w:pgSz w:w="11900" w:h="16838" w:orient="portrait"/>
          <w:cols w:equalWidth="0" w:num="1">
            <w:col w:w="11180"/>
          </w:cols>
          <w:pgMar w:left="360" w:top="84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180"/>
          </w:cols>
          <w:pgMar w:left="360" w:top="846" w:right="35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6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r>
      <w:tr>
        <w:trPr>
          <w:trHeight w:val="225"/>
        </w:trPr>
        <w:tc>
          <w:tcPr>
            <w:tcW w:w="5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50"/>
        </w:trPr>
        <w:tc>
          <w:tcPr>
            <w:tcW w:w="5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Recurring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36,912</w:t>
            </w:r>
          </w:p>
        </w:tc>
        <w:tc>
          <w:tcPr>
            <w:tcW w:w="120" w:type="dxa"/>
            <w:vAlign w:val="bottom"/>
          </w:tcPr>
          <w:p>
            <w:pPr>
              <w:spacing w:after="0"/>
              <w:rPr>
                <w:sz w:val="23"/>
                <w:szCs w:val="23"/>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31,841</w:t>
            </w:r>
          </w:p>
        </w:tc>
        <w:tc>
          <w:tcPr>
            <w:tcW w:w="1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108,627</w:t>
            </w:r>
          </w:p>
        </w:tc>
        <w:tc>
          <w:tcPr>
            <w:tcW w:w="120" w:type="dxa"/>
            <w:vAlign w:val="bottom"/>
          </w:tcPr>
          <w:p>
            <w:pPr>
              <w:spacing w:after="0"/>
              <w:rPr>
                <w:sz w:val="23"/>
                <w:szCs w:val="23"/>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93,624</w:t>
            </w:r>
          </w:p>
        </w:tc>
      </w:tr>
      <w:tr>
        <w:trPr>
          <w:trHeight w:val="27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 hardware and other</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w:t>
            </w:r>
          </w:p>
        </w:tc>
      </w:tr>
      <w:tr>
        <w:trPr>
          <w:trHeight w:val="25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119,892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101,230</w:t>
            </w:r>
          </w:p>
        </w:tc>
      </w:tr>
      <w:tr>
        <w:trPr>
          <w:trHeight w:val="27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36,523</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33,058</w:t>
            </w:r>
          </w:p>
        </w:tc>
      </w:tr>
      <w:tr>
        <w:trPr>
          <w:trHeight w:val="250"/>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27,844</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83,369</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68,172</w:t>
            </w:r>
          </w:p>
        </w:tc>
      </w:tr>
      <w:tr>
        <w:trPr>
          <w:trHeight w:val="23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7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26,787</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25,578</w:t>
            </w:r>
          </w:p>
        </w:tc>
      </w:tr>
      <w:tr>
        <w:trPr>
          <w:trHeight w:val="27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37,387</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34,523</w:t>
            </w:r>
          </w:p>
        </w:tc>
      </w:tr>
      <w:tr>
        <w:trPr>
          <w:trHeight w:val="27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r>
      <w:tr>
        <w:trPr>
          <w:trHeight w:val="27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w:t>
            </w:r>
          </w:p>
        </w:tc>
      </w:tr>
      <w:tr>
        <w:trPr>
          <w:trHeight w:val="25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27,329</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82,921</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78,338</w:t>
            </w:r>
          </w:p>
        </w:tc>
      </w:tr>
      <w:tr>
        <w:trPr>
          <w:trHeight w:val="25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w:t>
            </w:r>
          </w:p>
        </w:tc>
      </w:tr>
      <w:tr>
        <w:trPr>
          <w:trHeight w:val="27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7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r>
      <w:tr>
        <w:trPr>
          <w:trHeight w:val="270"/>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5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(12,382)</w:t>
            </w:r>
          </w:p>
        </w:tc>
      </w:tr>
      <w:tr>
        <w:trPr>
          <w:trHeight w:val="270"/>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5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(12,976)</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earnings (loss) per share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27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3"/>
                <w:szCs w:val="23"/>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3"/>
                <w:szCs w:val="23"/>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270"/>
        </w:trPr>
        <w:tc>
          <w:tcPr>
            <w:tcW w:w="5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basic and diluted shares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28,890</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28,688</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27,257</w:t>
            </w:r>
          </w:p>
        </w:tc>
      </w:tr>
      <w:tr>
        <w:trPr>
          <w:trHeight w:val="27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28,688</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40" w:top="1022"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5"/>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82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3"/>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(13,883)</w:t>
            </w:r>
          </w:p>
        </w:tc>
      </w:tr>
      <w:tr>
        <w:trPr>
          <w:trHeight w:val="37"/>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loss to net cash provided by operations: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193"/>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19,337</w:t>
            </w:r>
          </w:p>
        </w:tc>
      </w:tr>
      <w:tr>
        <w:trPr>
          <w:trHeight w:val="37"/>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operating lease assets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r>
      <w:tr>
        <w:trPr>
          <w:trHeight w:val="193"/>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debt financing costs and discount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w:t>
            </w:r>
          </w:p>
        </w:tc>
      </w:tr>
      <w:tr>
        <w:trPr>
          <w:trHeight w:val="37"/>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Non-cash interest expense</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r>
      <w:tr>
        <w:trPr>
          <w:trHeight w:val="193"/>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accretion of discounts on available-for-sale securities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37"/>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expected losses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w:t>
            </w:r>
          </w:p>
        </w:tc>
      </w:tr>
      <w:tr>
        <w:trPr>
          <w:trHeight w:val="193"/>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Provision for deferred income taxes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w:t>
            </w:r>
          </w:p>
        </w:tc>
      </w:tr>
      <w:tr>
        <w:trPr>
          <w:trHeight w:val="37"/>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8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93"/>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realized gains on sales of available-for-sale securities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w:t>
            </w:r>
          </w:p>
        </w:tc>
      </w:tr>
      <w:tr>
        <w:trPr>
          <w:trHeight w:val="37"/>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5,721</w:t>
            </w:r>
          </w:p>
        </w:tc>
      </w:tr>
      <w:tr>
        <w:trPr>
          <w:trHeight w:val="193"/>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2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w:t>
            </w:r>
          </w:p>
        </w:tc>
      </w:tr>
      <w:tr>
        <w:trPr>
          <w:trHeight w:val="193"/>
        </w:trPr>
        <w:tc>
          <w:tcPr>
            <w:tcW w:w="82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Inventory</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w:t>
            </w:r>
          </w:p>
        </w:tc>
      </w:tr>
      <w:tr>
        <w:trPr>
          <w:trHeight w:val="37"/>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2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r>
      <w:tr>
        <w:trPr>
          <w:trHeight w:val="193"/>
        </w:trPr>
        <w:tc>
          <w:tcPr>
            <w:tcW w:w="82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37"/>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r>
      <w:tr>
        <w:trPr>
          <w:trHeight w:val="193"/>
        </w:trPr>
        <w:tc>
          <w:tcPr>
            <w:tcW w:w="82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expenses and other long-term obligations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w:t>
            </w:r>
          </w:p>
        </w:tc>
      </w:tr>
      <w:tr>
        <w:trPr>
          <w:trHeight w:val="37"/>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Lease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w:t>
            </w:r>
          </w:p>
        </w:tc>
      </w:tr>
      <w:tr>
        <w:trPr>
          <w:trHeight w:val="193"/>
        </w:trPr>
        <w:tc>
          <w:tcPr>
            <w:tcW w:w="82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revenue</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(5,923)</w:t>
            </w:r>
          </w:p>
        </w:tc>
      </w:tr>
      <w:tr>
        <w:trPr>
          <w:trHeight w:val="37"/>
        </w:trPr>
        <w:tc>
          <w:tcPr>
            <w:tcW w:w="826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10,926</w:t>
            </w: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Business combination consideration, net of cash acquired</w:t>
            </w:r>
          </w:p>
        </w:tc>
        <w:tc>
          <w:tcPr>
            <w:tcW w:w="8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w:t>
            </w:r>
          </w:p>
        </w:tc>
      </w:tr>
      <w:tr>
        <w:trPr>
          <w:trHeight w:val="193"/>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Acquisition of intangible assets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(14,967)</w:t>
            </w:r>
          </w:p>
        </w:tc>
      </w:tr>
      <w:tr>
        <w:trPr>
          <w:trHeight w:val="37"/>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r>
      <w:tr>
        <w:trPr>
          <w:trHeight w:val="193"/>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Software capitalization costs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(10,271)</w:t>
            </w:r>
          </w:p>
        </w:tc>
      </w:tr>
      <w:tr>
        <w:trPr>
          <w:trHeight w:val="37"/>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(36,655)</w:t>
            </w:r>
          </w:p>
        </w:tc>
      </w:tr>
      <w:tr>
        <w:trPr>
          <w:trHeight w:val="193"/>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sales and maturities of available-for-sale securities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21,738</w:t>
            </w:r>
          </w:p>
        </w:tc>
      </w:tr>
      <w:tr>
        <w:trPr>
          <w:trHeight w:val="37"/>
        </w:trPr>
        <w:tc>
          <w:tcPr>
            <w:tcW w:w="826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(78,177)</w:t>
            </w: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notes payable, net of issuance costs</w:t>
            </w:r>
          </w:p>
        </w:tc>
        <w:tc>
          <w:tcPr>
            <w:tcW w:w="8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57,982</w:t>
            </w:r>
          </w:p>
        </w:tc>
      </w:tr>
      <w:tr>
        <w:trPr>
          <w:trHeight w:val="193"/>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Payments of notes payable</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37"/>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Debt extinguishment costs</w:t>
            </w:r>
          </w:p>
        </w:tc>
        <w:tc>
          <w:tcPr>
            <w:tcW w:w="8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93"/>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Payments made on amounts due for the acquisition of intangible assets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w:t>
            </w:r>
          </w:p>
        </w:tc>
      </w:tr>
      <w:tr>
        <w:trPr>
          <w:trHeight w:val="37"/>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proceeds from (settlements for) common stock transactions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r>
      <w:tr>
        <w:trPr>
          <w:trHeight w:val="193"/>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change in client fund obligations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(45,506)</w:t>
            </w:r>
          </w:p>
        </w:tc>
      </w:tr>
      <w:tr>
        <w:trPr>
          <w:trHeight w:val="37"/>
        </w:trPr>
        <w:tc>
          <w:tcPr>
            <w:tcW w:w="826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(36,311)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7,006</w:t>
            </w: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restricted cash, and restricted cash equivalents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(60,245)</w:t>
            </w:r>
          </w:p>
        </w:tc>
      </w:tr>
      <w:tr>
        <w:trPr>
          <w:trHeight w:val="37"/>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and restricted cash equivalents, beginning of period</w:t>
            </w:r>
          </w:p>
        </w:tc>
        <w:tc>
          <w:tcPr>
            <w:tcW w:w="8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145,712</w:t>
            </w:r>
          </w:p>
        </w:tc>
      </w:tr>
      <w:tr>
        <w:trPr>
          <w:trHeight w:val="21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and restricted cash equivalents, end of period</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118,522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85,467</w:t>
            </w:r>
          </w:p>
        </w:tc>
      </w:tr>
      <w:tr>
        <w:trPr>
          <w:trHeight w:val="26"/>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02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5"/>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82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82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8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cash, cash equivalents, restricted cash, and restricted cash equivalents to the Condensed Consolidated Balance Sheets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06"/>
        </w:trPr>
        <w:tc>
          <w:tcPr>
            <w:tcW w:w="8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16,780</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21,520</w:t>
            </w:r>
          </w:p>
        </w:tc>
      </w:tr>
      <w:tr>
        <w:trPr>
          <w:trHeight w:val="23"/>
        </w:trPr>
        <w:tc>
          <w:tcPr>
            <w:tcW w:w="8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Restricted cash and restricted cash equivalents included in funds held for clients</w:t>
            </w:r>
          </w:p>
        </w:tc>
        <w:tc>
          <w:tcPr>
            <w:tcW w:w="8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101,742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63,947</w:t>
            </w:r>
          </w:p>
        </w:tc>
      </w:tr>
      <w:tr>
        <w:trPr>
          <w:trHeight w:val="191"/>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restricted cash, and restricted cash equivalents</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118,522</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85,467</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8"/>
        </w:trPr>
        <w:tc>
          <w:tcPr>
            <w:tcW w:w="8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information:</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for interest</w:t>
            </w: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w:t>
            </w:r>
          </w:p>
        </w:tc>
      </w:tr>
      <w:tr>
        <w:trPr>
          <w:trHeight w:val="216"/>
        </w:trPr>
        <w:tc>
          <w:tcPr>
            <w:tcW w:w="8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193"/>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 of intangible assets</w:t>
            </w:r>
          </w:p>
        </w:tc>
        <w:tc>
          <w:tcPr>
            <w:tcW w:w="8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w:t>
            </w:r>
          </w:p>
        </w:tc>
      </w:tr>
      <w:tr>
        <w:trPr>
          <w:trHeight w:val="37"/>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Notes payable issued for acquisitions</w:t>
            </w: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5,078</w:t>
            </w:r>
          </w:p>
        </w:tc>
      </w:tr>
      <w:tr>
        <w:trPr>
          <w:trHeight w:val="193"/>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Shares issued for acquisitions</w:t>
            </w:r>
          </w:p>
        </w:tc>
        <w:tc>
          <w:tcPr>
            <w:tcW w:w="8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r>
      <w:tr>
        <w:trPr>
          <w:trHeight w:val="37"/>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Shares issued for debt payments</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r>
      <w:tr>
        <w:trPr>
          <w:trHeight w:val="37"/>
        </w:trPr>
        <w:tc>
          <w:tcPr>
            <w:tcW w:w="8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022" w:right="339" w:bottom="1440" w:gutter="0" w:footer="0" w:header="0"/>
        </w:sectPr>
      </w:pPr>
    </w:p>
    <w:bookmarkStart w:id="13" w:name="page14"/>
    <w:bookmarkEnd w:id="1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RECONCILIATION OF NON-GAAP AND ADJUSTED FINANCIAL MEASURES</w:t>
      </w:r>
    </w:p>
    <w:p>
      <w:pPr>
        <w:spacing w:after="0" w:line="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(unaudited)</w:t>
      </w:r>
    </w:p>
    <w:p>
      <w:pPr>
        <w:spacing w:after="0" w:line="280"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25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Q3-26</w:t>
            </w:r>
          </w:p>
        </w:tc>
        <w:tc>
          <w:tcPr>
            <w:tcW w:w="22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Q2-26</w:t>
            </w:r>
          </w:p>
        </w:tc>
        <w:tc>
          <w:tcPr>
            <w:tcW w:w="22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Q1-26</w:t>
            </w:r>
          </w:p>
        </w:tc>
        <w:tc>
          <w:tcPr>
            <w:tcW w:w="20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Q4-25</w:t>
            </w:r>
          </w:p>
        </w:tc>
        <w:tc>
          <w:tcPr>
            <w:tcW w:w="22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Q3-25</w:t>
            </w:r>
          </w:p>
        </w:tc>
        <w:tc>
          <w:tcPr>
            <w:tcW w:w="22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Q2-25</w:t>
            </w:r>
          </w:p>
        </w:tc>
        <w:tc>
          <w:tcPr>
            <w:tcW w:w="20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Q1-25</w:t>
            </w:r>
          </w:p>
        </w:tc>
        <w:tc>
          <w:tcPr>
            <w:tcW w:w="22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Q4-24</w:t>
            </w:r>
          </w:p>
        </w:tc>
      </w:tr>
      <w:tr>
        <w:trPr>
          <w:trHeight w:val="23"/>
        </w:trPr>
        <w:tc>
          <w:tcPr>
            <w:tcW w:w="2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2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40,022</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37,113</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42,757</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39,311</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36,252</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30,124</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34,854</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30,792</w:t>
            </w:r>
          </w:p>
        </w:tc>
      </w:tr>
      <w:tr>
        <w:trPr>
          <w:trHeight w:val="203"/>
        </w:trPr>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 to non-GAAP Gross Profit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6"/>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27,844</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25,055</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30,470</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27,225</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23,538</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19,918</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24,716</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20,928</w:t>
            </w:r>
          </w:p>
        </w:tc>
      </w:tr>
      <w:tr>
        <w:trPr>
          <w:trHeight w:val="209"/>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Gross Margin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69.6 %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67.5 %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71.3 %</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69.3 %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64.9 %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66.1 %</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70.9 %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68.0 %</w:t>
            </w:r>
          </w:p>
        </w:tc>
      </w:tr>
      <w:tr>
        <w:trPr>
          <w:trHeight w:val="203"/>
        </w:trPr>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Share-based Compensation</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w:t>
            </w:r>
          </w:p>
        </w:tc>
      </w:tr>
      <w:tr>
        <w:trPr>
          <w:trHeight w:val="195"/>
        </w:trPr>
        <w:tc>
          <w:tcPr>
            <w:tcW w:w="2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1,932</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1,604</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1,434</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1,407</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1,399</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1,371</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1,261</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1,190</w:t>
            </w:r>
          </w:p>
        </w:tc>
      </w:tr>
      <w:tr>
        <w:trPr>
          <w:trHeight w:val="210"/>
        </w:trPr>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 intangibles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363</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365</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363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365</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370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w:t>
            </w:r>
          </w:p>
        </w:tc>
      </w:tr>
      <w:tr>
        <w:trPr>
          <w:trHeight w:val="195"/>
        </w:trPr>
        <w:tc>
          <w:tcPr>
            <w:tcW w:w="2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One-time expenses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2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Settlements, penalties &amp; interest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224</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r>
      <w:tr>
        <w:trPr>
          <w:trHeight w:val="195"/>
        </w:trPr>
        <w:tc>
          <w:tcPr>
            <w:tcW w:w="25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Acquisition and transaction costs</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182</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167</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221</w:t>
            </w:r>
          </w:p>
        </w:tc>
      </w:tr>
      <w:tr>
        <w:trPr>
          <w:trHeight w:val="210"/>
        </w:trPr>
        <w:tc>
          <w:tcPr>
            <w:tcW w:w="2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non-recurring expenses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106</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84</w:t>
            </w:r>
          </w:p>
        </w:tc>
      </w:tr>
      <w:tr>
        <w:trPr>
          <w:trHeight w:val="190"/>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Non-GAAP Gross Profit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30,175</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27,073</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32,317</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29,446</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25,401</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21,857</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26,267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22,542</w:t>
            </w:r>
          </w:p>
        </w:tc>
      </w:tr>
      <w:tr>
        <w:trPr>
          <w:trHeight w:val="209"/>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Non-GAAP Gross Margin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75.4 %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72.9 %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75.6 %</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74.9 %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70.1 %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72.6 %</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75.4 %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73.2 %</w:t>
            </w:r>
          </w:p>
        </w:tc>
      </w:tr>
      <w:tr>
        <w:trPr>
          <w:trHeight w:val="203"/>
        </w:trPr>
        <w:tc>
          <w:tcPr>
            <w:tcW w:w="462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Sales and Marketing Expense to non-GAAP Sales and Marketing Expense</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6"/>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Sales and Marketing Expense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8,925</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9,098</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8,764</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7,991</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9,043</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8,149</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8,386</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6,945</w:t>
            </w:r>
          </w:p>
        </w:tc>
      </w:tr>
      <w:tr>
        <w:trPr>
          <w:trHeight w:val="209"/>
        </w:trPr>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5"/>
        </w:trPr>
        <w:tc>
          <w:tcPr>
            <w:tcW w:w="2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Share-based Compensation</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284</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311</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305</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276</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323</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332</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322</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251</w:t>
            </w:r>
          </w:p>
        </w:tc>
      </w:tr>
      <w:tr>
        <w:trPr>
          <w:trHeight w:val="210"/>
        </w:trPr>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One-time expenses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2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Settlements, penalties &amp; interest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174</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78</w:t>
            </w:r>
          </w:p>
        </w:tc>
      </w:tr>
      <w:tr>
        <w:trPr>
          <w:trHeight w:val="195"/>
        </w:trPr>
        <w:tc>
          <w:tcPr>
            <w:tcW w:w="25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Acquisition and transaction costs</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70</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68</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30</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r>
      <w:tr>
        <w:trPr>
          <w:trHeight w:val="210"/>
        </w:trPr>
        <w:tc>
          <w:tcPr>
            <w:tcW w:w="2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non-recurring expenses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1361</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164</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52</w:t>
            </w:r>
          </w:p>
        </w:tc>
      </w:tr>
      <w:tr>
        <w:trPr>
          <w:trHeight w:val="128"/>
        </w:trPr>
        <w:tc>
          <w:tcPr>
            <w:tcW w:w="252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Non-GAAP Sales and Marketing</w:t>
            </w:r>
          </w:p>
        </w:tc>
        <w:tc>
          <w:tcPr>
            <w:tcW w:w="2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8,607</w:t>
            </w:r>
          </w:p>
        </w:tc>
        <w:tc>
          <w:tcPr>
            <w:tcW w:w="22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8,741</w:t>
            </w:r>
          </w:p>
        </w:tc>
        <w:tc>
          <w:tcPr>
            <w:tcW w:w="22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28"/>
              <w:spacing w:after="0" w:line="129" w:lineRule="exact"/>
              <w:rPr>
                <w:sz w:val="20"/>
                <w:szCs w:val="20"/>
                <w:color w:val="auto"/>
              </w:rPr>
            </w:pPr>
            <w:r>
              <w:rPr>
                <w:rFonts w:ascii="Times New Roman" w:cs="Times New Roman" w:eastAsia="Times New Roman" w:hAnsi="Times New Roman"/>
                <w:sz w:val="14"/>
                <w:szCs w:val="14"/>
                <w:b w:val="1"/>
                <w:bCs w:val="1"/>
                <w:color w:val="auto"/>
              </w:rPr>
              <w:t>8,425</w:t>
            </w:r>
          </w:p>
        </w:tc>
        <w:tc>
          <w:tcPr>
            <w:tcW w:w="2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7,470</w:t>
            </w:r>
          </w:p>
        </w:tc>
        <w:tc>
          <w:tcPr>
            <w:tcW w:w="22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7,233</w:t>
            </w:r>
          </w:p>
        </w:tc>
        <w:tc>
          <w:tcPr>
            <w:tcW w:w="220" w:type="dxa"/>
            <w:vAlign w:val="bottom"/>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28"/>
              <w:spacing w:after="0" w:line="129" w:lineRule="exact"/>
              <w:rPr>
                <w:sz w:val="20"/>
                <w:szCs w:val="20"/>
                <w:color w:val="auto"/>
              </w:rPr>
            </w:pPr>
            <w:r>
              <w:rPr>
                <w:rFonts w:ascii="Times New Roman" w:cs="Times New Roman" w:eastAsia="Times New Roman" w:hAnsi="Times New Roman"/>
                <w:sz w:val="14"/>
                <w:szCs w:val="14"/>
                <w:b w:val="1"/>
                <w:bCs w:val="1"/>
                <w:color w:val="auto"/>
              </w:rPr>
              <w:t>7,582</w:t>
            </w:r>
          </w:p>
        </w:tc>
        <w:tc>
          <w:tcPr>
            <w:tcW w:w="2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7,982</w:t>
            </w:r>
          </w:p>
        </w:tc>
        <w:tc>
          <w:tcPr>
            <w:tcW w:w="22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6,555</w:t>
            </w:r>
          </w:p>
        </w:tc>
      </w:tr>
      <w:tr>
        <w:trPr>
          <w:trHeight w:val="189"/>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5680" w:type="dxa"/>
            <w:vAlign w:val="bottom"/>
            <w:gridSpan w:val="7"/>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6"/>
        </w:trPr>
        <w:tc>
          <w:tcPr>
            <w:tcW w:w="56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General and Administrative Expense to non-GAAP General and Administrative Expense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9"/>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General and Administrative Expense</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12,540</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12,099</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12,748</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11,308</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11,655</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10,968</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11,900</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9,940</w:t>
            </w:r>
          </w:p>
        </w:tc>
      </w:tr>
      <w:tr>
        <w:trPr>
          <w:trHeight w:val="203"/>
        </w:trPr>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Share-based Compensation</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1,561</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1,707</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1,709</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1,593</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1,499</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1,419</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1,407</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1,081</w:t>
            </w:r>
          </w:p>
        </w:tc>
      </w:tr>
      <w:tr>
        <w:trPr>
          <w:trHeight w:val="195"/>
        </w:trPr>
        <w:tc>
          <w:tcPr>
            <w:tcW w:w="2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293</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275</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290</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284</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254</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261</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244</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269</w:t>
            </w:r>
          </w:p>
        </w:tc>
      </w:tr>
      <w:tr>
        <w:trPr>
          <w:trHeight w:val="210"/>
        </w:trPr>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One-time expenses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5"/>
        </w:trPr>
        <w:tc>
          <w:tcPr>
            <w:tcW w:w="25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Settlements, penalties &amp; interest</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235</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94</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262</w:t>
            </w:r>
          </w:p>
        </w:tc>
        <w:tc>
          <w:tcPr>
            <w:tcW w:w="20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(494)</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449</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365</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492</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142</w:t>
            </w:r>
          </w:p>
        </w:tc>
      </w:tr>
      <w:tr>
        <w:trPr>
          <w:trHeight w:val="210"/>
        </w:trPr>
        <w:tc>
          <w:tcPr>
            <w:tcW w:w="2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Acquisition and transaction costs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293</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427</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812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282</w:t>
            </w:r>
          </w:p>
        </w:tc>
      </w:tr>
      <w:tr>
        <w:trPr>
          <w:trHeight w:val="196"/>
        </w:trPr>
        <w:tc>
          <w:tcPr>
            <w:tcW w:w="2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Other non-recurring expenses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106</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435</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44</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189</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136</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220</w:t>
            </w:r>
          </w:p>
        </w:tc>
      </w:tr>
      <w:tr>
        <w:trPr>
          <w:trHeight w:val="135"/>
        </w:trPr>
        <w:tc>
          <w:tcPr>
            <w:tcW w:w="2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Non-GAAP General and Administrative</w:t>
            </w:r>
          </w:p>
        </w:tc>
        <w:tc>
          <w:tcPr>
            <w:tcW w:w="200" w:type="dxa"/>
            <w:vAlign w:val="bottom"/>
            <w:shd w:val="clear" w:color="auto" w:fill="CCEEFF"/>
          </w:tcPr>
          <w:p>
            <w:pPr>
              <w:jc w:val="right"/>
              <w:ind w:right="48"/>
              <w:spacing w:after="0" w:line="13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10,052</w:t>
            </w:r>
          </w:p>
        </w:tc>
        <w:tc>
          <w:tcPr>
            <w:tcW w:w="220" w:type="dxa"/>
            <w:vAlign w:val="bottom"/>
            <w:shd w:val="clear" w:color="auto" w:fill="CCEEFF"/>
          </w:tcPr>
          <w:p>
            <w:pPr>
              <w:jc w:val="right"/>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9,197</w:t>
            </w:r>
          </w:p>
        </w:tc>
        <w:tc>
          <w:tcPr>
            <w:tcW w:w="220" w:type="dxa"/>
            <w:vAlign w:val="bottom"/>
            <w:shd w:val="clear" w:color="auto" w:fill="CCEEFF"/>
          </w:tcPr>
          <w:p>
            <w:pPr>
              <w:jc w:val="right"/>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128"/>
              <w:spacing w:after="0" w:line="135" w:lineRule="exact"/>
              <w:rPr>
                <w:sz w:val="20"/>
                <w:szCs w:val="20"/>
                <w:color w:val="auto"/>
              </w:rPr>
            </w:pPr>
            <w:r>
              <w:rPr>
                <w:rFonts w:ascii="Times New Roman" w:cs="Times New Roman" w:eastAsia="Times New Roman" w:hAnsi="Times New Roman"/>
                <w:sz w:val="14"/>
                <w:szCs w:val="14"/>
                <w:b w:val="1"/>
                <w:bCs w:val="1"/>
                <w:color w:val="auto"/>
              </w:rPr>
              <w:t>9,997</w:t>
            </w:r>
          </w:p>
        </w:tc>
        <w:tc>
          <w:tcPr>
            <w:tcW w:w="200" w:type="dxa"/>
            <w:vAlign w:val="bottom"/>
            <w:shd w:val="clear" w:color="auto" w:fill="CCEEFF"/>
          </w:tcPr>
          <w:p>
            <w:pPr>
              <w:jc w:val="right"/>
              <w:ind w:right="48"/>
              <w:spacing w:after="0" w:line="13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9,664</w:t>
            </w:r>
          </w:p>
        </w:tc>
        <w:tc>
          <w:tcPr>
            <w:tcW w:w="220" w:type="dxa"/>
            <w:vAlign w:val="bottom"/>
            <w:shd w:val="clear" w:color="auto" w:fill="CCEEFF"/>
          </w:tcPr>
          <w:p>
            <w:pPr>
              <w:jc w:val="right"/>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9,006</w:t>
            </w:r>
          </w:p>
        </w:tc>
        <w:tc>
          <w:tcPr>
            <w:tcW w:w="220" w:type="dxa"/>
            <w:vAlign w:val="bottom"/>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ind w:right="128"/>
              <w:spacing w:after="0" w:line="135" w:lineRule="exact"/>
              <w:rPr>
                <w:sz w:val="20"/>
                <w:szCs w:val="20"/>
                <w:color w:val="auto"/>
              </w:rPr>
            </w:pPr>
            <w:r>
              <w:rPr>
                <w:rFonts w:ascii="Times New Roman" w:cs="Times New Roman" w:eastAsia="Times New Roman" w:hAnsi="Times New Roman"/>
                <w:sz w:val="14"/>
                <w:szCs w:val="14"/>
                <w:b w:val="1"/>
                <w:bCs w:val="1"/>
                <w:color w:val="auto"/>
              </w:rPr>
              <w:t>7,922</w:t>
            </w:r>
          </w:p>
        </w:tc>
        <w:tc>
          <w:tcPr>
            <w:tcW w:w="200" w:type="dxa"/>
            <w:vAlign w:val="bottom"/>
            <w:shd w:val="clear" w:color="auto" w:fill="CCEEFF"/>
          </w:tcPr>
          <w:p>
            <w:pPr>
              <w:jc w:val="right"/>
              <w:ind w:right="48"/>
              <w:spacing w:after="0" w:line="13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9,130</w:t>
            </w:r>
          </w:p>
        </w:tc>
        <w:tc>
          <w:tcPr>
            <w:tcW w:w="220" w:type="dxa"/>
            <w:vAlign w:val="bottom"/>
            <w:shd w:val="clear" w:color="auto" w:fill="CCEEFF"/>
          </w:tcPr>
          <w:p>
            <w:pPr>
              <w:jc w:val="right"/>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7,946</w:t>
            </w:r>
          </w:p>
        </w:tc>
      </w:tr>
      <w:tr>
        <w:trPr>
          <w:trHeight w:val="189"/>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03"/>
        </w:trPr>
        <w:tc>
          <w:tcPr>
            <w:tcW w:w="5680" w:type="dxa"/>
            <w:vAlign w:val="bottom"/>
            <w:gridSpan w:val="7"/>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2"/>
        </w:trPr>
        <w:tc>
          <w:tcPr>
            <w:tcW w:w="56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Research and Development Expense to non-GAAP Research and Development Expense</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6"/>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Research and Development Expense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1,677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1,565</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1,657</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1,135</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1,570</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1,280</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2,137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2,103</w:t>
            </w:r>
          </w:p>
        </w:tc>
      </w:tr>
      <w:tr>
        <w:trPr>
          <w:trHeight w:val="209"/>
        </w:trPr>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5"/>
        </w:trPr>
        <w:tc>
          <w:tcPr>
            <w:tcW w:w="2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Share-based Compensation</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81</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78</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94</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103</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94</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90</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87</w:t>
            </w:r>
          </w:p>
        </w:tc>
      </w:tr>
      <w:tr>
        <w:trPr>
          <w:trHeight w:val="210"/>
        </w:trPr>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545</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397</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One-time expenses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2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Settlements, penalties &amp; interest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r>
      <w:tr>
        <w:trPr>
          <w:trHeight w:val="195"/>
        </w:trPr>
        <w:tc>
          <w:tcPr>
            <w:tcW w:w="25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Acquisition and transaction costs</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91</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153</w:t>
            </w:r>
          </w:p>
        </w:tc>
      </w:tr>
      <w:tr>
        <w:trPr>
          <w:trHeight w:val="210"/>
        </w:trPr>
        <w:tc>
          <w:tcPr>
            <w:tcW w:w="2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non-recurring expenses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w:t>
            </w:r>
          </w:p>
        </w:tc>
      </w:tr>
      <w:tr>
        <w:trPr>
          <w:trHeight w:val="129"/>
        </w:trPr>
        <w:tc>
          <w:tcPr>
            <w:tcW w:w="252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Non-GAAP Research and Development</w:t>
            </w:r>
          </w:p>
        </w:tc>
        <w:tc>
          <w:tcPr>
            <w:tcW w:w="2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1,051</w:t>
            </w:r>
          </w:p>
        </w:tc>
        <w:tc>
          <w:tcPr>
            <w:tcW w:w="22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1,395</w:t>
            </w:r>
          </w:p>
        </w:tc>
        <w:tc>
          <w:tcPr>
            <w:tcW w:w="22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28"/>
              <w:spacing w:after="0" w:line="129" w:lineRule="exact"/>
              <w:rPr>
                <w:sz w:val="20"/>
                <w:szCs w:val="20"/>
                <w:color w:val="auto"/>
              </w:rPr>
            </w:pPr>
            <w:r>
              <w:rPr>
                <w:rFonts w:ascii="Times New Roman" w:cs="Times New Roman" w:eastAsia="Times New Roman" w:hAnsi="Times New Roman"/>
                <w:sz w:val="14"/>
                <w:szCs w:val="14"/>
                <w:b w:val="1"/>
                <w:bCs w:val="1"/>
                <w:color w:val="auto"/>
              </w:rPr>
              <w:t>1,550</w:t>
            </w:r>
          </w:p>
        </w:tc>
        <w:tc>
          <w:tcPr>
            <w:tcW w:w="2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952</w:t>
            </w:r>
          </w:p>
        </w:tc>
        <w:tc>
          <w:tcPr>
            <w:tcW w:w="22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1,057</w:t>
            </w:r>
          </w:p>
        </w:tc>
        <w:tc>
          <w:tcPr>
            <w:tcW w:w="220" w:type="dxa"/>
            <w:vAlign w:val="bottom"/>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28"/>
              <w:spacing w:after="0" w:line="129" w:lineRule="exact"/>
              <w:rPr>
                <w:sz w:val="20"/>
                <w:szCs w:val="20"/>
                <w:color w:val="auto"/>
              </w:rPr>
            </w:pPr>
            <w:r>
              <w:rPr>
                <w:rFonts w:ascii="Times New Roman" w:cs="Times New Roman" w:eastAsia="Times New Roman" w:hAnsi="Times New Roman"/>
                <w:sz w:val="14"/>
                <w:szCs w:val="14"/>
                <w:b w:val="1"/>
                <w:bCs w:val="1"/>
                <w:color w:val="auto"/>
              </w:rPr>
              <w:t>1,112</w:t>
            </w:r>
          </w:p>
        </w:tc>
        <w:tc>
          <w:tcPr>
            <w:tcW w:w="2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1,838</w:t>
            </w:r>
          </w:p>
        </w:tc>
        <w:tc>
          <w:tcPr>
            <w:tcW w:w="22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1,813</w:t>
            </w:r>
          </w:p>
        </w:tc>
      </w:tr>
      <w:tr>
        <w:trPr>
          <w:trHeight w:val="190"/>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Note that first quarters are seasonally strong as recurring year-end W2/ACA revenue is recognized in this period.</w:t>
      </w:r>
    </w:p>
    <w:p>
      <w:pPr>
        <w:spacing w:after="0" w:line="2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846" w:right="479" w:bottom="1440" w:gutter="0" w:footer="0" w:header="0"/>
        </w:sectPr>
      </w:pPr>
    </w:p>
    <w:bookmarkStart w:id="14" w:name="page15"/>
    <w:bookmarkEnd w:id="1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RECONCILIATION OF NON-GAAP AND ADJUSTED FINANCIAL MEASURES (cont.)</w:t>
      </w:r>
    </w:p>
    <w:p>
      <w:pPr>
        <w:spacing w:after="0" w:line="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(unaudited)</w:t>
      </w:r>
    </w:p>
    <w:p>
      <w:pPr>
        <w:spacing w:after="0" w:line="280"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2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6"/>
                <w:szCs w:val="16"/>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Q3-26</w:t>
            </w:r>
          </w:p>
        </w:tc>
        <w:tc>
          <w:tcPr>
            <w:tcW w:w="22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Q2-26</w:t>
            </w:r>
          </w:p>
        </w:tc>
        <w:tc>
          <w:tcPr>
            <w:tcW w:w="22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Q1-26</w:t>
            </w:r>
          </w:p>
        </w:tc>
        <w:tc>
          <w:tcPr>
            <w:tcW w:w="20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Q4-25</w:t>
            </w:r>
          </w:p>
        </w:tc>
        <w:tc>
          <w:tcPr>
            <w:tcW w:w="22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Q3-25</w:t>
            </w:r>
          </w:p>
        </w:tc>
        <w:tc>
          <w:tcPr>
            <w:tcW w:w="22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Q2-25</w:t>
            </w:r>
          </w:p>
        </w:tc>
        <w:tc>
          <w:tcPr>
            <w:tcW w:w="20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Q1-25</w:t>
            </w:r>
          </w:p>
        </w:tc>
        <w:tc>
          <w:tcPr>
            <w:tcW w:w="22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Q4-24</w:t>
            </w:r>
          </w:p>
        </w:tc>
      </w:tr>
      <w:tr>
        <w:trPr>
          <w:trHeight w:val="23"/>
        </w:trPr>
        <w:tc>
          <w:tcPr>
            <w:tcW w:w="2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2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8"/>
                <w:szCs w:val="18"/>
                <w:color w:val="auto"/>
                <w:vertAlign w:val="superscript"/>
              </w:rPr>
              <w:t>(1)</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40,022</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37,113</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42,757</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39,311</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36,252</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30,124</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34,854</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30,792</w:t>
            </w:r>
          </w:p>
        </w:tc>
      </w:tr>
      <w:tr>
        <w:trPr>
          <w:trHeight w:val="203"/>
        </w:trPr>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GAAP Net Loss to Adjusted EBITDA</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6"/>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GAAP Net Loss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(604)</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(4,443)</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625</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757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(5,362)</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(6,123)</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(2,398)</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(3,204)</w:t>
            </w:r>
          </w:p>
        </w:tc>
      </w:tr>
      <w:tr>
        <w:trPr>
          <w:trHeight w:val="209"/>
        </w:trPr>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5"/>
        </w:trPr>
        <w:tc>
          <w:tcPr>
            <w:tcW w:w="2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 net</w:t>
            </w:r>
          </w:p>
        </w:tc>
        <w:tc>
          <w:tcPr>
            <w:tcW w:w="22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1,584</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1,585</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1,560</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1,659</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1,716</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532</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280</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211</w:t>
            </w:r>
          </w:p>
        </w:tc>
      </w:tr>
      <w:tr>
        <w:trPr>
          <w:trHeight w:val="210"/>
        </w:trPr>
        <w:tc>
          <w:tcPr>
            <w:tcW w:w="2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(456)</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(849)</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367</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843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499</w:t>
            </w:r>
          </w:p>
        </w:tc>
      </w:tr>
      <w:tr>
        <w:trPr>
          <w:trHeight w:val="195"/>
        </w:trPr>
        <w:tc>
          <w:tcPr>
            <w:tcW w:w="2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w:t>
            </w:r>
          </w:p>
        </w:tc>
        <w:tc>
          <w:tcPr>
            <w:tcW w:w="22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2,778</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1,945</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1,738</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1,705</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2,050</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1,640</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1,614</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1,460</w:t>
            </w:r>
          </w:p>
        </w:tc>
      </w:tr>
      <w:tr>
        <w:trPr>
          <w:trHeight w:val="210"/>
        </w:trPr>
        <w:tc>
          <w:tcPr>
            <w:tcW w:w="2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 intangibles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4,550</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5,054</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5,335</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5,397</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5,132</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4,543</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4,358</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4,482</w:t>
            </w:r>
          </w:p>
        </w:tc>
      </w:tr>
      <w:tr>
        <w:trPr>
          <w:trHeight w:val="190"/>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7,852</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4,603</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9,402</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8,669</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3,903</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1,435</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4,145</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3,448</w:t>
            </w:r>
          </w:p>
        </w:tc>
      </w:tr>
      <w:tr>
        <w:trPr>
          <w:trHeight w:val="209"/>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EBITDA Margin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19.6 %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12.4 %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22.0 %</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22.1 %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10.8 %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4.8 %</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11.9 %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11.2 %</w:t>
            </w:r>
          </w:p>
        </w:tc>
      </w:tr>
      <w:tr>
        <w:trPr>
          <w:trHeight w:val="203"/>
        </w:trPr>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Share-based Compensation</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1,962</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2,131</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2,150</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2,018</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1,967</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1,891</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1,863</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1,463</w:t>
            </w:r>
          </w:p>
        </w:tc>
      </w:tr>
      <w:tr>
        <w:trPr>
          <w:trHeight w:val="195"/>
        </w:trPr>
        <w:tc>
          <w:tcPr>
            <w:tcW w:w="2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One Time Expenses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2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Settlements, penalties &amp; interest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303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525</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484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266</w:t>
            </w:r>
          </w:p>
        </w:tc>
      </w:tr>
      <w:tr>
        <w:trPr>
          <w:trHeight w:val="195"/>
        </w:trPr>
        <w:tc>
          <w:tcPr>
            <w:tcW w:w="24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Acquisition and transaction costs</w:t>
            </w:r>
          </w:p>
        </w:tc>
        <w:tc>
          <w:tcPr>
            <w:tcW w:w="22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293</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391</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446</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510</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545</w:t>
            </w:r>
          </w:p>
        </w:tc>
        <w:tc>
          <w:tcPr>
            <w:tcW w:w="2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842</w:t>
            </w:r>
          </w:p>
        </w:tc>
        <w:tc>
          <w:tcPr>
            <w:tcW w:w="2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779</w:t>
            </w:r>
          </w:p>
        </w:tc>
        <w:tc>
          <w:tcPr>
            <w:tcW w:w="22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665</w:t>
            </w:r>
          </w:p>
        </w:tc>
      </w:tr>
      <w:tr>
        <w:trPr>
          <w:trHeight w:val="210"/>
        </w:trPr>
        <w:tc>
          <w:tcPr>
            <w:tcW w:w="2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non-recurring expenses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106</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435</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1,382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494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136</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385</w:t>
            </w:r>
          </w:p>
        </w:tc>
      </w:tr>
      <w:tr>
        <w:trPr>
          <w:trHeight w:val="196"/>
        </w:trPr>
        <w:tc>
          <w:tcPr>
            <w:tcW w:w="2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192</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(220)</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96</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(188)</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r>
      <w:tr>
        <w:trPr>
          <w:trHeight w:val="20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10,465</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7,740</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12,345</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11,363</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8,102</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5,242</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7,316</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6,229</w:t>
            </w:r>
          </w:p>
        </w:tc>
      </w:tr>
      <w:tr>
        <w:trPr>
          <w:trHeight w:val="190"/>
        </w:trPr>
        <w:tc>
          <w:tcPr>
            <w:tcW w:w="2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Adjusted EBITDA Margin</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26.1 %</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20.9 %</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28.9 %</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28.9 %</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22.3 %</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17.4 %</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21.0 %</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20.2 %</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Note that first quarters are seasonally strong as recurring year-end W2/ACA revenue is recognized in this period.</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Patrick McKillop</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617-335-5058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patrick.mckillop@asuresoftware.com</w:t>
      </w:r>
    </w:p>
    <w:p>
      <w:pPr>
        <w:spacing w:after="0" w:line="36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040"/>
      </w:cols>
      <w:pgMar w:left="320" w:top="84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2026-10-29T16:31:40Z</dcterms:created>
  <dcterms:modified xsi:type="dcterms:W3CDTF">2026-10-29T16:31:40Z</dcterms:modified>
</cp:coreProperties>
</file>